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D71C" w14:textId="1B99C4B5" w:rsidR="00A75E40" w:rsidRPr="006E725C" w:rsidRDefault="0037039F" w:rsidP="006C3495">
      <w:pPr>
        <w:jc w:val="center"/>
        <w:rPr>
          <w:lang w:val="en-GB" w:eastAsia="ar-SA"/>
        </w:rPr>
        <w:sectPr w:rsidR="00A75E40" w:rsidRPr="006E725C" w:rsidSect="0085114D">
          <w:headerReference w:type="even" r:id="rId12"/>
          <w:headerReference w:type="default" r:id="rId13"/>
          <w:footerReference w:type="even" r:id="rId14"/>
          <w:footerReference w:type="default" r:id="rId15"/>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63872" behindDoc="0" locked="1" layoutInCell="1" allowOverlap="1" wp14:anchorId="3243AB17" wp14:editId="78939917">
                <wp:simplePos x="0" y="0"/>
                <wp:positionH relativeFrom="margin">
                  <wp:posOffset>-148590</wp:posOffset>
                </wp:positionH>
                <wp:positionV relativeFrom="page">
                  <wp:posOffset>514350</wp:posOffset>
                </wp:positionV>
                <wp:extent cx="2162810" cy="510540"/>
                <wp:effectExtent l="0" t="0" r="8890" b="3810"/>
                <wp:wrapSquare wrapText="bothSides"/>
                <wp:docPr id="543968189" name="Skupina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62810" cy="510540"/>
                          <a:chOff x="0" y="0"/>
                          <a:chExt cx="1671002" cy="395288"/>
                        </a:xfrm>
                      </wpg:grpSpPr>
                      <wps:wsp>
                        <wps:cNvPr id="563630417" name="Rectangle 5"/>
                        <wps:cNvSpPr>
                          <a:spLocks noChangeArrowheads="1"/>
                        </wps:cNvSpPr>
                        <wps:spPr bwMode="auto">
                          <a:xfrm>
                            <a:off x="395287" y="4763"/>
                            <a:ext cx="419100" cy="98425"/>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60190" name="Rectangle 6"/>
                        <wps:cNvSpPr>
                          <a:spLocks noChangeArrowheads="1"/>
                        </wps:cNvSpPr>
                        <wps:spPr bwMode="auto">
                          <a:xfrm>
                            <a:off x="0" y="147638"/>
                            <a:ext cx="814705" cy="97790"/>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513154" name="Rectangle 7"/>
                        <wps:cNvSpPr>
                          <a:spLocks noChangeArrowheads="1"/>
                        </wps:cNvSpPr>
                        <wps:spPr bwMode="auto">
                          <a:xfrm>
                            <a:off x="357187" y="295275"/>
                            <a:ext cx="457200" cy="97790"/>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195998" name="Freeform 8"/>
                        <wps:cNvSpPr>
                          <a:spLocks noEditPoints="1"/>
                        </wps:cNvSpPr>
                        <wps:spPr bwMode="auto">
                          <a:xfrm>
                            <a:off x="862012" y="290513"/>
                            <a:ext cx="455295" cy="104775"/>
                          </a:xfrm>
                          <a:custGeom>
                            <a:avLst/>
                            <a:gdLst>
                              <a:gd name="T0" fmla="*/ 34559 w 1436"/>
                              <a:gd name="T1" fmla="*/ 3175 h 330"/>
                              <a:gd name="T2" fmla="*/ 14268 w 1436"/>
                              <a:gd name="T3" fmla="*/ 16193 h 330"/>
                              <a:gd name="T4" fmla="*/ 1268 w 1436"/>
                              <a:gd name="T5" fmla="*/ 40640 h 330"/>
                              <a:gd name="T6" fmla="*/ 2536 w 1436"/>
                              <a:gd name="T7" fmla="*/ 67628 h 330"/>
                              <a:gd name="T8" fmla="*/ 15536 w 1436"/>
                              <a:gd name="T9" fmla="*/ 89535 h 330"/>
                              <a:gd name="T10" fmla="*/ 37096 w 1436"/>
                              <a:gd name="T11" fmla="*/ 102235 h 330"/>
                              <a:gd name="T12" fmla="*/ 63729 w 1436"/>
                              <a:gd name="T13" fmla="*/ 103823 h 330"/>
                              <a:gd name="T14" fmla="*/ 85923 w 1436"/>
                              <a:gd name="T15" fmla="*/ 95250 h 330"/>
                              <a:gd name="T16" fmla="*/ 103044 w 1436"/>
                              <a:gd name="T17" fmla="*/ 74613 h 330"/>
                              <a:gd name="T18" fmla="*/ 107483 w 1436"/>
                              <a:gd name="T19" fmla="*/ 47308 h 330"/>
                              <a:gd name="T20" fmla="*/ 99873 w 1436"/>
                              <a:gd name="T21" fmla="*/ 24448 h 330"/>
                              <a:gd name="T22" fmla="*/ 81167 w 1436"/>
                              <a:gd name="T23" fmla="*/ 6350 h 330"/>
                              <a:gd name="T24" fmla="*/ 53900 w 1436"/>
                              <a:gd name="T25" fmla="*/ 0 h 330"/>
                              <a:gd name="T26" fmla="*/ 62143 w 1436"/>
                              <a:gd name="T27" fmla="*/ 26353 h 330"/>
                              <a:gd name="T28" fmla="*/ 73557 w 1436"/>
                              <a:gd name="T29" fmla="*/ 33020 h 330"/>
                              <a:gd name="T30" fmla="*/ 80216 w 1436"/>
                              <a:gd name="T31" fmla="*/ 44133 h 330"/>
                              <a:gd name="T32" fmla="*/ 81167 w 1436"/>
                              <a:gd name="T33" fmla="*/ 58103 h 330"/>
                              <a:gd name="T34" fmla="*/ 75143 w 1436"/>
                              <a:gd name="T35" fmla="*/ 70168 h 330"/>
                              <a:gd name="T36" fmla="*/ 64363 w 1436"/>
                              <a:gd name="T37" fmla="*/ 78105 h 330"/>
                              <a:gd name="T38" fmla="*/ 51046 w 1436"/>
                              <a:gd name="T39" fmla="*/ 80010 h 330"/>
                              <a:gd name="T40" fmla="*/ 38364 w 1436"/>
                              <a:gd name="T41" fmla="*/ 75248 h 330"/>
                              <a:gd name="T42" fmla="*/ 29803 w 1436"/>
                              <a:gd name="T43" fmla="*/ 65405 h 330"/>
                              <a:gd name="T44" fmla="*/ 26633 w 1436"/>
                              <a:gd name="T45" fmla="*/ 52070 h 330"/>
                              <a:gd name="T46" fmla="*/ 29803 w 1436"/>
                              <a:gd name="T47" fmla="*/ 39053 h 330"/>
                              <a:gd name="T48" fmla="*/ 38681 w 1436"/>
                              <a:gd name="T49" fmla="*/ 29528 h 330"/>
                              <a:gd name="T50" fmla="*/ 51046 w 1436"/>
                              <a:gd name="T51" fmla="*/ 25083 h 330"/>
                              <a:gd name="T52" fmla="*/ 120482 w 1436"/>
                              <a:gd name="T53" fmla="*/ 3175 h 330"/>
                              <a:gd name="T54" fmla="*/ 173748 w 1436"/>
                              <a:gd name="T55" fmla="*/ 40958 h 330"/>
                              <a:gd name="T56" fmla="*/ 248890 w 1436"/>
                              <a:gd name="T57" fmla="*/ 3175 h 330"/>
                              <a:gd name="T58" fmla="*/ 246037 w 1436"/>
                              <a:gd name="T59" fmla="*/ 62548 h 330"/>
                              <a:gd name="T60" fmla="*/ 290742 w 1436"/>
                              <a:gd name="T61" fmla="*/ 3175 h 330"/>
                              <a:gd name="T62" fmla="*/ 380152 w 1436"/>
                              <a:gd name="T63" fmla="*/ 6033 h 330"/>
                              <a:gd name="T64" fmla="*/ 351617 w 1436"/>
                              <a:gd name="T65" fmla="*/ 1270 h 330"/>
                              <a:gd name="T66" fmla="*/ 327838 w 1436"/>
                              <a:gd name="T67" fmla="*/ 9843 h 330"/>
                              <a:gd name="T68" fmla="*/ 311668 w 1436"/>
                              <a:gd name="T69" fmla="*/ 27940 h 330"/>
                              <a:gd name="T70" fmla="*/ 305327 w 1436"/>
                              <a:gd name="T71" fmla="*/ 53023 h 330"/>
                              <a:gd name="T72" fmla="*/ 310717 w 1436"/>
                              <a:gd name="T73" fmla="*/ 75565 h 330"/>
                              <a:gd name="T74" fmla="*/ 326887 w 1436"/>
                              <a:gd name="T75" fmla="*/ 93980 h 330"/>
                              <a:gd name="T76" fmla="*/ 351934 w 1436"/>
                              <a:gd name="T77" fmla="*/ 103505 h 330"/>
                              <a:gd name="T78" fmla="*/ 380152 w 1436"/>
                              <a:gd name="T79" fmla="*/ 99060 h 330"/>
                              <a:gd name="T80" fmla="*/ 369689 w 1436"/>
                              <a:gd name="T81" fmla="*/ 76835 h 330"/>
                              <a:gd name="T82" fmla="*/ 355739 w 1436"/>
                              <a:gd name="T83" fmla="*/ 79375 h 330"/>
                              <a:gd name="T84" fmla="*/ 340520 w 1436"/>
                              <a:gd name="T85" fmla="*/ 73025 h 330"/>
                              <a:gd name="T86" fmla="*/ 333228 w 1436"/>
                              <a:gd name="T87" fmla="*/ 61595 h 330"/>
                              <a:gd name="T88" fmla="*/ 332277 w 1436"/>
                              <a:gd name="T89" fmla="*/ 46990 h 330"/>
                              <a:gd name="T90" fmla="*/ 337984 w 1436"/>
                              <a:gd name="T91" fmla="*/ 35560 h 330"/>
                              <a:gd name="T92" fmla="*/ 347812 w 1436"/>
                              <a:gd name="T93" fmla="*/ 27940 h 330"/>
                              <a:gd name="T94" fmla="*/ 361129 w 1436"/>
                              <a:gd name="T95" fmla="*/ 26035 h 330"/>
                              <a:gd name="T96" fmla="*/ 375396 w 1436"/>
                              <a:gd name="T97" fmla="*/ 31750 h 330"/>
                              <a:gd name="T98" fmla="*/ 455295 w 1436"/>
                              <a:gd name="T99" fmla="*/ 3175 h 330"/>
                              <a:gd name="T100" fmla="*/ 425175 w 1436"/>
                              <a:gd name="T101" fmla="*/ 79693 h 330"/>
                              <a:gd name="T102" fmla="*/ 425175 w 1436"/>
                              <a:gd name="T103" fmla="*/ 24765 h 33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361515" name="Freeform 9"/>
                        <wps:cNvSpPr>
                          <a:spLocks noEditPoints="1"/>
                        </wps:cNvSpPr>
                        <wps:spPr bwMode="auto">
                          <a:xfrm>
                            <a:off x="862012" y="147638"/>
                            <a:ext cx="808990" cy="102870"/>
                          </a:xfrm>
                          <a:custGeom>
                            <a:avLst/>
                            <a:gdLst>
                              <a:gd name="T0" fmla="*/ 45067 w 2549"/>
                              <a:gd name="T1" fmla="*/ 317 h 325"/>
                              <a:gd name="T2" fmla="*/ 20629 w 2549"/>
                              <a:gd name="T3" fmla="*/ 3482 h 325"/>
                              <a:gd name="T4" fmla="*/ 6348 w 2549"/>
                              <a:gd name="T5" fmla="*/ 19308 h 325"/>
                              <a:gd name="T6" fmla="*/ 5078 w 2549"/>
                              <a:gd name="T7" fmla="*/ 41465 h 325"/>
                              <a:gd name="T8" fmla="*/ 18408 w 2549"/>
                              <a:gd name="T9" fmla="*/ 56025 h 325"/>
                              <a:gd name="T10" fmla="*/ 44115 w 2549"/>
                              <a:gd name="T11" fmla="*/ 66153 h 325"/>
                              <a:gd name="T12" fmla="*/ 41894 w 2549"/>
                              <a:gd name="T13" fmla="*/ 78181 h 325"/>
                              <a:gd name="T14" fmla="*/ 25073 w 2549"/>
                              <a:gd name="T15" fmla="*/ 79764 h 325"/>
                              <a:gd name="T16" fmla="*/ 4126 w 2549"/>
                              <a:gd name="T17" fmla="*/ 94007 h 325"/>
                              <a:gd name="T18" fmla="*/ 33642 w 2549"/>
                              <a:gd name="T19" fmla="*/ 102237 h 325"/>
                              <a:gd name="T20" fmla="*/ 59349 w 2549"/>
                              <a:gd name="T21" fmla="*/ 95273 h 325"/>
                              <a:gd name="T22" fmla="*/ 71409 w 2549"/>
                              <a:gd name="T23" fmla="*/ 75649 h 325"/>
                              <a:gd name="T24" fmla="*/ 67601 w 2549"/>
                              <a:gd name="T25" fmla="*/ 52226 h 325"/>
                              <a:gd name="T26" fmla="*/ 47924 w 2549"/>
                              <a:gd name="T27" fmla="*/ 40515 h 325"/>
                              <a:gd name="T28" fmla="*/ 30468 w 2549"/>
                              <a:gd name="T29" fmla="*/ 31019 h 325"/>
                              <a:gd name="T30" fmla="*/ 36816 w 2549"/>
                              <a:gd name="T31" fmla="*/ 21524 h 325"/>
                              <a:gd name="T32" fmla="*/ 53954 w 2549"/>
                              <a:gd name="T33" fmla="*/ 24689 h 325"/>
                              <a:gd name="T34" fmla="*/ 79026 w 2549"/>
                              <a:gd name="T35" fmla="*/ 23739 h 325"/>
                              <a:gd name="T36" fmla="*/ 244379 w 2549"/>
                              <a:gd name="T37" fmla="*/ 100021 h 325"/>
                              <a:gd name="T38" fmla="*/ 204072 w 2549"/>
                              <a:gd name="T39" fmla="*/ 63621 h 325"/>
                              <a:gd name="T40" fmla="*/ 240571 w 2549"/>
                              <a:gd name="T41" fmla="*/ 1899 h 325"/>
                              <a:gd name="T42" fmla="*/ 320867 w 2549"/>
                              <a:gd name="T43" fmla="*/ 1899 h 325"/>
                              <a:gd name="T44" fmla="*/ 419888 w 2549"/>
                              <a:gd name="T45" fmla="*/ 2849 h 325"/>
                              <a:gd name="T46" fmla="*/ 393228 w 2549"/>
                              <a:gd name="T47" fmla="*/ 317 h 325"/>
                              <a:gd name="T48" fmla="*/ 374186 w 2549"/>
                              <a:gd name="T49" fmla="*/ 11078 h 325"/>
                              <a:gd name="T50" fmla="*/ 366886 w 2549"/>
                              <a:gd name="T51" fmla="*/ 32918 h 325"/>
                              <a:gd name="T52" fmla="*/ 372916 w 2549"/>
                              <a:gd name="T53" fmla="*/ 50327 h 325"/>
                              <a:gd name="T54" fmla="*/ 401163 w 2549"/>
                              <a:gd name="T55" fmla="*/ 62672 h 325"/>
                              <a:gd name="T56" fmla="*/ 408462 w 2549"/>
                              <a:gd name="T57" fmla="*/ 73433 h 325"/>
                              <a:gd name="T58" fmla="*/ 396402 w 2549"/>
                              <a:gd name="T59" fmla="*/ 81030 h 325"/>
                              <a:gd name="T60" fmla="*/ 377042 w 2549"/>
                              <a:gd name="T61" fmla="*/ 73433 h 325"/>
                              <a:gd name="T62" fmla="*/ 384024 w 2549"/>
                              <a:gd name="T63" fmla="*/ 100654 h 325"/>
                              <a:gd name="T64" fmla="*/ 412588 w 2549"/>
                              <a:gd name="T65" fmla="*/ 100021 h 325"/>
                              <a:gd name="T66" fmla="*/ 430996 w 2549"/>
                              <a:gd name="T67" fmla="*/ 85778 h 325"/>
                              <a:gd name="T68" fmla="*/ 433852 w 2549"/>
                              <a:gd name="T69" fmla="*/ 58240 h 325"/>
                              <a:gd name="T70" fmla="*/ 424331 w 2549"/>
                              <a:gd name="T71" fmla="*/ 45896 h 325"/>
                              <a:gd name="T72" fmla="*/ 395767 w 2549"/>
                              <a:gd name="T73" fmla="*/ 34184 h 325"/>
                              <a:gd name="T74" fmla="*/ 395450 w 2549"/>
                              <a:gd name="T75" fmla="*/ 24689 h 325"/>
                              <a:gd name="T76" fmla="*/ 408462 w 2549"/>
                              <a:gd name="T77" fmla="*/ 21524 h 325"/>
                              <a:gd name="T78" fmla="*/ 508435 w 2549"/>
                              <a:gd name="T79" fmla="*/ 23739 h 325"/>
                              <a:gd name="T80" fmla="*/ 487489 w 2549"/>
                              <a:gd name="T81" fmla="*/ 23739 h 325"/>
                              <a:gd name="T82" fmla="*/ 629673 w 2549"/>
                              <a:gd name="T83" fmla="*/ 2849 h 325"/>
                              <a:gd name="T84" fmla="*/ 592857 w 2549"/>
                              <a:gd name="T85" fmla="*/ 3798 h 325"/>
                              <a:gd name="T86" fmla="*/ 567785 w 2549"/>
                              <a:gd name="T87" fmla="*/ 26904 h 325"/>
                              <a:gd name="T88" fmla="*/ 562389 w 2549"/>
                              <a:gd name="T89" fmla="*/ 61405 h 325"/>
                              <a:gd name="T90" fmla="*/ 578575 w 2549"/>
                              <a:gd name="T91" fmla="*/ 89260 h 325"/>
                              <a:gd name="T92" fmla="*/ 613487 w 2549"/>
                              <a:gd name="T93" fmla="*/ 102870 h 325"/>
                              <a:gd name="T94" fmla="*/ 631260 w 2549"/>
                              <a:gd name="T95" fmla="*/ 72167 h 325"/>
                              <a:gd name="T96" fmla="*/ 611900 w 2549"/>
                              <a:gd name="T97" fmla="*/ 77865 h 325"/>
                              <a:gd name="T98" fmla="*/ 596666 w 2549"/>
                              <a:gd name="T99" fmla="*/ 71534 h 325"/>
                              <a:gd name="T100" fmla="*/ 588097 w 2549"/>
                              <a:gd name="T101" fmla="*/ 54758 h 325"/>
                              <a:gd name="T102" fmla="*/ 592540 w 2549"/>
                              <a:gd name="T103" fmla="*/ 36400 h 325"/>
                              <a:gd name="T104" fmla="*/ 606187 w 2549"/>
                              <a:gd name="T105" fmla="*/ 25638 h 325"/>
                              <a:gd name="T106" fmla="*/ 626499 w 2549"/>
                              <a:gd name="T107" fmla="*/ 27221 h 325"/>
                              <a:gd name="T108" fmla="*/ 717268 w 2549"/>
                              <a:gd name="T109" fmla="*/ 100021 h 325"/>
                              <a:gd name="T110" fmla="*/ 710921 w 2549"/>
                              <a:gd name="T111" fmla="*/ 82929 h 325"/>
                              <a:gd name="T112" fmla="*/ 753767 w 2549"/>
                              <a:gd name="T113" fmla="*/ 100021 h 325"/>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029022" name="Freeform 10"/>
                        <wps:cNvSpPr>
                          <a:spLocks noEditPoints="1"/>
                        </wps:cNvSpPr>
                        <wps:spPr bwMode="auto">
                          <a:xfrm>
                            <a:off x="862012" y="0"/>
                            <a:ext cx="421005" cy="102870"/>
                          </a:xfrm>
                          <a:custGeom>
                            <a:avLst/>
                            <a:gdLst>
                              <a:gd name="T0" fmla="*/ 57107 w 1327"/>
                              <a:gd name="T1" fmla="*/ 317 h 325"/>
                              <a:gd name="T2" fmla="*/ 36168 w 1327"/>
                              <a:gd name="T3" fmla="*/ 2532 h 325"/>
                              <a:gd name="T4" fmla="*/ 18718 w 1327"/>
                              <a:gd name="T5" fmla="*/ 12028 h 325"/>
                              <a:gd name="T6" fmla="*/ 6345 w 1327"/>
                              <a:gd name="T7" fmla="*/ 26904 h 325"/>
                              <a:gd name="T8" fmla="*/ 635 w 1327"/>
                              <a:gd name="T9" fmla="*/ 46529 h 325"/>
                              <a:gd name="T10" fmla="*/ 2221 w 1327"/>
                              <a:gd name="T11" fmla="*/ 65837 h 325"/>
                              <a:gd name="T12" fmla="*/ 9835 w 1327"/>
                              <a:gd name="T13" fmla="*/ 82296 h 325"/>
                              <a:gd name="T14" fmla="*/ 25698 w 1327"/>
                              <a:gd name="T15" fmla="*/ 95590 h 325"/>
                              <a:gd name="T16" fmla="*/ 46637 w 1327"/>
                              <a:gd name="T17" fmla="*/ 102553 h 325"/>
                              <a:gd name="T18" fmla="*/ 66942 w 1327"/>
                              <a:gd name="T19" fmla="*/ 100338 h 325"/>
                              <a:gd name="T20" fmla="*/ 69797 w 1327"/>
                              <a:gd name="T21" fmla="*/ 72167 h 325"/>
                              <a:gd name="T22" fmla="*/ 58693 w 1327"/>
                              <a:gd name="T23" fmla="*/ 77548 h 325"/>
                              <a:gd name="T24" fmla="*/ 47906 w 1327"/>
                              <a:gd name="T25" fmla="*/ 77548 h 325"/>
                              <a:gd name="T26" fmla="*/ 39340 w 1327"/>
                              <a:gd name="T27" fmla="*/ 74383 h 325"/>
                              <a:gd name="T28" fmla="*/ 31409 w 1327"/>
                              <a:gd name="T29" fmla="*/ 67419 h 325"/>
                              <a:gd name="T30" fmla="*/ 26967 w 1327"/>
                              <a:gd name="T31" fmla="*/ 57607 h 325"/>
                              <a:gd name="T32" fmla="*/ 26967 w 1327"/>
                              <a:gd name="T33" fmla="*/ 46212 h 325"/>
                              <a:gd name="T34" fmla="*/ 30774 w 1327"/>
                              <a:gd name="T35" fmla="*/ 36084 h 325"/>
                              <a:gd name="T36" fmla="*/ 37754 w 1327"/>
                              <a:gd name="T37" fmla="*/ 29120 h 325"/>
                              <a:gd name="T38" fmla="*/ 47272 w 1327"/>
                              <a:gd name="T39" fmla="*/ 25005 h 325"/>
                              <a:gd name="T40" fmla="*/ 59010 w 1327"/>
                              <a:gd name="T41" fmla="*/ 25322 h 325"/>
                              <a:gd name="T42" fmla="*/ 70115 w 1327"/>
                              <a:gd name="T43" fmla="*/ 30703 h 325"/>
                              <a:gd name="T44" fmla="*/ 123732 w 1327"/>
                              <a:gd name="T45" fmla="*/ 78181 h 325"/>
                              <a:gd name="T46" fmla="*/ 127222 w 1327"/>
                              <a:gd name="T47" fmla="*/ 23739 h 325"/>
                              <a:gd name="T48" fmla="*/ 123732 w 1327"/>
                              <a:gd name="T49" fmla="*/ 78181 h 325"/>
                              <a:gd name="T50" fmla="*/ 179570 w 1327"/>
                              <a:gd name="T51" fmla="*/ 100021 h 325"/>
                              <a:gd name="T52" fmla="*/ 204950 w 1327"/>
                              <a:gd name="T53" fmla="*/ 61405 h 325"/>
                              <a:gd name="T54" fmla="*/ 204950 w 1327"/>
                              <a:gd name="T55" fmla="*/ 23739 h 325"/>
                              <a:gd name="T56" fmla="*/ 308060 w 1327"/>
                              <a:gd name="T57" fmla="*/ 1266 h 325"/>
                              <a:gd name="T58" fmla="*/ 286804 w 1327"/>
                              <a:gd name="T59" fmla="*/ 1266 h 325"/>
                              <a:gd name="T60" fmla="*/ 268085 w 1327"/>
                              <a:gd name="T61" fmla="*/ 8863 h 325"/>
                              <a:gd name="T62" fmla="*/ 254126 w 1327"/>
                              <a:gd name="T63" fmla="*/ 22790 h 325"/>
                              <a:gd name="T64" fmla="*/ 246194 w 1327"/>
                              <a:gd name="T65" fmla="*/ 41148 h 325"/>
                              <a:gd name="T66" fmla="*/ 246194 w 1327"/>
                              <a:gd name="T67" fmla="*/ 61405 h 325"/>
                              <a:gd name="T68" fmla="*/ 252540 w 1327"/>
                              <a:gd name="T69" fmla="*/ 78181 h 325"/>
                              <a:gd name="T70" fmla="*/ 266499 w 1327"/>
                              <a:gd name="T71" fmla="*/ 93058 h 325"/>
                              <a:gd name="T72" fmla="*/ 286169 w 1327"/>
                              <a:gd name="T73" fmla="*/ 101604 h 325"/>
                              <a:gd name="T74" fmla="*/ 306791 w 1327"/>
                              <a:gd name="T75" fmla="*/ 101604 h 325"/>
                              <a:gd name="T76" fmla="*/ 317578 w 1327"/>
                              <a:gd name="T77" fmla="*/ 70268 h 325"/>
                              <a:gd name="T78" fmla="*/ 306791 w 1327"/>
                              <a:gd name="T79" fmla="*/ 76599 h 325"/>
                              <a:gd name="T80" fmla="*/ 295687 w 1327"/>
                              <a:gd name="T81" fmla="*/ 77865 h 325"/>
                              <a:gd name="T82" fmla="*/ 286804 w 1327"/>
                              <a:gd name="T83" fmla="*/ 75332 h 325"/>
                              <a:gd name="T84" fmla="*/ 278238 w 1327"/>
                              <a:gd name="T85" fmla="*/ 69635 h 325"/>
                              <a:gd name="T86" fmla="*/ 272844 w 1327"/>
                              <a:gd name="T87" fmla="*/ 60456 h 325"/>
                              <a:gd name="T88" fmla="*/ 271892 w 1327"/>
                              <a:gd name="T89" fmla="*/ 48745 h 325"/>
                              <a:gd name="T90" fmla="*/ 274748 w 1327"/>
                              <a:gd name="T91" fmla="*/ 38616 h 325"/>
                              <a:gd name="T92" fmla="*/ 281093 w 1327"/>
                              <a:gd name="T93" fmla="*/ 30703 h 325"/>
                              <a:gd name="T94" fmla="*/ 289976 w 1327"/>
                              <a:gd name="T95" fmla="*/ 25955 h 325"/>
                              <a:gd name="T96" fmla="*/ 301398 w 1327"/>
                              <a:gd name="T97" fmla="*/ 25005 h 325"/>
                              <a:gd name="T98" fmla="*/ 312819 w 1327"/>
                              <a:gd name="T99" fmla="*/ 29120 h 325"/>
                              <a:gd name="T100" fmla="*/ 319799 w 1327"/>
                              <a:gd name="T101" fmla="*/ 5064 h 325"/>
                              <a:gd name="T102" fmla="*/ 333758 w 1327"/>
                              <a:gd name="T103" fmla="*/ 100021 h 325"/>
                              <a:gd name="T104" fmla="*/ 395624 w 1327"/>
                              <a:gd name="T105" fmla="*/ 100021 h 325"/>
                              <a:gd name="T106" fmla="*/ 395624 w 1327"/>
                              <a:gd name="T107" fmla="*/ 40198 h 32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E8AC08" id="Skupina 37" o:spid="_x0000_s1026" style="position:absolute;margin-left:-11.7pt;margin-top:40.5pt;width:170.3pt;height:40.2pt;z-index:251663872;mso-position-horizontal-relative:margin;mso-position-vertical-relative:page;mso-width-relative:margin;mso-height-relative:margin" coordsize="16710,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">
                <o:lock v:ext="edit" aspectratio="t"/>
                <v:rect id="Rectangle 5" o:spid="_x0000_s1027" style="position:absolute;left:3952;top:47;width:4191;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" fillcolor="#0071bc" stroked="f"/>
                <v:rect id="Rectangle 6" o:spid="_x0000_s1028" style="position:absolute;top:1476;width:8147;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" fillcolor="#0071bc" stroked="f"/>
                <v:rect id="Rectangle 7" o:spid="_x0000_s1029" style="position:absolute;left:3571;top:2952;width:4572;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" fillcolor="#0071bc" stroked="f"/>
                <v:shape id="Freeform 8" o:spid="_x0000_s1030" style="position:absolute;left:8620;top:2905;width:4553;height:1047;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10957200,1008063;4523781,5141278;402029,12903200;804059,21471890;4925810,28427363;11761576,32459613;20205777,32963803;27242557,30241875;32670904,23689628;34078323,15020290;31665514,7762240;25734630,2016125;17089415,0;19702923,8367078;23321821,10483850;25433108,14012228;25734630,18447703;23824674,22278340;20406791,24798338;16184532,25403175;12163605,23891240;9449274,20766088;8444200,16532225;9449274,12399328;12264113,9375140;16184532,7963853;38199758,1008063;55088159,13004165;78912516,1008063;78007950,19858990;92182019,1008063;120530157,1915478;111482912,403225;103943595,3125153;98816770,8870950;96806307,16834803;98515248,23991888;103642073,29838650;111583420,32862838;120530157,31451550;117212781,24395113;112789825,25201563;107964522,23185438;105652536,19556413;105351014,14919325;107160463,11290300;110276507,8870950;114498766,8266113;119022230,10080625;144354831,1008063;134805050,25302528;134805050,7862888" o:connectangles="0,0,0,0,0,0,0,0,0,0,0,0,0,0,0,0,0,0,0,0,0,0,0,0,0,0,0,0,0,0,0,0,0,0,0,0,0,0,0,0,0,0,0,0,0,0,0,0,0,0,0,0"/>
                  <o:lock v:ext="edit" verticies="t"/>
                </v:shape>
                <v:shape id="Freeform 9" o:spid="_x0000_s1031" style="position:absolute;left:8620;top:1476;width:8090;height:1029;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14303159,100338;6547138,1102133;2014699,6111428;1611632,13124629;5842247,17733205;14001018,20938951;13296127,24746091;7957554,25247147;1309491,29755385;10677145,32360370;18835915,30156103;22663463,23944654;21454897,16530734;15209901,12823932;9669795,9818229;11684494,6812843;17123675,7814638;25080912,7513941;77559893,31658955;64767441,20137515;76351327,601077;101835306,601077;133262139,901774;124800910,100338;118757447,3506443;116440606,10419307;118354380,15929657;127319284,19837134;129635808,23243239;125808260,25647865;119663871,23243239;121879786,31859314;130945299,31658955;136787546,27150716;137693970,18434304;134672238,14527143;125606726,10820025;125506118,7814638;129635808,6812843;161364783,7513941;154717037,7513941;199842746,901774;188158252,1202155;180201015,8515737;178488457,19436100;183625496,28252850;194705707,32560729;200346421,22842521;194202033,24646069;189367135,22642162;186647545,17332171;188057644,11521440;192388867,8115019;198835397,8616075;227643248,31658955;225628866,26248942;239227134,31658955" o:connectangles="0,0,0,0,0,0,0,0,0,0,0,0,0,0,0,0,0,0,0,0,0,0,0,0,0,0,0,0,0,0,0,0,0,0,0,0,0,0,0,0,0,0,0,0,0,0,0,0,0,0,0,0,0,0,0,0,0"/>
                  <o:lock v:ext="edit" verticies="t"/>
                </v:shape>
                <v:shape id="Freeform 10" o:spid="_x0000_s1032" style="position:absolute;left:8620;width:4210;height:1028;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18117809,100338;11474686,801436;5938487,3807140;2013019,8515737;201461,14727502;704636,20838930;3120259,26048583;8152966,30256441;14796089,32460391;21238068,31759292;22143848,22842521;18620985,24545732;15198693,24545732;12481037,23543936;9964843,21339669;8555570,18233945;8555570,14627164;9763382,11421419;11977862,9217152;14997550,7914660;18721556,8014997;22244737,9718208;39255306,24746091;40362546,7513941;39255306,24746091;56970511,31658955;65022588,19436100;65022588,7513941;97735343,400718;90991649,400718;85052845,2805344;80624202,7213561;78107690,13024292;78107690,19436100;80121027,24746091;84549670,29455004;90790188,32160011;97332739,32160011;100755031,22241444;97332739,24245351;93809876,24646069;90991649,23844316;88273993,22041084;86562689,19135719;86260657,15428917;87166753,12222855;89179773,9718208;91998000,8215356;95621752,7914660;99245187,9217152;101459667,1602873;105888310,31658955;125515962,31658955;125515962,12723595" o:connectangles="0,0,0,0,0,0,0,0,0,0,0,0,0,0,0,0,0,0,0,0,0,0,0,0,0,0,0,0,0,0,0,0,0,0,0,0,0,0,0,0,0,0,0,0,0,0,0,0,0,0,0,0,0,0"/>
                  <o:lock v:ext="edit" verticies="t"/>
                </v:shape>
                <w10:wrap type="square" anchorx="margin" anchory="page"/>
                <w10:anchorlock/>
              </v:group>
            </w:pict>
          </mc:Fallback>
        </mc:AlternateContent>
      </w:r>
      <w:r w:rsidR="00BF4329" w:rsidRPr="006E725C">
        <w:rPr>
          <w:noProof/>
        </w:rPr>
        <mc:AlternateContent>
          <mc:Choice Requires="wps">
            <w:drawing>
              <wp:anchor distT="0" distB="0" distL="114300" distR="114300" simplePos="0" relativeHeight="251656704" behindDoc="0" locked="1" layoutInCell="1" allowOverlap="1" wp14:anchorId="7757952E" wp14:editId="751C1EE7">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8CD8" w14:textId="204EDA05" w:rsidR="003B4260" w:rsidRDefault="003B4260" w:rsidP="004924DC">
                            <w:proofErr w:type="spellStart"/>
                            <w:r>
                              <w:t>Prepared</w:t>
                            </w:r>
                            <w:proofErr w:type="spellEnd"/>
                            <w:r>
                              <w:t xml:space="preserve"> by</w:t>
                            </w:r>
                            <w:r w:rsidRPr="006C5577">
                              <w:t xml:space="preserve">: </w:t>
                            </w:r>
                            <w:r>
                              <w:t xml:space="preserve">Office </w:t>
                            </w:r>
                            <w:proofErr w:type="spellStart"/>
                            <w:r>
                              <w:t>of</w:t>
                            </w:r>
                            <w:proofErr w:type="spellEnd"/>
                            <w:r>
                              <w:t xml:space="preserve"> </w:t>
                            </w:r>
                            <w:proofErr w:type="spellStart"/>
                            <w:r>
                              <w:t>the</w:t>
                            </w:r>
                            <w:proofErr w:type="spellEnd"/>
                            <w:r>
                              <w:t xml:space="preserve"> President </w:t>
                            </w:r>
                            <w:proofErr w:type="spellStart"/>
                            <w:r>
                              <w:t>of</w:t>
                            </w:r>
                            <w:proofErr w:type="spellEnd"/>
                            <w:r>
                              <w:t xml:space="preserve"> </w:t>
                            </w:r>
                            <w:proofErr w:type="spellStart"/>
                            <w:r>
                              <w:t>the</w:t>
                            </w:r>
                            <w:proofErr w:type="spellEnd"/>
                            <w:r>
                              <w:t xml:space="preserve"> CZSO</w:t>
                            </w:r>
                          </w:p>
                          <w:p w14:paraId="6CC24131" w14:textId="01AE704D" w:rsidR="003B4260" w:rsidRPr="006C5577" w:rsidRDefault="003B4260" w:rsidP="004924DC">
                            <w:proofErr w:type="spellStart"/>
                            <w:r>
                              <w:t>Director</w:t>
                            </w:r>
                            <w:proofErr w:type="spellEnd"/>
                            <w:r w:rsidRPr="006C5577">
                              <w:t xml:space="preserve">: </w:t>
                            </w:r>
                            <w:r>
                              <w:t>Egor Sidorov, Ph.D.</w:t>
                            </w:r>
                          </w:p>
                          <w:p w14:paraId="734BD5FB" w14:textId="2680A64E" w:rsidR="003B4260" w:rsidRPr="006C5577" w:rsidRDefault="003B4260" w:rsidP="004924DC">
                            <w:proofErr w:type="spellStart"/>
                            <w:r>
                              <w:t>Contact</w:t>
                            </w:r>
                            <w:proofErr w:type="spellEnd"/>
                            <w:r>
                              <w:t xml:space="preserve"> person</w:t>
                            </w:r>
                            <w:r w:rsidRPr="006C5577">
                              <w:t xml:space="preserve">: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" filled="f" stroked="f">
                <v:textbox inset="0,0,0,0">
                  <w:txbxContent>
                    <w:p w14:paraId="71628CD8" w14:textId="204EDA05" w:rsidR="003B4260" w:rsidRDefault="003B4260" w:rsidP="004924DC">
                      <w:proofErr w:type="spellStart"/>
                      <w:r>
                        <w:t>Prepared</w:t>
                      </w:r>
                      <w:proofErr w:type="spellEnd"/>
                      <w:r>
                        <w:t xml:space="preserve"> by</w:t>
                      </w:r>
                      <w:r w:rsidRPr="006C5577">
                        <w:t xml:space="preserve">: </w:t>
                      </w:r>
                      <w:r>
                        <w:t xml:space="preserve">Office </w:t>
                      </w:r>
                      <w:proofErr w:type="spellStart"/>
                      <w:r>
                        <w:t>of</w:t>
                      </w:r>
                      <w:proofErr w:type="spellEnd"/>
                      <w:r>
                        <w:t xml:space="preserve"> </w:t>
                      </w:r>
                      <w:proofErr w:type="spellStart"/>
                      <w:r>
                        <w:t>the</w:t>
                      </w:r>
                      <w:proofErr w:type="spellEnd"/>
                      <w:r>
                        <w:t xml:space="preserve"> President </w:t>
                      </w:r>
                      <w:proofErr w:type="spellStart"/>
                      <w:r>
                        <w:t>of</w:t>
                      </w:r>
                      <w:proofErr w:type="spellEnd"/>
                      <w:r>
                        <w:t xml:space="preserve"> </w:t>
                      </w:r>
                      <w:proofErr w:type="spellStart"/>
                      <w:r>
                        <w:t>the</w:t>
                      </w:r>
                      <w:proofErr w:type="spellEnd"/>
                      <w:r>
                        <w:t xml:space="preserve"> CZSO</w:t>
                      </w:r>
                    </w:p>
                    <w:p w14:paraId="6CC24131" w14:textId="01AE704D" w:rsidR="003B4260" w:rsidRPr="006C5577" w:rsidRDefault="003B4260" w:rsidP="004924DC">
                      <w:proofErr w:type="spellStart"/>
                      <w:r>
                        <w:t>Director</w:t>
                      </w:r>
                      <w:proofErr w:type="spellEnd"/>
                      <w:r w:rsidRPr="006C5577">
                        <w:t xml:space="preserve">: </w:t>
                      </w:r>
                      <w:r>
                        <w:t>Egor Sidorov, Ph.D.</w:t>
                      </w:r>
                    </w:p>
                    <w:p w14:paraId="734BD5FB" w14:textId="2680A64E" w:rsidR="003B4260" w:rsidRPr="006C5577" w:rsidRDefault="003B4260" w:rsidP="004924DC">
                      <w:proofErr w:type="spellStart"/>
                      <w:r>
                        <w:t>Contact</w:t>
                      </w:r>
                      <w:proofErr w:type="spellEnd"/>
                      <w:r>
                        <w:t xml:space="preserve"> person</w:t>
                      </w:r>
                      <w:r w:rsidRPr="006C5577">
                        <w:t xml:space="preserve">: </w:t>
                      </w:r>
                      <w:r>
                        <w:t>Karolína Zábojníková</w:t>
                      </w:r>
                      <w:r w:rsidRPr="006C5577">
                        <w:t>,</w:t>
                      </w:r>
                      <w:r>
                        <w:t xml:space="preserve"> e-mail: karolina.zabojnikova@czso.cz</w:t>
                      </w:r>
                    </w:p>
                  </w:txbxContent>
                </v:textbox>
                <w10:wrap anchorx="page" anchory="page"/>
                <w10:anchorlock/>
              </v:shape>
            </w:pict>
          </mc:Fallback>
        </mc:AlternateContent>
      </w:r>
      <w:r w:rsidR="00BF4329" w:rsidRPr="006E725C">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48DE" w14:textId="50F885E4" w:rsidR="003B4260" w:rsidRPr="004924DC" w:rsidRDefault="003B4260" w:rsidP="004924DC">
                            <w:pPr>
                              <w:pStyle w:val="TLIdentifikace-sted"/>
                            </w:pPr>
                            <w:proofErr w:type="spellStart"/>
                            <w:r>
                              <w:t>Summary</w:t>
                            </w:r>
                            <w:proofErr w:type="spellEnd"/>
                            <w:r>
                              <w:t xml:space="preserve"> Data on </w:t>
                            </w:r>
                            <w:proofErr w:type="spellStart"/>
                            <w:r>
                              <w:t>the</w:t>
                            </w:r>
                            <w:proofErr w:type="spellEnd"/>
                            <w:r>
                              <w:t xml:space="preserve"> Czech Republic</w:t>
                            </w:r>
                          </w:p>
                          <w:p w14:paraId="02C46271" w14:textId="3F3BD2C3" w:rsidR="003B4260" w:rsidRPr="004924DC" w:rsidRDefault="003B4260" w:rsidP="004924DC">
                            <w:pPr>
                              <w:pStyle w:val="TLIdentifikace-sted"/>
                            </w:pPr>
                            <w:r>
                              <w:t xml:space="preserve">Prague, 23rd </w:t>
                            </w:r>
                            <w:proofErr w:type="spellStart"/>
                            <w:r>
                              <w:t>April</w:t>
                            </w:r>
                            <w:proofErr w:type="spellEnd"/>
                            <w:r>
                              <w:t xml:space="preserve"> 2024</w:t>
                            </w:r>
                          </w:p>
                          <w:p w14:paraId="43012AD8" w14:textId="62C02F07" w:rsidR="003B4260" w:rsidRPr="00B23E6E" w:rsidRDefault="003B4260" w:rsidP="004924DC">
                            <w:pPr>
                              <w:pStyle w:val="TLIdentifikace-sted"/>
                            </w:pPr>
                            <w:proofErr w:type="spellStart"/>
                            <w:r>
                              <w:t>Publication</w:t>
                            </w:r>
                            <w:proofErr w:type="spellEnd"/>
                            <w:r>
                              <w:t xml:space="preserve"> </w:t>
                            </w:r>
                            <w:proofErr w:type="spellStart"/>
                            <w:r>
                              <w:t>Code</w:t>
                            </w:r>
                            <w:proofErr w:type="spellEnd"/>
                            <w:r w:rsidRPr="00B23E6E">
                              <w:t>: 32019</w:t>
                            </w:r>
                            <w:r>
                              <w:t>4</w:t>
                            </w:r>
                            <w:r w:rsidRPr="00B23E6E">
                              <w:t>-2</w:t>
                            </w:r>
                            <w:r>
                              <w:t>3</w:t>
                            </w:r>
                          </w:p>
                          <w:p w14:paraId="1ED5773E" w14:textId="51618AC0" w:rsidR="003B4260" w:rsidRPr="00474646" w:rsidRDefault="003B4260" w:rsidP="004924DC">
                            <w:pPr>
                              <w:pStyle w:val="TLIdentifikace-sted"/>
                              <w:rPr>
                                <w:rFonts w:cs="Arial"/>
                              </w:rPr>
                            </w:pPr>
                            <w:r>
                              <w:rPr>
                                <w:rFonts w:cs="Arial"/>
                              </w:rPr>
                              <w:t>Reference No</w:t>
                            </w:r>
                            <w:r w:rsidRPr="00ED0F73">
                              <w:rPr>
                                <w:rFonts w:cs="Arial"/>
                              </w:rPr>
                              <w:t xml:space="preserve">.: </w:t>
                            </w:r>
                            <w:r w:rsidRPr="00174ED1">
                              <w:t>CSU-003895/2024</w:t>
                            </w:r>
                          </w:p>
                          <w:p w14:paraId="7E4C36AC" w14:textId="273CB2A9" w:rsidR="003B4260" w:rsidRPr="004924DC" w:rsidRDefault="003B4260" w:rsidP="004924DC">
                            <w:pPr>
                              <w:pStyle w:val="TLIdentifikace-sted"/>
                            </w:pPr>
                            <w:proofErr w:type="spellStart"/>
                            <w:r>
                              <w:t>Yearly</w:t>
                            </w:r>
                            <w:proofErr w:type="spellEnd"/>
                            <w:r>
                              <w:t xml:space="preserve"> </w:t>
                            </w:r>
                            <w:proofErr w:type="spellStart"/>
                            <w:r>
                              <w:t>Publication</w:t>
                            </w:r>
                            <w:proofErr w:type="spellEnd"/>
                            <w:r>
                              <w:t xml:space="preserve"> </w:t>
                            </w:r>
                            <w:proofErr w:type="spellStart"/>
                            <w:r>
                              <w:t>Code</w:t>
                            </w:r>
                            <w:proofErr w:type="spellEnd"/>
                            <w:r w:rsidRPr="004924DC">
                              <w:t xml:space="preserve">: </w:t>
                            </w:r>
                            <w:r>
                              <w:t>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fit-shape-to-text:t" inset="0,0,0,0">
                  <w:txbxContent>
                    <w:p w14:paraId="6B3C48DE" w14:textId="50F885E4" w:rsidR="003B4260" w:rsidRPr="004924DC" w:rsidRDefault="003B4260" w:rsidP="004924DC">
                      <w:pPr>
                        <w:pStyle w:val="TLIdentifikace-sted"/>
                      </w:pPr>
                      <w:proofErr w:type="spellStart"/>
                      <w:r>
                        <w:t>Summary</w:t>
                      </w:r>
                      <w:proofErr w:type="spellEnd"/>
                      <w:r>
                        <w:t xml:space="preserve"> Data on </w:t>
                      </w:r>
                      <w:proofErr w:type="spellStart"/>
                      <w:r>
                        <w:t>the</w:t>
                      </w:r>
                      <w:proofErr w:type="spellEnd"/>
                      <w:r>
                        <w:t xml:space="preserve"> Czech Republic</w:t>
                      </w:r>
                    </w:p>
                    <w:p w14:paraId="02C46271" w14:textId="3F3BD2C3" w:rsidR="003B4260" w:rsidRPr="004924DC" w:rsidRDefault="003B4260" w:rsidP="004924DC">
                      <w:pPr>
                        <w:pStyle w:val="TLIdentifikace-sted"/>
                      </w:pPr>
                      <w:r>
                        <w:t xml:space="preserve">Prague, 23rd </w:t>
                      </w:r>
                      <w:proofErr w:type="spellStart"/>
                      <w:r>
                        <w:t>April</w:t>
                      </w:r>
                      <w:proofErr w:type="spellEnd"/>
                      <w:r>
                        <w:t xml:space="preserve"> 2024</w:t>
                      </w:r>
                    </w:p>
                    <w:p w14:paraId="43012AD8" w14:textId="62C02F07" w:rsidR="003B4260" w:rsidRPr="00B23E6E" w:rsidRDefault="003B4260" w:rsidP="004924DC">
                      <w:pPr>
                        <w:pStyle w:val="TLIdentifikace-sted"/>
                      </w:pPr>
                      <w:proofErr w:type="spellStart"/>
                      <w:r>
                        <w:t>Publication</w:t>
                      </w:r>
                      <w:proofErr w:type="spellEnd"/>
                      <w:r>
                        <w:t xml:space="preserve"> </w:t>
                      </w:r>
                      <w:proofErr w:type="spellStart"/>
                      <w:r>
                        <w:t>Code</w:t>
                      </w:r>
                      <w:proofErr w:type="spellEnd"/>
                      <w:r w:rsidRPr="00B23E6E">
                        <w:t>: 32019</w:t>
                      </w:r>
                      <w:r>
                        <w:t>4</w:t>
                      </w:r>
                      <w:r w:rsidRPr="00B23E6E">
                        <w:t>-2</w:t>
                      </w:r>
                      <w:r>
                        <w:t>3</w:t>
                      </w:r>
                    </w:p>
                    <w:p w14:paraId="1ED5773E" w14:textId="51618AC0" w:rsidR="003B4260" w:rsidRPr="00474646" w:rsidRDefault="003B4260" w:rsidP="004924DC">
                      <w:pPr>
                        <w:pStyle w:val="TLIdentifikace-sted"/>
                        <w:rPr>
                          <w:rFonts w:cs="Arial"/>
                        </w:rPr>
                      </w:pPr>
                      <w:r>
                        <w:rPr>
                          <w:rFonts w:cs="Arial"/>
                        </w:rPr>
                        <w:t>Reference No</w:t>
                      </w:r>
                      <w:r w:rsidRPr="00ED0F73">
                        <w:rPr>
                          <w:rFonts w:cs="Arial"/>
                        </w:rPr>
                        <w:t xml:space="preserve">.: </w:t>
                      </w:r>
                      <w:r w:rsidRPr="00174ED1">
                        <w:t>CSU-003895/2024</w:t>
                      </w:r>
                    </w:p>
                    <w:p w14:paraId="7E4C36AC" w14:textId="273CB2A9" w:rsidR="003B4260" w:rsidRPr="004924DC" w:rsidRDefault="003B4260" w:rsidP="004924DC">
                      <w:pPr>
                        <w:pStyle w:val="TLIdentifikace-sted"/>
                      </w:pPr>
                      <w:proofErr w:type="spellStart"/>
                      <w:r>
                        <w:t>Yearly</w:t>
                      </w:r>
                      <w:proofErr w:type="spellEnd"/>
                      <w:r>
                        <w:t xml:space="preserve"> </w:t>
                      </w:r>
                      <w:proofErr w:type="spellStart"/>
                      <w:r>
                        <w:t>Publication</w:t>
                      </w:r>
                      <w:proofErr w:type="spellEnd"/>
                      <w:r>
                        <w:t xml:space="preserve"> </w:t>
                      </w:r>
                      <w:proofErr w:type="spellStart"/>
                      <w:r>
                        <w:t>Code</w:t>
                      </w:r>
                      <w:proofErr w:type="spellEnd"/>
                      <w:r w:rsidRPr="004924DC">
                        <w:t xml:space="preserve">: </w:t>
                      </w:r>
                      <w:r>
                        <w:t>2</w:t>
                      </w:r>
                    </w:p>
                  </w:txbxContent>
                </v:textbox>
                <w10:wrap anchorx="page" anchory="page"/>
                <w10:anchorlock/>
              </v:shape>
            </w:pict>
          </mc:Fallback>
        </mc:AlternateContent>
      </w:r>
      <w:r w:rsidR="00BF4329" w:rsidRPr="006E725C">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B56" w14:textId="2768B5F2" w:rsidR="003B4260" w:rsidRPr="000E6FBD" w:rsidRDefault="003B4260" w:rsidP="000E6FBD">
                            <w:pPr>
                              <w:pStyle w:val="Nzev"/>
                            </w:pPr>
                            <w:r>
                              <w:t xml:space="preserve">THE CZECH ECONOMY DEVELOPMENT </w:t>
                            </w:r>
                          </w:p>
                          <w:p w14:paraId="6EF7822F" w14:textId="77777777" w:rsidR="003B4260" w:rsidRPr="0012192F" w:rsidRDefault="003B4260" w:rsidP="0012192F">
                            <w:pPr>
                              <w:pStyle w:val="Podnadpis"/>
                            </w:pPr>
                          </w:p>
                          <w:p w14:paraId="284A2D4D" w14:textId="0650CD50" w:rsidR="003B4260" w:rsidRPr="0012192F" w:rsidRDefault="003B4260" w:rsidP="000D7C6F">
                            <w:pPr>
                              <w:pStyle w:val="Podnadpis"/>
                            </w:pPr>
                            <w:proofErr w:type="spellStart"/>
                            <w:r>
                              <w:t>Year</w:t>
                            </w:r>
                            <w:proofErr w:type="spellEnd"/>
                            <w:r>
                              <w:t xml:space="preserve"> 2023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" filled="f" stroked="f">
                <v:textbox style="mso-fit-shape-to-text:t" inset="0,0,0,0">
                  <w:txbxContent>
                    <w:p w14:paraId="723B7B56" w14:textId="2768B5F2" w:rsidR="003B4260" w:rsidRPr="000E6FBD" w:rsidRDefault="003B4260" w:rsidP="000E6FBD">
                      <w:pPr>
                        <w:pStyle w:val="Nzev"/>
                      </w:pPr>
                      <w:r>
                        <w:t xml:space="preserve">THE CZECH ECONOMY DEVELOPMENT </w:t>
                      </w:r>
                    </w:p>
                    <w:p w14:paraId="6EF7822F" w14:textId="77777777" w:rsidR="003B4260" w:rsidRPr="0012192F" w:rsidRDefault="003B4260" w:rsidP="0012192F">
                      <w:pPr>
                        <w:pStyle w:val="Podnadpis"/>
                      </w:pPr>
                    </w:p>
                    <w:p w14:paraId="284A2D4D" w14:textId="0650CD50" w:rsidR="003B4260" w:rsidRPr="0012192F" w:rsidRDefault="003B4260" w:rsidP="000D7C6F">
                      <w:pPr>
                        <w:pStyle w:val="Podnadpis"/>
                      </w:pPr>
                      <w:proofErr w:type="spellStart"/>
                      <w:r>
                        <w:t>Year</w:t>
                      </w:r>
                      <w:proofErr w:type="spellEnd"/>
                      <w:r>
                        <w:t xml:space="preserve"> 2023</w:t>
                      </w:r>
                    </w:p>
                  </w:txbxContent>
                </v:textbox>
                <w10:wrap anchorx="page" anchory="page"/>
                <w10:anchorlock/>
              </v:shape>
            </w:pict>
          </mc:Fallback>
        </mc:AlternateContent>
      </w:r>
      <w:r w:rsidR="00BF4329" w:rsidRPr="006E725C">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DF7B" w14:textId="5731B1F3" w:rsidR="003B4260" w:rsidRPr="004924DC" w:rsidRDefault="003B4260" w:rsidP="004924DC">
                            <w:r w:rsidRPr="004924DC">
                              <w:t xml:space="preserve">© </w:t>
                            </w:r>
                            <w:r>
                              <w:t xml:space="preserve">Czech </w:t>
                            </w:r>
                            <w:proofErr w:type="spellStart"/>
                            <w:r>
                              <w:t>Statistical</w:t>
                            </w:r>
                            <w:proofErr w:type="spellEnd"/>
                            <w:r>
                              <w:t xml:space="preserve"> Office</w:t>
                            </w:r>
                            <w:r w:rsidRPr="004924DC">
                              <w:t xml:space="preserve">, </w:t>
                            </w:r>
                            <w:r>
                              <w:t>Prague</w:t>
                            </w:r>
                            <w:r w:rsidRPr="004924DC">
                              <w:t xml:space="preserve">, </w:t>
                            </w:r>
                            <w:r>
                              <w:t>2024</w:t>
                            </w:r>
                          </w:p>
                          <w:p w14:paraId="622736FE" w14:textId="77777777" w:rsidR="003B4260" w:rsidRPr="005251DD" w:rsidRDefault="003B4260" w:rsidP="00665BA4"/>
                          <w:p w14:paraId="157588CA" w14:textId="77777777" w:rsidR="003B4260" w:rsidRPr="005251DD" w:rsidRDefault="003B4260" w:rsidP="00FC684B"/>
                          <w:p w14:paraId="590D710B" w14:textId="77777777" w:rsidR="003B4260" w:rsidRDefault="003B4260"/>
                          <w:p w14:paraId="73B68DA8" w14:textId="77777777" w:rsidR="003B4260" w:rsidRPr="00097407" w:rsidRDefault="003B4260"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3B4260" w:rsidRPr="005251DD" w:rsidRDefault="003B4260" w:rsidP="00665BA4"/>
                          <w:p w14:paraId="74D3ABC4" w14:textId="77777777" w:rsidR="003B4260" w:rsidRPr="005251DD" w:rsidRDefault="003B4260"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MkugIAALY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FRi&#10;kyS6AgAAtgUAAA4AAAAAAAAAAAAAAAAALgIAAGRycy9lMm9Eb2MueG1sUEsBAi0AFAAGAAgAAAAh&#10;AAdlcHfhAAAADgEAAA8AAAAAAAAAAAAAAAAAFAUAAGRycy9kb3ducmV2LnhtbFBLBQYAAAAABAAE&#10;APMAAAAiBgAAAAA=&#10;" filled="f" stroked="f">
                <v:textbox inset="0,0,0,0">
                  <w:txbxContent>
                    <w:p w14:paraId="0841DF7B" w14:textId="5731B1F3" w:rsidR="003B4260" w:rsidRPr="004924DC" w:rsidRDefault="003B4260" w:rsidP="004924DC">
                      <w:r w:rsidRPr="004924DC">
                        <w:t xml:space="preserve">© </w:t>
                      </w:r>
                      <w:r>
                        <w:t xml:space="preserve">Czech </w:t>
                      </w:r>
                      <w:proofErr w:type="spellStart"/>
                      <w:r>
                        <w:t>Statistical</w:t>
                      </w:r>
                      <w:proofErr w:type="spellEnd"/>
                      <w:r>
                        <w:t xml:space="preserve"> Office</w:t>
                      </w:r>
                      <w:r w:rsidRPr="004924DC">
                        <w:t xml:space="preserve">, </w:t>
                      </w:r>
                      <w:r>
                        <w:t>Prague</w:t>
                      </w:r>
                      <w:r w:rsidRPr="004924DC">
                        <w:t xml:space="preserve">, </w:t>
                      </w:r>
                      <w:r>
                        <w:t>2024</w:t>
                      </w:r>
                    </w:p>
                    <w:p w14:paraId="622736FE" w14:textId="77777777" w:rsidR="003B4260" w:rsidRPr="005251DD" w:rsidRDefault="003B4260" w:rsidP="00665BA4"/>
                    <w:p w14:paraId="157588CA" w14:textId="77777777" w:rsidR="003B4260" w:rsidRPr="005251DD" w:rsidRDefault="003B4260" w:rsidP="00FC684B"/>
                    <w:p w14:paraId="590D710B" w14:textId="77777777" w:rsidR="003B4260" w:rsidRDefault="003B4260"/>
                    <w:p w14:paraId="73B68DA8" w14:textId="77777777" w:rsidR="003B4260" w:rsidRPr="00097407" w:rsidRDefault="003B4260"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3B4260" w:rsidRPr="005251DD" w:rsidRDefault="003B4260" w:rsidP="00665BA4"/>
                    <w:p w14:paraId="74D3ABC4" w14:textId="77777777" w:rsidR="003B4260" w:rsidRPr="005251DD" w:rsidRDefault="003B4260" w:rsidP="00FC684B"/>
                  </w:txbxContent>
                </v:textbox>
                <w10:wrap anchorx="page" anchory="page"/>
                <w10:anchorlock/>
              </v:shape>
            </w:pict>
          </mc:Fallback>
        </mc:AlternateContent>
      </w:r>
      <w:r w:rsidR="00BF4329" w:rsidRPr="006E725C">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AC3C24"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" o:allowincell="f" strokecolor="windowText" strokeweight="1pt">
                <o:lock v:ext="edit" shapetype="f"/>
                <w10:wrap anchorx="page" anchory="page"/>
                <w10:anchorlock/>
              </v:line>
            </w:pict>
          </mc:Fallback>
        </mc:AlternateContent>
      </w:r>
      <w:r w:rsidR="00F63FB7" w:rsidRPr="006E725C">
        <w:rPr>
          <w:lang w:val="en-GB"/>
        </w:rPr>
        <w:br w:type="page"/>
      </w:r>
      <w:r w:rsidR="00D57677" w:rsidRPr="006E725C">
        <w:rPr>
          <w:lang w:val="en-GB"/>
        </w:rPr>
        <w:lastRenderedPageBreak/>
        <w:br w:type="page"/>
      </w:r>
      <w:r w:rsidR="00BF4329" w:rsidRPr="006E725C">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0E5B" w14:textId="6D90E407" w:rsidR="003B4260" w:rsidRPr="006F5416" w:rsidRDefault="003B4260" w:rsidP="006F5416">
                            <w:pPr>
                              <w:pStyle w:val="TLKontaktyerven"/>
                            </w:pPr>
                            <w:r>
                              <w:t>CONTACTS IN HEADQUARTERS</w:t>
                            </w:r>
                          </w:p>
                          <w:p w14:paraId="3BEEAF5F" w14:textId="35E5A42D" w:rsidR="003B4260" w:rsidRPr="007D40DF" w:rsidRDefault="003B4260" w:rsidP="00825C4D">
                            <w:pPr>
                              <w:pStyle w:val="TLKontakty"/>
                              <w:spacing w:after="80" w:line="240" w:lineRule="auto"/>
                              <w:contextualSpacing w:val="0"/>
                              <w:rPr>
                                <w:b w:val="0"/>
                                <w:color w:val="auto"/>
                              </w:rPr>
                            </w:pPr>
                            <w:r>
                              <w:t xml:space="preserve">Czech </w:t>
                            </w:r>
                            <w:proofErr w:type="spellStart"/>
                            <w:r>
                              <w:t>Statistical</w:t>
                            </w:r>
                            <w:proofErr w:type="spellEnd"/>
                            <w:r>
                              <w:t xml:space="preserve"> Office</w:t>
                            </w:r>
                            <w:r w:rsidRPr="007D40DF">
                              <w:rPr>
                                <w:b w:val="0"/>
                                <w:color w:val="auto"/>
                              </w:rPr>
                              <w:t xml:space="preserve"> | Na</w:t>
                            </w:r>
                            <w:r>
                              <w:rPr>
                                <w:b w:val="0"/>
                                <w:color w:val="auto"/>
                              </w:rPr>
                              <w:t xml:space="preserve"> padesátém 81, 100 82 Prague</w:t>
                            </w:r>
                            <w:r w:rsidRPr="007D40DF">
                              <w:rPr>
                                <w:b w:val="0"/>
                                <w:color w:val="auto"/>
                              </w:rPr>
                              <w:t> </w:t>
                            </w:r>
                            <w:r>
                              <w:rPr>
                                <w:b w:val="0"/>
                                <w:color w:val="auto"/>
                              </w:rPr>
                              <w:t xml:space="preserve">10, </w:t>
                            </w:r>
                            <w:proofErr w:type="spellStart"/>
                            <w:r>
                              <w:rPr>
                                <w:b w:val="0"/>
                                <w:color w:val="auto"/>
                              </w:rPr>
                              <w:t>ph</w:t>
                            </w:r>
                            <w:proofErr w:type="spellEnd"/>
                            <w:r w:rsidRPr="007D40DF">
                              <w:rPr>
                                <w:b w:val="0"/>
                                <w:color w:val="auto"/>
                              </w:rPr>
                              <w:t xml:space="preserve">.: 274 051 111 | </w:t>
                            </w:r>
                            <w:r w:rsidRPr="007D40DF">
                              <w:rPr>
                                <w:color w:val="auto"/>
                              </w:rPr>
                              <w:t>www.czso.cz</w:t>
                            </w:r>
                          </w:p>
                          <w:p w14:paraId="4ECAA215" w14:textId="5C38AEA3" w:rsidR="003B4260" w:rsidRPr="00D235B7" w:rsidRDefault="003B4260" w:rsidP="00825C4D">
                            <w:pPr>
                              <w:pStyle w:val="TLKontakty"/>
                              <w:spacing w:after="80" w:line="240" w:lineRule="auto"/>
                              <w:contextualSpacing w:val="0"/>
                              <w:rPr>
                                <w:b w:val="0"/>
                                <w:color w:val="auto"/>
                              </w:rPr>
                            </w:pPr>
                            <w:proofErr w:type="spellStart"/>
                            <w:r>
                              <w:rPr>
                                <w:color w:val="auto"/>
                              </w:rPr>
                              <w:t>Information</w:t>
                            </w:r>
                            <w:proofErr w:type="spellEnd"/>
                            <w:r>
                              <w:rPr>
                                <w:color w:val="auto"/>
                              </w:rPr>
                              <w:t xml:space="preserve"> </w:t>
                            </w:r>
                            <w:proofErr w:type="spellStart"/>
                            <w:r>
                              <w:rPr>
                                <w:color w:val="auto"/>
                              </w:rPr>
                              <w:t>Services</w:t>
                            </w:r>
                            <w:proofErr w:type="spellEnd"/>
                            <w:r w:rsidRPr="00D235B7">
                              <w:rPr>
                                <w:b w:val="0"/>
                                <w:color w:val="auto"/>
                              </w:rPr>
                              <w:t xml:space="preserve"> | </w:t>
                            </w:r>
                            <w:proofErr w:type="spellStart"/>
                            <w:r>
                              <w:rPr>
                                <w:b w:val="0"/>
                                <w:color w:val="auto"/>
                              </w:rPr>
                              <w:t>ph</w:t>
                            </w:r>
                            <w:proofErr w:type="spellEnd"/>
                            <w:r w:rsidRPr="00D235B7">
                              <w:rPr>
                                <w:b w:val="0"/>
                                <w:color w:val="auto"/>
                              </w:rPr>
                              <w:t>.: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5874249F" w:rsidR="003B4260" w:rsidRPr="00D235B7" w:rsidRDefault="003B4260" w:rsidP="00825C4D">
                            <w:pPr>
                              <w:pStyle w:val="TLKontakty"/>
                              <w:spacing w:after="80" w:line="240" w:lineRule="auto"/>
                              <w:contextualSpacing w:val="0"/>
                              <w:rPr>
                                <w:b w:val="0"/>
                                <w:color w:val="auto"/>
                              </w:rPr>
                            </w:pPr>
                            <w:r>
                              <w:rPr>
                                <w:color w:val="auto"/>
                              </w:rPr>
                              <w:t xml:space="preserve">CZSO </w:t>
                            </w:r>
                            <w:proofErr w:type="spellStart"/>
                            <w:r>
                              <w:rPr>
                                <w:color w:val="auto"/>
                              </w:rPr>
                              <w:t>Publication</w:t>
                            </w:r>
                            <w:proofErr w:type="spellEnd"/>
                            <w:r>
                              <w:rPr>
                                <w:color w:val="auto"/>
                              </w:rPr>
                              <w:t xml:space="preserve"> </w:t>
                            </w:r>
                            <w:proofErr w:type="spellStart"/>
                            <w:r>
                              <w:rPr>
                                <w:color w:val="auto"/>
                              </w:rPr>
                              <w:t>Shop</w:t>
                            </w:r>
                            <w:proofErr w:type="spellEnd"/>
                            <w:r w:rsidRPr="00D235B7">
                              <w:rPr>
                                <w:b w:val="0"/>
                                <w:color w:val="auto"/>
                              </w:rPr>
                              <w:t xml:space="preserve"> | </w:t>
                            </w:r>
                            <w:proofErr w:type="spellStart"/>
                            <w:r>
                              <w:rPr>
                                <w:b w:val="0"/>
                                <w:color w:val="auto"/>
                              </w:rPr>
                              <w:t>ph</w:t>
                            </w:r>
                            <w:proofErr w:type="spellEnd"/>
                            <w:r w:rsidRPr="00D235B7">
                              <w:rPr>
                                <w:b w:val="0"/>
                                <w:color w:val="auto"/>
                              </w:rPr>
                              <w:t>.: 274</w:t>
                            </w:r>
                            <w:r>
                              <w:rPr>
                                <w:b w:val="0"/>
                                <w:color w:val="auto"/>
                              </w:rPr>
                              <w:t> </w:t>
                            </w:r>
                            <w:r w:rsidRPr="00D235B7">
                              <w:rPr>
                                <w:b w:val="0"/>
                                <w:color w:val="auto"/>
                              </w:rPr>
                              <w:t>052 361 | e-mail: prodejna@czso.cz</w:t>
                            </w:r>
                          </w:p>
                          <w:p w14:paraId="2572D725" w14:textId="6455E094" w:rsidR="003B4260" w:rsidRPr="00D235B7" w:rsidRDefault="003B4260" w:rsidP="00825C4D">
                            <w:pPr>
                              <w:pStyle w:val="TLKontakty"/>
                              <w:spacing w:after="80" w:line="240" w:lineRule="auto"/>
                              <w:contextualSpacing w:val="0"/>
                              <w:rPr>
                                <w:b w:val="0"/>
                                <w:color w:val="auto"/>
                              </w:rPr>
                            </w:pPr>
                            <w:proofErr w:type="spellStart"/>
                            <w:r w:rsidRPr="00D235B7">
                              <w:rPr>
                                <w:color w:val="auto"/>
                              </w:rPr>
                              <w:t>E</w:t>
                            </w:r>
                            <w:r>
                              <w:rPr>
                                <w:color w:val="auto"/>
                              </w:rPr>
                              <w:t>uropean</w:t>
                            </w:r>
                            <w:proofErr w:type="spellEnd"/>
                            <w:r>
                              <w:rPr>
                                <w:color w:val="auto"/>
                              </w:rPr>
                              <w:t xml:space="preserve"> Data </w:t>
                            </w:r>
                            <w:r w:rsidRPr="00D235B7">
                              <w:rPr>
                                <w:color w:val="auto"/>
                              </w:rPr>
                              <w:t xml:space="preserve">(ESDS), </w:t>
                            </w:r>
                            <w:proofErr w:type="spellStart"/>
                            <w:r>
                              <w:rPr>
                                <w:color w:val="auto"/>
                              </w:rPr>
                              <w:t>international</w:t>
                            </w:r>
                            <w:proofErr w:type="spellEnd"/>
                            <w:r>
                              <w:rPr>
                                <w:color w:val="auto"/>
                              </w:rPr>
                              <w:t xml:space="preserve"> </w:t>
                            </w:r>
                            <w:proofErr w:type="spellStart"/>
                            <w:r>
                              <w:rPr>
                                <w:color w:val="auto"/>
                              </w:rPr>
                              <w:t>comparison</w:t>
                            </w:r>
                            <w:proofErr w:type="spellEnd"/>
                            <w:r>
                              <w:rPr>
                                <w:color w:val="auto"/>
                              </w:rPr>
                              <w:t xml:space="preserve"> </w:t>
                            </w:r>
                            <w:r w:rsidRPr="00D235B7">
                              <w:rPr>
                                <w:b w:val="0"/>
                                <w:color w:val="auto"/>
                              </w:rPr>
                              <w:t xml:space="preserve">| </w:t>
                            </w:r>
                            <w:proofErr w:type="spellStart"/>
                            <w:r>
                              <w:rPr>
                                <w:b w:val="0"/>
                                <w:color w:val="auto"/>
                              </w:rPr>
                              <w:t>ph</w:t>
                            </w:r>
                            <w:proofErr w:type="spellEnd"/>
                            <w:r w:rsidRPr="00D235B7">
                              <w:rPr>
                                <w:b w:val="0"/>
                                <w:color w:val="auto"/>
                              </w:rPr>
                              <w:t>.: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5D5CE37" w:rsidR="003B4260" w:rsidRPr="00D235B7" w:rsidRDefault="003B4260" w:rsidP="00825C4D">
                            <w:pPr>
                              <w:pStyle w:val="TLKontakty"/>
                              <w:spacing w:after="80" w:line="240" w:lineRule="auto"/>
                              <w:contextualSpacing w:val="0"/>
                              <w:rPr>
                                <w:b w:val="0"/>
                                <w:color w:val="auto"/>
                              </w:rPr>
                            </w:pPr>
                            <w:proofErr w:type="spellStart"/>
                            <w:r>
                              <w:rPr>
                                <w:color w:val="auto"/>
                              </w:rPr>
                              <w:t>Central</w:t>
                            </w:r>
                            <w:proofErr w:type="spellEnd"/>
                            <w:r>
                              <w:rPr>
                                <w:color w:val="auto"/>
                              </w:rPr>
                              <w:t xml:space="preserve"> </w:t>
                            </w:r>
                            <w:proofErr w:type="spellStart"/>
                            <w:r>
                              <w:rPr>
                                <w:color w:val="auto"/>
                              </w:rPr>
                              <w:t>Statistical</w:t>
                            </w:r>
                            <w:proofErr w:type="spellEnd"/>
                            <w:r>
                              <w:rPr>
                                <w:color w:val="auto"/>
                              </w:rPr>
                              <w:t xml:space="preserve"> </w:t>
                            </w:r>
                            <w:proofErr w:type="spellStart"/>
                            <w:r>
                              <w:rPr>
                                <w:color w:val="auto"/>
                              </w:rPr>
                              <w:t>Library</w:t>
                            </w:r>
                            <w:proofErr w:type="spellEnd"/>
                            <w:r w:rsidRPr="00D235B7">
                              <w:rPr>
                                <w:b w:val="0"/>
                                <w:color w:val="auto"/>
                              </w:rPr>
                              <w:t xml:space="preserve"> | </w:t>
                            </w:r>
                            <w:proofErr w:type="spellStart"/>
                            <w:r>
                              <w:rPr>
                                <w:b w:val="0"/>
                                <w:color w:val="auto"/>
                              </w:rPr>
                              <w:t>ph</w:t>
                            </w:r>
                            <w:proofErr w:type="spellEnd"/>
                            <w:r w:rsidRPr="00D235B7">
                              <w:rPr>
                                <w:b w:val="0"/>
                                <w:color w:val="auto"/>
                              </w:rPr>
                              <w:t>.: 274</w:t>
                            </w:r>
                            <w:r>
                              <w:rPr>
                                <w:b w:val="0"/>
                                <w:color w:val="auto"/>
                              </w:rPr>
                              <w:t> </w:t>
                            </w:r>
                            <w:r w:rsidRPr="00D235B7">
                              <w:rPr>
                                <w:b w:val="0"/>
                                <w:color w:val="auto"/>
                              </w:rPr>
                              <w:t>052 361 | e-mail: knihovna@czso.cz</w:t>
                            </w:r>
                          </w:p>
                          <w:p w14:paraId="433A2C62" w14:textId="77777777" w:rsidR="003B4260" w:rsidRPr="004A61C5" w:rsidRDefault="003B4260" w:rsidP="00825C4D">
                            <w:pPr>
                              <w:pStyle w:val="TLKontakty"/>
                              <w:spacing w:after="80" w:line="240" w:lineRule="auto"/>
                              <w:contextualSpacing w:val="0"/>
                              <w:rPr>
                                <w:color w:val="auto"/>
                              </w:rPr>
                            </w:pPr>
                          </w:p>
                          <w:p w14:paraId="29C57B67" w14:textId="4A6A7D66" w:rsidR="003B4260" w:rsidRPr="00D66223" w:rsidRDefault="003B4260" w:rsidP="00D66223">
                            <w:pPr>
                              <w:pStyle w:val="TLKontaktyerven"/>
                            </w:pPr>
                            <w:r w:rsidRPr="00D66223">
                              <w:t>INFORMA</w:t>
                            </w:r>
                            <w:r>
                              <w:t>tion services in the regions</w:t>
                            </w:r>
                          </w:p>
                          <w:p w14:paraId="181BE30E" w14:textId="4EB51D47" w:rsidR="003B4260" w:rsidRPr="00992CF3" w:rsidRDefault="003B4260" w:rsidP="00825C4D">
                            <w:pPr>
                              <w:pStyle w:val="TLKontakty"/>
                              <w:spacing w:after="80" w:line="240" w:lineRule="auto"/>
                              <w:rPr>
                                <w:b w:val="0"/>
                                <w:color w:val="auto"/>
                              </w:rPr>
                            </w:pPr>
                            <w:proofErr w:type="spellStart"/>
                            <w:r>
                              <w:t>Capital</w:t>
                            </w:r>
                            <w:proofErr w:type="spellEnd"/>
                            <w:r>
                              <w:t xml:space="preserve"> City Prague</w:t>
                            </w:r>
                            <w:r w:rsidRPr="00992CF3">
                              <w:rPr>
                                <w:b w:val="0"/>
                                <w:color w:val="auto"/>
                              </w:rPr>
                              <w:t xml:space="preserve"> | Na</w:t>
                            </w:r>
                            <w:r>
                              <w:rPr>
                                <w:b w:val="0"/>
                                <w:color w:val="auto"/>
                              </w:rPr>
                              <w:t xml:space="preserve"> padesátém 81, 100 82 Praha 10, </w:t>
                            </w:r>
                            <w:proofErr w:type="spellStart"/>
                            <w:r>
                              <w:rPr>
                                <w:b w:val="0"/>
                                <w:color w:val="auto"/>
                              </w:rPr>
                              <w:t>ph</w:t>
                            </w:r>
                            <w:proofErr w:type="spellEnd"/>
                            <w:r>
                              <w:rPr>
                                <w:b w:val="0"/>
                                <w:color w:val="auto"/>
                              </w:rPr>
                              <w:t>.</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3B4260" w:rsidRPr="00992CF3" w:rsidRDefault="003B4260"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3B4260" w:rsidRPr="004A61C5" w:rsidRDefault="003B4260" w:rsidP="00825C4D">
                            <w:pPr>
                              <w:pStyle w:val="TLKontakty"/>
                              <w:spacing w:after="80" w:line="240" w:lineRule="auto"/>
                              <w:rPr>
                                <w:color w:val="auto"/>
                              </w:rPr>
                            </w:pPr>
                          </w:p>
                          <w:p w14:paraId="39B5FB82" w14:textId="73464678" w:rsidR="003B4260" w:rsidRPr="00992CF3" w:rsidRDefault="003B4260" w:rsidP="00825C4D">
                            <w:pPr>
                              <w:pStyle w:val="TLKontakty"/>
                              <w:spacing w:after="80" w:line="240" w:lineRule="auto"/>
                              <w:rPr>
                                <w:b w:val="0"/>
                                <w:color w:val="auto"/>
                              </w:rPr>
                            </w:pPr>
                            <w:proofErr w:type="spellStart"/>
                            <w:r>
                              <w:t>Central</w:t>
                            </w:r>
                            <w:proofErr w:type="spellEnd"/>
                            <w:r>
                              <w:t xml:space="preserve"> Bohemia</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 xml:space="preserve">10,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3B4260" w:rsidRPr="00992CF3" w:rsidRDefault="003B4260"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3B4260" w:rsidRPr="004A61C5" w:rsidRDefault="003B4260" w:rsidP="00825C4D">
                            <w:pPr>
                              <w:pStyle w:val="TLKontakty"/>
                              <w:spacing w:after="80" w:line="240" w:lineRule="auto"/>
                              <w:rPr>
                                <w:color w:val="auto"/>
                              </w:rPr>
                            </w:pPr>
                          </w:p>
                          <w:p w14:paraId="5AF27889" w14:textId="45560F9F" w:rsidR="003B4260" w:rsidRPr="00992CF3" w:rsidRDefault="003B4260"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3B4260" w:rsidRPr="00992CF3" w:rsidRDefault="003B4260"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3B4260" w:rsidRPr="004A61C5" w:rsidRDefault="003B4260" w:rsidP="00825C4D">
                            <w:pPr>
                              <w:pStyle w:val="TLKontakty"/>
                              <w:spacing w:after="80" w:line="240" w:lineRule="auto"/>
                              <w:rPr>
                                <w:color w:val="auto"/>
                              </w:rPr>
                            </w:pPr>
                          </w:p>
                          <w:p w14:paraId="0065AFA0" w14:textId="7F1767D5" w:rsidR="003B4260" w:rsidRPr="00BC731E" w:rsidRDefault="003B4260"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3B4260" w:rsidRPr="004A61C5" w:rsidRDefault="003B4260"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3B4260" w:rsidRPr="004A61C5" w:rsidRDefault="003B4260" w:rsidP="00825C4D">
                            <w:pPr>
                              <w:pStyle w:val="TLKontakty"/>
                              <w:spacing w:after="80" w:line="240" w:lineRule="auto"/>
                              <w:rPr>
                                <w:color w:val="auto"/>
                              </w:rPr>
                            </w:pPr>
                          </w:p>
                          <w:p w14:paraId="345F7961" w14:textId="76C08DC1" w:rsidR="003B4260" w:rsidRPr="004A61C5" w:rsidRDefault="003B4260"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3B4260" w:rsidRPr="004A61C5" w:rsidRDefault="003B4260"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3B4260" w:rsidRPr="004A61C5" w:rsidRDefault="003B4260" w:rsidP="00825C4D">
                            <w:pPr>
                              <w:pStyle w:val="TLKontakty"/>
                              <w:spacing w:after="80" w:line="240" w:lineRule="auto"/>
                              <w:rPr>
                                <w:color w:val="auto"/>
                              </w:rPr>
                            </w:pPr>
                          </w:p>
                          <w:p w14:paraId="766F2288" w14:textId="77C95C42" w:rsidR="003B4260" w:rsidRPr="004A61C5" w:rsidRDefault="003B4260"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3B4260" w:rsidRPr="004A61C5" w:rsidRDefault="003B4260"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3B4260" w:rsidRPr="004A61C5" w:rsidRDefault="003B4260" w:rsidP="00825C4D">
                            <w:pPr>
                              <w:pStyle w:val="TLKontakty"/>
                              <w:spacing w:after="80" w:line="240" w:lineRule="auto"/>
                              <w:rPr>
                                <w:color w:val="auto"/>
                              </w:rPr>
                            </w:pPr>
                          </w:p>
                          <w:p w14:paraId="0D4652E6" w14:textId="02F49061" w:rsidR="003B4260" w:rsidRPr="004A61C5" w:rsidRDefault="003B4260"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 xml:space="preserve">1,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3B4260" w:rsidRPr="004A61C5" w:rsidRDefault="003B4260"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3B4260" w:rsidRPr="004A61C5" w:rsidRDefault="003B4260" w:rsidP="00825C4D">
                            <w:pPr>
                              <w:pStyle w:val="TLKontakty"/>
                              <w:spacing w:after="80" w:line="240" w:lineRule="auto"/>
                              <w:rPr>
                                <w:b w:val="0"/>
                                <w:color w:val="auto"/>
                              </w:rPr>
                            </w:pPr>
                          </w:p>
                          <w:p w14:paraId="231AC323" w14:textId="623107B5" w:rsidR="003B4260" w:rsidRPr="004A61C5" w:rsidRDefault="003B4260"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proofErr w:type="spellStart"/>
                            <w:r>
                              <w:rPr>
                                <w:b w:val="0"/>
                                <w:color w:val="auto"/>
                              </w:rPr>
                              <w:t>ph</w:t>
                            </w:r>
                            <w:proofErr w:type="spellEnd"/>
                            <w:r>
                              <w:rPr>
                                <w:b w:val="0"/>
                                <w:color w:val="auto"/>
                              </w:rPr>
                              <w:t>.</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3B4260" w:rsidRPr="004A61C5" w:rsidRDefault="003B4260"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3B4260" w:rsidRPr="004A61C5" w:rsidRDefault="003B4260" w:rsidP="00825C4D">
                            <w:pPr>
                              <w:pStyle w:val="TLKontakty"/>
                              <w:spacing w:after="80" w:line="240" w:lineRule="auto"/>
                              <w:rPr>
                                <w:color w:val="auto"/>
                              </w:rPr>
                            </w:pPr>
                          </w:p>
                          <w:p w14:paraId="64319B27" w14:textId="6B0A3336" w:rsidR="003B4260" w:rsidRPr="004A61C5" w:rsidRDefault="003B4260"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proofErr w:type="spellStart"/>
                            <w:r>
                              <w:rPr>
                                <w:b w:val="0"/>
                                <w:color w:val="auto"/>
                              </w:rPr>
                              <w:t>ph</w:t>
                            </w:r>
                            <w:proofErr w:type="spellEnd"/>
                            <w:r w:rsidRPr="004A61C5">
                              <w:rPr>
                                <w:b w:val="0"/>
                                <w:color w:val="auto"/>
                              </w:rPr>
                              <w:t>.</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3B4260" w:rsidRPr="004A61C5" w:rsidRDefault="003B4260"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3B4260" w:rsidRPr="004A61C5" w:rsidRDefault="003B4260" w:rsidP="00825C4D">
                            <w:pPr>
                              <w:pStyle w:val="TLKontakty"/>
                              <w:spacing w:after="80" w:line="240" w:lineRule="auto"/>
                              <w:rPr>
                                <w:b w:val="0"/>
                                <w:color w:val="auto"/>
                              </w:rPr>
                            </w:pPr>
                          </w:p>
                          <w:p w14:paraId="4068B566" w14:textId="5510AFC0" w:rsidR="003B4260" w:rsidRPr="004A61C5" w:rsidRDefault="003B4260"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w:t>
                            </w:r>
                            <w:proofErr w:type="spellStart"/>
                            <w:r>
                              <w:rPr>
                                <w:b w:val="0"/>
                                <w:color w:val="auto"/>
                              </w:rPr>
                              <w:t>ph</w:t>
                            </w:r>
                            <w:proofErr w:type="spellEnd"/>
                            <w:r>
                              <w:rPr>
                                <w:b w:val="0"/>
                                <w:color w:val="auto"/>
                              </w:rPr>
                              <w:t xml:space="preserve">.: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3B4260" w:rsidRPr="004A61C5" w:rsidRDefault="003B4260"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3B4260" w:rsidRDefault="003B4260" w:rsidP="00825C4D">
                            <w:pPr>
                              <w:pStyle w:val="TLKontakty"/>
                              <w:spacing w:after="80" w:line="240" w:lineRule="auto"/>
                            </w:pPr>
                          </w:p>
                          <w:p w14:paraId="63ACC352" w14:textId="161D5A2D" w:rsidR="003B4260" w:rsidRPr="00BC731E" w:rsidRDefault="003B4260"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proofErr w:type="spellStart"/>
                            <w:r>
                              <w:rPr>
                                <w:b w:val="0"/>
                                <w:color w:val="auto"/>
                              </w:rPr>
                              <w:t>ph</w:t>
                            </w:r>
                            <w:proofErr w:type="spellEnd"/>
                            <w:r>
                              <w:rPr>
                                <w:b w:val="0"/>
                                <w:color w:val="auto"/>
                              </w:rPr>
                              <w:t xml:space="preserve">.: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3B4260" w:rsidRPr="004A61C5" w:rsidRDefault="003B4260"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3B4260" w:rsidRPr="004A61C5" w:rsidRDefault="003B4260" w:rsidP="00825C4D">
                            <w:pPr>
                              <w:pStyle w:val="TLKontakty"/>
                              <w:spacing w:after="80" w:line="240" w:lineRule="auto"/>
                              <w:rPr>
                                <w:b w:val="0"/>
                                <w:color w:val="auto"/>
                              </w:rPr>
                            </w:pPr>
                          </w:p>
                          <w:p w14:paraId="71AC5E72" w14:textId="3E523F4D" w:rsidR="003B4260" w:rsidRPr="005E7C78" w:rsidRDefault="003B4260"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proofErr w:type="spellStart"/>
                            <w:r>
                              <w:rPr>
                                <w:b w:val="0"/>
                                <w:color w:val="auto"/>
                              </w:rPr>
                              <w:t>ph</w:t>
                            </w:r>
                            <w:proofErr w:type="spellEnd"/>
                            <w:r>
                              <w:rPr>
                                <w:b w:val="0"/>
                                <w:color w:val="auto"/>
                              </w:rPr>
                              <w:t xml:space="preserve">.: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3B4260" w:rsidRPr="005E7C78" w:rsidRDefault="003B4260"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3B4260" w:rsidRPr="005E7C78" w:rsidRDefault="003B4260" w:rsidP="00825C4D">
                            <w:pPr>
                              <w:pStyle w:val="TLKontakty"/>
                              <w:spacing w:after="80" w:line="240" w:lineRule="auto"/>
                              <w:rPr>
                                <w:b w:val="0"/>
                                <w:color w:val="auto"/>
                              </w:rPr>
                            </w:pPr>
                          </w:p>
                          <w:p w14:paraId="00E77B80" w14:textId="1227EBD2" w:rsidR="003B4260" w:rsidRPr="005E7C78" w:rsidRDefault="003B4260"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proofErr w:type="spellStart"/>
                            <w:r>
                              <w:rPr>
                                <w:b w:val="0"/>
                                <w:color w:val="auto"/>
                              </w:rPr>
                              <w:t>ph</w:t>
                            </w:r>
                            <w:proofErr w:type="spellEnd"/>
                            <w:r w:rsidRPr="00BC731E">
                              <w:rPr>
                                <w:b w:val="0"/>
                                <w:color w:val="auto"/>
                              </w:rPr>
                              <w:t>.: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3B4260" w:rsidRDefault="003B4260"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3B4260" w:rsidRPr="005E7C78" w:rsidRDefault="003B4260" w:rsidP="00095135">
                            <w:pPr>
                              <w:pStyle w:val="TLKontakty"/>
                              <w:spacing w:after="80" w:line="240" w:lineRule="auto"/>
                              <w:rPr>
                                <w:b w:val="0"/>
                                <w:color w:val="auto"/>
                              </w:rPr>
                            </w:pPr>
                          </w:p>
                          <w:p w14:paraId="0275618D" w14:textId="72D34C93" w:rsidR="003B4260" w:rsidRPr="005E7C78" w:rsidRDefault="003B4260"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w:t>
                            </w:r>
                            <w:proofErr w:type="spellStart"/>
                            <w:r>
                              <w:rPr>
                                <w:b w:val="0"/>
                                <w:color w:val="auto"/>
                              </w:rPr>
                              <w:t>ph</w:t>
                            </w:r>
                            <w:proofErr w:type="spellEnd"/>
                            <w:r>
                              <w:rPr>
                                <w:b w:val="0"/>
                                <w:color w:val="auto"/>
                              </w:rPr>
                              <w:t xml:space="preserve">.: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3B4260" w:rsidRPr="00095135" w:rsidRDefault="003B4260"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0RmbGr0CAAC3BQAADgAAAAAAAAAAAAAAAAAuAgAAZHJzL2Uyb0RvYy54bWxQSwECLQAUAAYACAAA&#10;ACEArRpGXOAAAAANAQAADwAAAAAAAAAAAAAAAAAXBQAAZHJzL2Rvd25yZXYueG1sUEsFBgAAAAAE&#10;AAQA8wAAACQGAAAAAA==&#10;" filled="f" stroked="f">
                <v:textbox style="mso-fit-shape-to-text:t" inset="0,0,0,0">
                  <w:txbxContent>
                    <w:p w14:paraId="57F70E5B" w14:textId="6D90E407" w:rsidR="003B4260" w:rsidRPr="006F5416" w:rsidRDefault="003B4260" w:rsidP="006F5416">
                      <w:pPr>
                        <w:pStyle w:val="TLKontaktyerven"/>
                      </w:pPr>
                      <w:r>
                        <w:t>CONTACTS IN HEADQUARTERS</w:t>
                      </w:r>
                    </w:p>
                    <w:p w14:paraId="3BEEAF5F" w14:textId="35E5A42D" w:rsidR="003B4260" w:rsidRPr="007D40DF" w:rsidRDefault="003B4260" w:rsidP="00825C4D">
                      <w:pPr>
                        <w:pStyle w:val="TLKontakty"/>
                        <w:spacing w:after="80" w:line="240" w:lineRule="auto"/>
                        <w:contextualSpacing w:val="0"/>
                        <w:rPr>
                          <w:b w:val="0"/>
                          <w:color w:val="auto"/>
                        </w:rPr>
                      </w:pPr>
                      <w:r>
                        <w:t xml:space="preserve">Czech </w:t>
                      </w:r>
                      <w:proofErr w:type="spellStart"/>
                      <w:r>
                        <w:t>Statistical</w:t>
                      </w:r>
                      <w:proofErr w:type="spellEnd"/>
                      <w:r>
                        <w:t xml:space="preserve"> Office</w:t>
                      </w:r>
                      <w:r w:rsidRPr="007D40DF">
                        <w:rPr>
                          <w:b w:val="0"/>
                          <w:color w:val="auto"/>
                        </w:rPr>
                        <w:t xml:space="preserve"> | Na</w:t>
                      </w:r>
                      <w:r>
                        <w:rPr>
                          <w:b w:val="0"/>
                          <w:color w:val="auto"/>
                        </w:rPr>
                        <w:t xml:space="preserve"> padesátém 81, 100 82 Prague</w:t>
                      </w:r>
                      <w:r w:rsidRPr="007D40DF">
                        <w:rPr>
                          <w:b w:val="0"/>
                          <w:color w:val="auto"/>
                        </w:rPr>
                        <w:t> </w:t>
                      </w:r>
                      <w:r>
                        <w:rPr>
                          <w:b w:val="0"/>
                          <w:color w:val="auto"/>
                        </w:rPr>
                        <w:t xml:space="preserve">10, </w:t>
                      </w:r>
                      <w:proofErr w:type="spellStart"/>
                      <w:r>
                        <w:rPr>
                          <w:b w:val="0"/>
                          <w:color w:val="auto"/>
                        </w:rPr>
                        <w:t>ph</w:t>
                      </w:r>
                      <w:proofErr w:type="spellEnd"/>
                      <w:r w:rsidRPr="007D40DF">
                        <w:rPr>
                          <w:b w:val="0"/>
                          <w:color w:val="auto"/>
                        </w:rPr>
                        <w:t xml:space="preserve">.: 274 051 111 | </w:t>
                      </w:r>
                      <w:r w:rsidRPr="007D40DF">
                        <w:rPr>
                          <w:color w:val="auto"/>
                        </w:rPr>
                        <w:t>www.czso.cz</w:t>
                      </w:r>
                    </w:p>
                    <w:p w14:paraId="4ECAA215" w14:textId="5C38AEA3" w:rsidR="003B4260" w:rsidRPr="00D235B7" w:rsidRDefault="003B4260" w:rsidP="00825C4D">
                      <w:pPr>
                        <w:pStyle w:val="TLKontakty"/>
                        <w:spacing w:after="80" w:line="240" w:lineRule="auto"/>
                        <w:contextualSpacing w:val="0"/>
                        <w:rPr>
                          <w:b w:val="0"/>
                          <w:color w:val="auto"/>
                        </w:rPr>
                      </w:pPr>
                      <w:proofErr w:type="spellStart"/>
                      <w:r>
                        <w:rPr>
                          <w:color w:val="auto"/>
                        </w:rPr>
                        <w:t>Information</w:t>
                      </w:r>
                      <w:proofErr w:type="spellEnd"/>
                      <w:r>
                        <w:rPr>
                          <w:color w:val="auto"/>
                        </w:rPr>
                        <w:t xml:space="preserve"> </w:t>
                      </w:r>
                      <w:proofErr w:type="spellStart"/>
                      <w:r>
                        <w:rPr>
                          <w:color w:val="auto"/>
                        </w:rPr>
                        <w:t>Services</w:t>
                      </w:r>
                      <w:proofErr w:type="spellEnd"/>
                      <w:r w:rsidRPr="00D235B7">
                        <w:rPr>
                          <w:b w:val="0"/>
                          <w:color w:val="auto"/>
                        </w:rPr>
                        <w:t xml:space="preserve"> | </w:t>
                      </w:r>
                      <w:proofErr w:type="spellStart"/>
                      <w:r>
                        <w:rPr>
                          <w:b w:val="0"/>
                          <w:color w:val="auto"/>
                        </w:rPr>
                        <w:t>ph</w:t>
                      </w:r>
                      <w:proofErr w:type="spellEnd"/>
                      <w:r w:rsidRPr="00D235B7">
                        <w:rPr>
                          <w:b w:val="0"/>
                          <w:color w:val="auto"/>
                        </w:rPr>
                        <w:t>.: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5874249F" w:rsidR="003B4260" w:rsidRPr="00D235B7" w:rsidRDefault="003B4260" w:rsidP="00825C4D">
                      <w:pPr>
                        <w:pStyle w:val="TLKontakty"/>
                        <w:spacing w:after="80" w:line="240" w:lineRule="auto"/>
                        <w:contextualSpacing w:val="0"/>
                        <w:rPr>
                          <w:b w:val="0"/>
                          <w:color w:val="auto"/>
                        </w:rPr>
                      </w:pPr>
                      <w:r>
                        <w:rPr>
                          <w:color w:val="auto"/>
                        </w:rPr>
                        <w:t xml:space="preserve">CZSO </w:t>
                      </w:r>
                      <w:proofErr w:type="spellStart"/>
                      <w:r>
                        <w:rPr>
                          <w:color w:val="auto"/>
                        </w:rPr>
                        <w:t>Publication</w:t>
                      </w:r>
                      <w:proofErr w:type="spellEnd"/>
                      <w:r>
                        <w:rPr>
                          <w:color w:val="auto"/>
                        </w:rPr>
                        <w:t xml:space="preserve"> </w:t>
                      </w:r>
                      <w:proofErr w:type="spellStart"/>
                      <w:r>
                        <w:rPr>
                          <w:color w:val="auto"/>
                        </w:rPr>
                        <w:t>Shop</w:t>
                      </w:r>
                      <w:proofErr w:type="spellEnd"/>
                      <w:r w:rsidRPr="00D235B7">
                        <w:rPr>
                          <w:b w:val="0"/>
                          <w:color w:val="auto"/>
                        </w:rPr>
                        <w:t xml:space="preserve"> | </w:t>
                      </w:r>
                      <w:proofErr w:type="spellStart"/>
                      <w:r>
                        <w:rPr>
                          <w:b w:val="0"/>
                          <w:color w:val="auto"/>
                        </w:rPr>
                        <w:t>ph</w:t>
                      </w:r>
                      <w:proofErr w:type="spellEnd"/>
                      <w:r w:rsidRPr="00D235B7">
                        <w:rPr>
                          <w:b w:val="0"/>
                          <w:color w:val="auto"/>
                        </w:rPr>
                        <w:t>.: 274</w:t>
                      </w:r>
                      <w:r>
                        <w:rPr>
                          <w:b w:val="0"/>
                          <w:color w:val="auto"/>
                        </w:rPr>
                        <w:t> </w:t>
                      </w:r>
                      <w:r w:rsidRPr="00D235B7">
                        <w:rPr>
                          <w:b w:val="0"/>
                          <w:color w:val="auto"/>
                        </w:rPr>
                        <w:t>052 361 | e-mail: prodejna@czso.cz</w:t>
                      </w:r>
                    </w:p>
                    <w:p w14:paraId="2572D725" w14:textId="6455E094" w:rsidR="003B4260" w:rsidRPr="00D235B7" w:rsidRDefault="003B4260" w:rsidP="00825C4D">
                      <w:pPr>
                        <w:pStyle w:val="TLKontakty"/>
                        <w:spacing w:after="80" w:line="240" w:lineRule="auto"/>
                        <w:contextualSpacing w:val="0"/>
                        <w:rPr>
                          <w:b w:val="0"/>
                          <w:color w:val="auto"/>
                        </w:rPr>
                      </w:pPr>
                      <w:proofErr w:type="spellStart"/>
                      <w:r w:rsidRPr="00D235B7">
                        <w:rPr>
                          <w:color w:val="auto"/>
                        </w:rPr>
                        <w:t>E</w:t>
                      </w:r>
                      <w:r>
                        <w:rPr>
                          <w:color w:val="auto"/>
                        </w:rPr>
                        <w:t>uropean</w:t>
                      </w:r>
                      <w:proofErr w:type="spellEnd"/>
                      <w:r>
                        <w:rPr>
                          <w:color w:val="auto"/>
                        </w:rPr>
                        <w:t xml:space="preserve"> Data </w:t>
                      </w:r>
                      <w:r w:rsidRPr="00D235B7">
                        <w:rPr>
                          <w:color w:val="auto"/>
                        </w:rPr>
                        <w:t xml:space="preserve">(ESDS), </w:t>
                      </w:r>
                      <w:proofErr w:type="spellStart"/>
                      <w:r>
                        <w:rPr>
                          <w:color w:val="auto"/>
                        </w:rPr>
                        <w:t>international</w:t>
                      </w:r>
                      <w:proofErr w:type="spellEnd"/>
                      <w:r>
                        <w:rPr>
                          <w:color w:val="auto"/>
                        </w:rPr>
                        <w:t xml:space="preserve"> </w:t>
                      </w:r>
                      <w:proofErr w:type="spellStart"/>
                      <w:r>
                        <w:rPr>
                          <w:color w:val="auto"/>
                        </w:rPr>
                        <w:t>comparison</w:t>
                      </w:r>
                      <w:proofErr w:type="spellEnd"/>
                      <w:r>
                        <w:rPr>
                          <w:color w:val="auto"/>
                        </w:rPr>
                        <w:t xml:space="preserve"> </w:t>
                      </w:r>
                      <w:r w:rsidRPr="00D235B7">
                        <w:rPr>
                          <w:b w:val="0"/>
                          <w:color w:val="auto"/>
                        </w:rPr>
                        <w:t xml:space="preserve">| </w:t>
                      </w:r>
                      <w:proofErr w:type="spellStart"/>
                      <w:r>
                        <w:rPr>
                          <w:b w:val="0"/>
                          <w:color w:val="auto"/>
                        </w:rPr>
                        <w:t>ph</w:t>
                      </w:r>
                      <w:proofErr w:type="spellEnd"/>
                      <w:r w:rsidRPr="00D235B7">
                        <w:rPr>
                          <w:b w:val="0"/>
                          <w:color w:val="auto"/>
                        </w:rPr>
                        <w:t>.: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5D5CE37" w:rsidR="003B4260" w:rsidRPr="00D235B7" w:rsidRDefault="003B4260" w:rsidP="00825C4D">
                      <w:pPr>
                        <w:pStyle w:val="TLKontakty"/>
                        <w:spacing w:after="80" w:line="240" w:lineRule="auto"/>
                        <w:contextualSpacing w:val="0"/>
                        <w:rPr>
                          <w:b w:val="0"/>
                          <w:color w:val="auto"/>
                        </w:rPr>
                      </w:pPr>
                      <w:proofErr w:type="spellStart"/>
                      <w:r>
                        <w:rPr>
                          <w:color w:val="auto"/>
                        </w:rPr>
                        <w:t>Central</w:t>
                      </w:r>
                      <w:proofErr w:type="spellEnd"/>
                      <w:r>
                        <w:rPr>
                          <w:color w:val="auto"/>
                        </w:rPr>
                        <w:t xml:space="preserve"> </w:t>
                      </w:r>
                      <w:proofErr w:type="spellStart"/>
                      <w:r>
                        <w:rPr>
                          <w:color w:val="auto"/>
                        </w:rPr>
                        <w:t>Statistical</w:t>
                      </w:r>
                      <w:proofErr w:type="spellEnd"/>
                      <w:r>
                        <w:rPr>
                          <w:color w:val="auto"/>
                        </w:rPr>
                        <w:t xml:space="preserve"> </w:t>
                      </w:r>
                      <w:proofErr w:type="spellStart"/>
                      <w:r>
                        <w:rPr>
                          <w:color w:val="auto"/>
                        </w:rPr>
                        <w:t>Library</w:t>
                      </w:r>
                      <w:proofErr w:type="spellEnd"/>
                      <w:r w:rsidRPr="00D235B7">
                        <w:rPr>
                          <w:b w:val="0"/>
                          <w:color w:val="auto"/>
                        </w:rPr>
                        <w:t xml:space="preserve"> | </w:t>
                      </w:r>
                      <w:proofErr w:type="spellStart"/>
                      <w:r>
                        <w:rPr>
                          <w:b w:val="0"/>
                          <w:color w:val="auto"/>
                        </w:rPr>
                        <w:t>ph</w:t>
                      </w:r>
                      <w:proofErr w:type="spellEnd"/>
                      <w:r w:rsidRPr="00D235B7">
                        <w:rPr>
                          <w:b w:val="0"/>
                          <w:color w:val="auto"/>
                        </w:rPr>
                        <w:t>.: 274</w:t>
                      </w:r>
                      <w:r>
                        <w:rPr>
                          <w:b w:val="0"/>
                          <w:color w:val="auto"/>
                        </w:rPr>
                        <w:t> </w:t>
                      </w:r>
                      <w:r w:rsidRPr="00D235B7">
                        <w:rPr>
                          <w:b w:val="0"/>
                          <w:color w:val="auto"/>
                        </w:rPr>
                        <w:t>052 361 | e-mail: knihovna@czso.cz</w:t>
                      </w:r>
                    </w:p>
                    <w:p w14:paraId="433A2C62" w14:textId="77777777" w:rsidR="003B4260" w:rsidRPr="004A61C5" w:rsidRDefault="003B4260" w:rsidP="00825C4D">
                      <w:pPr>
                        <w:pStyle w:val="TLKontakty"/>
                        <w:spacing w:after="80" w:line="240" w:lineRule="auto"/>
                        <w:contextualSpacing w:val="0"/>
                        <w:rPr>
                          <w:color w:val="auto"/>
                        </w:rPr>
                      </w:pPr>
                    </w:p>
                    <w:p w14:paraId="29C57B67" w14:textId="4A6A7D66" w:rsidR="003B4260" w:rsidRPr="00D66223" w:rsidRDefault="003B4260" w:rsidP="00D66223">
                      <w:pPr>
                        <w:pStyle w:val="TLKontaktyerven"/>
                      </w:pPr>
                      <w:r w:rsidRPr="00D66223">
                        <w:t>INFORMA</w:t>
                      </w:r>
                      <w:r>
                        <w:t>tion services in the regions</w:t>
                      </w:r>
                    </w:p>
                    <w:p w14:paraId="181BE30E" w14:textId="4EB51D47" w:rsidR="003B4260" w:rsidRPr="00992CF3" w:rsidRDefault="003B4260" w:rsidP="00825C4D">
                      <w:pPr>
                        <w:pStyle w:val="TLKontakty"/>
                        <w:spacing w:after="80" w:line="240" w:lineRule="auto"/>
                        <w:rPr>
                          <w:b w:val="0"/>
                          <w:color w:val="auto"/>
                        </w:rPr>
                      </w:pPr>
                      <w:proofErr w:type="spellStart"/>
                      <w:r>
                        <w:t>Capital</w:t>
                      </w:r>
                      <w:proofErr w:type="spellEnd"/>
                      <w:r>
                        <w:t xml:space="preserve"> City Prague</w:t>
                      </w:r>
                      <w:r w:rsidRPr="00992CF3">
                        <w:rPr>
                          <w:b w:val="0"/>
                          <w:color w:val="auto"/>
                        </w:rPr>
                        <w:t xml:space="preserve"> | Na</w:t>
                      </w:r>
                      <w:r>
                        <w:rPr>
                          <w:b w:val="0"/>
                          <w:color w:val="auto"/>
                        </w:rPr>
                        <w:t xml:space="preserve"> padesátém 81, 100 82 Praha 10, </w:t>
                      </w:r>
                      <w:proofErr w:type="spellStart"/>
                      <w:r>
                        <w:rPr>
                          <w:b w:val="0"/>
                          <w:color w:val="auto"/>
                        </w:rPr>
                        <w:t>ph</w:t>
                      </w:r>
                      <w:proofErr w:type="spellEnd"/>
                      <w:r>
                        <w:rPr>
                          <w:b w:val="0"/>
                          <w:color w:val="auto"/>
                        </w:rPr>
                        <w:t>.</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3B4260" w:rsidRPr="00992CF3" w:rsidRDefault="003B4260"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3B4260" w:rsidRPr="004A61C5" w:rsidRDefault="003B4260" w:rsidP="00825C4D">
                      <w:pPr>
                        <w:pStyle w:val="TLKontakty"/>
                        <w:spacing w:after="80" w:line="240" w:lineRule="auto"/>
                        <w:rPr>
                          <w:color w:val="auto"/>
                        </w:rPr>
                      </w:pPr>
                    </w:p>
                    <w:p w14:paraId="39B5FB82" w14:textId="73464678" w:rsidR="003B4260" w:rsidRPr="00992CF3" w:rsidRDefault="003B4260" w:rsidP="00825C4D">
                      <w:pPr>
                        <w:pStyle w:val="TLKontakty"/>
                        <w:spacing w:after="80" w:line="240" w:lineRule="auto"/>
                        <w:rPr>
                          <w:b w:val="0"/>
                          <w:color w:val="auto"/>
                        </w:rPr>
                      </w:pPr>
                      <w:proofErr w:type="spellStart"/>
                      <w:r>
                        <w:t>Central</w:t>
                      </w:r>
                      <w:proofErr w:type="spellEnd"/>
                      <w:r>
                        <w:t xml:space="preserve"> Bohemia</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 xml:space="preserve">10,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3B4260" w:rsidRPr="00992CF3" w:rsidRDefault="003B4260"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3B4260" w:rsidRPr="004A61C5" w:rsidRDefault="003B4260" w:rsidP="00825C4D">
                      <w:pPr>
                        <w:pStyle w:val="TLKontakty"/>
                        <w:spacing w:after="80" w:line="240" w:lineRule="auto"/>
                        <w:rPr>
                          <w:color w:val="auto"/>
                        </w:rPr>
                      </w:pPr>
                    </w:p>
                    <w:p w14:paraId="5AF27889" w14:textId="45560F9F" w:rsidR="003B4260" w:rsidRPr="00992CF3" w:rsidRDefault="003B4260"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3B4260" w:rsidRPr="00992CF3" w:rsidRDefault="003B4260"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3B4260" w:rsidRPr="004A61C5" w:rsidRDefault="003B4260" w:rsidP="00825C4D">
                      <w:pPr>
                        <w:pStyle w:val="TLKontakty"/>
                        <w:spacing w:after="80" w:line="240" w:lineRule="auto"/>
                        <w:rPr>
                          <w:color w:val="auto"/>
                        </w:rPr>
                      </w:pPr>
                    </w:p>
                    <w:p w14:paraId="0065AFA0" w14:textId="7F1767D5" w:rsidR="003B4260" w:rsidRPr="00BC731E" w:rsidRDefault="003B4260"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3B4260" w:rsidRPr="004A61C5" w:rsidRDefault="003B4260"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3B4260" w:rsidRPr="004A61C5" w:rsidRDefault="003B4260" w:rsidP="00825C4D">
                      <w:pPr>
                        <w:pStyle w:val="TLKontakty"/>
                        <w:spacing w:after="80" w:line="240" w:lineRule="auto"/>
                        <w:rPr>
                          <w:color w:val="auto"/>
                        </w:rPr>
                      </w:pPr>
                    </w:p>
                    <w:p w14:paraId="345F7961" w14:textId="76C08DC1" w:rsidR="003B4260" w:rsidRPr="004A61C5" w:rsidRDefault="003B4260"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3B4260" w:rsidRPr="004A61C5" w:rsidRDefault="003B4260"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3B4260" w:rsidRPr="004A61C5" w:rsidRDefault="003B4260" w:rsidP="00825C4D">
                      <w:pPr>
                        <w:pStyle w:val="TLKontakty"/>
                        <w:spacing w:after="80" w:line="240" w:lineRule="auto"/>
                        <w:rPr>
                          <w:color w:val="auto"/>
                        </w:rPr>
                      </w:pPr>
                    </w:p>
                    <w:p w14:paraId="766F2288" w14:textId="77C95C42" w:rsidR="003B4260" w:rsidRPr="004A61C5" w:rsidRDefault="003B4260"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3B4260" w:rsidRPr="004A61C5" w:rsidRDefault="003B4260"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3B4260" w:rsidRPr="004A61C5" w:rsidRDefault="003B4260" w:rsidP="00825C4D">
                      <w:pPr>
                        <w:pStyle w:val="TLKontakty"/>
                        <w:spacing w:after="80" w:line="240" w:lineRule="auto"/>
                        <w:rPr>
                          <w:color w:val="auto"/>
                        </w:rPr>
                      </w:pPr>
                    </w:p>
                    <w:p w14:paraId="0D4652E6" w14:textId="02F49061" w:rsidR="003B4260" w:rsidRPr="004A61C5" w:rsidRDefault="003B4260"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 xml:space="preserve">1,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3B4260" w:rsidRPr="004A61C5" w:rsidRDefault="003B4260"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3B4260" w:rsidRPr="004A61C5" w:rsidRDefault="003B4260" w:rsidP="00825C4D">
                      <w:pPr>
                        <w:pStyle w:val="TLKontakty"/>
                        <w:spacing w:after="80" w:line="240" w:lineRule="auto"/>
                        <w:rPr>
                          <w:b w:val="0"/>
                          <w:color w:val="auto"/>
                        </w:rPr>
                      </w:pPr>
                    </w:p>
                    <w:p w14:paraId="231AC323" w14:textId="623107B5" w:rsidR="003B4260" w:rsidRPr="004A61C5" w:rsidRDefault="003B4260"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proofErr w:type="spellStart"/>
                      <w:r>
                        <w:rPr>
                          <w:b w:val="0"/>
                          <w:color w:val="auto"/>
                        </w:rPr>
                        <w:t>ph</w:t>
                      </w:r>
                      <w:proofErr w:type="spellEnd"/>
                      <w:r>
                        <w:rPr>
                          <w:b w:val="0"/>
                          <w:color w:val="auto"/>
                        </w:rPr>
                        <w:t>.</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3B4260" w:rsidRPr="004A61C5" w:rsidRDefault="003B4260"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3B4260" w:rsidRPr="004A61C5" w:rsidRDefault="003B4260" w:rsidP="00825C4D">
                      <w:pPr>
                        <w:pStyle w:val="TLKontakty"/>
                        <w:spacing w:after="80" w:line="240" w:lineRule="auto"/>
                        <w:rPr>
                          <w:color w:val="auto"/>
                        </w:rPr>
                      </w:pPr>
                    </w:p>
                    <w:p w14:paraId="64319B27" w14:textId="6B0A3336" w:rsidR="003B4260" w:rsidRPr="004A61C5" w:rsidRDefault="003B4260"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proofErr w:type="spellStart"/>
                      <w:r>
                        <w:rPr>
                          <w:b w:val="0"/>
                          <w:color w:val="auto"/>
                        </w:rPr>
                        <w:t>ph</w:t>
                      </w:r>
                      <w:proofErr w:type="spellEnd"/>
                      <w:r w:rsidRPr="004A61C5">
                        <w:rPr>
                          <w:b w:val="0"/>
                          <w:color w:val="auto"/>
                        </w:rPr>
                        <w:t>.</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3B4260" w:rsidRPr="004A61C5" w:rsidRDefault="003B4260"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3B4260" w:rsidRPr="004A61C5" w:rsidRDefault="003B4260" w:rsidP="00825C4D">
                      <w:pPr>
                        <w:pStyle w:val="TLKontakty"/>
                        <w:spacing w:after="80" w:line="240" w:lineRule="auto"/>
                        <w:rPr>
                          <w:b w:val="0"/>
                          <w:color w:val="auto"/>
                        </w:rPr>
                      </w:pPr>
                    </w:p>
                    <w:p w14:paraId="4068B566" w14:textId="5510AFC0" w:rsidR="003B4260" w:rsidRPr="004A61C5" w:rsidRDefault="003B4260"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w:t>
                      </w:r>
                      <w:proofErr w:type="spellStart"/>
                      <w:r>
                        <w:rPr>
                          <w:b w:val="0"/>
                          <w:color w:val="auto"/>
                        </w:rPr>
                        <w:t>ph</w:t>
                      </w:r>
                      <w:proofErr w:type="spellEnd"/>
                      <w:r>
                        <w:rPr>
                          <w:b w:val="0"/>
                          <w:color w:val="auto"/>
                        </w:rPr>
                        <w:t xml:space="preserve">.: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3B4260" w:rsidRPr="004A61C5" w:rsidRDefault="003B4260"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3B4260" w:rsidRDefault="003B4260" w:rsidP="00825C4D">
                      <w:pPr>
                        <w:pStyle w:val="TLKontakty"/>
                        <w:spacing w:after="80" w:line="240" w:lineRule="auto"/>
                      </w:pPr>
                    </w:p>
                    <w:p w14:paraId="63ACC352" w14:textId="161D5A2D" w:rsidR="003B4260" w:rsidRPr="00BC731E" w:rsidRDefault="003B4260"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proofErr w:type="spellStart"/>
                      <w:r>
                        <w:rPr>
                          <w:b w:val="0"/>
                          <w:color w:val="auto"/>
                        </w:rPr>
                        <w:t>ph</w:t>
                      </w:r>
                      <w:proofErr w:type="spellEnd"/>
                      <w:r>
                        <w:rPr>
                          <w:b w:val="0"/>
                          <w:color w:val="auto"/>
                        </w:rPr>
                        <w:t xml:space="preserve">.: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3B4260" w:rsidRPr="004A61C5" w:rsidRDefault="003B4260"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3B4260" w:rsidRPr="004A61C5" w:rsidRDefault="003B4260" w:rsidP="00825C4D">
                      <w:pPr>
                        <w:pStyle w:val="TLKontakty"/>
                        <w:spacing w:after="80" w:line="240" w:lineRule="auto"/>
                        <w:rPr>
                          <w:b w:val="0"/>
                          <w:color w:val="auto"/>
                        </w:rPr>
                      </w:pPr>
                    </w:p>
                    <w:p w14:paraId="71AC5E72" w14:textId="3E523F4D" w:rsidR="003B4260" w:rsidRPr="005E7C78" w:rsidRDefault="003B4260"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proofErr w:type="spellStart"/>
                      <w:r>
                        <w:rPr>
                          <w:b w:val="0"/>
                          <w:color w:val="auto"/>
                        </w:rPr>
                        <w:t>ph</w:t>
                      </w:r>
                      <w:proofErr w:type="spellEnd"/>
                      <w:r>
                        <w:rPr>
                          <w:b w:val="0"/>
                          <w:color w:val="auto"/>
                        </w:rPr>
                        <w:t xml:space="preserve">.: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3B4260" w:rsidRPr="005E7C78" w:rsidRDefault="003B4260"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3B4260" w:rsidRPr="005E7C78" w:rsidRDefault="003B4260" w:rsidP="00825C4D">
                      <w:pPr>
                        <w:pStyle w:val="TLKontakty"/>
                        <w:spacing w:after="80" w:line="240" w:lineRule="auto"/>
                        <w:rPr>
                          <w:b w:val="0"/>
                          <w:color w:val="auto"/>
                        </w:rPr>
                      </w:pPr>
                    </w:p>
                    <w:p w14:paraId="00E77B80" w14:textId="1227EBD2" w:rsidR="003B4260" w:rsidRPr="005E7C78" w:rsidRDefault="003B4260"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proofErr w:type="spellStart"/>
                      <w:r>
                        <w:rPr>
                          <w:b w:val="0"/>
                          <w:color w:val="auto"/>
                        </w:rPr>
                        <w:t>ph</w:t>
                      </w:r>
                      <w:proofErr w:type="spellEnd"/>
                      <w:r w:rsidRPr="00BC731E">
                        <w:rPr>
                          <w:b w:val="0"/>
                          <w:color w:val="auto"/>
                        </w:rPr>
                        <w:t>.: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3B4260" w:rsidRDefault="003B4260"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3B4260" w:rsidRPr="005E7C78" w:rsidRDefault="003B4260" w:rsidP="00095135">
                      <w:pPr>
                        <w:pStyle w:val="TLKontakty"/>
                        <w:spacing w:after="80" w:line="240" w:lineRule="auto"/>
                        <w:rPr>
                          <w:b w:val="0"/>
                          <w:color w:val="auto"/>
                        </w:rPr>
                      </w:pPr>
                    </w:p>
                    <w:p w14:paraId="0275618D" w14:textId="72D34C93" w:rsidR="003B4260" w:rsidRPr="005E7C78" w:rsidRDefault="003B4260"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w:t>
                      </w:r>
                      <w:proofErr w:type="spellStart"/>
                      <w:r>
                        <w:rPr>
                          <w:b w:val="0"/>
                          <w:color w:val="auto"/>
                        </w:rPr>
                        <w:t>ph</w:t>
                      </w:r>
                      <w:proofErr w:type="spellEnd"/>
                      <w:r>
                        <w:rPr>
                          <w:b w:val="0"/>
                          <w:color w:val="auto"/>
                        </w:rPr>
                        <w:t xml:space="preserve">.: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3B4260" w:rsidRPr="00095135" w:rsidRDefault="003B4260"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sidR="00BF4329" w:rsidRPr="006E725C">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07B0" w14:textId="1F4BCFB0" w:rsidR="003B4260" w:rsidRPr="00321924" w:rsidRDefault="003B4260" w:rsidP="00A16E1D">
                            <w:pPr>
                              <w:jc w:val="left"/>
                            </w:pPr>
                            <w:r w:rsidRPr="00321924">
                              <w:br/>
                              <w:t xml:space="preserve">© </w:t>
                            </w:r>
                            <w:r>
                              <w:t xml:space="preserve">Czech </w:t>
                            </w:r>
                            <w:proofErr w:type="spellStart"/>
                            <w:r>
                              <w:t>Statistical</w:t>
                            </w:r>
                            <w:proofErr w:type="spellEnd"/>
                            <w:r>
                              <w:t xml:space="preserve"> Office</w:t>
                            </w:r>
                            <w:r w:rsidRPr="00321924">
                              <w:t xml:space="preserve">, </w:t>
                            </w:r>
                            <w:r>
                              <w:t>Prague, 2024</w:t>
                            </w:r>
                          </w:p>
                          <w:p w14:paraId="314CB98A" w14:textId="77777777" w:rsidR="003B4260" w:rsidRDefault="003B4260"/>
                          <w:p w14:paraId="6776AB5D" w14:textId="77777777" w:rsidR="003B4260" w:rsidRPr="00841D9F" w:rsidRDefault="003B4260"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3B4260" w:rsidRPr="00AF2852" w:rsidRDefault="003B4260"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NbuQ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" filled="f" stroked="f">
                <v:textbox inset="0,0,0,0">
                  <w:txbxContent>
                    <w:p w14:paraId="45ED07B0" w14:textId="1F4BCFB0" w:rsidR="003B4260" w:rsidRPr="00321924" w:rsidRDefault="003B4260" w:rsidP="00A16E1D">
                      <w:pPr>
                        <w:jc w:val="left"/>
                      </w:pPr>
                      <w:r w:rsidRPr="00321924">
                        <w:br/>
                        <w:t xml:space="preserve">© </w:t>
                      </w:r>
                      <w:r>
                        <w:t xml:space="preserve">Czech </w:t>
                      </w:r>
                      <w:proofErr w:type="spellStart"/>
                      <w:r>
                        <w:t>Statistical</w:t>
                      </w:r>
                      <w:proofErr w:type="spellEnd"/>
                      <w:r>
                        <w:t xml:space="preserve"> Office</w:t>
                      </w:r>
                      <w:r w:rsidRPr="00321924">
                        <w:t xml:space="preserve">, </w:t>
                      </w:r>
                      <w:r>
                        <w:t>Prague, 2024</w:t>
                      </w:r>
                    </w:p>
                    <w:p w14:paraId="314CB98A" w14:textId="77777777" w:rsidR="003B4260" w:rsidRDefault="003B4260"/>
                    <w:p w14:paraId="6776AB5D" w14:textId="77777777" w:rsidR="003B4260" w:rsidRPr="00841D9F" w:rsidRDefault="003B4260"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3B4260" w:rsidRPr="00AF2852" w:rsidRDefault="003B4260"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sidR="00BF4329" w:rsidRPr="006E725C">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30964" w14:textId="77777777" w:rsidR="003B4260" w:rsidRPr="009A1902" w:rsidRDefault="003B4260" w:rsidP="001B4DF6">
                            <w:pPr>
                              <w:rPr>
                                <w:b/>
                                <w:bCs/>
                                <w:i/>
                                <w:sz w:val="24"/>
                              </w:rPr>
                            </w:pPr>
                            <w:r w:rsidRPr="006557C0">
                              <w:rPr>
                                <w:b/>
                                <w:color w:val="0071BC"/>
                                <w:sz w:val="24"/>
                                <w:lang w:val="en-GB"/>
                              </w:rPr>
                              <w:t xml:space="preserve">Are you interested in the latest data connected with inflation, GDP, population, average wages and much more? You can find them on the CZSO web page: </w:t>
                            </w:r>
                            <w:r w:rsidRPr="006557C0">
                              <w:rPr>
                                <w:b/>
                                <w:sz w:val="24"/>
                                <w:lang w:val="en-GB"/>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" filled="f" stroked="f">
                <v:textbox style="mso-fit-shape-to-text:t" inset="0,0,0,0">
                  <w:txbxContent>
                    <w:p w14:paraId="1DB30964" w14:textId="77777777" w:rsidR="003B4260" w:rsidRPr="009A1902" w:rsidRDefault="003B4260" w:rsidP="001B4DF6">
                      <w:pPr>
                        <w:rPr>
                          <w:b/>
                          <w:bCs/>
                          <w:i/>
                          <w:sz w:val="24"/>
                        </w:rPr>
                      </w:pPr>
                      <w:r w:rsidRPr="006557C0">
                        <w:rPr>
                          <w:b/>
                          <w:color w:val="0071BC"/>
                          <w:sz w:val="24"/>
                          <w:lang w:val="en-GB"/>
                        </w:rPr>
                        <w:t xml:space="preserve">Are you interested in the latest data connected with inflation, GDP, population, average wages and much more? You can find them on the CZSO web page: </w:t>
                      </w:r>
                      <w:r w:rsidRPr="006557C0">
                        <w:rPr>
                          <w:b/>
                          <w:sz w:val="24"/>
                          <w:lang w:val="en-GB"/>
                        </w:rPr>
                        <w:t>www.czso.cz</w:t>
                      </w:r>
                    </w:p>
                  </w:txbxContent>
                </v:textbox>
                <w10:wrap anchorx="page" anchory="page"/>
                <w10:anchorlock/>
              </v:shape>
            </w:pict>
          </mc:Fallback>
        </mc:AlternateContent>
      </w:r>
    </w:p>
    <w:sdt>
      <w:sdtPr>
        <w:rPr>
          <w:b w:val="0"/>
          <w:color w:val="auto"/>
          <w:sz w:val="20"/>
          <w:lang w:val="en-GB"/>
        </w:rPr>
        <w:id w:val="129444162"/>
        <w:docPartObj>
          <w:docPartGallery w:val="Table of Contents"/>
          <w:docPartUnique/>
        </w:docPartObj>
      </w:sdtPr>
      <w:sdtEndPr/>
      <w:sdtContent>
        <w:p w14:paraId="597230E6" w14:textId="12E95DB7" w:rsidR="00867DAB" w:rsidRPr="006E725C" w:rsidRDefault="004819AD" w:rsidP="00867DAB">
          <w:pPr>
            <w:pStyle w:val="Obsah"/>
            <w:rPr>
              <w:lang w:val="en-GB"/>
            </w:rPr>
          </w:pPr>
          <w:r w:rsidRPr="006E725C">
            <w:rPr>
              <w:lang w:val="en-GB"/>
            </w:rPr>
            <w:t>Contents</w:t>
          </w:r>
        </w:p>
        <w:bookmarkStart w:id="0" w:name="_GoBack"/>
        <w:bookmarkEnd w:id="0"/>
        <w:p w14:paraId="74143691" w14:textId="253B0308" w:rsidR="00300E53" w:rsidRDefault="00EF1967">
          <w:pPr>
            <w:pStyle w:val="Obsah1"/>
            <w:rPr>
              <w:rFonts w:asciiTheme="minorHAnsi" w:eastAsiaTheme="minorEastAsia" w:hAnsiTheme="minorHAnsi" w:cstheme="minorBidi"/>
              <w:noProof/>
              <w:sz w:val="22"/>
              <w:szCs w:val="22"/>
            </w:rPr>
          </w:pPr>
          <w:r w:rsidRPr="006E725C">
            <w:rPr>
              <w:lang w:val="en-GB"/>
            </w:rPr>
            <w:fldChar w:fldCharType="begin"/>
          </w:r>
          <w:r w:rsidR="007D42E5" w:rsidRPr="006E725C">
            <w:rPr>
              <w:lang w:val="en-GB"/>
            </w:rPr>
            <w:instrText>TOC \o "1-3" \h \z \u</w:instrText>
          </w:r>
          <w:r w:rsidRPr="006E725C">
            <w:rPr>
              <w:lang w:val="en-GB"/>
            </w:rPr>
            <w:fldChar w:fldCharType="separate"/>
          </w:r>
          <w:hyperlink w:anchor="_Toc164682183" w:history="1">
            <w:r w:rsidR="00300E53" w:rsidRPr="0084709D">
              <w:rPr>
                <w:rStyle w:val="Hypertextovodkaz"/>
                <w:noProof/>
                <w:lang w:val="en-GB"/>
              </w:rPr>
              <w:t>1. Contents</w:t>
            </w:r>
            <w:r w:rsidR="00300E53">
              <w:rPr>
                <w:noProof/>
                <w:webHidden/>
              </w:rPr>
              <w:tab/>
            </w:r>
            <w:r w:rsidR="00300E53">
              <w:rPr>
                <w:noProof/>
                <w:webHidden/>
              </w:rPr>
              <w:fldChar w:fldCharType="begin"/>
            </w:r>
            <w:r w:rsidR="00300E53">
              <w:rPr>
                <w:noProof/>
                <w:webHidden/>
              </w:rPr>
              <w:instrText xml:space="preserve"> PAGEREF _Toc164682183 \h </w:instrText>
            </w:r>
            <w:r w:rsidR="00300E53">
              <w:rPr>
                <w:noProof/>
                <w:webHidden/>
              </w:rPr>
            </w:r>
            <w:r w:rsidR="00300E53">
              <w:rPr>
                <w:noProof/>
                <w:webHidden/>
              </w:rPr>
              <w:fldChar w:fldCharType="separate"/>
            </w:r>
            <w:r w:rsidR="00300E53">
              <w:rPr>
                <w:noProof/>
                <w:webHidden/>
              </w:rPr>
              <w:t>4</w:t>
            </w:r>
            <w:r w:rsidR="00300E53">
              <w:rPr>
                <w:noProof/>
                <w:webHidden/>
              </w:rPr>
              <w:fldChar w:fldCharType="end"/>
            </w:r>
          </w:hyperlink>
        </w:p>
        <w:p w14:paraId="467E48FE" w14:textId="5117BF55" w:rsidR="00300E53" w:rsidRDefault="00300E53">
          <w:pPr>
            <w:pStyle w:val="Obsah1"/>
            <w:rPr>
              <w:rFonts w:asciiTheme="minorHAnsi" w:eastAsiaTheme="minorEastAsia" w:hAnsiTheme="minorHAnsi" w:cstheme="minorBidi"/>
              <w:noProof/>
              <w:sz w:val="22"/>
              <w:szCs w:val="22"/>
            </w:rPr>
          </w:pPr>
          <w:hyperlink w:anchor="_Toc164682184" w:history="1">
            <w:r w:rsidRPr="0084709D">
              <w:rPr>
                <w:rStyle w:val="Hypertextovodkaz"/>
                <w:noProof/>
                <w:lang w:val="en-GB"/>
              </w:rPr>
              <w:t>2. Overall Economic Performance</w:t>
            </w:r>
            <w:r>
              <w:rPr>
                <w:noProof/>
                <w:webHidden/>
              </w:rPr>
              <w:tab/>
            </w:r>
            <w:r>
              <w:rPr>
                <w:noProof/>
                <w:webHidden/>
              </w:rPr>
              <w:fldChar w:fldCharType="begin"/>
            </w:r>
            <w:r>
              <w:rPr>
                <w:noProof/>
                <w:webHidden/>
              </w:rPr>
              <w:instrText xml:space="preserve"> PAGEREF _Toc164682184 \h </w:instrText>
            </w:r>
            <w:r>
              <w:rPr>
                <w:noProof/>
                <w:webHidden/>
              </w:rPr>
            </w:r>
            <w:r>
              <w:rPr>
                <w:noProof/>
                <w:webHidden/>
              </w:rPr>
              <w:fldChar w:fldCharType="separate"/>
            </w:r>
            <w:r>
              <w:rPr>
                <w:noProof/>
                <w:webHidden/>
              </w:rPr>
              <w:t>7</w:t>
            </w:r>
            <w:r>
              <w:rPr>
                <w:noProof/>
                <w:webHidden/>
              </w:rPr>
              <w:fldChar w:fldCharType="end"/>
            </w:r>
          </w:hyperlink>
        </w:p>
        <w:p w14:paraId="75C31CE6" w14:textId="094CA5A2" w:rsidR="00300E53" w:rsidRDefault="00300E53">
          <w:pPr>
            <w:pStyle w:val="Obsah1"/>
            <w:rPr>
              <w:rFonts w:asciiTheme="minorHAnsi" w:eastAsiaTheme="minorEastAsia" w:hAnsiTheme="minorHAnsi" w:cstheme="minorBidi"/>
              <w:noProof/>
              <w:sz w:val="22"/>
              <w:szCs w:val="22"/>
            </w:rPr>
          </w:pPr>
          <w:hyperlink w:anchor="_Toc164682185" w:history="1">
            <w:r w:rsidRPr="0084709D">
              <w:rPr>
                <w:rStyle w:val="Hypertextovodkaz"/>
                <w:noProof/>
                <w:lang w:val="en-GB"/>
              </w:rPr>
              <w:t>3. Branches Performance</w:t>
            </w:r>
            <w:r>
              <w:rPr>
                <w:noProof/>
                <w:webHidden/>
              </w:rPr>
              <w:tab/>
            </w:r>
            <w:r>
              <w:rPr>
                <w:noProof/>
                <w:webHidden/>
              </w:rPr>
              <w:fldChar w:fldCharType="begin"/>
            </w:r>
            <w:r>
              <w:rPr>
                <w:noProof/>
                <w:webHidden/>
              </w:rPr>
              <w:instrText xml:space="preserve"> PAGEREF _Toc164682185 \h </w:instrText>
            </w:r>
            <w:r>
              <w:rPr>
                <w:noProof/>
                <w:webHidden/>
              </w:rPr>
            </w:r>
            <w:r>
              <w:rPr>
                <w:noProof/>
                <w:webHidden/>
              </w:rPr>
              <w:fldChar w:fldCharType="separate"/>
            </w:r>
            <w:r>
              <w:rPr>
                <w:noProof/>
                <w:webHidden/>
              </w:rPr>
              <w:t>12</w:t>
            </w:r>
            <w:r>
              <w:rPr>
                <w:noProof/>
                <w:webHidden/>
              </w:rPr>
              <w:fldChar w:fldCharType="end"/>
            </w:r>
          </w:hyperlink>
        </w:p>
        <w:p w14:paraId="5938A195" w14:textId="36A6C525" w:rsidR="00300E53" w:rsidRDefault="00300E53">
          <w:pPr>
            <w:pStyle w:val="Obsah1"/>
            <w:rPr>
              <w:rFonts w:asciiTheme="minorHAnsi" w:eastAsiaTheme="minorEastAsia" w:hAnsiTheme="minorHAnsi" w:cstheme="minorBidi"/>
              <w:noProof/>
              <w:sz w:val="22"/>
              <w:szCs w:val="22"/>
            </w:rPr>
          </w:pPr>
          <w:hyperlink w:anchor="_Toc164682186" w:history="1">
            <w:r w:rsidRPr="0084709D">
              <w:rPr>
                <w:rStyle w:val="Hypertextovodkaz"/>
                <w:noProof/>
                <w:lang w:val="en-GB"/>
              </w:rPr>
              <w:t>4. External Relations</w:t>
            </w:r>
            <w:r>
              <w:rPr>
                <w:noProof/>
                <w:webHidden/>
              </w:rPr>
              <w:tab/>
            </w:r>
            <w:r>
              <w:rPr>
                <w:noProof/>
                <w:webHidden/>
              </w:rPr>
              <w:fldChar w:fldCharType="begin"/>
            </w:r>
            <w:r>
              <w:rPr>
                <w:noProof/>
                <w:webHidden/>
              </w:rPr>
              <w:instrText xml:space="preserve"> PAGEREF _Toc164682186 \h </w:instrText>
            </w:r>
            <w:r>
              <w:rPr>
                <w:noProof/>
                <w:webHidden/>
              </w:rPr>
            </w:r>
            <w:r>
              <w:rPr>
                <w:noProof/>
                <w:webHidden/>
              </w:rPr>
              <w:fldChar w:fldCharType="separate"/>
            </w:r>
            <w:r>
              <w:rPr>
                <w:noProof/>
                <w:webHidden/>
              </w:rPr>
              <w:t>23</w:t>
            </w:r>
            <w:r>
              <w:rPr>
                <w:noProof/>
                <w:webHidden/>
              </w:rPr>
              <w:fldChar w:fldCharType="end"/>
            </w:r>
          </w:hyperlink>
        </w:p>
        <w:p w14:paraId="6C9BBF0C" w14:textId="60ACF4C7" w:rsidR="00300E53" w:rsidRDefault="00300E53">
          <w:pPr>
            <w:pStyle w:val="Obsah1"/>
            <w:rPr>
              <w:rFonts w:asciiTheme="minorHAnsi" w:eastAsiaTheme="minorEastAsia" w:hAnsiTheme="minorHAnsi" w:cstheme="minorBidi"/>
              <w:noProof/>
              <w:sz w:val="22"/>
              <w:szCs w:val="22"/>
            </w:rPr>
          </w:pPr>
          <w:hyperlink w:anchor="_Toc164682187" w:history="1">
            <w:r w:rsidRPr="0084709D">
              <w:rPr>
                <w:rStyle w:val="Hypertextovodkaz"/>
                <w:noProof/>
                <w:lang w:val="en-GB"/>
              </w:rPr>
              <w:t>5. Prices</w:t>
            </w:r>
            <w:r>
              <w:rPr>
                <w:noProof/>
                <w:webHidden/>
              </w:rPr>
              <w:tab/>
            </w:r>
            <w:r>
              <w:rPr>
                <w:noProof/>
                <w:webHidden/>
              </w:rPr>
              <w:fldChar w:fldCharType="begin"/>
            </w:r>
            <w:r>
              <w:rPr>
                <w:noProof/>
                <w:webHidden/>
              </w:rPr>
              <w:instrText xml:space="preserve"> PAGEREF _Toc164682187 \h </w:instrText>
            </w:r>
            <w:r>
              <w:rPr>
                <w:noProof/>
                <w:webHidden/>
              </w:rPr>
            </w:r>
            <w:r>
              <w:rPr>
                <w:noProof/>
                <w:webHidden/>
              </w:rPr>
              <w:fldChar w:fldCharType="separate"/>
            </w:r>
            <w:r>
              <w:rPr>
                <w:noProof/>
                <w:webHidden/>
              </w:rPr>
              <w:t>27</w:t>
            </w:r>
            <w:r>
              <w:rPr>
                <w:noProof/>
                <w:webHidden/>
              </w:rPr>
              <w:fldChar w:fldCharType="end"/>
            </w:r>
          </w:hyperlink>
        </w:p>
        <w:p w14:paraId="2DFD1B1C" w14:textId="5426B735" w:rsidR="00300E53" w:rsidRDefault="00300E53">
          <w:pPr>
            <w:pStyle w:val="Obsah1"/>
            <w:rPr>
              <w:rFonts w:asciiTheme="minorHAnsi" w:eastAsiaTheme="minorEastAsia" w:hAnsiTheme="minorHAnsi" w:cstheme="minorBidi"/>
              <w:noProof/>
              <w:sz w:val="22"/>
              <w:szCs w:val="22"/>
            </w:rPr>
          </w:pPr>
          <w:hyperlink w:anchor="_Toc164682188" w:history="1">
            <w:r w:rsidRPr="0084709D">
              <w:rPr>
                <w:rStyle w:val="Hypertextovodkaz"/>
                <w:noProof/>
                <w:lang w:val="en-GB"/>
              </w:rPr>
              <w:t>6. Labour Market</w:t>
            </w:r>
            <w:r>
              <w:rPr>
                <w:noProof/>
                <w:webHidden/>
              </w:rPr>
              <w:tab/>
            </w:r>
            <w:r>
              <w:rPr>
                <w:noProof/>
                <w:webHidden/>
              </w:rPr>
              <w:fldChar w:fldCharType="begin"/>
            </w:r>
            <w:r>
              <w:rPr>
                <w:noProof/>
                <w:webHidden/>
              </w:rPr>
              <w:instrText xml:space="preserve"> PAGEREF _Toc164682188 \h </w:instrText>
            </w:r>
            <w:r>
              <w:rPr>
                <w:noProof/>
                <w:webHidden/>
              </w:rPr>
            </w:r>
            <w:r>
              <w:rPr>
                <w:noProof/>
                <w:webHidden/>
              </w:rPr>
              <w:fldChar w:fldCharType="separate"/>
            </w:r>
            <w:r>
              <w:rPr>
                <w:noProof/>
                <w:webHidden/>
              </w:rPr>
              <w:t>34</w:t>
            </w:r>
            <w:r>
              <w:rPr>
                <w:noProof/>
                <w:webHidden/>
              </w:rPr>
              <w:fldChar w:fldCharType="end"/>
            </w:r>
          </w:hyperlink>
        </w:p>
        <w:p w14:paraId="6205BC70" w14:textId="5FCF2510" w:rsidR="00300E53" w:rsidRDefault="00300E53">
          <w:pPr>
            <w:pStyle w:val="Obsah1"/>
            <w:rPr>
              <w:rFonts w:asciiTheme="minorHAnsi" w:eastAsiaTheme="minorEastAsia" w:hAnsiTheme="minorHAnsi" w:cstheme="minorBidi"/>
              <w:noProof/>
              <w:sz w:val="22"/>
              <w:szCs w:val="22"/>
            </w:rPr>
          </w:pPr>
          <w:hyperlink w:anchor="_Toc164682189" w:history="1">
            <w:r w:rsidRPr="0084709D">
              <w:rPr>
                <w:rStyle w:val="Hypertextovodkaz"/>
                <w:noProof/>
                <w:lang w:val="en-GB"/>
              </w:rPr>
              <w:t>7. Monetary Conditions</w:t>
            </w:r>
            <w:r>
              <w:rPr>
                <w:noProof/>
                <w:webHidden/>
              </w:rPr>
              <w:tab/>
            </w:r>
            <w:r>
              <w:rPr>
                <w:noProof/>
                <w:webHidden/>
              </w:rPr>
              <w:fldChar w:fldCharType="begin"/>
            </w:r>
            <w:r>
              <w:rPr>
                <w:noProof/>
                <w:webHidden/>
              </w:rPr>
              <w:instrText xml:space="preserve"> PAGEREF _Toc164682189 \h </w:instrText>
            </w:r>
            <w:r>
              <w:rPr>
                <w:noProof/>
                <w:webHidden/>
              </w:rPr>
            </w:r>
            <w:r>
              <w:rPr>
                <w:noProof/>
                <w:webHidden/>
              </w:rPr>
              <w:fldChar w:fldCharType="separate"/>
            </w:r>
            <w:r>
              <w:rPr>
                <w:noProof/>
                <w:webHidden/>
              </w:rPr>
              <w:t>42</w:t>
            </w:r>
            <w:r>
              <w:rPr>
                <w:noProof/>
                <w:webHidden/>
              </w:rPr>
              <w:fldChar w:fldCharType="end"/>
            </w:r>
          </w:hyperlink>
        </w:p>
        <w:p w14:paraId="111B0888" w14:textId="0B540297" w:rsidR="00300E53" w:rsidRDefault="00300E53">
          <w:pPr>
            <w:pStyle w:val="Obsah1"/>
            <w:rPr>
              <w:rFonts w:asciiTheme="minorHAnsi" w:eastAsiaTheme="minorEastAsia" w:hAnsiTheme="minorHAnsi" w:cstheme="minorBidi"/>
              <w:noProof/>
              <w:sz w:val="22"/>
              <w:szCs w:val="22"/>
            </w:rPr>
          </w:pPr>
          <w:hyperlink w:anchor="_Toc164682190" w:history="1">
            <w:r w:rsidRPr="0084709D">
              <w:rPr>
                <w:rStyle w:val="Hypertextovodkaz"/>
                <w:noProof/>
                <w:lang w:val="en-GB"/>
              </w:rPr>
              <w:t>8. State Budget</w:t>
            </w:r>
            <w:r>
              <w:rPr>
                <w:noProof/>
                <w:webHidden/>
              </w:rPr>
              <w:tab/>
            </w:r>
            <w:r>
              <w:rPr>
                <w:noProof/>
                <w:webHidden/>
              </w:rPr>
              <w:fldChar w:fldCharType="begin"/>
            </w:r>
            <w:r>
              <w:rPr>
                <w:noProof/>
                <w:webHidden/>
              </w:rPr>
              <w:instrText xml:space="preserve"> PAGEREF _Toc164682190 \h </w:instrText>
            </w:r>
            <w:r>
              <w:rPr>
                <w:noProof/>
                <w:webHidden/>
              </w:rPr>
            </w:r>
            <w:r>
              <w:rPr>
                <w:noProof/>
                <w:webHidden/>
              </w:rPr>
              <w:fldChar w:fldCharType="separate"/>
            </w:r>
            <w:r>
              <w:rPr>
                <w:noProof/>
                <w:webHidden/>
              </w:rPr>
              <w:t>45</w:t>
            </w:r>
            <w:r>
              <w:rPr>
                <w:noProof/>
                <w:webHidden/>
              </w:rPr>
              <w:fldChar w:fldCharType="end"/>
            </w:r>
          </w:hyperlink>
        </w:p>
        <w:p w14:paraId="1501AF99" w14:textId="0A943DD1" w:rsidR="00FD6667" w:rsidRPr="006E725C" w:rsidRDefault="00EF1967" w:rsidP="5E8D8646">
          <w:pPr>
            <w:pStyle w:val="Obsah1"/>
            <w:tabs>
              <w:tab w:val="clear" w:pos="9639"/>
              <w:tab w:val="right" w:leader="dot" w:pos="9630"/>
            </w:tabs>
            <w:rPr>
              <w:rStyle w:val="Hypertextovodkaz"/>
              <w:noProof/>
              <w:lang w:val="en-GB"/>
            </w:rPr>
          </w:pPr>
          <w:r w:rsidRPr="006E725C">
            <w:rPr>
              <w:lang w:val="en-GB"/>
            </w:rPr>
            <w:fldChar w:fldCharType="end"/>
          </w:r>
        </w:p>
      </w:sdtContent>
    </w:sdt>
    <w:p w14:paraId="39BB97E5" w14:textId="72E58139" w:rsidR="00867DAB" w:rsidRPr="006E725C" w:rsidRDefault="00867DAB">
      <w:pPr>
        <w:rPr>
          <w:lang w:val="en-GB"/>
        </w:rPr>
      </w:pPr>
    </w:p>
    <w:p w14:paraId="6CBF0906" w14:textId="77777777" w:rsidR="00003F5C" w:rsidRPr="006E725C" w:rsidRDefault="00003F5C" w:rsidP="00003F5C">
      <w:pPr>
        <w:pStyle w:val="Textpoznpodarou"/>
        <w:jc w:val="both"/>
        <w:rPr>
          <w:rFonts w:cs="Arial"/>
          <w:color w:val="000000"/>
          <w:lang w:val="en-GB"/>
        </w:rPr>
      </w:pPr>
    </w:p>
    <w:p w14:paraId="77CA2D67" w14:textId="77777777" w:rsidR="00003F5C" w:rsidRPr="006E725C" w:rsidRDefault="00003F5C" w:rsidP="00003F5C">
      <w:pPr>
        <w:pStyle w:val="Textpoznpodarou"/>
        <w:jc w:val="both"/>
        <w:rPr>
          <w:rFonts w:cs="Arial"/>
          <w:color w:val="000000"/>
          <w:lang w:val="en-GB"/>
        </w:rPr>
      </w:pPr>
    </w:p>
    <w:p w14:paraId="223CBCEF" w14:textId="77777777" w:rsidR="00003F5C" w:rsidRPr="006E725C" w:rsidRDefault="00003F5C" w:rsidP="00003F5C">
      <w:pPr>
        <w:pStyle w:val="Textpoznpodarou"/>
        <w:jc w:val="both"/>
        <w:rPr>
          <w:rFonts w:cs="Arial"/>
          <w:color w:val="000000"/>
          <w:lang w:val="en-GB"/>
        </w:rPr>
      </w:pPr>
    </w:p>
    <w:p w14:paraId="0F28E1B0" w14:textId="77777777" w:rsidR="00003F5C" w:rsidRPr="006E725C" w:rsidRDefault="00003F5C" w:rsidP="00003F5C">
      <w:pPr>
        <w:pStyle w:val="Textpoznpodarou"/>
        <w:jc w:val="both"/>
        <w:rPr>
          <w:rFonts w:cs="Arial"/>
          <w:color w:val="000000"/>
          <w:lang w:val="en-GB"/>
        </w:rPr>
      </w:pPr>
    </w:p>
    <w:p w14:paraId="2E66CDA4" w14:textId="77777777" w:rsidR="00003F5C" w:rsidRPr="006E725C" w:rsidRDefault="00003F5C" w:rsidP="00003F5C">
      <w:pPr>
        <w:pStyle w:val="Textpoznpodarou"/>
        <w:jc w:val="both"/>
        <w:rPr>
          <w:rFonts w:cs="Arial"/>
          <w:color w:val="000000"/>
          <w:lang w:val="en-GB"/>
        </w:rPr>
      </w:pPr>
    </w:p>
    <w:p w14:paraId="38EBE8F7" w14:textId="77777777" w:rsidR="00003F5C" w:rsidRPr="006E725C" w:rsidRDefault="00003F5C" w:rsidP="00003F5C">
      <w:pPr>
        <w:pStyle w:val="Textpoznpodarou"/>
        <w:jc w:val="both"/>
        <w:rPr>
          <w:rFonts w:cs="Arial"/>
          <w:color w:val="000000"/>
          <w:lang w:val="en-GB"/>
        </w:rPr>
      </w:pPr>
    </w:p>
    <w:p w14:paraId="6B8FA4BE" w14:textId="3A12A485" w:rsidR="00710CE8" w:rsidRPr="006E725C" w:rsidRDefault="00710CE8" w:rsidP="00710CE8">
      <w:pPr>
        <w:pStyle w:val="Textpoznpodarou"/>
        <w:jc w:val="both"/>
        <w:rPr>
          <w:rFonts w:cs="Arial"/>
          <w:color w:val="000000"/>
          <w:lang w:val="en-GB"/>
        </w:rPr>
      </w:pPr>
      <w:r w:rsidRPr="006E725C">
        <w:rPr>
          <w:rFonts w:cs="Arial"/>
          <w:color w:val="000000"/>
          <w:lang w:val="en-GB"/>
        </w:rPr>
        <w:t xml:space="preserve">Main source of data in the whole analysis: Czech Statistical Office (CZSO), Ministry of Finance (MF CR), Czech National Bank (CNB), Ministry of Labour and Social Affairs (MLSA), </w:t>
      </w:r>
      <w:r w:rsidR="005865AF" w:rsidRPr="006E725C">
        <w:rPr>
          <w:rFonts w:cs="Arial"/>
          <w:color w:val="000000"/>
          <w:lang w:val="en-GB"/>
        </w:rPr>
        <w:t xml:space="preserve">Ministry of </w:t>
      </w:r>
      <w:r w:rsidR="005865AF">
        <w:rPr>
          <w:rFonts w:cs="Arial"/>
          <w:color w:val="000000"/>
          <w:lang w:val="en-GB"/>
        </w:rPr>
        <w:t xml:space="preserve">Industry and Trade (MIT), </w:t>
      </w:r>
      <w:r w:rsidRPr="006E725C">
        <w:rPr>
          <w:rFonts w:cs="Arial"/>
          <w:color w:val="000000"/>
          <w:lang w:val="en-GB"/>
        </w:rPr>
        <w:t>Czech Social Security Administration (CSSA), Eurostat, CZSO calculations.</w:t>
      </w:r>
    </w:p>
    <w:p w14:paraId="00AFFACC" w14:textId="2D8BAD40" w:rsidR="00710CE8" w:rsidRPr="006E725C" w:rsidRDefault="00710CE8" w:rsidP="00710CE8">
      <w:pPr>
        <w:pStyle w:val="Textpoznpodarou"/>
        <w:jc w:val="both"/>
        <w:rPr>
          <w:rFonts w:cs="Arial"/>
          <w:color w:val="000000"/>
          <w:lang w:val="en-GB"/>
        </w:rPr>
      </w:pPr>
      <w:r w:rsidRPr="006E725C">
        <w:rPr>
          <w:rFonts w:cs="Arial"/>
          <w:color w:val="000000"/>
          <w:lang w:val="en-GB"/>
        </w:rPr>
        <w:t xml:space="preserve">Latest information provided in this report has been dated the </w:t>
      </w:r>
      <w:r w:rsidR="00007656" w:rsidRPr="006E725C">
        <w:rPr>
          <w:rFonts w:cs="Arial"/>
          <w:color w:val="000000"/>
          <w:lang w:val="en-GB"/>
        </w:rPr>
        <w:t>15</w:t>
      </w:r>
      <w:r w:rsidR="00007656" w:rsidRPr="006E725C">
        <w:rPr>
          <w:rFonts w:cs="Arial"/>
          <w:color w:val="000000"/>
          <w:vertAlign w:val="superscript"/>
          <w:lang w:val="en-GB"/>
        </w:rPr>
        <w:t>th</w:t>
      </w:r>
      <w:r w:rsidR="00A456C5" w:rsidRPr="006E725C">
        <w:rPr>
          <w:rFonts w:cs="Arial"/>
          <w:color w:val="000000"/>
          <w:vertAlign w:val="superscript"/>
          <w:lang w:val="en-GB"/>
        </w:rPr>
        <w:t xml:space="preserve"> </w:t>
      </w:r>
      <w:r w:rsidRPr="006E725C">
        <w:rPr>
          <w:rFonts w:cs="Arial"/>
          <w:color w:val="000000"/>
          <w:lang w:val="en-GB"/>
        </w:rPr>
        <w:t>March 202</w:t>
      </w:r>
      <w:r w:rsidR="00007656" w:rsidRPr="006E725C">
        <w:rPr>
          <w:rFonts w:cs="Arial"/>
          <w:color w:val="000000"/>
          <w:lang w:val="en-GB"/>
        </w:rPr>
        <w:t>4</w:t>
      </w:r>
      <w:r w:rsidRPr="006E725C">
        <w:rPr>
          <w:rFonts w:cs="Arial"/>
          <w:color w:val="000000"/>
          <w:lang w:val="en-GB"/>
        </w:rPr>
        <w:t>.</w:t>
      </w:r>
    </w:p>
    <w:p w14:paraId="1D1FFA96" w14:textId="77777777" w:rsidR="002F1D56" w:rsidRPr="006E725C" w:rsidRDefault="002F1D56" w:rsidP="00003F5C">
      <w:pPr>
        <w:pStyle w:val="Textpoznpodarou"/>
        <w:jc w:val="both"/>
        <w:rPr>
          <w:rFonts w:cs="Arial"/>
          <w:color w:val="000000"/>
          <w:lang w:val="en-GB"/>
        </w:rPr>
      </w:pPr>
    </w:p>
    <w:p w14:paraId="6EDD1399" w14:textId="77777777" w:rsidR="002F1D56" w:rsidRPr="006E725C" w:rsidRDefault="002F1D56" w:rsidP="00003F5C">
      <w:pPr>
        <w:pStyle w:val="Textpoznpodarou"/>
        <w:jc w:val="both"/>
        <w:rPr>
          <w:rFonts w:cs="Arial"/>
          <w:lang w:val="en-GB"/>
        </w:rPr>
      </w:pPr>
    </w:p>
    <w:p w14:paraId="7CD2B948" w14:textId="77777777" w:rsidR="001777BA" w:rsidRPr="006E725C" w:rsidRDefault="00087F2B" w:rsidP="001777BA">
      <w:pPr>
        <w:pStyle w:val="Nadpis1"/>
        <w:rPr>
          <w:lang w:val="en-GB"/>
        </w:rPr>
      </w:pPr>
      <w:r w:rsidRPr="006E725C">
        <w:rPr>
          <w:color w:val="auto"/>
          <w:lang w:val="en-GB"/>
        </w:rPr>
        <w:br w:type="page"/>
      </w:r>
      <w:bookmarkStart w:id="1" w:name="_Toc97736114"/>
      <w:bookmarkStart w:id="2" w:name="_Toc444112494"/>
      <w:bookmarkStart w:id="3" w:name="_Toc511215208"/>
      <w:bookmarkStart w:id="4" w:name="_Toc26865017"/>
      <w:bookmarkStart w:id="5" w:name="_Toc74643854"/>
      <w:bookmarkStart w:id="6" w:name="_Toc66719928"/>
      <w:bookmarkStart w:id="7" w:name="_Toc19090676"/>
      <w:bookmarkStart w:id="8" w:name="_Toc58605372"/>
    </w:p>
    <w:p w14:paraId="253BEAA7" w14:textId="1B138C19" w:rsidR="00EA1EBB" w:rsidRPr="006E725C" w:rsidRDefault="00EA1EBB" w:rsidP="00582A12">
      <w:pPr>
        <w:pStyle w:val="Nadpis1"/>
        <w:rPr>
          <w:lang w:val="en-GB"/>
        </w:rPr>
      </w:pPr>
      <w:bookmarkStart w:id="9" w:name="_Toc114134045"/>
      <w:bookmarkStart w:id="10" w:name="_Toc58605374"/>
      <w:bookmarkStart w:id="11" w:name="_Toc66719930"/>
      <w:bookmarkStart w:id="12" w:name="_Toc532558287"/>
      <w:bookmarkStart w:id="13" w:name="_Toc58605375"/>
      <w:bookmarkStart w:id="14" w:name="_Toc82508186"/>
      <w:bookmarkStart w:id="15" w:name="_Toc114134047"/>
      <w:bookmarkStart w:id="16" w:name="_Toc114134048"/>
      <w:bookmarkStart w:id="17" w:name="_Toc97736119"/>
      <w:bookmarkStart w:id="18" w:name="_Toc74643859"/>
      <w:bookmarkStart w:id="19" w:name="_Toc90395915"/>
      <w:bookmarkStart w:id="20" w:name="_Toc98245446"/>
      <w:bookmarkStart w:id="21" w:name="_Toc74643860"/>
      <w:bookmarkStart w:id="22" w:name="_Toc164682183"/>
      <w:bookmarkEnd w:id="1"/>
      <w:bookmarkEnd w:id="2"/>
      <w:bookmarkEnd w:id="3"/>
      <w:bookmarkEnd w:id="4"/>
      <w:bookmarkEnd w:id="5"/>
      <w:bookmarkEnd w:id="6"/>
      <w:bookmarkEnd w:id="7"/>
      <w:bookmarkEnd w:id="8"/>
      <w:r w:rsidRPr="006E725C">
        <w:rPr>
          <w:lang w:val="en-GB"/>
        </w:rPr>
        <w:lastRenderedPageBreak/>
        <w:t>1. </w:t>
      </w:r>
      <w:r w:rsidR="004819AD" w:rsidRPr="006E725C">
        <w:rPr>
          <w:lang w:val="en-GB"/>
        </w:rPr>
        <w:t>Contents</w:t>
      </w:r>
      <w:bookmarkEnd w:id="22"/>
    </w:p>
    <w:p w14:paraId="06A5CBF5" w14:textId="2807E1AA" w:rsidR="00EA1EBB" w:rsidRPr="006E725C" w:rsidRDefault="004819AD" w:rsidP="00EA1EBB">
      <w:pPr>
        <w:pStyle w:val="Normalodrka"/>
        <w:rPr>
          <w:spacing w:val="-4"/>
          <w:lang w:val="en-GB"/>
        </w:rPr>
      </w:pPr>
      <w:r w:rsidRPr="006E725C">
        <w:rPr>
          <w:spacing w:val="-4"/>
          <w:lang w:val="en-GB"/>
        </w:rPr>
        <w:t>The Gross domestic product (GDP</w:t>
      </w:r>
      <w:r w:rsidR="00B4489D" w:rsidRPr="006E725C">
        <w:rPr>
          <w:spacing w:val="-4"/>
          <w:lang w:val="en-GB"/>
        </w:rPr>
        <w:t xml:space="preserve">) decreased by </w:t>
      </w:r>
      <w:r w:rsidR="00EA1EBB" w:rsidRPr="006E725C">
        <w:rPr>
          <w:spacing w:val="-4"/>
          <w:lang w:val="en-GB"/>
        </w:rPr>
        <w:t>0</w:t>
      </w:r>
      <w:r w:rsidR="00B4489D" w:rsidRPr="006E725C">
        <w:rPr>
          <w:spacing w:val="-4"/>
          <w:lang w:val="en-GB"/>
        </w:rPr>
        <w:t>.</w:t>
      </w:r>
      <w:r w:rsidR="00EA1EBB" w:rsidRPr="006E725C">
        <w:rPr>
          <w:spacing w:val="-4"/>
          <w:lang w:val="en-GB"/>
        </w:rPr>
        <w:t>4%</w:t>
      </w:r>
      <w:r w:rsidR="00EA1EBB" w:rsidRPr="006E725C">
        <w:rPr>
          <w:rStyle w:val="Znakapoznpodarou"/>
          <w:spacing w:val="-4"/>
          <w:lang w:val="en-GB"/>
        </w:rPr>
        <w:footnoteReference w:id="1"/>
      </w:r>
      <w:r w:rsidR="00B4489D" w:rsidRPr="006E725C">
        <w:rPr>
          <w:spacing w:val="-4"/>
          <w:lang w:val="en-GB"/>
        </w:rPr>
        <w:t xml:space="preserve"> in year 2023</w:t>
      </w:r>
      <w:r w:rsidR="00EA1EBB" w:rsidRPr="006E725C">
        <w:rPr>
          <w:spacing w:val="-4"/>
          <w:lang w:val="en-GB"/>
        </w:rPr>
        <w:t>.</w:t>
      </w:r>
      <w:r w:rsidR="009E26A8" w:rsidRPr="006E725C">
        <w:rPr>
          <w:spacing w:val="-4"/>
          <w:lang w:val="en-GB"/>
        </w:rPr>
        <w:t xml:space="preserve"> The household consumption was falling, and the </w:t>
      </w:r>
      <w:r w:rsidR="001E18A0" w:rsidRPr="006E725C">
        <w:rPr>
          <w:spacing w:val="-4"/>
          <w:lang w:val="en-GB"/>
        </w:rPr>
        <w:t xml:space="preserve">change </w:t>
      </w:r>
      <w:r w:rsidR="00E529B1" w:rsidRPr="006E725C">
        <w:rPr>
          <w:spacing w:val="-4"/>
          <w:lang w:val="en-GB"/>
        </w:rPr>
        <w:t xml:space="preserve">in </w:t>
      </w:r>
      <w:r w:rsidR="001E18A0" w:rsidRPr="006E725C">
        <w:rPr>
          <w:spacing w:val="-4"/>
          <w:lang w:val="en-GB"/>
        </w:rPr>
        <w:t>inventor</w:t>
      </w:r>
      <w:r w:rsidR="00E529B1" w:rsidRPr="006E725C">
        <w:rPr>
          <w:spacing w:val="-4"/>
          <w:lang w:val="en-GB"/>
        </w:rPr>
        <w:t xml:space="preserve">ies </w:t>
      </w:r>
      <w:r w:rsidR="009E26A8" w:rsidRPr="006E725C">
        <w:rPr>
          <w:spacing w:val="-4"/>
          <w:lang w:val="en-GB"/>
        </w:rPr>
        <w:t>exerted a negative effect</w:t>
      </w:r>
      <w:r w:rsidR="00EA1EBB" w:rsidRPr="006E725C">
        <w:rPr>
          <w:spacing w:val="-4"/>
          <w:lang w:val="en-GB"/>
        </w:rPr>
        <w:t xml:space="preserve">. </w:t>
      </w:r>
      <w:r w:rsidR="00635AA6" w:rsidRPr="006E725C">
        <w:rPr>
          <w:spacing w:val="-4"/>
          <w:lang w:val="en-GB"/>
        </w:rPr>
        <w:t xml:space="preserve">The foreign demand, investment and government consumption </w:t>
      </w:r>
      <w:r w:rsidR="00BA31CC" w:rsidRPr="006E725C">
        <w:rPr>
          <w:spacing w:val="-4"/>
          <w:lang w:val="en-GB"/>
        </w:rPr>
        <w:t xml:space="preserve">on the contrary contributed to the GDP growth. </w:t>
      </w:r>
      <w:r w:rsidR="005832A1" w:rsidRPr="006E725C">
        <w:rPr>
          <w:spacing w:val="-4"/>
          <w:lang w:val="en-GB"/>
        </w:rPr>
        <w:t xml:space="preserve">The GDP fell by </w:t>
      </w:r>
      <w:r w:rsidR="00EA1EBB" w:rsidRPr="006E725C">
        <w:rPr>
          <w:spacing w:val="-4"/>
          <w:lang w:val="en-GB"/>
        </w:rPr>
        <w:t>0</w:t>
      </w:r>
      <w:r w:rsidR="00AD47C0" w:rsidRPr="006E725C">
        <w:rPr>
          <w:spacing w:val="-4"/>
          <w:lang w:val="en-GB"/>
        </w:rPr>
        <w:t>.</w:t>
      </w:r>
      <w:r w:rsidR="00EA1EBB" w:rsidRPr="006E725C">
        <w:rPr>
          <w:spacing w:val="-4"/>
          <w:lang w:val="en-GB"/>
        </w:rPr>
        <w:t>2%</w:t>
      </w:r>
      <w:r w:rsidR="005832A1" w:rsidRPr="006E725C">
        <w:rPr>
          <w:spacing w:val="-4"/>
          <w:lang w:val="en-GB"/>
        </w:rPr>
        <w:t xml:space="preserve"> year-on-year</w:t>
      </w:r>
      <w:r w:rsidR="00BA31CC" w:rsidRPr="006E725C">
        <w:rPr>
          <w:spacing w:val="-4"/>
          <w:lang w:val="en-GB"/>
        </w:rPr>
        <w:t xml:space="preserve"> in Q4</w:t>
      </w:r>
      <w:r w:rsidR="00EA1EBB" w:rsidRPr="006E725C">
        <w:rPr>
          <w:spacing w:val="-4"/>
          <w:lang w:val="en-GB"/>
        </w:rPr>
        <w:t>,</w:t>
      </w:r>
      <w:r w:rsidR="00BA31CC" w:rsidRPr="006E725C">
        <w:rPr>
          <w:spacing w:val="-4"/>
          <w:lang w:val="en-GB"/>
        </w:rPr>
        <w:t xml:space="preserve"> mainly </w:t>
      </w:r>
      <w:r w:rsidR="00205019" w:rsidRPr="006E725C">
        <w:rPr>
          <w:spacing w:val="-4"/>
          <w:lang w:val="en-GB"/>
        </w:rPr>
        <w:t xml:space="preserve">as a result of the negative effect of </w:t>
      </w:r>
      <w:r w:rsidR="00774269" w:rsidRPr="006E725C">
        <w:rPr>
          <w:spacing w:val="-4"/>
          <w:lang w:val="en-GB"/>
        </w:rPr>
        <w:t>the inventory stock</w:t>
      </w:r>
      <w:r w:rsidR="00EA1EBB" w:rsidRPr="006E725C">
        <w:rPr>
          <w:spacing w:val="-4"/>
          <w:lang w:val="en-GB"/>
        </w:rPr>
        <w:t xml:space="preserve">, </w:t>
      </w:r>
      <w:r w:rsidR="00205019" w:rsidRPr="006E725C">
        <w:rPr>
          <w:spacing w:val="-4"/>
          <w:lang w:val="en-GB"/>
        </w:rPr>
        <w:t xml:space="preserve">which </w:t>
      </w:r>
      <w:r w:rsidR="005832A1" w:rsidRPr="006E725C">
        <w:rPr>
          <w:spacing w:val="-4"/>
          <w:lang w:val="en-GB"/>
        </w:rPr>
        <w:t>outweighed</w:t>
      </w:r>
      <w:r w:rsidR="009101D4" w:rsidRPr="006E725C">
        <w:rPr>
          <w:spacing w:val="-4"/>
          <w:lang w:val="en-GB"/>
        </w:rPr>
        <w:t xml:space="preserve"> </w:t>
      </w:r>
      <w:r w:rsidR="00337DD5" w:rsidRPr="006E725C">
        <w:rPr>
          <w:spacing w:val="-4"/>
          <w:lang w:val="en-GB"/>
        </w:rPr>
        <w:t xml:space="preserve">the other GDP components. </w:t>
      </w:r>
      <w:r w:rsidR="002F545A" w:rsidRPr="006E725C">
        <w:rPr>
          <w:spacing w:val="-4"/>
          <w:lang w:val="en-GB"/>
        </w:rPr>
        <w:t xml:space="preserve">The GDP went up by </w:t>
      </w:r>
      <w:r w:rsidR="00EA1EBB" w:rsidRPr="006E725C">
        <w:rPr>
          <w:spacing w:val="-4"/>
          <w:lang w:val="en-GB"/>
        </w:rPr>
        <w:t>0</w:t>
      </w:r>
      <w:r w:rsidR="002F545A" w:rsidRPr="006E725C">
        <w:rPr>
          <w:spacing w:val="-4"/>
          <w:lang w:val="en-GB"/>
        </w:rPr>
        <w:t>.</w:t>
      </w:r>
      <w:r w:rsidR="00EA1EBB" w:rsidRPr="006E725C">
        <w:rPr>
          <w:spacing w:val="-4"/>
          <w:lang w:val="en-GB"/>
        </w:rPr>
        <w:t>2%</w:t>
      </w:r>
      <w:r w:rsidR="002F545A" w:rsidRPr="006E725C">
        <w:rPr>
          <w:spacing w:val="-4"/>
          <w:lang w:val="en-GB"/>
        </w:rPr>
        <w:t xml:space="preserve"> quarter-on-quarter</w:t>
      </w:r>
      <w:r w:rsidR="00EA1EBB" w:rsidRPr="006E725C">
        <w:rPr>
          <w:spacing w:val="-4"/>
          <w:lang w:val="en-GB"/>
        </w:rPr>
        <w:t xml:space="preserve">. </w:t>
      </w:r>
      <w:r w:rsidR="00506F41" w:rsidRPr="006E725C">
        <w:rPr>
          <w:spacing w:val="-4"/>
          <w:lang w:val="en-GB"/>
        </w:rPr>
        <w:t xml:space="preserve">Development </w:t>
      </w:r>
      <w:r w:rsidR="003015C8" w:rsidRPr="006E725C">
        <w:rPr>
          <w:spacing w:val="-4"/>
          <w:lang w:val="en-GB"/>
        </w:rPr>
        <w:t xml:space="preserve">of household consumption, investment as well as foreign demand contributed. </w:t>
      </w:r>
      <w:r w:rsidR="00AC2A32" w:rsidRPr="006E725C">
        <w:rPr>
          <w:spacing w:val="-4"/>
          <w:lang w:val="en-GB"/>
        </w:rPr>
        <w:t xml:space="preserve">Consumption of general government </w:t>
      </w:r>
      <w:r w:rsidR="00AC2A32" w:rsidRPr="006E725C">
        <w:rPr>
          <w:spacing w:val="-2"/>
          <w:lang w:val="en-GB"/>
        </w:rPr>
        <w:t>and</w:t>
      </w:r>
      <w:r w:rsidR="00441C64" w:rsidRPr="006E725C">
        <w:rPr>
          <w:spacing w:val="-2"/>
          <w:lang w:val="en-GB"/>
        </w:rPr>
        <w:t xml:space="preserve"> the change in inventories prevented </w:t>
      </w:r>
      <w:r w:rsidR="00AC2A32" w:rsidRPr="006E725C">
        <w:rPr>
          <w:spacing w:val="-2"/>
          <w:lang w:val="en-GB"/>
        </w:rPr>
        <w:t xml:space="preserve">a </w:t>
      </w:r>
      <w:r w:rsidR="004A4D3C" w:rsidRPr="006E725C">
        <w:rPr>
          <w:spacing w:val="-2"/>
          <w:lang w:val="en-GB"/>
        </w:rPr>
        <w:t xml:space="preserve">larger GDP revival. </w:t>
      </w:r>
      <w:r w:rsidR="005B0B9B" w:rsidRPr="006E725C">
        <w:rPr>
          <w:spacing w:val="-2"/>
          <w:lang w:val="en-GB"/>
        </w:rPr>
        <w:t xml:space="preserve">The Gross domestic product </w:t>
      </w:r>
      <w:r w:rsidR="00606635" w:rsidRPr="006E725C">
        <w:rPr>
          <w:spacing w:val="-2"/>
          <w:lang w:val="en-GB"/>
        </w:rPr>
        <w:t>grew by 0.2% year-on-year in the EU in Q</w:t>
      </w:r>
      <w:r w:rsidR="00EA1EBB" w:rsidRPr="006E725C">
        <w:rPr>
          <w:spacing w:val="-4"/>
          <w:lang w:val="en-GB"/>
        </w:rPr>
        <w:t>4</w:t>
      </w:r>
      <w:r w:rsidR="00606635" w:rsidRPr="006E725C">
        <w:rPr>
          <w:spacing w:val="-4"/>
          <w:lang w:val="en-GB"/>
        </w:rPr>
        <w:t xml:space="preserve"> and it stagnated quarter-on-quarter</w:t>
      </w:r>
      <w:r w:rsidR="00251001" w:rsidRPr="006E725C">
        <w:rPr>
          <w:spacing w:val="-4"/>
          <w:lang w:val="en-GB"/>
        </w:rPr>
        <w:t xml:space="preserve">. </w:t>
      </w:r>
      <w:r w:rsidR="00306147" w:rsidRPr="006E725C">
        <w:rPr>
          <w:spacing w:val="-4"/>
          <w:lang w:val="en-GB"/>
        </w:rPr>
        <w:t xml:space="preserve">The economies stagnated quarter-on-quarter in the whole central European region. </w:t>
      </w:r>
    </w:p>
    <w:p w14:paraId="218E2DD4" w14:textId="15671BBB" w:rsidR="00EA1EBB" w:rsidRPr="006E725C" w:rsidRDefault="00AD47C0" w:rsidP="00EA1EBB">
      <w:pPr>
        <w:pStyle w:val="Normalodrka"/>
        <w:rPr>
          <w:lang w:val="en-GB"/>
        </w:rPr>
      </w:pPr>
      <w:r w:rsidRPr="006E725C">
        <w:rPr>
          <w:lang w:val="en-GB"/>
        </w:rPr>
        <w:t xml:space="preserve">The Gross value added </w:t>
      </w:r>
      <w:r w:rsidR="00EA1EBB" w:rsidRPr="006E725C">
        <w:rPr>
          <w:lang w:val="en-GB"/>
        </w:rPr>
        <w:t>(</w:t>
      </w:r>
      <w:r w:rsidRPr="006E725C">
        <w:rPr>
          <w:lang w:val="en-GB"/>
        </w:rPr>
        <w:t>GVA</w:t>
      </w:r>
      <w:r w:rsidR="00EA1EBB" w:rsidRPr="006E725C">
        <w:rPr>
          <w:lang w:val="en-GB"/>
        </w:rPr>
        <w:t>)</w:t>
      </w:r>
      <w:r w:rsidRPr="006E725C">
        <w:rPr>
          <w:lang w:val="en-GB"/>
        </w:rPr>
        <w:t xml:space="preserve"> grew by </w:t>
      </w:r>
      <w:r w:rsidR="00EA1EBB" w:rsidRPr="006E725C">
        <w:rPr>
          <w:lang w:val="en-GB"/>
        </w:rPr>
        <w:t>0</w:t>
      </w:r>
      <w:r w:rsidRPr="006E725C">
        <w:rPr>
          <w:lang w:val="en-GB"/>
        </w:rPr>
        <w:t>.</w:t>
      </w:r>
      <w:r w:rsidR="00EA1EBB" w:rsidRPr="006E725C">
        <w:rPr>
          <w:lang w:val="en-GB"/>
        </w:rPr>
        <w:t>5%</w:t>
      </w:r>
      <w:r w:rsidRPr="006E725C">
        <w:rPr>
          <w:lang w:val="en-GB"/>
        </w:rPr>
        <w:t xml:space="preserve"> last year</w:t>
      </w:r>
      <w:r w:rsidR="00EA1EBB" w:rsidRPr="006E725C">
        <w:rPr>
          <w:lang w:val="en-GB"/>
        </w:rPr>
        <w:t xml:space="preserve">. </w:t>
      </w:r>
      <w:r w:rsidR="00CA5580" w:rsidRPr="006E725C">
        <w:rPr>
          <w:lang w:val="en-GB"/>
        </w:rPr>
        <w:t xml:space="preserve">Development in </w:t>
      </w:r>
      <w:r w:rsidR="00E13C59" w:rsidRPr="006E725C">
        <w:rPr>
          <w:lang w:val="en-GB"/>
        </w:rPr>
        <w:t xml:space="preserve">manufacturing and information and communication were contributing the most. </w:t>
      </w:r>
      <w:r w:rsidR="00C676BD" w:rsidRPr="006E725C">
        <w:rPr>
          <w:lang w:val="en-GB"/>
        </w:rPr>
        <w:t xml:space="preserve">On the other hand, </w:t>
      </w:r>
      <w:r w:rsidR="00166D80" w:rsidRPr="006E725C">
        <w:rPr>
          <w:lang w:val="en-GB"/>
        </w:rPr>
        <w:t xml:space="preserve">the GVA </w:t>
      </w:r>
      <w:r w:rsidR="00581CF3" w:rsidRPr="006E725C">
        <w:rPr>
          <w:lang w:val="en-GB"/>
        </w:rPr>
        <w:t xml:space="preserve">in group of economic activities of trade, </w:t>
      </w:r>
      <w:r w:rsidR="00B3732D">
        <w:rPr>
          <w:lang w:val="en-GB"/>
        </w:rPr>
        <w:t>transport</w:t>
      </w:r>
      <w:r w:rsidR="00581CF3" w:rsidRPr="006E725C">
        <w:rPr>
          <w:lang w:val="en-GB"/>
        </w:rPr>
        <w:t xml:space="preserve">, </w:t>
      </w:r>
      <w:r w:rsidR="00FC1BFA" w:rsidRPr="006E725C">
        <w:rPr>
          <w:lang w:val="en-GB"/>
        </w:rPr>
        <w:t>accommodation,</w:t>
      </w:r>
      <w:r w:rsidR="00581CF3" w:rsidRPr="006E725C">
        <w:rPr>
          <w:lang w:val="en-GB"/>
        </w:rPr>
        <w:t xml:space="preserve"> and food service activities</w:t>
      </w:r>
      <w:r w:rsidR="00FC1BFA" w:rsidRPr="006E725C">
        <w:rPr>
          <w:lang w:val="en-GB"/>
        </w:rPr>
        <w:t xml:space="preserve"> and in construction dropped.</w:t>
      </w:r>
      <w:r w:rsidR="00367B15" w:rsidRPr="006E725C">
        <w:rPr>
          <w:lang w:val="en-GB"/>
        </w:rPr>
        <w:t xml:space="preserve"> In Q4 itself, the GVA increased by </w:t>
      </w:r>
      <w:r w:rsidR="00EA1EBB" w:rsidRPr="006E725C">
        <w:rPr>
          <w:lang w:val="en-GB"/>
        </w:rPr>
        <w:t>0</w:t>
      </w:r>
      <w:r w:rsidR="00367B15" w:rsidRPr="006E725C">
        <w:rPr>
          <w:lang w:val="en-GB"/>
        </w:rPr>
        <w:t>.</w:t>
      </w:r>
      <w:r w:rsidR="00EA1EBB" w:rsidRPr="006E725C">
        <w:rPr>
          <w:lang w:val="en-GB"/>
        </w:rPr>
        <w:t>3%</w:t>
      </w:r>
      <w:r w:rsidR="00367B15" w:rsidRPr="006E725C">
        <w:rPr>
          <w:lang w:val="en-GB"/>
        </w:rPr>
        <w:t xml:space="preserve"> year-on-year</w:t>
      </w:r>
      <w:r w:rsidR="00EA1EBB" w:rsidRPr="006E725C">
        <w:rPr>
          <w:lang w:val="en-GB"/>
        </w:rPr>
        <w:t xml:space="preserve">. </w:t>
      </w:r>
      <w:r w:rsidR="001504BA" w:rsidRPr="006E725C">
        <w:rPr>
          <w:lang w:val="en-GB"/>
        </w:rPr>
        <w:t xml:space="preserve">Manufacturing and information and communication </w:t>
      </w:r>
      <w:r w:rsidR="00AF1F16" w:rsidRPr="006E725C">
        <w:rPr>
          <w:lang w:val="en-GB"/>
        </w:rPr>
        <w:t>activities</w:t>
      </w:r>
      <w:r w:rsidR="001504BA" w:rsidRPr="006E725C">
        <w:rPr>
          <w:lang w:val="en-GB"/>
        </w:rPr>
        <w:t xml:space="preserve"> had a favourable effect again. </w:t>
      </w:r>
      <w:r w:rsidR="004E7BF7" w:rsidRPr="006E725C">
        <w:rPr>
          <w:lang w:val="en-GB"/>
        </w:rPr>
        <w:t xml:space="preserve">The total year-on-year GVA growth was hampered the most by the group of economic activities of trade, </w:t>
      </w:r>
      <w:r w:rsidR="00B3732D">
        <w:rPr>
          <w:lang w:val="en-GB"/>
        </w:rPr>
        <w:t>transport</w:t>
      </w:r>
      <w:r w:rsidR="004E7BF7" w:rsidRPr="006E725C">
        <w:rPr>
          <w:lang w:val="en-GB"/>
        </w:rPr>
        <w:t>, accommodation, and food service activities</w:t>
      </w:r>
      <w:r w:rsidR="00EA1EBB" w:rsidRPr="006E725C">
        <w:rPr>
          <w:lang w:val="en-GB"/>
        </w:rPr>
        <w:t xml:space="preserve">. </w:t>
      </w:r>
      <w:r w:rsidR="00CC58E9" w:rsidRPr="006E725C">
        <w:rPr>
          <w:lang w:val="en-GB"/>
        </w:rPr>
        <w:t xml:space="preserve">Following the two preceding decreases the Gross value added rose by 0.6% </w:t>
      </w:r>
      <w:r w:rsidR="00F840A3" w:rsidRPr="006E725C">
        <w:rPr>
          <w:lang w:val="en-GB"/>
        </w:rPr>
        <w:t>quarter-on-quarter in Q</w:t>
      </w:r>
      <w:r w:rsidR="00EA1EBB" w:rsidRPr="006E725C">
        <w:rPr>
          <w:lang w:val="en-GB"/>
        </w:rPr>
        <w:t>4.</w:t>
      </w:r>
      <w:r w:rsidR="00F840A3" w:rsidRPr="006E725C">
        <w:rPr>
          <w:lang w:val="en-GB"/>
        </w:rPr>
        <w:t xml:space="preserve"> </w:t>
      </w:r>
      <w:r w:rsidR="00AF1F16" w:rsidRPr="006E725C">
        <w:rPr>
          <w:lang w:val="en-GB"/>
        </w:rPr>
        <w:t>The re</w:t>
      </w:r>
      <w:r w:rsidR="008603CA" w:rsidRPr="006E725C">
        <w:rPr>
          <w:lang w:val="en-GB"/>
        </w:rPr>
        <w:t xml:space="preserve">vival was strong </w:t>
      </w:r>
      <w:r w:rsidR="004A310A" w:rsidRPr="006E725C">
        <w:rPr>
          <w:lang w:val="en-GB"/>
        </w:rPr>
        <w:t>in manufacturing</w:t>
      </w:r>
      <w:r w:rsidR="00EA1EBB" w:rsidRPr="006E725C">
        <w:rPr>
          <w:lang w:val="en-GB"/>
        </w:rPr>
        <w:t xml:space="preserve">, </w:t>
      </w:r>
      <w:r w:rsidR="00F840A3" w:rsidRPr="006E725C">
        <w:rPr>
          <w:lang w:val="en-GB"/>
        </w:rPr>
        <w:t>but the GVA slumped in construction, other activities and in</w:t>
      </w:r>
      <w:r w:rsidR="0050682C" w:rsidRPr="006E725C">
        <w:rPr>
          <w:lang w:val="en-GB"/>
        </w:rPr>
        <w:t xml:space="preserve"> financial and insurance activities. </w:t>
      </w:r>
    </w:p>
    <w:p w14:paraId="6680DDDA" w14:textId="7B42155F" w:rsidR="00EA1EBB" w:rsidRPr="006E725C" w:rsidRDefault="003967D9" w:rsidP="00EA1EBB">
      <w:pPr>
        <w:pStyle w:val="Normalodrka"/>
        <w:rPr>
          <w:lang w:val="en-GB"/>
        </w:rPr>
      </w:pPr>
      <w:r w:rsidRPr="006E725C">
        <w:rPr>
          <w:lang w:val="en-GB"/>
        </w:rPr>
        <w:t xml:space="preserve">Exports of goods and services increased in real terms by </w:t>
      </w:r>
      <w:r w:rsidR="00EA1EBB" w:rsidRPr="006E725C">
        <w:rPr>
          <w:lang w:val="en-GB"/>
        </w:rPr>
        <w:t>3</w:t>
      </w:r>
      <w:r w:rsidR="009C13B7" w:rsidRPr="006E725C">
        <w:rPr>
          <w:lang w:val="en-GB"/>
        </w:rPr>
        <w:t>.</w:t>
      </w:r>
      <w:r w:rsidR="00EA1EBB" w:rsidRPr="006E725C">
        <w:rPr>
          <w:lang w:val="en-GB"/>
        </w:rPr>
        <w:t>1%</w:t>
      </w:r>
      <w:r w:rsidR="00EA1EBB" w:rsidRPr="006E725C">
        <w:rPr>
          <w:rStyle w:val="Znakapoznpodarou"/>
          <w:spacing w:val="-4"/>
          <w:lang w:val="en-GB"/>
        </w:rPr>
        <w:footnoteReference w:id="2"/>
      </w:r>
      <w:r w:rsidR="009C13B7" w:rsidRPr="006E725C">
        <w:rPr>
          <w:lang w:val="en-GB"/>
        </w:rPr>
        <w:t xml:space="preserve"> year-on-year in year 2023</w:t>
      </w:r>
      <w:r w:rsidR="00EA1EBB" w:rsidRPr="006E725C">
        <w:rPr>
          <w:lang w:val="en-GB"/>
        </w:rPr>
        <w:t xml:space="preserve"> a</w:t>
      </w:r>
      <w:r w:rsidR="009C13B7" w:rsidRPr="006E725C">
        <w:rPr>
          <w:lang w:val="en-GB"/>
        </w:rPr>
        <w:t xml:space="preserve">nd imports decreased by </w:t>
      </w:r>
      <w:r w:rsidR="00EA1EBB" w:rsidRPr="006E725C">
        <w:rPr>
          <w:lang w:val="en-GB"/>
        </w:rPr>
        <w:t>0</w:t>
      </w:r>
      <w:r w:rsidR="009C13B7" w:rsidRPr="006E725C">
        <w:rPr>
          <w:lang w:val="en-GB"/>
        </w:rPr>
        <w:t>.</w:t>
      </w:r>
      <w:r w:rsidR="00EA1EBB" w:rsidRPr="006E725C">
        <w:rPr>
          <w:lang w:val="en-GB"/>
        </w:rPr>
        <w:t xml:space="preserve">4%. </w:t>
      </w:r>
      <w:r w:rsidR="00C56F92" w:rsidRPr="006E725C">
        <w:rPr>
          <w:lang w:val="en-GB"/>
        </w:rPr>
        <w:t>In Q</w:t>
      </w:r>
      <w:r w:rsidR="00EA1EBB" w:rsidRPr="006E725C">
        <w:rPr>
          <w:lang w:val="en-GB"/>
        </w:rPr>
        <w:t>4</w:t>
      </w:r>
      <w:r w:rsidR="00C56F92" w:rsidRPr="006E725C">
        <w:rPr>
          <w:lang w:val="en-GB"/>
        </w:rPr>
        <w:t xml:space="preserve"> itself, the exports grew by </w:t>
      </w:r>
      <w:r w:rsidR="00EA1EBB" w:rsidRPr="006E725C">
        <w:rPr>
          <w:lang w:val="en-GB"/>
        </w:rPr>
        <w:t>1</w:t>
      </w:r>
      <w:r w:rsidR="00984600" w:rsidRPr="006E725C">
        <w:rPr>
          <w:lang w:val="en-GB"/>
        </w:rPr>
        <w:t>.</w:t>
      </w:r>
      <w:r w:rsidR="00EA1EBB" w:rsidRPr="006E725C">
        <w:rPr>
          <w:lang w:val="en-GB"/>
        </w:rPr>
        <w:t>0%</w:t>
      </w:r>
      <w:r w:rsidR="00984600" w:rsidRPr="006E725C">
        <w:rPr>
          <w:lang w:val="en-GB"/>
        </w:rPr>
        <w:t xml:space="preserve"> year-on-year</w:t>
      </w:r>
      <w:r w:rsidR="00EA1EBB" w:rsidRPr="006E725C">
        <w:rPr>
          <w:lang w:val="en-GB"/>
        </w:rPr>
        <w:t xml:space="preserve"> a</w:t>
      </w:r>
      <w:r w:rsidR="00F2232C" w:rsidRPr="006E725C">
        <w:rPr>
          <w:lang w:val="en-GB"/>
        </w:rPr>
        <w:t xml:space="preserve">nd by </w:t>
      </w:r>
      <w:r w:rsidR="00EA1EBB" w:rsidRPr="006E725C">
        <w:rPr>
          <w:lang w:val="en-GB"/>
        </w:rPr>
        <w:t>2</w:t>
      </w:r>
      <w:r w:rsidR="00F2232C" w:rsidRPr="006E725C">
        <w:rPr>
          <w:lang w:val="en-GB"/>
        </w:rPr>
        <w:t>.</w:t>
      </w:r>
      <w:r w:rsidR="00EA1EBB" w:rsidRPr="006E725C">
        <w:rPr>
          <w:lang w:val="en-GB"/>
        </w:rPr>
        <w:t>2%</w:t>
      </w:r>
      <w:r w:rsidR="00F2232C" w:rsidRPr="006E725C">
        <w:rPr>
          <w:lang w:val="en-GB"/>
        </w:rPr>
        <w:t xml:space="preserve"> quarter-on-quarter</w:t>
      </w:r>
      <w:r w:rsidR="00EA1EBB" w:rsidRPr="006E725C">
        <w:rPr>
          <w:lang w:val="en-GB"/>
        </w:rPr>
        <w:t xml:space="preserve">. </w:t>
      </w:r>
      <w:r w:rsidR="00F2232C" w:rsidRPr="006E725C">
        <w:rPr>
          <w:lang w:val="en-GB"/>
        </w:rPr>
        <w:t xml:space="preserve">Imports in contrast </w:t>
      </w:r>
      <w:r w:rsidR="003D5F28" w:rsidRPr="006E725C">
        <w:rPr>
          <w:lang w:val="en-GB"/>
        </w:rPr>
        <w:t xml:space="preserve">fell by </w:t>
      </w:r>
      <w:r w:rsidR="00EA1EBB" w:rsidRPr="006E725C">
        <w:rPr>
          <w:lang w:val="en-GB"/>
        </w:rPr>
        <w:t>4</w:t>
      </w:r>
      <w:r w:rsidR="003D5F28" w:rsidRPr="006E725C">
        <w:rPr>
          <w:lang w:val="en-GB"/>
        </w:rPr>
        <w:t>.</w:t>
      </w:r>
      <w:r w:rsidR="00EA1EBB" w:rsidRPr="006E725C">
        <w:rPr>
          <w:lang w:val="en-GB"/>
        </w:rPr>
        <w:t>7%</w:t>
      </w:r>
      <w:r w:rsidR="003D5F28" w:rsidRPr="006E725C">
        <w:rPr>
          <w:lang w:val="en-GB"/>
        </w:rPr>
        <w:t xml:space="preserve"> year-on-year</w:t>
      </w:r>
      <w:r w:rsidR="00EA1EBB" w:rsidRPr="006E725C">
        <w:rPr>
          <w:lang w:val="en-GB"/>
        </w:rPr>
        <w:t xml:space="preserve"> a</w:t>
      </w:r>
      <w:r w:rsidR="003D5F28" w:rsidRPr="006E725C">
        <w:rPr>
          <w:lang w:val="en-GB"/>
        </w:rPr>
        <w:t xml:space="preserve">nd by </w:t>
      </w:r>
      <w:r w:rsidR="00EA1EBB" w:rsidRPr="006E725C">
        <w:rPr>
          <w:lang w:val="en-GB"/>
        </w:rPr>
        <w:t>2</w:t>
      </w:r>
      <w:r w:rsidR="003D5F28" w:rsidRPr="006E725C">
        <w:rPr>
          <w:lang w:val="en-GB"/>
        </w:rPr>
        <w:t>.</w:t>
      </w:r>
      <w:r w:rsidR="00EA1EBB" w:rsidRPr="006E725C">
        <w:rPr>
          <w:lang w:val="en-GB"/>
        </w:rPr>
        <w:t>4%</w:t>
      </w:r>
      <w:r w:rsidR="003D5F28" w:rsidRPr="006E725C">
        <w:rPr>
          <w:lang w:val="en-GB"/>
        </w:rPr>
        <w:t xml:space="preserve"> quarter-on-quarter</w:t>
      </w:r>
      <w:r w:rsidR="00EA1EBB" w:rsidRPr="006E725C">
        <w:rPr>
          <w:lang w:val="en-GB"/>
        </w:rPr>
        <w:t>.</w:t>
      </w:r>
      <w:r w:rsidR="003D5F28" w:rsidRPr="006E725C">
        <w:rPr>
          <w:lang w:val="en-GB"/>
        </w:rPr>
        <w:t xml:space="preserve"> The</w:t>
      </w:r>
      <w:r w:rsidR="00AB0680" w:rsidRPr="006E725C">
        <w:rPr>
          <w:lang w:val="en-GB"/>
        </w:rPr>
        <w:t xml:space="preserve"> balance of</w:t>
      </w:r>
      <w:r w:rsidR="003D5F28" w:rsidRPr="006E725C">
        <w:rPr>
          <w:lang w:val="en-GB"/>
        </w:rPr>
        <w:t xml:space="preserve"> international trade</w:t>
      </w:r>
      <w:r w:rsidR="00AB0680" w:rsidRPr="006E725C">
        <w:rPr>
          <w:lang w:val="en-GB"/>
        </w:rPr>
        <w:t xml:space="preserve"> with goods and services reached in total </w:t>
      </w:r>
      <w:r w:rsidR="00914DFA" w:rsidRPr="006E725C">
        <w:rPr>
          <w:lang w:val="en-GB"/>
        </w:rPr>
        <w:t xml:space="preserve">in current prices the surplus of </w:t>
      </w:r>
      <w:r w:rsidR="00EA1EBB" w:rsidRPr="006E725C">
        <w:rPr>
          <w:lang w:val="en-GB"/>
        </w:rPr>
        <w:t>378</w:t>
      </w:r>
      <w:r w:rsidR="00914DFA" w:rsidRPr="006E725C">
        <w:rPr>
          <w:lang w:val="en-GB"/>
        </w:rPr>
        <w:t>.</w:t>
      </w:r>
      <w:r w:rsidR="00EA1EBB" w:rsidRPr="006E725C">
        <w:rPr>
          <w:lang w:val="en-GB"/>
        </w:rPr>
        <w:t>0</w:t>
      </w:r>
      <w:r w:rsidR="00914DFA" w:rsidRPr="006E725C">
        <w:rPr>
          <w:lang w:val="en-GB"/>
        </w:rPr>
        <w:t xml:space="preserve"> </w:t>
      </w:r>
      <w:r w:rsidR="009C0832">
        <w:rPr>
          <w:lang w:val="en-GB"/>
        </w:rPr>
        <w:t xml:space="preserve">CZK </w:t>
      </w:r>
      <w:proofErr w:type="spellStart"/>
      <w:r w:rsidR="009C0832">
        <w:rPr>
          <w:lang w:val="en-GB"/>
        </w:rPr>
        <w:t>bn</w:t>
      </w:r>
      <w:proofErr w:type="spellEnd"/>
      <w:r w:rsidR="00914DFA" w:rsidRPr="006E725C">
        <w:rPr>
          <w:lang w:val="en-GB"/>
        </w:rPr>
        <w:t xml:space="preserve"> last year and it </w:t>
      </w:r>
      <w:r w:rsidR="00077BB3" w:rsidRPr="006E725C">
        <w:rPr>
          <w:lang w:val="en-GB"/>
        </w:rPr>
        <w:t xml:space="preserve">expanded by </w:t>
      </w:r>
      <w:r w:rsidR="00EA1EBB" w:rsidRPr="006E725C">
        <w:rPr>
          <w:lang w:val="en-GB"/>
        </w:rPr>
        <w:t>312</w:t>
      </w:r>
      <w:r w:rsidR="00077BB3" w:rsidRPr="006E725C">
        <w:rPr>
          <w:lang w:val="en-GB"/>
        </w:rPr>
        <w:t>.</w:t>
      </w:r>
      <w:r w:rsidR="00EA1EBB" w:rsidRPr="006E725C">
        <w:rPr>
          <w:lang w:val="en-GB"/>
        </w:rPr>
        <w:t>4</w:t>
      </w:r>
      <w:r w:rsidR="00077BB3" w:rsidRPr="006E725C">
        <w:rPr>
          <w:lang w:val="en-GB"/>
        </w:rPr>
        <w:t xml:space="preserve"> </w:t>
      </w:r>
      <w:proofErr w:type="spellStart"/>
      <w:r w:rsidR="00077BB3" w:rsidRPr="006E725C">
        <w:rPr>
          <w:lang w:val="en-GB"/>
        </w:rPr>
        <w:t>bn</w:t>
      </w:r>
      <w:proofErr w:type="spellEnd"/>
      <w:r w:rsidR="00077BB3" w:rsidRPr="006E725C">
        <w:rPr>
          <w:lang w:val="en-GB"/>
        </w:rPr>
        <w:t xml:space="preserve"> year-on-year</w:t>
      </w:r>
      <w:r w:rsidR="00EA1EBB" w:rsidRPr="006E725C">
        <w:rPr>
          <w:lang w:val="en-GB"/>
        </w:rPr>
        <w:t xml:space="preserve">. </w:t>
      </w:r>
      <w:r w:rsidR="00F90D5C" w:rsidRPr="006E725C">
        <w:rPr>
          <w:lang w:val="en-GB"/>
        </w:rPr>
        <w:t xml:space="preserve">Moderation of the deficit of the crude petroleum and natural gas trade and improvement of the trade surplus in motor vehicles </w:t>
      </w:r>
      <w:r w:rsidR="00F90D5C" w:rsidRPr="006E725C">
        <w:rPr>
          <w:spacing w:val="-4"/>
          <w:lang w:val="en-GB"/>
        </w:rPr>
        <w:t xml:space="preserve">mainly contributed to the improvement of the trade balance of </w:t>
      </w:r>
      <w:r w:rsidR="0037480D" w:rsidRPr="006E725C">
        <w:rPr>
          <w:spacing w:val="-4"/>
          <w:lang w:val="en-GB"/>
        </w:rPr>
        <w:t>goods. The</w:t>
      </w:r>
      <w:r w:rsidR="00F90D5C" w:rsidRPr="006E725C">
        <w:rPr>
          <w:spacing w:val="-4"/>
          <w:lang w:val="en-GB"/>
        </w:rPr>
        <w:t xml:space="preserve"> trade balance of electricity, gas, steam and air conditioning on the contrary deteriorated</w:t>
      </w:r>
      <w:r w:rsidR="00EA1EBB" w:rsidRPr="006E725C">
        <w:rPr>
          <w:spacing w:val="-4"/>
          <w:lang w:val="en-GB"/>
        </w:rPr>
        <w:t xml:space="preserve">.  </w:t>
      </w:r>
    </w:p>
    <w:p w14:paraId="78CBEB1A" w14:textId="39A27803" w:rsidR="00EA1EBB" w:rsidRPr="006E725C" w:rsidRDefault="00C67519" w:rsidP="00EA1EBB">
      <w:pPr>
        <w:pStyle w:val="Normalodrka"/>
        <w:rPr>
          <w:spacing w:val="-4"/>
          <w:lang w:val="en-GB"/>
        </w:rPr>
      </w:pPr>
      <w:r w:rsidRPr="006E725C">
        <w:rPr>
          <w:spacing w:val="-4"/>
          <w:lang w:val="en-GB"/>
        </w:rPr>
        <w:t xml:space="preserve">Total price level </w:t>
      </w:r>
      <w:r w:rsidR="00EA1EBB" w:rsidRPr="006E725C">
        <w:rPr>
          <w:spacing w:val="-4"/>
          <w:lang w:val="en-GB"/>
        </w:rPr>
        <w:t>(</w:t>
      </w:r>
      <w:r w:rsidR="00576353" w:rsidRPr="006E725C">
        <w:rPr>
          <w:spacing w:val="-4"/>
          <w:lang w:val="en-GB"/>
        </w:rPr>
        <w:t>gauged by the GDP deflator</w:t>
      </w:r>
      <w:r w:rsidR="00EA1EBB" w:rsidRPr="006E725C">
        <w:rPr>
          <w:spacing w:val="-4"/>
          <w:lang w:val="en-GB"/>
        </w:rPr>
        <w:t>)</w:t>
      </w:r>
      <w:r w:rsidR="00D70C5A" w:rsidRPr="006E725C">
        <w:rPr>
          <w:spacing w:val="-4"/>
          <w:lang w:val="en-GB"/>
        </w:rPr>
        <w:t xml:space="preserve"> increased by </w:t>
      </w:r>
      <w:r w:rsidR="00EA1EBB" w:rsidRPr="006E725C">
        <w:rPr>
          <w:spacing w:val="-4"/>
          <w:lang w:val="en-GB"/>
        </w:rPr>
        <w:t>8</w:t>
      </w:r>
      <w:r w:rsidR="00D70C5A" w:rsidRPr="006E725C">
        <w:rPr>
          <w:spacing w:val="-4"/>
          <w:lang w:val="en-GB"/>
        </w:rPr>
        <w:t>.</w:t>
      </w:r>
      <w:r w:rsidR="00EA1EBB" w:rsidRPr="006E725C">
        <w:rPr>
          <w:spacing w:val="-4"/>
          <w:lang w:val="en-GB"/>
        </w:rPr>
        <w:t>6%</w:t>
      </w:r>
      <w:r w:rsidR="00D70C5A" w:rsidRPr="006E725C">
        <w:rPr>
          <w:spacing w:val="-4"/>
          <w:lang w:val="en-GB"/>
        </w:rPr>
        <w:t xml:space="preserve"> last year</w:t>
      </w:r>
      <w:r w:rsidR="00EA1EBB" w:rsidRPr="006E725C">
        <w:rPr>
          <w:spacing w:val="-4"/>
          <w:lang w:val="en-GB"/>
        </w:rPr>
        <w:t xml:space="preserve">. </w:t>
      </w:r>
      <w:r w:rsidR="0037480D" w:rsidRPr="006E725C">
        <w:rPr>
          <w:spacing w:val="-4"/>
          <w:lang w:val="en-GB"/>
        </w:rPr>
        <w:t xml:space="preserve">It rose by </w:t>
      </w:r>
      <w:r w:rsidR="00EA1EBB" w:rsidRPr="006E725C">
        <w:rPr>
          <w:spacing w:val="-4"/>
          <w:lang w:val="en-GB"/>
        </w:rPr>
        <w:t>6</w:t>
      </w:r>
      <w:r w:rsidR="0037480D" w:rsidRPr="006E725C">
        <w:rPr>
          <w:spacing w:val="-4"/>
          <w:lang w:val="en-GB"/>
        </w:rPr>
        <w:t>.</w:t>
      </w:r>
      <w:r w:rsidR="00EA1EBB" w:rsidRPr="006E725C">
        <w:rPr>
          <w:spacing w:val="-4"/>
          <w:lang w:val="en-GB"/>
        </w:rPr>
        <w:t>0%</w:t>
      </w:r>
      <w:r w:rsidR="0037480D" w:rsidRPr="006E725C">
        <w:rPr>
          <w:spacing w:val="-4"/>
          <w:lang w:val="en-GB"/>
        </w:rPr>
        <w:t xml:space="preserve"> year-on-year</w:t>
      </w:r>
      <w:r w:rsidR="00EA1EBB" w:rsidRPr="006E725C">
        <w:rPr>
          <w:spacing w:val="-4"/>
          <w:lang w:val="en-GB"/>
        </w:rPr>
        <w:t xml:space="preserve"> </w:t>
      </w:r>
      <w:r w:rsidR="0037480D" w:rsidRPr="006E725C">
        <w:rPr>
          <w:spacing w:val="-4"/>
          <w:lang w:val="en-GB"/>
        </w:rPr>
        <w:t xml:space="preserve">in Q4 </w:t>
      </w:r>
      <w:r w:rsidR="00EA1EBB" w:rsidRPr="006E725C">
        <w:rPr>
          <w:spacing w:val="-4"/>
          <w:lang w:val="en-GB"/>
        </w:rPr>
        <w:t>a</w:t>
      </w:r>
      <w:r w:rsidR="0037480D" w:rsidRPr="006E725C">
        <w:rPr>
          <w:spacing w:val="-4"/>
          <w:lang w:val="en-GB"/>
        </w:rPr>
        <w:t>nd stagnated quarter-on-quarter</w:t>
      </w:r>
      <w:r w:rsidR="00EA1EBB" w:rsidRPr="006E725C">
        <w:rPr>
          <w:spacing w:val="-4"/>
          <w:lang w:val="en-GB"/>
        </w:rPr>
        <w:t xml:space="preserve">. </w:t>
      </w:r>
      <w:r w:rsidR="0037480D" w:rsidRPr="006E725C">
        <w:rPr>
          <w:spacing w:val="-4"/>
          <w:lang w:val="en-GB"/>
        </w:rPr>
        <w:t xml:space="preserve">Consumer prices jumped up by </w:t>
      </w:r>
      <w:r w:rsidR="00EA1EBB" w:rsidRPr="006E725C">
        <w:rPr>
          <w:spacing w:val="-4"/>
          <w:lang w:val="en-GB"/>
        </w:rPr>
        <w:t>10</w:t>
      </w:r>
      <w:r w:rsidR="0037480D" w:rsidRPr="006E725C">
        <w:rPr>
          <w:spacing w:val="-4"/>
          <w:lang w:val="en-GB"/>
        </w:rPr>
        <w:t>.</w:t>
      </w:r>
      <w:r w:rsidR="00EA1EBB" w:rsidRPr="006E725C">
        <w:rPr>
          <w:spacing w:val="-4"/>
          <w:lang w:val="en-GB"/>
        </w:rPr>
        <w:t>7%</w:t>
      </w:r>
      <w:r w:rsidR="0037480D" w:rsidRPr="006E725C">
        <w:rPr>
          <w:spacing w:val="-4"/>
          <w:lang w:val="en-GB"/>
        </w:rPr>
        <w:t xml:space="preserve"> last year</w:t>
      </w:r>
      <w:r w:rsidR="00EA1EBB" w:rsidRPr="006E725C">
        <w:rPr>
          <w:spacing w:val="-4"/>
          <w:lang w:val="en-GB"/>
        </w:rPr>
        <w:t xml:space="preserve">. </w:t>
      </w:r>
      <w:r w:rsidR="0037480D" w:rsidRPr="006E725C">
        <w:rPr>
          <w:spacing w:val="-4"/>
          <w:lang w:val="en-GB"/>
        </w:rPr>
        <w:t xml:space="preserve">Their year-on-year growth gradually slowed down during the year and the consumer prices increased by </w:t>
      </w:r>
      <w:r w:rsidR="00EA1EBB" w:rsidRPr="006E725C">
        <w:rPr>
          <w:spacing w:val="-4"/>
          <w:lang w:val="en-GB"/>
        </w:rPr>
        <w:t>7</w:t>
      </w:r>
      <w:r w:rsidR="0037480D" w:rsidRPr="006E725C">
        <w:rPr>
          <w:spacing w:val="-4"/>
          <w:lang w:val="en-GB"/>
        </w:rPr>
        <w:t>.</w:t>
      </w:r>
      <w:r w:rsidR="00EA1EBB" w:rsidRPr="006E725C">
        <w:rPr>
          <w:spacing w:val="-4"/>
          <w:lang w:val="en-GB"/>
        </w:rPr>
        <w:t>6%</w:t>
      </w:r>
      <w:r w:rsidR="0037480D" w:rsidRPr="006E725C">
        <w:rPr>
          <w:spacing w:val="-4"/>
          <w:lang w:val="en-GB"/>
        </w:rPr>
        <w:t xml:space="preserve"> in Q4</w:t>
      </w:r>
      <w:r w:rsidR="00EA1EBB" w:rsidRPr="006E725C">
        <w:rPr>
          <w:spacing w:val="-4"/>
          <w:lang w:val="en-GB"/>
        </w:rPr>
        <w:t xml:space="preserve">. </w:t>
      </w:r>
      <w:r w:rsidR="00054793" w:rsidRPr="006E725C">
        <w:rPr>
          <w:spacing w:val="-4"/>
          <w:lang w:val="en-GB"/>
        </w:rPr>
        <w:t xml:space="preserve">Quarter-on-quarter they fell by </w:t>
      </w:r>
      <w:r w:rsidR="00EA1EBB" w:rsidRPr="006E725C">
        <w:rPr>
          <w:spacing w:val="-4"/>
          <w:lang w:val="en-GB"/>
        </w:rPr>
        <w:t>0</w:t>
      </w:r>
      <w:r w:rsidR="00054793" w:rsidRPr="006E725C">
        <w:rPr>
          <w:spacing w:val="-4"/>
          <w:lang w:val="en-GB"/>
        </w:rPr>
        <w:t>.</w:t>
      </w:r>
      <w:r w:rsidR="00EA1EBB" w:rsidRPr="006E725C">
        <w:rPr>
          <w:spacing w:val="-4"/>
          <w:lang w:val="en-GB"/>
        </w:rPr>
        <w:t xml:space="preserve">4%. </w:t>
      </w:r>
      <w:r w:rsidR="004A0A22" w:rsidRPr="006E725C">
        <w:rPr>
          <w:spacing w:val="-4"/>
          <w:lang w:val="en-GB"/>
        </w:rPr>
        <w:t xml:space="preserve">Year-on-year pace of prices of the majority of consumer basket divisions </w:t>
      </w:r>
      <w:r w:rsidR="004A0A22" w:rsidRPr="006E725C">
        <w:rPr>
          <w:lang w:val="en-GB"/>
        </w:rPr>
        <w:t>weakened their growth apart from housing and energies</w:t>
      </w:r>
      <w:r w:rsidR="00EA1EBB" w:rsidRPr="006E725C">
        <w:rPr>
          <w:lang w:val="en-GB"/>
        </w:rPr>
        <w:t xml:space="preserve">. </w:t>
      </w:r>
      <w:r w:rsidR="0037480D" w:rsidRPr="006E725C">
        <w:rPr>
          <w:lang w:val="en-GB"/>
        </w:rPr>
        <w:t>Prices of industrial producers, construction work and service producer prices in the business sphere also grew slower in Q4</w:t>
      </w:r>
      <w:r w:rsidR="00EA1EBB" w:rsidRPr="006E725C">
        <w:rPr>
          <w:lang w:val="en-GB"/>
        </w:rPr>
        <w:t xml:space="preserve">. </w:t>
      </w:r>
      <w:r w:rsidR="0037480D" w:rsidRPr="006E725C">
        <w:rPr>
          <w:lang w:val="en-GB"/>
        </w:rPr>
        <w:t xml:space="preserve">Agricultural producer prices remained in deep decline. </w:t>
      </w:r>
      <w:r w:rsidR="00EA1EBB" w:rsidRPr="006E725C">
        <w:rPr>
          <w:lang w:val="en-GB"/>
        </w:rPr>
        <w:t xml:space="preserve"> </w:t>
      </w:r>
    </w:p>
    <w:p w14:paraId="42074EC3" w14:textId="0A4903F5" w:rsidR="00EA1EBB" w:rsidRPr="006E725C" w:rsidRDefault="004A0A22" w:rsidP="00EA1EBB">
      <w:pPr>
        <w:pStyle w:val="Normalodrka"/>
        <w:rPr>
          <w:spacing w:val="-4"/>
          <w:lang w:val="en-GB"/>
        </w:rPr>
      </w:pPr>
      <w:r w:rsidRPr="006E725C">
        <w:rPr>
          <w:spacing w:val="-4"/>
          <w:lang w:val="en-GB"/>
        </w:rPr>
        <w:t>The monetary policy-relevant interest rates</w:t>
      </w:r>
      <w:r w:rsidR="006D156E" w:rsidRPr="006E725C">
        <w:rPr>
          <w:spacing w:val="-4"/>
          <w:lang w:val="en-GB"/>
        </w:rPr>
        <w:t xml:space="preserve"> were lowered at the end of the year. The anticipated decrease was apparent on the interbank offered interest rates with longer maturity already during </w:t>
      </w:r>
      <w:r w:rsidR="006E725C" w:rsidRPr="006E725C">
        <w:rPr>
          <w:spacing w:val="-4"/>
          <w:lang w:val="en-GB"/>
        </w:rPr>
        <w:t>autumn</w:t>
      </w:r>
      <w:r w:rsidR="006D156E" w:rsidRPr="006E725C">
        <w:rPr>
          <w:spacing w:val="-4"/>
          <w:lang w:val="en-GB"/>
        </w:rPr>
        <w:t xml:space="preserve">, short-term rates responded only in December. </w:t>
      </w:r>
      <w:r w:rsidR="00436764" w:rsidRPr="006E725C">
        <w:rPr>
          <w:spacing w:val="-4"/>
          <w:lang w:val="en-GB"/>
        </w:rPr>
        <w:t xml:space="preserve">Interest rates on term deposits as well as credit for households and corporations went down. </w:t>
      </w:r>
      <w:r w:rsidR="00EA1EBB" w:rsidRPr="006E725C">
        <w:rPr>
          <w:spacing w:val="-4"/>
          <w:lang w:val="en-GB"/>
        </w:rPr>
        <w:t xml:space="preserve"> </w:t>
      </w:r>
    </w:p>
    <w:p w14:paraId="2D6574AB" w14:textId="391F2FF1" w:rsidR="00EA1EBB" w:rsidRPr="006E725C" w:rsidRDefault="009C13B7" w:rsidP="00EA1EBB">
      <w:pPr>
        <w:pStyle w:val="Normalodrka"/>
        <w:rPr>
          <w:spacing w:val="-4"/>
          <w:lang w:val="en-GB"/>
        </w:rPr>
      </w:pPr>
      <w:r w:rsidRPr="006E725C">
        <w:rPr>
          <w:spacing w:val="-4"/>
          <w:lang w:val="en-GB"/>
        </w:rPr>
        <w:t>Total employment</w:t>
      </w:r>
      <w:r w:rsidR="00EA1EBB" w:rsidRPr="006E725C">
        <w:rPr>
          <w:rStyle w:val="Znakapoznpodarou"/>
          <w:spacing w:val="-4"/>
          <w:lang w:val="en-GB"/>
        </w:rPr>
        <w:footnoteReference w:id="3"/>
      </w:r>
      <w:r w:rsidR="00EA1EBB" w:rsidRPr="006E725C">
        <w:rPr>
          <w:spacing w:val="-4"/>
          <w:lang w:val="en-GB"/>
        </w:rPr>
        <w:t xml:space="preserve"> </w:t>
      </w:r>
      <w:r w:rsidR="00DE125C" w:rsidRPr="006E725C">
        <w:rPr>
          <w:spacing w:val="-4"/>
          <w:lang w:val="en-GB"/>
        </w:rPr>
        <w:t xml:space="preserve">increased by </w:t>
      </w:r>
      <w:r w:rsidR="00EA1EBB" w:rsidRPr="006E725C">
        <w:rPr>
          <w:spacing w:val="-4"/>
          <w:lang w:val="en-GB"/>
        </w:rPr>
        <w:t>0</w:t>
      </w:r>
      <w:r w:rsidR="00DE125C" w:rsidRPr="006E725C">
        <w:rPr>
          <w:spacing w:val="-4"/>
          <w:lang w:val="en-GB"/>
        </w:rPr>
        <w:t>.</w:t>
      </w:r>
      <w:r w:rsidR="00EA1EBB" w:rsidRPr="006E725C">
        <w:rPr>
          <w:spacing w:val="-4"/>
          <w:lang w:val="en-GB"/>
        </w:rPr>
        <w:t>8%</w:t>
      </w:r>
      <w:r w:rsidR="00DE125C" w:rsidRPr="006E725C">
        <w:rPr>
          <w:spacing w:val="-4"/>
          <w:lang w:val="en-GB"/>
        </w:rPr>
        <w:t xml:space="preserve"> last year</w:t>
      </w:r>
      <w:r w:rsidR="00EA1EBB" w:rsidRPr="006E725C">
        <w:rPr>
          <w:spacing w:val="-4"/>
          <w:lang w:val="en-GB"/>
        </w:rPr>
        <w:t>.</w:t>
      </w:r>
      <w:r w:rsidR="00DE125C" w:rsidRPr="006E725C">
        <w:rPr>
          <w:spacing w:val="-4"/>
          <w:lang w:val="en-GB"/>
        </w:rPr>
        <w:t xml:space="preserve"> In Q</w:t>
      </w:r>
      <w:r w:rsidR="00EA1EBB" w:rsidRPr="006E725C">
        <w:rPr>
          <w:spacing w:val="-4"/>
          <w:lang w:val="en-GB"/>
        </w:rPr>
        <w:t>4</w:t>
      </w:r>
      <w:r w:rsidR="00DE125C" w:rsidRPr="006E725C">
        <w:rPr>
          <w:spacing w:val="-4"/>
          <w:lang w:val="en-GB"/>
        </w:rPr>
        <w:t xml:space="preserve"> itself, it was by </w:t>
      </w:r>
      <w:r w:rsidR="00EA1EBB" w:rsidRPr="006E725C">
        <w:rPr>
          <w:spacing w:val="-4"/>
          <w:lang w:val="en-GB"/>
        </w:rPr>
        <w:t>0</w:t>
      </w:r>
      <w:r w:rsidR="00DE125C" w:rsidRPr="006E725C">
        <w:rPr>
          <w:spacing w:val="-4"/>
          <w:lang w:val="en-GB"/>
        </w:rPr>
        <w:t>.</w:t>
      </w:r>
      <w:r w:rsidR="00EA1EBB" w:rsidRPr="006E725C">
        <w:rPr>
          <w:spacing w:val="-4"/>
          <w:lang w:val="en-GB"/>
        </w:rPr>
        <w:t>4%</w:t>
      </w:r>
      <w:r w:rsidR="00DE125C" w:rsidRPr="006E725C">
        <w:rPr>
          <w:spacing w:val="-4"/>
          <w:lang w:val="en-GB"/>
        </w:rPr>
        <w:t xml:space="preserve"> higher year-on-year</w:t>
      </w:r>
      <w:r w:rsidR="00EA1EBB" w:rsidRPr="006E725C">
        <w:rPr>
          <w:spacing w:val="-4"/>
          <w:lang w:val="en-GB"/>
        </w:rPr>
        <w:t>,</w:t>
      </w:r>
      <w:r w:rsidR="00DE125C" w:rsidRPr="006E725C">
        <w:rPr>
          <w:spacing w:val="-4"/>
          <w:lang w:val="en-GB"/>
        </w:rPr>
        <w:t xml:space="preserve"> while quarter-on-quarter it decreased by </w:t>
      </w:r>
      <w:r w:rsidR="00EA1EBB" w:rsidRPr="006E725C">
        <w:rPr>
          <w:spacing w:val="-4"/>
          <w:lang w:val="en-GB"/>
        </w:rPr>
        <w:t>0</w:t>
      </w:r>
      <w:r w:rsidR="00DE125C" w:rsidRPr="006E725C">
        <w:rPr>
          <w:spacing w:val="-4"/>
          <w:lang w:val="en-GB"/>
        </w:rPr>
        <w:t>.</w:t>
      </w:r>
      <w:r w:rsidR="00EA1EBB" w:rsidRPr="006E725C">
        <w:rPr>
          <w:spacing w:val="-4"/>
          <w:lang w:val="en-GB"/>
        </w:rPr>
        <w:t xml:space="preserve">1%. </w:t>
      </w:r>
      <w:r w:rsidR="00295369" w:rsidRPr="006E725C">
        <w:rPr>
          <w:spacing w:val="-4"/>
          <w:lang w:val="en-GB"/>
        </w:rPr>
        <w:t xml:space="preserve">Mild growth trend of the general unemployment rate was evident during the year, the rate thus arriving at </w:t>
      </w:r>
      <w:r w:rsidR="00EA1EBB" w:rsidRPr="006E725C">
        <w:rPr>
          <w:spacing w:val="-4"/>
          <w:lang w:val="en-GB"/>
        </w:rPr>
        <w:t>3</w:t>
      </w:r>
      <w:r w:rsidR="00295369" w:rsidRPr="006E725C">
        <w:rPr>
          <w:spacing w:val="-4"/>
          <w:lang w:val="en-GB"/>
        </w:rPr>
        <w:t>.</w:t>
      </w:r>
      <w:r w:rsidR="00EA1EBB" w:rsidRPr="006E725C">
        <w:rPr>
          <w:spacing w:val="-4"/>
          <w:lang w:val="en-GB"/>
        </w:rPr>
        <w:t>0%</w:t>
      </w:r>
      <w:r w:rsidR="00295369" w:rsidRPr="006E725C">
        <w:rPr>
          <w:spacing w:val="-4"/>
          <w:lang w:val="en-GB"/>
        </w:rPr>
        <w:t xml:space="preserve"> in January</w:t>
      </w:r>
      <w:r w:rsidR="00EA1EBB" w:rsidRPr="006E725C">
        <w:rPr>
          <w:spacing w:val="-4"/>
          <w:lang w:val="en-GB"/>
        </w:rPr>
        <w:t xml:space="preserve">. </w:t>
      </w:r>
      <w:r w:rsidR="00DE125C" w:rsidRPr="006E725C">
        <w:rPr>
          <w:spacing w:val="-4"/>
          <w:lang w:val="en-GB"/>
        </w:rPr>
        <w:t>The average gross monthly nominal wage grew by 6.3% year-on-year in Q</w:t>
      </w:r>
      <w:r w:rsidR="00EA1EBB" w:rsidRPr="006E725C">
        <w:rPr>
          <w:spacing w:val="-4"/>
          <w:lang w:val="en-GB"/>
        </w:rPr>
        <w:t>4</w:t>
      </w:r>
      <w:r w:rsidR="00DE125C" w:rsidRPr="006E725C">
        <w:rPr>
          <w:spacing w:val="-4"/>
          <w:lang w:val="en-GB"/>
        </w:rPr>
        <w:t xml:space="preserve"> a</w:t>
      </w:r>
      <w:r w:rsidR="00544E6E" w:rsidRPr="006E725C">
        <w:rPr>
          <w:spacing w:val="-4"/>
          <w:lang w:val="en-GB"/>
        </w:rPr>
        <w:t xml:space="preserve">nd reached </w:t>
      </w:r>
      <w:r w:rsidR="00EA1EBB" w:rsidRPr="006E725C">
        <w:rPr>
          <w:spacing w:val="-4"/>
          <w:lang w:val="en-GB"/>
        </w:rPr>
        <w:t xml:space="preserve">46 013 </w:t>
      </w:r>
      <w:r w:rsidR="00544E6E" w:rsidRPr="006E725C">
        <w:rPr>
          <w:spacing w:val="-4"/>
          <w:lang w:val="en-GB"/>
        </w:rPr>
        <w:t>CZK</w:t>
      </w:r>
      <w:r w:rsidR="00EA1EBB" w:rsidRPr="006E725C">
        <w:rPr>
          <w:spacing w:val="-4"/>
          <w:lang w:val="en-GB"/>
        </w:rPr>
        <w:t xml:space="preserve">. </w:t>
      </w:r>
      <w:r w:rsidR="00544E6E" w:rsidRPr="006E725C">
        <w:rPr>
          <w:spacing w:val="-4"/>
          <w:lang w:val="en-GB"/>
        </w:rPr>
        <w:t xml:space="preserve">The real average wage dropped by </w:t>
      </w:r>
      <w:r w:rsidR="00EA1EBB" w:rsidRPr="006E725C">
        <w:rPr>
          <w:spacing w:val="-4"/>
          <w:lang w:val="en-GB"/>
        </w:rPr>
        <w:t>1</w:t>
      </w:r>
      <w:r w:rsidR="00544E6E" w:rsidRPr="006E725C">
        <w:rPr>
          <w:spacing w:val="-4"/>
          <w:lang w:val="en-GB"/>
        </w:rPr>
        <w:t>.</w:t>
      </w:r>
      <w:r w:rsidR="00EA1EBB" w:rsidRPr="006E725C">
        <w:rPr>
          <w:spacing w:val="-4"/>
          <w:lang w:val="en-GB"/>
        </w:rPr>
        <w:t xml:space="preserve">2%. </w:t>
      </w:r>
      <w:r w:rsidR="00544E6E" w:rsidRPr="006E725C">
        <w:rPr>
          <w:spacing w:val="-4"/>
          <w:lang w:val="en-GB"/>
        </w:rPr>
        <w:t>Quarter-on-quarter nominal</w:t>
      </w:r>
      <w:r w:rsidR="00BD163B" w:rsidRPr="006E725C">
        <w:rPr>
          <w:spacing w:val="-4"/>
          <w:lang w:val="en-GB"/>
        </w:rPr>
        <w:t xml:space="preserve"> rise of the average wage was </w:t>
      </w:r>
      <w:r w:rsidR="00EA1EBB" w:rsidRPr="006E725C">
        <w:rPr>
          <w:spacing w:val="-4"/>
          <w:lang w:val="en-GB"/>
        </w:rPr>
        <w:t>1</w:t>
      </w:r>
      <w:r w:rsidR="00BD163B" w:rsidRPr="006E725C">
        <w:rPr>
          <w:spacing w:val="-4"/>
          <w:lang w:val="en-GB"/>
        </w:rPr>
        <w:t>.</w:t>
      </w:r>
      <w:r w:rsidR="00EA1EBB" w:rsidRPr="006E725C">
        <w:rPr>
          <w:spacing w:val="-4"/>
          <w:lang w:val="en-GB"/>
        </w:rPr>
        <w:t>5%.</w:t>
      </w:r>
    </w:p>
    <w:p w14:paraId="28399831" w14:textId="7F4275CB" w:rsidR="00EA1EBB" w:rsidRPr="006E725C" w:rsidRDefault="00360B1C" w:rsidP="00582A12">
      <w:pPr>
        <w:pStyle w:val="Normalodrka"/>
        <w:rPr>
          <w:lang w:val="en-GB"/>
        </w:rPr>
      </w:pPr>
      <w:r w:rsidRPr="006E725C">
        <w:rPr>
          <w:lang w:val="en-GB"/>
        </w:rPr>
        <w:lastRenderedPageBreak/>
        <w:t xml:space="preserve">State budget deficit for year </w:t>
      </w:r>
      <w:r w:rsidR="00EA1EBB" w:rsidRPr="006E725C">
        <w:rPr>
          <w:lang w:val="en-GB"/>
        </w:rPr>
        <w:t>2023</w:t>
      </w:r>
      <w:r w:rsidRPr="006E725C">
        <w:rPr>
          <w:lang w:val="en-GB"/>
        </w:rPr>
        <w:t xml:space="preserve"> amounted to </w:t>
      </w:r>
      <w:r w:rsidR="00EA1EBB" w:rsidRPr="006E725C">
        <w:rPr>
          <w:lang w:val="en-GB"/>
        </w:rPr>
        <w:t>288</w:t>
      </w:r>
      <w:r w:rsidRPr="006E725C">
        <w:rPr>
          <w:lang w:val="en-GB"/>
        </w:rPr>
        <w:t>.</w:t>
      </w:r>
      <w:r w:rsidR="00EA1EBB" w:rsidRPr="006E725C">
        <w:rPr>
          <w:lang w:val="en-GB"/>
        </w:rPr>
        <w:t>5</w:t>
      </w:r>
      <w:r w:rsidRPr="006E725C">
        <w:rPr>
          <w:lang w:val="en-GB"/>
        </w:rPr>
        <w:t xml:space="preserve"> </w:t>
      </w:r>
      <w:r w:rsidR="009C0832">
        <w:rPr>
          <w:lang w:val="en-GB"/>
        </w:rPr>
        <w:t>CZK bn</w:t>
      </w:r>
      <w:r w:rsidR="00EA1EBB" w:rsidRPr="006E725C">
        <w:rPr>
          <w:lang w:val="en-GB"/>
        </w:rPr>
        <w:t>.</w:t>
      </w:r>
      <w:r w:rsidRPr="006E725C">
        <w:rPr>
          <w:lang w:val="en-GB"/>
        </w:rPr>
        <w:t xml:space="preserve"> The deficit shrank year-on-year for the second time in a row and decreased by </w:t>
      </w:r>
      <w:r w:rsidR="00EA1EBB" w:rsidRPr="006E725C">
        <w:rPr>
          <w:lang w:val="en-GB"/>
        </w:rPr>
        <w:t>71</w:t>
      </w:r>
      <w:r w:rsidRPr="006E725C">
        <w:rPr>
          <w:lang w:val="en-GB"/>
        </w:rPr>
        <w:t>.</w:t>
      </w:r>
      <w:r w:rsidR="00EA1EBB" w:rsidRPr="006E725C">
        <w:rPr>
          <w:lang w:val="en-GB"/>
        </w:rPr>
        <w:t>9</w:t>
      </w:r>
      <w:r w:rsidRPr="006E725C">
        <w:rPr>
          <w:lang w:val="en-GB"/>
        </w:rPr>
        <w:t xml:space="preserve"> </w:t>
      </w:r>
      <w:r w:rsidR="009C0832">
        <w:rPr>
          <w:lang w:val="en-GB"/>
        </w:rPr>
        <w:t xml:space="preserve">CZK </w:t>
      </w:r>
      <w:proofErr w:type="spellStart"/>
      <w:r w:rsidR="009C0832">
        <w:rPr>
          <w:lang w:val="en-GB"/>
        </w:rPr>
        <w:t>bn</w:t>
      </w:r>
      <w:proofErr w:type="spellEnd"/>
      <w:r w:rsidRPr="006E725C">
        <w:rPr>
          <w:lang w:val="en-GB"/>
        </w:rPr>
        <w:t xml:space="preserve"> compared to year 2022</w:t>
      </w:r>
      <w:r w:rsidR="00EA1EBB" w:rsidRPr="006E725C">
        <w:rPr>
          <w:lang w:val="en-GB"/>
        </w:rPr>
        <w:t xml:space="preserve">. </w:t>
      </w:r>
      <w:r w:rsidR="00996D3F" w:rsidRPr="006E725C">
        <w:rPr>
          <w:lang w:val="en-GB"/>
        </w:rPr>
        <w:t xml:space="preserve">Total revenues rose by even </w:t>
      </w:r>
      <w:r w:rsidR="00EA1EBB" w:rsidRPr="006E725C">
        <w:rPr>
          <w:lang w:val="en-GB"/>
        </w:rPr>
        <w:t>23%</w:t>
      </w:r>
      <w:r w:rsidR="00996D3F" w:rsidRPr="006E725C">
        <w:rPr>
          <w:lang w:val="en-GB"/>
        </w:rPr>
        <w:t xml:space="preserve"> year-on-year and slightly exceeded the budget anticipations. </w:t>
      </w:r>
      <w:r w:rsidR="00402222" w:rsidRPr="006E725C">
        <w:rPr>
          <w:lang w:val="en-GB"/>
        </w:rPr>
        <w:t xml:space="preserve">Both tax income without insurance and non-tax and capital income as well as received transfers contributed to the growth. </w:t>
      </w:r>
      <w:r w:rsidR="00996D3F" w:rsidRPr="006E725C">
        <w:rPr>
          <w:lang w:val="en-GB"/>
        </w:rPr>
        <w:t>Total expenditures thus increased by 12.4% year-on-year since the beginning of the year</w:t>
      </w:r>
      <w:r w:rsidR="00EA1EBB" w:rsidRPr="006E725C">
        <w:rPr>
          <w:spacing w:val="-4"/>
          <w:lang w:val="en-GB"/>
        </w:rPr>
        <w:t xml:space="preserve">. </w:t>
      </w:r>
      <w:r w:rsidR="00FE0FF0" w:rsidRPr="006E725C">
        <w:rPr>
          <w:spacing w:val="-4"/>
          <w:lang w:val="en-GB"/>
        </w:rPr>
        <w:t xml:space="preserve">Their growth reflected the state aid associated with high prices of energies as well as the impacts of the slowly subsiding high inflation. </w:t>
      </w:r>
    </w:p>
    <w:p w14:paraId="49F701EE" w14:textId="77777777" w:rsidR="00B97F3A" w:rsidRPr="006E725C" w:rsidRDefault="00B97F3A" w:rsidP="00B97F3A">
      <w:pPr>
        <w:pStyle w:val="Normalodrka"/>
        <w:numPr>
          <w:ilvl w:val="0"/>
          <w:numId w:val="0"/>
        </w:numPr>
        <w:spacing w:after="0"/>
        <w:rPr>
          <w:b/>
          <w:sz w:val="2"/>
          <w:szCs w:val="2"/>
          <w:highlight w:val="yellow"/>
          <w:lang w:val="en-GB"/>
        </w:rPr>
      </w:pPr>
    </w:p>
    <w:p w14:paraId="3150E3D3" w14:textId="7E41D290" w:rsidR="00BC223A" w:rsidRPr="006E725C" w:rsidRDefault="009A7F8D" w:rsidP="00783810">
      <w:pPr>
        <w:pStyle w:val="Normalodrka"/>
        <w:numPr>
          <w:ilvl w:val="0"/>
          <w:numId w:val="0"/>
        </w:numPr>
        <w:spacing w:after="0"/>
        <w:jc w:val="center"/>
        <w:rPr>
          <w:spacing w:val="-4"/>
          <w:lang w:val="en-GB"/>
        </w:rPr>
      </w:pPr>
      <w:r w:rsidRPr="009A7F8D">
        <w:rPr>
          <w:noProof/>
        </w:rPr>
        <w:lastRenderedPageBreak/>
        <w:drawing>
          <wp:inline distT="0" distB="0" distL="0" distR="0" wp14:anchorId="2A912C19" wp14:editId="6C1A79E4">
            <wp:extent cx="5838825" cy="8943975"/>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8825" cy="8943975"/>
                    </a:xfrm>
                    <a:prstGeom prst="rect">
                      <a:avLst/>
                    </a:prstGeom>
                    <a:noFill/>
                    <a:ln>
                      <a:noFill/>
                    </a:ln>
                  </pic:spPr>
                </pic:pic>
              </a:graphicData>
            </a:graphic>
          </wp:inline>
        </w:drawing>
      </w:r>
    </w:p>
    <w:p w14:paraId="35EA198A" w14:textId="56BFF104" w:rsidR="00993ECA" w:rsidRPr="006E725C" w:rsidRDefault="00993ECA" w:rsidP="00993ECA">
      <w:pPr>
        <w:pStyle w:val="Normalodrka"/>
        <w:numPr>
          <w:ilvl w:val="0"/>
          <w:numId w:val="0"/>
        </w:numPr>
        <w:spacing w:after="0"/>
        <w:rPr>
          <w:b/>
          <w:sz w:val="2"/>
          <w:szCs w:val="2"/>
          <w:highlight w:val="yellow"/>
          <w:lang w:val="en-GB"/>
        </w:rPr>
      </w:pPr>
    </w:p>
    <w:p w14:paraId="7BD1CA90" w14:textId="798867F9" w:rsidR="00EA1EBB" w:rsidRPr="006E725C" w:rsidRDefault="00EA1EBB" w:rsidP="00EA1EBB">
      <w:pPr>
        <w:pStyle w:val="Nadpis1"/>
        <w:rPr>
          <w:lang w:val="en-GB"/>
        </w:rPr>
      </w:pPr>
      <w:bookmarkStart w:id="23" w:name="_Toc145318531"/>
      <w:bookmarkStart w:id="24" w:name="_Toc153531174"/>
      <w:bookmarkStart w:id="25" w:name="_Toc137233026"/>
      <w:bookmarkStart w:id="26" w:name="_Toc130286019"/>
      <w:bookmarkStart w:id="27" w:name="_Toc114134050"/>
      <w:bookmarkStart w:id="28" w:name="_Toc121993822"/>
      <w:bookmarkStart w:id="29" w:name="_Toc164682184"/>
      <w:bookmarkEnd w:id="9"/>
      <w:bookmarkEnd w:id="10"/>
      <w:bookmarkEnd w:id="11"/>
      <w:bookmarkEnd w:id="12"/>
      <w:bookmarkEnd w:id="13"/>
      <w:bookmarkEnd w:id="14"/>
      <w:bookmarkEnd w:id="15"/>
      <w:bookmarkEnd w:id="16"/>
      <w:bookmarkEnd w:id="17"/>
      <w:bookmarkEnd w:id="18"/>
      <w:bookmarkEnd w:id="19"/>
      <w:bookmarkEnd w:id="20"/>
      <w:bookmarkEnd w:id="21"/>
      <w:r w:rsidRPr="006E725C">
        <w:rPr>
          <w:lang w:val="en-GB"/>
        </w:rPr>
        <w:lastRenderedPageBreak/>
        <w:t>2. </w:t>
      </w:r>
      <w:r w:rsidR="0037480D" w:rsidRPr="006E725C">
        <w:rPr>
          <w:lang w:val="en-GB"/>
        </w:rPr>
        <w:t>Overall Economic Performance</w:t>
      </w:r>
      <w:bookmarkEnd w:id="23"/>
      <w:bookmarkEnd w:id="24"/>
      <w:bookmarkEnd w:id="29"/>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EA1EBB" w:rsidRPr="006E725C" w14:paraId="2F58A64B" w14:textId="77777777" w:rsidTr="005855B4">
        <w:trPr>
          <w:trHeight w:val="145"/>
        </w:trPr>
        <w:tc>
          <w:tcPr>
            <w:tcW w:w="1806" w:type="dxa"/>
            <w:shd w:val="clear" w:color="auto" w:fill="auto"/>
            <w:tcMar>
              <w:left w:w="0" w:type="dxa"/>
            </w:tcMar>
          </w:tcPr>
          <w:p w14:paraId="3A54FC82" w14:textId="0AC50BBF" w:rsidR="00EA1EBB" w:rsidRPr="006E725C" w:rsidRDefault="0037480D" w:rsidP="00BA5125">
            <w:pPr>
              <w:pStyle w:val="Marginlie"/>
              <w:rPr>
                <w:lang w:val="en-GB"/>
              </w:rPr>
            </w:pPr>
            <w:r w:rsidRPr="006E725C">
              <w:rPr>
                <w:lang w:val="en-GB"/>
              </w:rPr>
              <w:t xml:space="preserve">The Czech economy </w:t>
            </w:r>
            <w:r w:rsidR="00402222" w:rsidRPr="006E725C">
              <w:rPr>
                <w:lang w:val="en-GB"/>
              </w:rPr>
              <w:t>was on a decline last year.</w:t>
            </w:r>
          </w:p>
        </w:tc>
        <w:tc>
          <w:tcPr>
            <w:tcW w:w="223" w:type="dxa"/>
            <w:shd w:val="clear" w:color="auto" w:fill="auto"/>
            <w:tcMar>
              <w:left w:w="0" w:type="dxa"/>
            </w:tcMar>
          </w:tcPr>
          <w:p w14:paraId="6967ED5A"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530985A3" w14:textId="51FE311A" w:rsidR="00EA1EBB" w:rsidRPr="006E725C" w:rsidRDefault="00402222" w:rsidP="00502372">
            <w:pPr>
              <w:rPr>
                <w:spacing w:val="-2"/>
                <w:lang w:val="en-GB"/>
              </w:rPr>
            </w:pPr>
            <w:r w:rsidRPr="006E725C">
              <w:rPr>
                <w:spacing w:val="-2"/>
                <w:lang w:val="en-GB"/>
              </w:rPr>
              <w:t xml:space="preserve">The Czech economy </w:t>
            </w:r>
            <w:r w:rsidR="00AD449D" w:rsidRPr="006E725C">
              <w:rPr>
                <w:spacing w:val="-2"/>
                <w:lang w:val="en-GB"/>
              </w:rPr>
              <w:t xml:space="preserve">contended with a </w:t>
            </w:r>
            <w:r w:rsidR="001F3C7C" w:rsidRPr="006E725C">
              <w:rPr>
                <w:spacing w:val="-2"/>
                <w:lang w:val="en-GB"/>
              </w:rPr>
              <w:t>mixture</w:t>
            </w:r>
            <w:r w:rsidR="009A1DA8" w:rsidRPr="006E725C">
              <w:rPr>
                <w:spacing w:val="-2"/>
                <w:lang w:val="en-GB"/>
              </w:rPr>
              <w:t xml:space="preserve"> of effect </w:t>
            </w:r>
            <w:r w:rsidR="0076384E" w:rsidRPr="006E725C">
              <w:rPr>
                <w:spacing w:val="-2"/>
                <w:lang w:val="en-GB"/>
              </w:rPr>
              <w:t xml:space="preserve">of growing </w:t>
            </w:r>
            <w:r w:rsidR="005C63A5" w:rsidRPr="006E725C">
              <w:rPr>
                <w:spacing w:val="-2"/>
                <w:lang w:val="en-GB"/>
              </w:rPr>
              <w:t>foreign</w:t>
            </w:r>
            <w:r w:rsidR="0076384E" w:rsidRPr="006E725C">
              <w:rPr>
                <w:spacing w:val="-2"/>
                <w:lang w:val="en-GB"/>
              </w:rPr>
              <w:t xml:space="preserve"> demand, domestic investment activity and government consumption and ongoing slump of the household consumption and negative </w:t>
            </w:r>
            <w:r w:rsidR="00F6556B" w:rsidRPr="006E725C">
              <w:rPr>
                <w:spacing w:val="-2"/>
                <w:lang w:val="en-GB"/>
              </w:rPr>
              <w:t xml:space="preserve">influence of the </w:t>
            </w:r>
            <w:r w:rsidR="005B16AB" w:rsidRPr="006E725C">
              <w:rPr>
                <w:spacing w:val="-2"/>
                <w:lang w:val="en-GB"/>
              </w:rPr>
              <w:t>change in inventories</w:t>
            </w:r>
            <w:r w:rsidR="001F3C7C" w:rsidRPr="006E725C">
              <w:rPr>
                <w:spacing w:val="-2"/>
                <w:lang w:val="en-GB"/>
              </w:rPr>
              <w:t xml:space="preserve"> </w:t>
            </w:r>
            <w:r w:rsidRPr="006E725C">
              <w:rPr>
                <w:spacing w:val="-2"/>
                <w:lang w:val="en-GB"/>
              </w:rPr>
              <w:t>in year 2023</w:t>
            </w:r>
            <w:r w:rsidR="00EA1EBB" w:rsidRPr="006E725C">
              <w:rPr>
                <w:spacing w:val="-2"/>
                <w:lang w:val="en-GB"/>
              </w:rPr>
              <w:t xml:space="preserve">. </w:t>
            </w:r>
            <w:r w:rsidR="000B3D72" w:rsidRPr="006E725C">
              <w:rPr>
                <w:spacing w:val="-2"/>
                <w:lang w:val="en-GB"/>
              </w:rPr>
              <w:t xml:space="preserve">It resulted in fluctuation of the economy within the stagnation range. </w:t>
            </w:r>
            <w:r w:rsidR="00844998" w:rsidRPr="006E725C">
              <w:rPr>
                <w:spacing w:val="-2"/>
                <w:lang w:val="en-GB"/>
              </w:rPr>
              <w:t>T</w:t>
            </w:r>
            <w:r w:rsidRPr="006E725C">
              <w:rPr>
                <w:spacing w:val="-2"/>
                <w:lang w:val="en-GB"/>
              </w:rPr>
              <w:t xml:space="preserve">otal gross domestic product </w:t>
            </w:r>
            <w:r w:rsidR="00EA1EBB" w:rsidRPr="006E725C">
              <w:rPr>
                <w:spacing w:val="-2"/>
                <w:lang w:val="en-GB"/>
              </w:rPr>
              <w:t>(</w:t>
            </w:r>
            <w:r w:rsidRPr="006E725C">
              <w:rPr>
                <w:spacing w:val="-2"/>
                <w:lang w:val="en-GB"/>
              </w:rPr>
              <w:t>GDP</w:t>
            </w:r>
            <w:r w:rsidR="00EA1EBB" w:rsidRPr="006E725C">
              <w:rPr>
                <w:spacing w:val="-2"/>
                <w:lang w:val="en-GB"/>
              </w:rPr>
              <w:t xml:space="preserve">) </w:t>
            </w:r>
            <w:r w:rsidRPr="006E725C">
              <w:rPr>
                <w:spacing w:val="-2"/>
                <w:lang w:val="en-GB"/>
              </w:rPr>
              <w:t xml:space="preserve">decreased by </w:t>
            </w:r>
            <w:r w:rsidR="00EA1EBB" w:rsidRPr="006E725C">
              <w:rPr>
                <w:spacing w:val="-2"/>
                <w:lang w:val="en-GB"/>
              </w:rPr>
              <w:t>0</w:t>
            </w:r>
            <w:r w:rsidRPr="006E725C">
              <w:rPr>
                <w:spacing w:val="-2"/>
                <w:lang w:val="en-GB"/>
              </w:rPr>
              <w:t>.</w:t>
            </w:r>
            <w:r w:rsidR="00EA1EBB" w:rsidRPr="006E725C">
              <w:rPr>
                <w:spacing w:val="-2"/>
                <w:lang w:val="en-GB"/>
              </w:rPr>
              <w:t>4%</w:t>
            </w:r>
            <w:r w:rsidRPr="006E725C">
              <w:rPr>
                <w:spacing w:val="-2"/>
                <w:lang w:val="en-GB"/>
              </w:rPr>
              <w:t xml:space="preserve"> last year</w:t>
            </w:r>
            <w:r w:rsidR="00EA1EBB" w:rsidRPr="006E725C">
              <w:rPr>
                <w:rStyle w:val="Znakapoznpodarou"/>
                <w:rFonts w:cs="Arial"/>
                <w:spacing w:val="-2"/>
                <w:lang w:val="en-GB"/>
              </w:rPr>
              <w:footnoteReference w:id="4"/>
            </w:r>
            <w:r w:rsidR="00EA1EBB" w:rsidRPr="006E725C">
              <w:rPr>
                <w:spacing w:val="-2"/>
                <w:lang w:val="en-GB"/>
              </w:rPr>
              <w:t xml:space="preserve">. </w:t>
            </w:r>
            <w:r w:rsidR="00CE2DC6" w:rsidRPr="006E725C">
              <w:rPr>
                <w:spacing w:val="-2"/>
                <w:lang w:val="en-GB"/>
              </w:rPr>
              <w:t xml:space="preserve">The GDP </w:t>
            </w:r>
            <w:r w:rsidR="00EF179E" w:rsidRPr="006E725C">
              <w:rPr>
                <w:spacing w:val="-2"/>
                <w:lang w:val="en-GB"/>
              </w:rPr>
              <w:t xml:space="preserve">was falling year-on-year in individual quarters </w:t>
            </w:r>
            <w:r w:rsidR="00EA1EBB" w:rsidRPr="006E725C">
              <w:rPr>
                <w:spacing w:val="-2"/>
                <w:lang w:val="en-GB"/>
              </w:rPr>
              <w:t>(</w:t>
            </w:r>
            <w:r w:rsidRPr="006E725C">
              <w:rPr>
                <w:spacing w:val="-2"/>
                <w:lang w:val="en-GB"/>
              </w:rPr>
              <w:t xml:space="preserve">gradually </w:t>
            </w:r>
            <w:r w:rsidR="00EA1EBB" w:rsidRPr="006E725C">
              <w:rPr>
                <w:spacing w:val="-2"/>
                <w:lang w:val="en-GB"/>
              </w:rPr>
              <w:t>−0</w:t>
            </w:r>
            <w:r w:rsidRPr="006E725C">
              <w:rPr>
                <w:spacing w:val="-2"/>
                <w:lang w:val="en-GB"/>
              </w:rPr>
              <w:t>.</w:t>
            </w:r>
            <w:r w:rsidR="00EA1EBB" w:rsidRPr="006E725C">
              <w:rPr>
                <w:spacing w:val="-2"/>
                <w:lang w:val="en-GB"/>
              </w:rPr>
              <w:t>3%, −0</w:t>
            </w:r>
            <w:r w:rsidRPr="006E725C">
              <w:rPr>
                <w:spacing w:val="-2"/>
                <w:lang w:val="en-GB"/>
              </w:rPr>
              <w:t>.</w:t>
            </w:r>
            <w:r w:rsidR="00EA1EBB" w:rsidRPr="006E725C">
              <w:rPr>
                <w:spacing w:val="-2"/>
                <w:lang w:val="en-GB"/>
              </w:rPr>
              <w:t>2%, −0</w:t>
            </w:r>
            <w:r w:rsidRPr="006E725C">
              <w:rPr>
                <w:spacing w:val="-2"/>
                <w:lang w:val="en-GB"/>
              </w:rPr>
              <w:t>.</w:t>
            </w:r>
            <w:r w:rsidR="00EA1EBB" w:rsidRPr="006E725C">
              <w:rPr>
                <w:spacing w:val="-2"/>
                <w:lang w:val="en-GB"/>
              </w:rPr>
              <w:t>8% a</w:t>
            </w:r>
            <w:r w:rsidRPr="006E725C">
              <w:rPr>
                <w:spacing w:val="-2"/>
                <w:lang w:val="en-GB"/>
              </w:rPr>
              <w:t>nd</w:t>
            </w:r>
            <w:r w:rsidR="00EA1EBB" w:rsidRPr="006E725C">
              <w:rPr>
                <w:spacing w:val="-2"/>
                <w:lang w:val="en-GB"/>
              </w:rPr>
              <w:t xml:space="preserve"> −0</w:t>
            </w:r>
            <w:r w:rsidRPr="006E725C">
              <w:rPr>
                <w:spacing w:val="-2"/>
                <w:lang w:val="en-GB"/>
              </w:rPr>
              <w:t>.</w:t>
            </w:r>
            <w:r w:rsidR="00EA1EBB" w:rsidRPr="006E725C">
              <w:rPr>
                <w:spacing w:val="-2"/>
                <w:lang w:val="en-GB"/>
              </w:rPr>
              <w:t xml:space="preserve">2%). </w:t>
            </w:r>
            <w:r w:rsidR="005C41AF" w:rsidRPr="006E725C">
              <w:rPr>
                <w:spacing w:val="-2"/>
                <w:lang w:val="en-GB"/>
              </w:rPr>
              <w:t xml:space="preserve">At the very end of the </w:t>
            </w:r>
            <w:r w:rsidR="006E725C" w:rsidRPr="006E725C">
              <w:rPr>
                <w:spacing w:val="-2"/>
                <w:lang w:val="en-GB"/>
              </w:rPr>
              <w:t>year,</w:t>
            </w:r>
            <w:r w:rsidR="005C41AF" w:rsidRPr="006E725C">
              <w:rPr>
                <w:spacing w:val="-2"/>
                <w:lang w:val="en-GB"/>
              </w:rPr>
              <w:t xml:space="preserve"> </w:t>
            </w:r>
            <w:r w:rsidR="00CE75F3" w:rsidRPr="006E725C">
              <w:rPr>
                <w:spacing w:val="-2"/>
                <w:lang w:val="en-GB"/>
              </w:rPr>
              <w:t xml:space="preserve">the change in inventories worked in the direction of year-on-year GDP decrease and its impact completely </w:t>
            </w:r>
            <w:r w:rsidR="0009704A" w:rsidRPr="006E725C">
              <w:rPr>
                <w:spacing w:val="-2"/>
                <w:lang w:val="en-GB"/>
              </w:rPr>
              <w:t>exceeded the positive contribution of consumption</w:t>
            </w:r>
            <w:r w:rsidR="00EA1EBB" w:rsidRPr="006E725C">
              <w:rPr>
                <w:rStyle w:val="Znakapoznpodarou"/>
                <w:spacing w:val="-2"/>
                <w:lang w:val="en-GB"/>
              </w:rPr>
              <w:footnoteReference w:id="5"/>
            </w:r>
            <w:r w:rsidR="00EA1EBB" w:rsidRPr="006E725C">
              <w:rPr>
                <w:spacing w:val="-2"/>
                <w:lang w:val="en-GB"/>
              </w:rPr>
              <w:t xml:space="preserve">, </w:t>
            </w:r>
            <w:r w:rsidR="0009704A" w:rsidRPr="006E725C">
              <w:rPr>
                <w:spacing w:val="-2"/>
                <w:lang w:val="en-GB"/>
              </w:rPr>
              <w:t xml:space="preserve">investment as well as the </w:t>
            </w:r>
            <w:r w:rsidR="00A94E67" w:rsidRPr="006E725C">
              <w:rPr>
                <w:spacing w:val="-2"/>
                <w:lang w:val="en-GB"/>
              </w:rPr>
              <w:t xml:space="preserve">external </w:t>
            </w:r>
            <w:r w:rsidR="0009704A" w:rsidRPr="006E725C">
              <w:rPr>
                <w:spacing w:val="-2"/>
                <w:lang w:val="en-GB"/>
              </w:rPr>
              <w:t>demand</w:t>
            </w:r>
            <w:r w:rsidR="00EA1EBB" w:rsidRPr="006E725C">
              <w:rPr>
                <w:spacing w:val="-2"/>
                <w:lang w:val="en-GB"/>
              </w:rPr>
              <w:t xml:space="preserve">. </w:t>
            </w:r>
            <w:r w:rsidR="00DE5BED" w:rsidRPr="006E725C">
              <w:rPr>
                <w:spacing w:val="-2"/>
                <w:lang w:val="en-GB"/>
              </w:rPr>
              <w:t xml:space="preserve">Recovery occurred last year (0.1% and 0.2% in Q1 and </w:t>
            </w:r>
            <w:r w:rsidR="00A94E67" w:rsidRPr="006E725C">
              <w:rPr>
                <w:spacing w:val="-2"/>
                <w:lang w:val="en-GB"/>
              </w:rPr>
              <w:t>Q</w:t>
            </w:r>
            <w:r w:rsidR="00DE5BED" w:rsidRPr="006E725C">
              <w:rPr>
                <w:spacing w:val="-2"/>
                <w:lang w:val="en-GB"/>
              </w:rPr>
              <w:t>2</w:t>
            </w:r>
            <w:r w:rsidR="00815EE3" w:rsidRPr="006E725C">
              <w:rPr>
                <w:spacing w:val="-2"/>
                <w:lang w:val="en-GB"/>
              </w:rPr>
              <w:t xml:space="preserve"> </w:t>
            </w:r>
            <w:r w:rsidR="00DE5BED" w:rsidRPr="006E725C">
              <w:rPr>
                <w:spacing w:val="-2"/>
                <w:lang w:val="en-GB"/>
              </w:rPr>
              <w:t xml:space="preserve">2023) following two quarter-on-quarter GDP declines from the second half of </w:t>
            </w:r>
            <w:r w:rsidR="00502372">
              <w:rPr>
                <w:spacing w:val="-2"/>
                <w:lang w:val="en-GB"/>
              </w:rPr>
              <w:t>2022.</w:t>
            </w:r>
            <w:r w:rsidR="00EA1EBB" w:rsidRPr="006E725C">
              <w:rPr>
                <w:spacing w:val="-2"/>
                <w:lang w:val="en-GB"/>
              </w:rPr>
              <w:t xml:space="preserve"> </w:t>
            </w:r>
            <w:r w:rsidR="003B0834" w:rsidRPr="006E725C">
              <w:rPr>
                <w:spacing w:val="-2"/>
                <w:lang w:val="en-GB"/>
              </w:rPr>
              <w:t>The GDP again</w:t>
            </w:r>
            <w:r w:rsidR="00502372" w:rsidRPr="006E725C">
              <w:rPr>
                <w:spacing w:val="-2"/>
                <w:lang w:val="en-GB"/>
              </w:rPr>
              <w:t xml:space="preserve"> decrease</w:t>
            </w:r>
            <w:r w:rsidR="00502372">
              <w:rPr>
                <w:spacing w:val="-2"/>
                <w:lang w:val="en-GB"/>
              </w:rPr>
              <w:t>d</w:t>
            </w:r>
            <w:r w:rsidR="00502372" w:rsidRPr="006E725C">
              <w:rPr>
                <w:spacing w:val="-2"/>
                <w:lang w:val="en-GB"/>
              </w:rPr>
              <w:t xml:space="preserve"> by 0.8% in Q3</w:t>
            </w:r>
            <w:r w:rsidR="00502372">
              <w:rPr>
                <w:spacing w:val="-2"/>
                <w:lang w:val="en-GB"/>
              </w:rPr>
              <w:t xml:space="preserve"> 2023 and</w:t>
            </w:r>
            <w:r w:rsidR="003B0834" w:rsidRPr="006E725C">
              <w:rPr>
                <w:spacing w:val="-2"/>
                <w:lang w:val="en-GB"/>
              </w:rPr>
              <w:t xml:space="preserve"> increased quarter-on-quarter in Q</w:t>
            </w:r>
            <w:r w:rsidR="00EA1EBB" w:rsidRPr="006E725C">
              <w:rPr>
                <w:spacing w:val="-2"/>
                <w:lang w:val="en-GB"/>
              </w:rPr>
              <w:t>4</w:t>
            </w:r>
            <w:r w:rsidR="003B0834" w:rsidRPr="006E725C">
              <w:rPr>
                <w:spacing w:val="-2"/>
                <w:lang w:val="en-GB"/>
              </w:rPr>
              <w:t xml:space="preserve"> </w:t>
            </w:r>
            <w:r w:rsidR="00EA1EBB" w:rsidRPr="006E725C">
              <w:rPr>
                <w:spacing w:val="-2"/>
                <w:lang w:val="en-GB"/>
              </w:rPr>
              <w:t>(0</w:t>
            </w:r>
            <w:r w:rsidR="003B0834" w:rsidRPr="006E725C">
              <w:rPr>
                <w:spacing w:val="-2"/>
                <w:lang w:val="en-GB"/>
              </w:rPr>
              <w:t>.</w:t>
            </w:r>
            <w:r w:rsidR="00EA1EBB" w:rsidRPr="006E725C">
              <w:rPr>
                <w:spacing w:val="-2"/>
                <w:lang w:val="en-GB"/>
              </w:rPr>
              <w:t xml:space="preserve">2%) </w:t>
            </w:r>
            <w:r w:rsidR="00594B24" w:rsidRPr="006E725C">
              <w:rPr>
                <w:spacing w:val="-2"/>
                <w:lang w:val="en-GB"/>
              </w:rPr>
              <w:t xml:space="preserve">with the contribution from the development of household consumption, investment as well as foreign demand. </w:t>
            </w:r>
            <w:r w:rsidR="00650A4F" w:rsidRPr="006E725C">
              <w:rPr>
                <w:spacing w:val="-2"/>
                <w:lang w:val="en-GB"/>
              </w:rPr>
              <w:t xml:space="preserve">Consumption of general government </w:t>
            </w:r>
            <w:r w:rsidR="00406FBE" w:rsidRPr="006E725C">
              <w:rPr>
                <w:spacing w:val="-2"/>
                <w:lang w:val="en-GB"/>
              </w:rPr>
              <w:t>and also the change in inventories was h</w:t>
            </w:r>
            <w:r w:rsidR="001D0F32" w:rsidRPr="006E725C">
              <w:rPr>
                <w:spacing w:val="-2"/>
                <w:lang w:val="en-GB"/>
              </w:rPr>
              <w:t>owever crimpin</w:t>
            </w:r>
            <w:r w:rsidR="0090165B" w:rsidRPr="006E725C">
              <w:rPr>
                <w:spacing w:val="-2"/>
                <w:lang w:val="en-GB"/>
              </w:rPr>
              <w:t>g</w:t>
            </w:r>
            <w:r w:rsidR="001D0F32" w:rsidRPr="006E725C">
              <w:rPr>
                <w:spacing w:val="-2"/>
                <w:lang w:val="en-GB"/>
              </w:rPr>
              <w:t xml:space="preserve"> the GDP recovery</w:t>
            </w:r>
            <w:r w:rsidR="001223CD" w:rsidRPr="006E725C">
              <w:rPr>
                <w:spacing w:val="-2"/>
                <w:lang w:val="en-GB"/>
              </w:rPr>
              <w:t xml:space="preserve">. </w:t>
            </w:r>
            <w:r w:rsidR="00021DD9" w:rsidRPr="006E725C">
              <w:rPr>
                <w:spacing w:val="-2"/>
                <w:lang w:val="en-GB"/>
              </w:rPr>
              <w:t>The Gross domestic product in constant prices</w:t>
            </w:r>
            <w:r w:rsidR="00F81DE1" w:rsidRPr="006E725C">
              <w:rPr>
                <w:spacing w:val="-2"/>
                <w:lang w:val="en-GB"/>
              </w:rPr>
              <w:t xml:space="preserve"> year-on-year</w:t>
            </w:r>
            <w:r w:rsidR="00021DD9" w:rsidRPr="006E725C">
              <w:rPr>
                <w:spacing w:val="-2"/>
                <w:lang w:val="en-GB"/>
              </w:rPr>
              <w:t xml:space="preserve"> </w:t>
            </w:r>
            <w:r w:rsidR="00034E58" w:rsidRPr="006E725C">
              <w:rPr>
                <w:spacing w:val="-2"/>
                <w:lang w:val="en-GB"/>
              </w:rPr>
              <w:t xml:space="preserve">however also </w:t>
            </w:r>
            <w:r w:rsidR="00F81DE1" w:rsidRPr="006E725C">
              <w:rPr>
                <w:spacing w:val="-2"/>
                <w:lang w:val="en-GB"/>
              </w:rPr>
              <w:t>lagged</w:t>
            </w:r>
            <w:r w:rsidR="00034E58" w:rsidRPr="006E725C">
              <w:rPr>
                <w:spacing w:val="-2"/>
                <w:lang w:val="en-GB"/>
              </w:rPr>
              <w:t xml:space="preserve"> </w:t>
            </w:r>
            <w:r w:rsidR="00F81DE1" w:rsidRPr="006E725C">
              <w:rPr>
                <w:spacing w:val="-2"/>
                <w:lang w:val="en-GB"/>
              </w:rPr>
              <w:t xml:space="preserve">behind </w:t>
            </w:r>
            <w:r w:rsidR="00034E58" w:rsidRPr="006E725C">
              <w:rPr>
                <w:spacing w:val="-2"/>
                <w:lang w:val="en-GB"/>
              </w:rPr>
              <w:t>the level from the pre-pandemic year 2019 last year, which was slightly overt</w:t>
            </w:r>
            <w:r w:rsidR="00A94E67" w:rsidRPr="006E725C">
              <w:rPr>
                <w:spacing w:val="-2"/>
                <w:lang w:val="en-GB"/>
              </w:rPr>
              <w:t>aken</w:t>
            </w:r>
            <w:r w:rsidR="00034E58" w:rsidRPr="006E725C">
              <w:rPr>
                <w:spacing w:val="-2"/>
                <w:lang w:val="en-GB"/>
              </w:rPr>
              <w:t xml:space="preserve"> in year 2022. </w:t>
            </w:r>
            <w:r w:rsidR="00EA1EBB" w:rsidRPr="006E725C">
              <w:rPr>
                <w:spacing w:val="-2"/>
                <w:lang w:val="en-GB"/>
              </w:rPr>
              <w:t xml:space="preserve">     </w:t>
            </w:r>
          </w:p>
        </w:tc>
      </w:tr>
      <w:tr w:rsidR="00EA1EBB" w:rsidRPr="006E725C" w14:paraId="30F8CC2F" w14:textId="77777777" w:rsidTr="005855B4">
        <w:trPr>
          <w:trHeight w:val="170"/>
        </w:trPr>
        <w:tc>
          <w:tcPr>
            <w:tcW w:w="1806" w:type="dxa"/>
            <w:vMerge w:val="restart"/>
            <w:shd w:val="clear" w:color="auto" w:fill="auto"/>
            <w:tcMar>
              <w:left w:w="0" w:type="dxa"/>
            </w:tcMar>
          </w:tcPr>
          <w:p w14:paraId="76F04A2F" w14:textId="77777777" w:rsidR="00EA1EBB" w:rsidRPr="006E725C" w:rsidRDefault="00EA1EBB" w:rsidP="00BA5125">
            <w:pPr>
              <w:pStyle w:val="Marginlie"/>
              <w:rPr>
                <w:lang w:val="en-GB"/>
              </w:rPr>
            </w:pPr>
          </w:p>
        </w:tc>
        <w:tc>
          <w:tcPr>
            <w:tcW w:w="223" w:type="dxa"/>
            <w:vMerge w:val="restart"/>
            <w:shd w:val="clear" w:color="auto" w:fill="auto"/>
            <w:tcMar>
              <w:left w:w="0" w:type="dxa"/>
            </w:tcMar>
          </w:tcPr>
          <w:p w14:paraId="7B5ADD17"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67E0AA79" w14:textId="01FE0B38" w:rsidR="00EA1EBB" w:rsidRPr="006E725C" w:rsidRDefault="00544E6E" w:rsidP="00BA5125">
            <w:pPr>
              <w:spacing w:after="0"/>
              <w:rPr>
                <w:b/>
                <w:szCs w:val="20"/>
                <w:lang w:val="en-GB"/>
              </w:rPr>
            </w:pPr>
            <w:r w:rsidRPr="006E725C">
              <w:rPr>
                <w:rFonts w:cs="Arial"/>
                <w:b/>
                <w:bCs/>
                <w:color w:val="000000"/>
                <w:szCs w:val="20"/>
                <w:lang w:val="en-GB"/>
              </w:rPr>
              <w:t xml:space="preserve">Chart </w:t>
            </w:r>
            <w:r w:rsidR="00EA1EBB" w:rsidRPr="006E725C">
              <w:rPr>
                <w:rFonts w:cs="Arial"/>
                <w:b/>
                <w:bCs/>
                <w:color w:val="000000"/>
                <w:szCs w:val="20"/>
                <w:lang w:val="en-GB"/>
              </w:rPr>
              <w:t xml:space="preserve">1 </w:t>
            </w:r>
            <w:r w:rsidRPr="006E725C">
              <w:rPr>
                <w:rFonts w:cs="Arial"/>
                <w:b/>
                <w:bCs/>
                <w:color w:val="000000"/>
                <w:szCs w:val="20"/>
                <w:lang w:val="en-GB"/>
              </w:rPr>
              <w:t>GDP</w:t>
            </w:r>
            <w:r w:rsidR="00EA1EBB" w:rsidRPr="006E725C">
              <w:rPr>
                <w:rFonts w:cs="Arial"/>
                <w:b/>
                <w:szCs w:val="20"/>
                <w:lang w:val="en-GB" w:eastAsia="en-US"/>
              </w:rPr>
              <w:t xml:space="preserve"> </w:t>
            </w:r>
            <w:r w:rsidR="00AB69DD" w:rsidRPr="006E725C">
              <w:rPr>
                <w:rFonts w:cs="Arial"/>
                <w:bCs/>
                <w:szCs w:val="20"/>
                <w:lang w:val="en-GB" w:eastAsia="en-US"/>
              </w:rPr>
              <w:t xml:space="preserve">(volume indices, adjusted for seasonal and calendar effects, in %) </w:t>
            </w:r>
          </w:p>
        </w:tc>
      </w:tr>
      <w:tr w:rsidR="00EA1EBB" w:rsidRPr="006E725C" w14:paraId="67E5DD17" w14:textId="77777777" w:rsidTr="0079457A">
        <w:tblPrEx>
          <w:tblCellMar>
            <w:left w:w="70" w:type="dxa"/>
            <w:right w:w="70" w:type="dxa"/>
          </w:tblCellMar>
        </w:tblPrEx>
        <w:trPr>
          <w:trHeight w:val="170"/>
        </w:trPr>
        <w:tc>
          <w:tcPr>
            <w:tcW w:w="1806" w:type="dxa"/>
            <w:vMerge/>
          </w:tcPr>
          <w:p w14:paraId="53BDF3F3" w14:textId="77777777" w:rsidR="00EA1EBB" w:rsidRPr="006E725C" w:rsidRDefault="00EA1EBB" w:rsidP="00BA5125">
            <w:pPr>
              <w:pStyle w:val="Marginlie"/>
              <w:rPr>
                <w:lang w:val="en-GB"/>
              </w:rPr>
            </w:pPr>
          </w:p>
        </w:tc>
        <w:tc>
          <w:tcPr>
            <w:tcW w:w="223" w:type="dxa"/>
            <w:vMerge/>
          </w:tcPr>
          <w:p w14:paraId="3944990E" w14:textId="77777777" w:rsidR="00EA1EBB" w:rsidRPr="006E725C" w:rsidRDefault="00EA1EBB" w:rsidP="00BA5125">
            <w:pPr>
              <w:pStyle w:val="Textpoznpodarou"/>
              <w:jc w:val="both"/>
              <w:rPr>
                <w:spacing w:val="-4"/>
                <w:lang w:val="en-GB"/>
              </w:rPr>
            </w:pPr>
          </w:p>
        </w:tc>
        <w:tc>
          <w:tcPr>
            <w:tcW w:w="7610" w:type="dxa"/>
            <w:shd w:val="clear" w:color="auto" w:fill="auto"/>
          </w:tcPr>
          <w:p w14:paraId="17B07785" w14:textId="2E1BC378" w:rsidR="00EA1EBB" w:rsidRPr="006E725C" w:rsidRDefault="0079457A" w:rsidP="00BA5125">
            <w:pPr>
              <w:spacing w:after="0"/>
              <w:rPr>
                <w:lang w:val="en-GB"/>
              </w:rPr>
            </w:pPr>
            <w:r>
              <w:rPr>
                <w:noProof/>
              </w:rPr>
              <w:drawing>
                <wp:inline distT="0" distB="0" distL="0" distR="0" wp14:anchorId="7A26A2C4" wp14:editId="13D0447E">
                  <wp:extent cx="4737600" cy="3553200"/>
                  <wp:effectExtent l="0" t="0" r="6350" b="0"/>
                  <wp:docPr id="6" name="Graf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EA1EBB" w:rsidRPr="006E725C" w14:paraId="10397AC7" w14:textId="77777777" w:rsidTr="005855B4">
        <w:trPr>
          <w:trHeight w:val="170"/>
        </w:trPr>
        <w:tc>
          <w:tcPr>
            <w:tcW w:w="1806" w:type="dxa"/>
            <w:vMerge/>
            <w:tcMar>
              <w:left w:w="0" w:type="dxa"/>
            </w:tcMar>
          </w:tcPr>
          <w:p w14:paraId="785FA8E6" w14:textId="77777777" w:rsidR="00EA1EBB" w:rsidRPr="006E725C" w:rsidRDefault="00EA1EBB" w:rsidP="00BA5125">
            <w:pPr>
              <w:pStyle w:val="Marginlie"/>
              <w:rPr>
                <w:lang w:val="en-GB"/>
              </w:rPr>
            </w:pPr>
          </w:p>
        </w:tc>
        <w:tc>
          <w:tcPr>
            <w:tcW w:w="223" w:type="dxa"/>
            <w:vMerge/>
            <w:tcMar>
              <w:left w:w="0" w:type="dxa"/>
            </w:tcMar>
          </w:tcPr>
          <w:p w14:paraId="08DF6ED4"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7EAB6473" w14:textId="0B30936B" w:rsidR="001765D1" w:rsidRPr="0079457A" w:rsidRDefault="005855B4" w:rsidP="0079457A">
            <w:pPr>
              <w:spacing w:after="220"/>
              <w:rPr>
                <w:sz w:val="14"/>
                <w:szCs w:val="14"/>
                <w:lang w:val="en-GB"/>
              </w:rPr>
            </w:pPr>
            <w:r w:rsidRPr="006E725C">
              <w:rPr>
                <w:sz w:val="14"/>
                <w:szCs w:val="14"/>
                <w:lang w:val="en-GB"/>
              </w:rPr>
              <w:t>Source</w:t>
            </w:r>
            <w:r w:rsidR="00EA1EBB" w:rsidRPr="006E725C">
              <w:rPr>
                <w:sz w:val="14"/>
                <w:szCs w:val="14"/>
                <w:lang w:val="en-GB"/>
              </w:rPr>
              <w:t xml:space="preserve">: </w:t>
            </w:r>
            <w:r w:rsidRPr="006E725C">
              <w:rPr>
                <w:sz w:val="14"/>
                <w:szCs w:val="14"/>
                <w:lang w:val="en-GB"/>
              </w:rPr>
              <w:t>CZSO</w:t>
            </w:r>
            <w:r w:rsidR="00EA1EBB" w:rsidRPr="006E725C">
              <w:rPr>
                <w:sz w:val="14"/>
                <w:szCs w:val="14"/>
                <w:lang w:val="en-GB"/>
              </w:rPr>
              <w:t>, Eurostat</w:t>
            </w:r>
          </w:p>
        </w:tc>
      </w:tr>
      <w:tr w:rsidR="00EA1EBB" w:rsidRPr="006E725C" w14:paraId="3952C244" w14:textId="77777777" w:rsidTr="005855B4">
        <w:trPr>
          <w:trHeight w:val="145"/>
        </w:trPr>
        <w:tc>
          <w:tcPr>
            <w:tcW w:w="1806" w:type="dxa"/>
            <w:shd w:val="clear" w:color="auto" w:fill="auto"/>
            <w:tcMar>
              <w:left w:w="0" w:type="dxa"/>
            </w:tcMar>
          </w:tcPr>
          <w:p w14:paraId="0827E675" w14:textId="6E44431D" w:rsidR="00EA1EBB" w:rsidRPr="006E725C" w:rsidRDefault="0092008B" w:rsidP="00BA5125">
            <w:pPr>
              <w:pStyle w:val="Marginlie"/>
              <w:rPr>
                <w:lang w:val="en-GB"/>
              </w:rPr>
            </w:pPr>
            <w:r w:rsidRPr="006E725C">
              <w:rPr>
                <w:lang w:val="en-GB"/>
              </w:rPr>
              <w:t xml:space="preserve">The Central European region </w:t>
            </w:r>
            <w:r w:rsidR="006E725C" w:rsidRPr="006E725C">
              <w:rPr>
                <w:lang w:val="en-GB"/>
              </w:rPr>
              <w:t>economically</w:t>
            </w:r>
            <w:r w:rsidRPr="006E725C">
              <w:rPr>
                <w:lang w:val="en-GB"/>
              </w:rPr>
              <w:t xml:space="preserve"> stagnated in Q</w:t>
            </w:r>
            <w:r w:rsidR="00EA1EBB" w:rsidRPr="006E725C">
              <w:rPr>
                <w:lang w:val="en-GB"/>
              </w:rPr>
              <w:t>4.</w:t>
            </w:r>
          </w:p>
        </w:tc>
        <w:tc>
          <w:tcPr>
            <w:tcW w:w="223" w:type="dxa"/>
            <w:shd w:val="clear" w:color="auto" w:fill="auto"/>
            <w:tcMar>
              <w:left w:w="0" w:type="dxa"/>
            </w:tcMar>
          </w:tcPr>
          <w:p w14:paraId="7DC0D8E3"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6A4D7A1E" w14:textId="0B0F6930" w:rsidR="00EA1EBB" w:rsidRPr="006E725C" w:rsidRDefault="007725CC" w:rsidP="00BA5125">
            <w:pPr>
              <w:rPr>
                <w:lang w:val="en-GB"/>
              </w:rPr>
            </w:pPr>
            <w:r w:rsidRPr="006E725C">
              <w:rPr>
                <w:lang w:val="en-GB"/>
              </w:rPr>
              <w:t xml:space="preserve">The Gross domestic product </w:t>
            </w:r>
            <w:r w:rsidR="00F770F5" w:rsidRPr="006E725C">
              <w:rPr>
                <w:lang w:val="en-GB"/>
              </w:rPr>
              <w:t xml:space="preserve">went up </w:t>
            </w:r>
            <w:r w:rsidRPr="006E725C">
              <w:rPr>
                <w:lang w:val="en-GB"/>
              </w:rPr>
              <w:t>by 0.2% year-on-year in the EU in Q</w:t>
            </w:r>
            <w:r w:rsidR="00EA1EBB" w:rsidRPr="006E725C">
              <w:rPr>
                <w:lang w:val="en-GB"/>
              </w:rPr>
              <w:t>4</w:t>
            </w:r>
            <w:r w:rsidRPr="006E725C">
              <w:rPr>
                <w:lang w:val="en-GB"/>
              </w:rPr>
              <w:t xml:space="preserve"> </w:t>
            </w:r>
            <w:r w:rsidR="00EA1EBB" w:rsidRPr="006E725C">
              <w:rPr>
                <w:lang w:val="en-GB"/>
              </w:rPr>
              <w:t>a</w:t>
            </w:r>
            <w:r w:rsidR="003C19B1" w:rsidRPr="006E725C">
              <w:rPr>
                <w:lang w:val="en-GB"/>
              </w:rPr>
              <w:t>nd</w:t>
            </w:r>
            <w:r w:rsidR="00995B3D" w:rsidRPr="006E725C">
              <w:rPr>
                <w:lang w:val="en-GB"/>
              </w:rPr>
              <w:t xml:space="preserve"> the</w:t>
            </w:r>
            <w:r w:rsidR="00F770F5" w:rsidRPr="006E725C">
              <w:rPr>
                <w:lang w:val="en-GB"/>
              </w:rPr>
              <w:t xml:space="preserve"> increase thus slightly </w:t>
            </w:r>
            <w:r w:rsidR="006E725C" w:rsidRPr="006E725C">
              <w:rPr>
                <w:lang w:val="en-GB"/>
              </w:rPr>
              <w:t>strengthened</w:t>
            </w:r>
            <w:r w:rsidR="00F770F5" w:rsidRPr="006E725C">
              <w:rPr>
                <w:lang w:val="en-GB"/>
              </w:rPr>
              <w:t xml:space="preserve">. </w:t>
            </w:r>
            <w:r w:rsidR="00AD14D3" w:rsidRPr="006E725C">
              <w:rPr>
                <w:lang w:val="en-GB"/>
              </w:rPr>
              <w:t xml:space="preserve">The year-on-year dynamics of the GDP </w:t>
            </w:r>
            <w:r w:rsidR="006E725C" w:rsidRPr="006E725C">
              <w:rPr>
                <w:lang w:val="en-GB"/>
              </w:rPr>
              <w:t>displayed</w:t>
            </w:r>
            <w:r w:rsidR="00AD14D3" w:rsidRPr="006E725C">
              <w:rPr>
                <w:lang w:val="en-GB"/>
              </w:rPr>
              <w:t xml:space="preserve"> relatively wide ra</w:t>
            </w:r>
            <w:r w:rsidR="00A94E67" w:rsidRPr="006E725C">
              <w:rPr>
                <w:lang w:val="en-GB"/>
              </w:rPr>
              <w:t>nge</w:t>
            </w:r>
            <w:r w:rsidR="00AD14D3" w:rsidRPr="006E725C">
              <w:rPr>
                <w:lang w:val="en-GB"/>
              </w:rPr>
              <w:t xml:space="preserve"> for the individual countries at the end of the year. </w:t>
            </w:r>
            <w:r w:rsidR="00C9079E" w:rsidRPr="006E725C">
              <w:rPr>
                <w:lang w:val="en-GB"/>
              </w:rPr>
              <w:t xml:space="preserve">The GDP </w:t>
            </w:r>
            <w:r w:rsidR="00C54549" w:rsidRPr="006E725C">
              <w:rPr>
                <w:lang w:val="en-GB"/>
              </w:rPr>
              <w:t xml:space="preserve">decreased year-on-year in nine </w:t>
            </w:r>
            <w:r w:rsidR="00615ADD" w:rsidRPr="006E725C">
              <w:rPr>
                <w:lang w:val="en-GB"/>
              </w:rPr>
              <w:t>countries</w:t>
            </w:r>
            <w:r w:rsidR="00C54549" w:rsidRPr="006E725C">
              <w:rPr>
                <w:lang w:val="en-GB"/>
              </w:rPr>
              <w:t xml:space="preserve"> in Q</w:t>
            </w:r>
            <w:r w:rsidR="00EA1EBB" w:rsidRPr="006E725C">
              <w:rPr>
                <w:lang w:val="en-GB"/>
              </w:rPr>
              <w:t>4</w:t>
            </w:r>
            <w:r w:rsidR="00C54549" w:rsidRPr="006E725C">
              <w:rPr>
                <w:lang w:val="en-GB"/>
              </w:rPr>
              <w:t xml:space="preserve">, the most in Ireland </w:t>
            </w:r>
            <w:r w:rsidR="00EA1EBB" w:rsidRPr="006E725C">
              <w:rPr>
                <w:lang w:val="en-GB"/>
              </w:rPr>
              <w:t>(−9</w:t>
            </w:r>
            <w:r w:rsidR="00C54549" w:rsidRPr="006E725C">
              <w:rPr>
                <w:lang w:val="en-GB"/>
              </w:rPr>
              <w:t>.</w:t>
            </w:r>
            <w:r w:rsidR="00EA1EBB" w:rsidRPr="006E725C">
              <w:rPr>
                <w:lang w:val="en-GB"/>
              </w:rPr>
              <w:t>1%), Eston</w:t>
            </w:r>
            <w:r w:rsidR="00C54549" w:rsidRPr="006E725C">
              <w:rPr>
                <w:lang w:val="en-GB"/>
              </w:rPr>
              <w:t xml:space="preserve">ia </w:t>
            </w:r>
            <w:r w:rsidR="00EA1EBB" w:rsidRPr="006E725C">
              <w:rPr>
                <w:lang w:val="en-GB"/>
              </w:rPr>
              <w:t>(−2</w:t>
            </w:r>
            <w:r w:rsidR="00C54549" w:rsidRPr="006E725C">
              <w:rPr>
                <w:lang w:val="en-GB"/>
              </w:rPr>
              <w:t>.</w:t>
            </w:r>
            <w:r w:rsidR="00EA1EBB" w:rsidRPr="006E725C">
              <w:rPr>
                <w:lang w:val="en-GB"/>
              </w:rPr>
              <w:t>5%) a</w:t>
            </w:r>
            <w:r w:rsidR="00C54549" w:rsidRPr="006E725C">
              <w:rPr>
                <w:lang w:val="en-GB"/>
              </w:rPr>
              <w:t xml:space="preserve">nd Finland </w:t>
            </w:r>
            <w:r w:rsidR="00EA1EBB" w:rsidRPr="006E725C">
              <w:rPr>
                <w:lang w:val="en-GB"/>
              </w:rPr>
              <w:t>(−1</w:t>
            </w:r>
            <w:r w:rsidR="00C54549" w:rsidRPr="006E725C">
              <w:rPr>
                <w:lang w:val="en-GB"/>
              </w:rPr>
              <w:t>.</w:t>
            </w:r>
            <w:r w:rsidR="00EA1EBB" w:rsidRPr="006E725C">
              <w:rPr>
                <w:lang w:val="en-GB"/>
              </w:rPr>
              <w:t xml:space="preserve">6%), </w:t>
            </w:r>
            <w:r w:rsidR="00E84295" w:rsidRPr="006E725C">
              <w:rPr>
                <w:lang w:val="en-GB"/>
              </w:rPr>
              <w:t xml:space="preserve">however also the </w:t>
            </w:r>
            <w:r w:rsidR="002C268F" w:rsidRPr="006E725C">
              <w:rPr>
                <w:lang w:val="en-GB"/>
              </w:rPr>
              <w:t xml:space="preserve">German economy, important for the Czech exports fell behind </w:t>
            </w:r>
            <w:r w:rsidR="00EA1EBB" w:rsidRPr="006E725C">
              <w:rPr>
                <w:lang w:val="en-GB"/>
              </w:rPr>
              <w:t>(−0</w:t>
            </w:r>
            <w:r w:rsidR="002C268F" w:rsidRPr="006E725C">
              <w:rPr>
                <w:lang w:val="en-GB"/>
              </w:rPr>
              <w:t>.</w:t>
            </w:r>
            <w:r w:rsidR="00EA1EBB" w:rsidRPr="006E725C">
              <w:rPr>
                <w:lang w:val="en-GB"/>
              </w:rPr>
              <w:t xml:space="preserve">2%). </w:t>
            </w:r>
            <w:r w:rsidR="002C268F" w:rsidRPr="006E725C">
              <w:rPr>
                <w:lang w:val="en-GB"/>
              </w:rPr>
              <w:t xml:space="preserve">In contrast, </w:t>
            </w:r>
            <w:r w:rsidR="00B135D1" w:rsidRPr="006E725C">
              <w:rPr>
                <w:lang w:val="en-GB"/>
              </w:rPr>
              <w:t>the strongest year-on-year GD</w:t>
            </w:r>
            <w:r w:rsidR="00615ADD" w:rsidRPr="006E725C">
              <w:rPr>
                <w:lang w:val="en-GB"/>
              </w:rPr>
              <w:t>P</w:t>
            </w:r>
            <w:r w:rsidR="00B135D1" w:rsidRPr="006E725C">
              <w:rPr>
                <w:lang w:val="en-GB"/>
              </w:rPr>
              <w:t xml:space="preserve"> increase was recorded in Croatia </w:t>
            </w:r>
            <w:r w:rsidR="00EA1EBB" w:rsidRPr="006E725C">
              <w:rPr>
                <w:lang w:val="en-GB"/>
              </w:rPr>
              <w:t>(4</w:t>
            </w:r>
            <w:r w:rsidR="00B135D1" w:rsidRPr="006E725C">
              <w:rPr>
                <w:lang w:val="en-GB"/>
              </w:rPr>
              <w:t>.</w:t>
            </w:r>
            <w:r w:rsidR="00EA1EBB" w:rsidRPr="006E725C">
              <w:rPr>
                <w:lang w:val="en-GB"/>
              </w:rPr>
              <w:t xml:space="preserve">3%), </w:t>
            </w:r>
            <w:r w:rsidR="00B135D1" w:rsidRPr="006E725C">
              <w:rPr>
                <w:lang w:val="en-GB"/>
              </w:rPr>
              <w:t>Malta</w:t>
            </w:r>
            <w:r w:rsidR="00D90E41" w:rsidRPr="006E725C">
              <w:rPr>
                <w:lang w:val="en-GB"/>
              </w:rPr>
              <w:t xml:space="preserve"> </w:t>
            </w:r>
            <w:r w:rsidR="00EA1EBB" w:rsidRPr="006E725C">
              <w:rPr>
                <w:lang w:val="en-GB"/>
              </w:rPr>
              <w:t>(4</w:t>
            </w:r>
            <w:r w:rsidR="00B135D1" w:rsidRPr="006E725C">
              <w:rPr>
                <w:lang w:val="en-GB"/>
              </w:rPr>
              <w:t>.</w:t>
            </w:r>
            <w:r w:rsidR="00EA1EBB" w:rsidRPr="006E725C">
              <w:rPr>
                <w:lang w:val="en-GB"/>
              </w:rPr>
              <w:t>3%) a</w:t>
            </w:r>
            <w:r w:rsidR="00B135D1" w:rsidRPr="006E725C">
              <w:rPr>
                <w:lang w:val="en-GB"/>
              </w:rPr>
              <w:t xml:space="preserve">nd in Denmark </w:t>
            </w:r>
            <w:r w:rsidR="00EA1EBB" w:rsidRPr="006E725C">
              <w:rPr>
                <w:lang w:val="en-GB"/>
              </w:rPr>
              <w:t>(3</w:t>
            </w:r>
            <w:r w:rsidR="00B135D1" w:rsidRPr="006E725C">
              <w:rPr>
                <w:lang w:val="en-GB"/>
              </w:rPr>
              <w:t>.</w:t>
            </w:r>
            <w:r w:rsidR="00EA1EBB" w:rsidRPr="006E725C">
              <w:rPr>
                <w:lang w:val="en-GB"/>
              </w:rPr>
              <w:t>1%)</w:t>
            </w:r>
            <w:r w:rsidR="00B135D1" w:rsidRPr="006E725C">
              <w:rPr>
                <w:lang w:val="en-GB"/>
              </w:rPr>
              <w:t xml:space="preserve"> in Q4</w:t>
            </w:r>
            <w:r w:rsidR="00EA1EBB" w:rsidRPr="006E725C">
              <w:rPr>
                <w:lang w:val="en-GB"/>
              </w:rPr>
              <w:t xml:space="preserve">. </w:t>
            </w:r>
            <w:r w:rsidR="00230AFA" w:rsidRPr="006E725C">
              <w:rPr>
                <w:lang w:val="en-GB"/>
              </w:rPr>
              <w:t xml:space="preserve">Quarter-on-quarter GDP development </w:t>
            </w:r>
            <w:r w:rsidR="00FE4E8C" w:rsidRPr="006E725C">
              <w:rPr>
                <w:lang w:val="en-GB"/>
              </w:rPr>
              <w:t xml:space="preserve">has been </w:t>
            </w:r>
            <w:r w:rsidR="00155571" w:rsidRPr="006E725C">
              <w:rPr>
                <w:lang w:val="en-GB"/>
              </w:rPr>
              <w:t>oscillating</w:t>
            </w:r>
            <w:r w:rsidR="00FE4E8C" w:rsidRPr="006E725C">
              <w:rPr>
                <w:lang w:val="en-GB"/>
              </w:rPr>
              <w:t xml:space="preserve"> </w:t>
            </w:r>
            <w:r w:rsidR="00155571" w:rsidRPr="006E725C">
              <w:rPr>
                <w:lang w:val="en-GB"/>
              </w:rPr>
              <w:t xml:space="preserve">closely near stagnation in </w:t>
            </w:r>
            <w:r w:rsidR="00155571" w:rsidRPr="006E725C">
              <w:rPr>
                <w:lang w:val="en-GB"/>
              </w:rPr>
              <w:lastRenderedPageBreak/>
              <w:t xml:space="preserve">the EU for more than one year and the GDP also did not change in real terms in Q2 compared to the previous quarter. </w:t>
            </w:r>
            <w:r w:rsidR="00112919" w:rsidRPr="006E725C">
              <w:rPr>
                <w:lang w:val="en-GB"/>
              </w:rPr>
              <w:t xml:space="preserve">The GDP increased quarter-on-quarter for more than one half of the EU countries. </w:t>
            </w:r>
            <w:r w:rsidR="005F5156" w:rsidRPr="006E725C">
              <w:rPr>
                <w:lang w:val="en-GB"/>
              </w:rPr>
              <w:t xml:space="preserve">The total GDP stagnation in the EU was firstly affected by the sharp decline in Ireland </w:t>
            </w:r>
            <w:r w:rsidR="00EA1EBB" w:rsidRPr="006E725C">
              <w:rPr>
                <w:lang w:val="en-GB"/>
              </w:rPr>
              <w:t>(−3</w:t>
            </w:r>
            <w:r w:rsidR="005F5156" w:rsidRPr="006E725C">
              <w:rPr>
                <w:lang w:val="en-GB"/>
              </w:rPr>
              <w:t>.</w:t>
            </w:r>
            <w:r w:rsidR="00EA1EBB" w:rsidRPr="006E725C">
              <w:rPr>
                <w:lang w:val="en-GB"/>
              </w:rPr>
              <w:t>4%) a</w:t>
            </w:r>
            <w:r w:rsidR="005F5156" w:rsidRPr="006E725C">
              <w:rPr>
                <w:lang w:val="en-GB"/>
              </w:rPr>
              <w:t xml:space="preserve">nd further by the </w:t>
            </w:r>
            <w:r w:rsidR="0034599A" w:rsidRPr="006E725C">
              <w:rPr>
                <w:lang w:val="en-GB"/>
              </w:rPr>
              <w:t xml:space="preserve">decrease of Germany </w:t>
            </w:r>
            <w:r w:rsidR="00EA1EBB" w:rsidRPr="006E725C">
              <w:rPr>
                <w:lang w:val="en-GB"/>
              </w:rPr>
              <w:t>(−0</w:t>
            </w:r>
            <w:r w:rsidR="0034599A" w:rsidRPr="006E725C">
              <w:rPr>
                <w:lang w:val="en-GB"/>
              </w:rPr>
              <w:t>.</w:t>
            </w:r>
            <w:r w:rsidR="00EA1EBB" w:rsidRPr="006E725C">
              <w:rPr>
                <w:lang w:val="en-GB"/>
              </w:rPr>
              <w:t>3%)</w:t>
            </w:r>
            <w:r w:rsidR="0034599A" w:rsidRPr="006E725C">
              <w:rPr>
                <w:lang w:val="en-GB"/>
              </w:rPr>
              <w:t xml:space="preserve"> and weak growth of France </w:t>
            </w:r>
            <w:r w:rsidR="00EA1EBB" w:rsidRPr="006E725C">
              <w:rPr>
                <w:lang w:val="en-GB"/>
              </w:rPr>
              <w:t>(0</w:t>
            </w:r>
            <w:r w:rsidR="0034599A" w:rsidRPr="006E725C">
              <w:rPr>
                <w:lang w:val="en-GB"/>
              </w:rPr>
              <w:t>.</w:t>
            </w:r>
            <w:r w:rsidR="00615ADD" w:rsidRPr="006E725C">
              <w:rPr>
                <w:lang w:val="en-GB"/>
              </w:rPr>
              <w:t>1</w:t>
            </w:r>
            <w:r w:rsidR="00EA1EBB" w:rsidRPr="006E725C">
              <w:rPr>
                <w:lang w:val="en-GB"/>
              </w:rPr>
              <w:t xml:space="preserve">%). </w:t>
            </w:r>
            <w:r w:rsidR="0034599A" w:rsidRPr="006E725C">
              <w:rPr>
                <w:lang w:val="en-GB"/>
              </w:rPr>
              <w:t>Large group of countries re</w:t>
            </w:r>
            <w:r w:rsidR="00C20366" w:rsidRPr="006E725C">
              <w:rPr>
                <w:lang w:val="en-GB"/>
              </w:rPr>
              <w:t xml:space="preserve">corded only a weak growth at the end of year </w:t>
            </w:r>
            <w:r w:rsidR="00EA1EBB" w:rsidRPr="006E725C">
              <w:rPr>
                <w:lang w:val="en-GB"/>
              </w:rPr>
              <w:t>2023</w:t>
            </w:r>
            <w:r w:rsidR="00C20366" w:rsidRPr="006E725C">
              <w:rPr>
                <w:lang w:val="en-GB"/>
              </w:rPr>
              <w:t xml:space="preserve">, also including the entire Central European region </w:t>
            </w:r>
            <w:r w:rsidR="00EA1EBB" w:rsidRPr="006E725C">
              <w:rPr>
                <w:lang w:val="en-GB"/>
              </w:rPr>
              <w:t>(</w:t>
            </w:r>
            <w:r w:rsidR="00C20366" w:rsidRPr="006E725C">
              <w:rPr>
                <w:lang w:val="en-GB"/>
              </w:rPr>
              <w:t xml:space="preserve">Hungary, Austria, Poland </w:t>
            </w:r>
            <w:r w:rsidR="0044356B" w:rsidRPr="006E725C">
              <w:rPr>
                <w:lang w:val="en-GB"/>
              </w:rPr>
              <w:t>stagnated</w:t>
            </w:r>
            <w:r w:rsidR="00EA1EBB" w:rsidRPr="006E725C">
              <w:rPr>
                <w:lang w:val="en-GB"/>
              </w:rPr>
              <w:t>,</w:t>
            </w:r>
            <w:r w:rsidR="0044356B" w:rsidRPr="006E725C">
              <w:rPr>
                <w:lang w:val="en-GB"/>
              </w:rPr>
              <w:t xml:space="preserve"> the Czech Republic </w:t>
            </w:r>
            <w:r w:rsidR="00631B14" w:rsidRPr="006E725C">
              <w:rPr>
                <w:lang w:val="en-GB"/>
              </w:rPr>
              <w:t xml:space="preserve">featured weak growth and the GDP increased by </w:t>
            </w:r>
            <w:r w:rsidR="00EA1EBB" w:rsidRPr="006E725C">
              <w:rPr>
                <w:lang w:val="en-GB"/>
              </w:rPr>
              <w:t>0</w:t>
            </w:r>
            <w:r w:rsidR="00631B14" w:rsidRPr="006E725C">
              <w:rPr>
                <w:lang w:val="en-GB"/>
              </w:rPr>
              <w:t>.</w:t>
            </w:r>
            <w:r w:rsidR="00EA1EBB" w:rsidRPr="006E725C">
              <w:rPr>
                <w:lang w:val="en-GB"/>
              </w:rPr>
              <w:t>3%</w:t>
            </w:r>
            <w:r w:rsidR="00631B14" w:rsidRPr="006E725C">
              <w:rPr>
                <w:lang w:val="en-GB"/>
              </w:rPr>
              <w:t xml:space="preserve"> in Slovakia</w:t>
            </w:r>
            <w:r w:rsidR="00EA1EBB" w:rsidRPr="006E725C">
              <w:rPr>
                <w:lang w:val="en-GB"/>
              </w:rPr>
              <w:t>).</w:t>
            </w:r>
            <w:r w:rsidR="00631B14" w:rsidRPr="006E725C">
              <w:rPr>
                <w:lang w:val="en-GB"/>
              </w:rPr>
              <w:t xml:space="preserve"> The GDP grew the most quarter-on-quarter in Denmark </w:t>
            </w:r>
            <w:r w:rsidR="00EA1EBB" w:rsidRPr="006E725C">
              <w:rPr>
                <w:lang w:val="en-GB"/>
              </w:rPr>
              <w:t>(2</w:t>
            </w:r>
            <w:r w:rsidR="00631B14" w:rsidRPr="006E725C">
              <w:rPr>
                <w:lang w:val="en-GB"/>
              </w:rPr>
              <w:t>.</w:t>
            </w:r>
            <w:r w:rsidR="00EA1EBB" w:rsidRPr="006E725C">
              <w:rPr>
                <w:lang w:val="en-GB"/>
              </w:rPr>
              <w:t>0%),</w:t>
            </w:r>
            <w:r w:rsidR="00631B14" w:rsidRPr="006E725C">
              <w:rPr>
                <w:lang w:val="en-GB"/>
              </w:rPr>
              <w:t xml:space="preserve"> Croatia </w:t>
            </w:r>
            <w:r w:rsidR="00EA1EBB" w:rsidRPr="006E725C">
              <w:rPr>
                <w:lang w:val="en-GB"/>
              </w:rPr>
              <w:t>(1</w:t>
            </w:r>
            <w:r w:rsidR="00631B14" w:rsidRPr="006E725C">
              <w:rPr>
                <w:lang w:val="en-GB"/>
              </w:rPr>
              <w:t>.</w:t>
            </w:r>
            <w:r w:rsidR="00EA1EBB" w:rsidRPr="006E725C">
              <w:rPr>
                <w:lang w:val="en-GB"/>
              </w:rPr>
              <w:t>3%) a</w:t>
            </w:r>
            <w:r w:rsidR="00631B14" w:rsidRPr="006E725C">
              <w:rPr>
                <w:lang w:val="en-GB"/>
              </w:rPr>
              <w:t xml:space="preserve">nd in Slovenia </w:t>
            </w:r>
            <w:r w:rsidR="00EA1EBB" w:rsidRPr="006E725C">
              <w:rPr>
                <w:lang w:val="en-GB"/>
              </w:rPr>
              <w:t>(1</w:t>
            </w:r>
            <w:r w:rsidR="00631B14" w:rsidRPr="006E725C">
              <w:rPr>
                <w:lang w:val="en-GB"/>
              </w:rPr>
              <w:t>.</w:t>
            </w:r>
            <w:r w:rsidR="00EA1EBB" w:rsidRPr="006E725C">
              <w:rPr>
                <w:lang w:val="en-GB"/>
              </w:rPr>
              <w:t xml:space="preserve">1%). </w:t>
            </w:r>
          </w:p>
        </w:tc>
      </w:tr>
      <w:tr w:rsidR="00EA1EBB" w:rsidRPr="006E725C" w14:paraId="3EEBE7DD" w14:textId="77777777" w:rsidTr="005855B4">
        <w:trPr>
          <w:trHeight w:val="145"/>
        </w:trPr>
        <w:tc>
          <w:tcPr>
            <w:tcW w:w="1806" w:type="dxa"/>
            <w:shd w:val="clear" w:color="auto" w:fill="auto"/>
            <w:tcMar>
              <w:left w:w="0" w:type="dxa"/>
            </w:tcMar>
          </w:tcPr>
          <w:p w14:paraId="36F37DB9" w14:textId="6F4E8A0F" w:rsidR="00EA1EBB" w:rsidRPr="006E725C" w:rsidRDefault="00EA1EBB" w:rsidP="00BA5125">
            <w:pPr>
              <w:pStyle w:val="Marginlie"/>
              <w:rPr>
                <w:lang w:val="en-GB"/>
              </w:rPr>
            </w:pPr>
            <w:r w:rsidRPr="006E725C">
              <w:rPr>
                <w:lang w:val="en-GB"/>
              </w:rPr>
              <w:lastRenderedPageBreak/>
              <w:t>Nomin</w:t>
            </w:r>
            <w:r w:rsidR="005A0280" w:rsidRPr="006E725C">
              <w:rPr>
                <w:lang w:val="en-GB"/>
              </w:rPr>
              <w:t xml:space="preserve">al growth of wages and salaries remained high. </w:t>
            </w:r>
          </w:p>
        </w:tc>
        <w:tc>
          <w:tcPr>
            <w:tcW w:w="223" w:type="dxa"/>
            <w:shd w:val="clear" w:color="auto" w:fill="auto"/>
            <w:tcMar>
              <w:left w:w="0" w:type="dxa"/>
            </w:tcMar>
          </w:tcPr>
          <w:p w14:paraId="362B05F0"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2B8F98F6" w14:textId="2A048CF4" w:rsidR="00EA1EBB" w:rsidRPr="006E725C" w:rsidRDefault="00D90E41" w:rsidP="00BA5125">
            <w:pPr>
              <w:rPr>
                <w:lang w:val="en-GB"/>
              </w:rPr>
            </w:pPr>
            <w:r w:rsidRPr="00A362F9">
              <w:rPr>
                <w:lang w:val="en-GB"/>
              </w:rPr>
              <w:t xml:space="preserve">Total volume of paid out wages and salaries expanded in nominal terms by </w:t>
            </w:r>
            <w:r w:rsidR="00EA1EBB" w:rsidRPr="00A362F9">
              <w:rPr>
                <w:lang w:val="en-GB"/>
              </w:rPr>
              <w:t>8</w:t>
            </w:r>
            <w:r w:rsidRPr="00A362F9">
              <w:rPr>
                <w:lang w:val="en-GB"/>
              </w:rPr>
              <w:t>.</w:t>
            </w:r>
            <w:r w:rsidR="00EA1EBB" w:rsidRPr="00A362F9">
              <w:rPr>
                <w:lang w:val="en-GB"/>
              </w:rPr>
              <w:t xml:space="preserve">0% </w:t>
            </w:r>
            <w:r w:rsidRPr="00A362F9">
              <w:rPr>
                <w:lang w:val="en-GB"/>
              </w:rPr>
              <w:t>last year</w:t>
            </w:r>
            <w:r w:rsidR="00933959" w:rsidRPr="00A362F9">
              <w:rPr>
                <w:lang w:val="en-GB"/>
              </w:rPr>
              <w:t xml:space="preserve"> given the </w:t>
            </w:r>
            <w:r w:rsidR="003135C4" w:rsidRPr="00A362F9">
              <w:rPr>
                <w:lang w:val="en-GB"/>
              </w:rPr>
              <w:t>simultaneous</w:t>
            </w:r>
            <w:r w:rsidR="00933959" w:rsidRPr="00A362F9">
              <w:rPr>
                <w:lang w:val="en-GB"/>
              </w:rPr>
              <w:t xml:space="preserve"> increase of total employment</w:t>
            </w:r>
            <w:r w:rsidR="00EA1EBB" w:rsidRPr="00A362F9">
              <w:rPr>
                <w:vertAlign w:val="superscript"/>
                <w:lang w:val="en-GB"/>
              </w:rPr>
              <w:footnoteReference w:id="6"/>
            </w:r>
            <w:r w:rsidR="00EA1EBB" w:rsidRPr="00A362F9">
              <w:rPr>
                <w:lang w:val="en-GB"/>
              </w:rPr>
              <w:t xml:space="preserve"> </w:t>
            </w:r>
            <w:r w:rsidR="00933959" w:rsidRPr="00A362F9">
              <w:rPr>
                <w:lang w:val="en-GB"/>
              </w:rPr>
              <w:t xml:space="preserve">by </w:t>
            </w:r>
            <w:r w:rsidR="00EA1EBB" w:rsidRPr="00A362F9">
              <w:rPr>
                <w:lang w:val="en-GB"/>
              </w:rPr>
              <w:t>0</w:t>
            </w:r>
            <w:r w:rsidR="00933959" w:rsidRPr="00A362F9">
              <w:rPr>
                <w:lang w:val="en-GB"/>
              </w:rPr>
              <w:t>.</w:t>
            </w:r>
            <w:r w:rsidR="00EA1EBB" w:rsidRPr="00A362F9">
              <w:rPr>
                <w:lang w:val="en-GB"/>
              </w:rPr>
              <w:t xml:space="preserve">8%. </w:t>
            </w:r>
            <w:r w:rsidR="00615ADD" w:rsidRPr="00A362F9">
              <w:rPr>
                <w:lang w:val="en-GB"/>
              </w:rPr>
              <w:t>However,</w:t>
            </w:r>
            <w:r w:rsidR="005831AA" w:rsidRPr="00A362F9">
              <w:rPr>
                <w:lang w:val="en-GB"/>
              </w:rPr>
              <w:t xml:space="preserve"> with respect to the continuing growth of the price level the earnings </w:t>
            </w:r>
            <w:r w:rsidR="00150384" w:rsidRPr="00A362F9">
              <w:rPr>
                <w:lang w:val="en-GB"/>
              </w:rPr>
              <w:t xml:space="preserve">dropped in real terms by </w:t>
            </w:r>
            <w:r w:rsidR="00EA1EBB" w:rsidRPr="00A362F9">
              <w:rPr>
                <w:lang w:val="en-GB"/>
              </w:rPr>
              <w:t>1</w:t>
            </w:r>
            <w:r w:rsidR="00150384" w:rsidRPr="00A362F9">
              <w:rPr>
                <w:lang w:val="en-GB"/>
              </w:rPr>
              <w:t>.</w:t>
            </w:r>
            <w:r w:rsidR="00EA1EBB" w:rsidRPr="00A362F9">
              <w:rPr>
                <w:lang w:val="en-GB"/>
              </w:rPr>
              <w:t>2%</w:t>
            </w:r>
            <w:r w:rsidR="00EA1EBB" w:rsidRPr="00A362F9">
              <w:rPr>
                <w:vertAlign w:val="superscript"/>
                <w:lang w:val="en-GB"/>
              </w:rPr>
              <w:footnoteReference w:id="7"/>
            </w:r>
            <w:r w:rsidR="00EA1EBB" w:rsidRPr="00A362F9">
              <w:rPr>
                <w:lang w:val="en-GB"/>
              </w:rPr>
              <w:t xml:space="preserve">. </w:t>
            </w:r>
            <w:r w:rsidR="0076190A" w:rsidRPr="00A362F9">
              <w:rPr>
                <w:lang w:val="en-GB"/>
              </w:rPr>
              <w:t xml:space="preserve">The volume of wages and salaries increased the most in real estate </w:t>
            </w:r>
            <w:r w:rsidR="00A26B56" w:rsidRPr="00A362F9">
              <w:rPr>
                <w:lang w:val="en-GB"/>
              </w:rPr>
              <w:t>activities</w:t>
            </w:r>
            <w:r w:rsidR="00E034A1" w:rsidRPr="00A362F9">
              <w:rPr>
                <w:lang w:val="en-GB"/>
              </w:rPr>
              <w:t xml:space="preserve"> </w:t>
            </w:r>
            <w:r w:rsidR="00EA1EBB" w:rsidRPr="00A362F9">
              <w:rPr>
                <w:lang w:val="en-GB"/>
              </w:rPr>
              <w:t>(15</w:t>
            </w:r>
            <w:r w:rsidR="00E034A1" w:rsidRPr="00A362F9">
              <w:rPr>
                <w:lang w:val="en-GB"/>
              </w:rPr>
              <w:t>.</w:t>
            </w:r>
            <w:r w:rsidR="00EA1EBB" w:rsidRPr="00A362F9">
              <w:rPr>
                <w:lang w:val="en-GB"/>
              </w:rPr>
              <w:t>6%),</w:t>
            </w:r>
            <w:r w:rsidR="00E034A1" w:rsidRPr="00A362F9">
              <w:rPr>
                <w:lang w:val="en-GB"/>
              </w:rPr>
              <w:t xml:space="preserve"> in other activities</w:t>
            </w:r>
            <w:r w:rsidR="00EA1EBB" w:rsidRPr="00A362F9">
              <w:rPr>
                <w:vertAlign w:val="superscript"/>
                <w:lang w:val="en-GB"/>
              </w:rPr>
              <w:footnoteReference w:id="8"/>
            </w:r>
            <w:r w:rsidR="00582A12" w:rsidRPr="00A362F9">
              <w:rPr>
                <w:lang w:val="en-GB"/>
              </w:rPr>
              <w:t xml:space="preserve"> (10</w:t>
            </w:r>
            <w:r w:rsidR="00A26B56" w:rsidRPr="00A362F9">
              <w:rPr>
                <w:lang w:val="en-GB"/>
              </w:rPr>
              <w:t>.</w:t>
            </w:r>
            <w:r w:rsidR="00582A12" w:rsidRPr="00A362F9">
              <w:rPr>
                <w:lang w:val="en-GB"/>
              </w:rPr>
              <w:t xml:space="preserve">3%) </w:t>
            </w:r>
            <w:r w:rsidR="00EA1EBB" w:rsidRPr="00A362F9">
              <w:rPr>
                <w:lang w:val="en-GB"/>
              </w:rPr>
              <w:t>a</w:t>
            </w:r>
            <w:r w:rsidR="00A26B56" w:rsidRPr="00A362F9">
              <w:rPr>
                <w:lang w:val="en-GB"/>
              </w:rPr>
              <w:t xml:space="preserve">nd in </w:t>
            </w:r>
            <w:r w:rsidR="00ED602C" w:rsidRPr="00A362F9">
              <w:rPr>
                <w:lang w:val="en-GB"/>
              </w:rPr>
              <w:t>section of professional, scientific</w:t>
            </w:r>
            <w:r w:rsidR="00C56E94" w:rsidRPr="00A362F9">
              <w:rPr>
                <w:lang w:val="en-GB"/>
              </w:rPr>
              <w:t>, t</w:t>
            </w:r>
            <w:r w:rsidR="00ED602C" w:rsidRPr="00A362F9">
              <w:rPr>
                <w:lang w:val="en-GB"/>
              </w:rPr>
              <w:t>echnical</w:t>
            </w:r>
            <w:r w:rsidR="00C56E94" w:rsidRPr="00A362F9">
              <w:rPr>
                <w:lang w:val="en-GB"/>
              </w:rPr>
              <w:t xml:space="preserve"> and administrative </w:t>
            </w:r>
            <w:r w:rsidR="00ED602C" w:rsidRPr="00A362F9">
              <w:rPr>
                <w:lang w:val="en-GB"/>
              </w:rPr>
              <w:t>activities</w:t>
            </w:r>
            <w:r w:rsidR="00C56E94" w:rsidRPr="00A362F9">
              <w:rPr>
                <w:lang w:val="en-GB"/>
              </w:rPr>
              <w:t xml:space="preserve"> </w:t>
            </w:r>
            <w:r w:rsidR="00EA1EBB" w:rsidRPr="00A362F9">
              <w:rPr>
                <w:lang w:val="en-GB"/>
              </w:rPr>
              <w:t>(</w:t>
            </w:r>
            <w:r w:rsidR="00C737F1" w:rsidRPr="00A362F9">
              <w:rPr>
                <w:lang w:val="en-GB"/>
              </w:rPr>
              <w:t>9.</w:t>
            </w:r>
            <w:r w:rsidR="00EA1EBB" w:rsidRPr="00A362F9">
              <w:rPr>
                <w:lang w:val="en-GB"/>
              </w:rPr>
              <w:t>9%)</w:t>
            </w:r>
            <w:r w:rsidR="0076190A" w:rsidRPr="00A362F9">
              <w:rPr>
                <w:lang w:val="en-GB"/>
              </w:rPr>
              <w:t xml:space="preserve"> last year</w:t>
            </w:r>
            <w:r w:rsidR="00EA1EBB" w:rsidRPr="00A362F9">
              <w:rPr>
                <w:lang w:val="en-GB"/>
              </w:rPr>
              <w:t>.</w:t>
            </w:r>
            <w:r w:rsidR="0076190A" w:rsidRPr="00A362F9">
              <w:rPr>
                <w:lang w:val="en-GB"/>
              </w:rPr>
              <w:t xml:space="preserve"> On the </w:t>
            </w:r>
            <w:r w:rsidR="007E585C" w:rsidRPr="00A362F9">
              <w:rPr>
                <w:lang w:val="en-GB"/>
              </w:rPr>
              <w:t>contrary,</w:t>
            </w:r>
            <w:r w:rsidR="00EA1EBB" w:rsidRPr="00A362F9">
              <w:rPr>
                <w:lang w:val="en-GB"/>
              </w:rPr>
              <w:t xml:space="preserve"> </w:t>
            </w:r>
            <w:r w:rsidR="00EF1067" w:rsidRPr="00A362F9">
              <w:rPr>
                <w:lang w:val="en-GB"/>
              </w:rPr>
              <w:t xml:space="preserve">the increase of wages and salaries was significantly below average in agriculture, forestry and fishing </w:t>
            </w:r>
            <w:r w:rsidR="00EA1EBB" w:rsidRPr="00A362F9">
              <w:rPr>
                <w:lang w:val="en-GB"/>
              </w:rPr>
              <w:t>(4</w:t>
            </w:r>
            <w:r w:rsidR="00EF1067" w:rsidRPr="00A362F9">
              <w:rPr>
                <w:lang w:val="en-GB"/>
              </w:rPr>
              <w:t>.</w:t>
            </w:r>
            <w:r w:rsidR="00EA1EBB" w:rsidRPr="00A362F9">
              <w:rPr>
                <w:lang w:val="en-GB"/>
              </w:rPr>
              <w:t>8%),</w:t>
            </w:r>
            <w:r w:rsidR="00EF1067" w:rsidRPr="00A362F9">
              <w:rPr>
                <w:lang w:val="en-GB"/>
              </w:rPr>
              <w:t xml:space="preserve"> in financial and insurance </w:t>
            </w:r>
            <w:r w:rsidR="00253952" w:rsidRPr="00A362F9">
              <w:rPr>
                <w:lang w:val="en-GB"/>
              </w:rPr>
              <w:t xml:space="preserve">activities </w:t>
            </w:r>
            <w:r w:rsidR="00EA1EBB" w:rsidRPr="00A362F9">
              <w:rPr>
                <w:lang w:val="en-GB"/>
              </w:rPr>
              <w:t>(6</w:t>
            </w:r>
            <w:r w:rsidR="00253952" w:rsidRPr="00A362F9">
              <w:rPr>
                <w:lang w:val="en-GB"/>
              </w:rPr>
              <w:t>.</w:t>
            </w:r>
            <w:r w:rsidR="00EA1EBB" w:rsidRPr="00A362F9">
              <w:rPr>
                <w:lang w:val="en-GB"/>
              </w:rPr>
              <w:t>2%)</w:t>
            </w:r>
            <w:r w:rsidR="00253952" w:rsidRPr="00A362F9">
              <w:rPr>
                <w:lang w:val="en-GB"/>
              </w:rPr>
              <w:t xml:space="preserve"> and in manufacturing </w:t>
            </w:r>
            <w:r w:rsidR="00EA1EBB" w:rsidRPr="00A362F9">
              <w:rPr>
                <w:lang w:val="en-GB"/>
              </w:rPr>
              <w:t>(6</w:t>
            </w:r>
            <w:r w:rsidR="00253952" w:rsidRPr="00A362F9">
              <w:rPr>
                <w:lang w:val="en-GB"/>
              </w:rPr>
              <w:t>.</w:t>
            </w:r>
            <w:r w:rsidR="00EA1EBB" w:rsidRPr="00A362F9">
              <w:rPr>
                <w:lang w:val="en-GB"/>
              </w:rPr>
              <w:t xml:space="preserve">9%). </w:t>
            </w:r>
            <w:r w:rsidR="00040EE0" w:rsidRPr="00A362F9">
              <w:rPr>
                <w:lang w:val="en-GB"/>
              </w:rPr>
              <w:t xml:space="preserve">The wage dynamics slowed down </w:t>
            </w:r>
            <w:r w:rsidR="00F4729B" w:rsidRPr="00A362F9">
              <w:rPr>
                <w:lang w:val="en-GB"/>
              </w:rPr>
              <w:t>during the year and the year-on-year volume of</w:t>
            </w:r>
            <w:r w:rsidR="00F4729B" w:rsidRPr="006E725C">
              <w:rPr>
                <w:lang w:val="en-GB"/>
              </w:rPr>
              <w:t xml:space="preserve"> wages and salaries reached 6.6% in Q</w:t>
            </w:r>
            <w:r w:rsidR="00EA1EBB" w:rsidRPr="006E725C">
              <w:rPr>
                <w:lang w:val="en-GB"/>
              </w:rPr>
              <w:t>4</w:t>
            </w:r>
            <w:r w:rsidR="00F4729B" w:rsidRPr="006E725C">
              <w:rPr>
                <w:lang w:val="en-GB"/>
              </w:rPr>
              <w:t xml:space="preserve"> with </w:t>
            </w:r>
            <w:r w:rsidR="00F544A4" w:rsidRPr="006E725C">
              <w:rPr>
                <w:lang w:val="en-GB"/>
              </w:rPr>
              <w:t xml:space="preserve">parallel </w:t>
            </w:r>
            <w:r w:rsidR="00F4729B" w:rsidRPr="006E725C">
              <w:rPr>
                <w:lang w:val="en-GB"/>
              </w:rPr>
              <w:t xml:space="preserve">total employment growth of </w:t>
            </w:r>
            <w:r w:rsidR="00EA1EBB" w:rsidRPr="006E725C">
              <w:rPr>
                <w:lang w:val="en-GB"/>
              </w:rPr>
              <w:t>0</w:t>
            </w:r>
            <w:r w:rsidR="00F544A4" w:rsidRPr="006E725C">
              <w:rPr>
                <w:lang w:val="en-GB"/>
              </w:rPr>
              <w:t>.</w:t>
            </w:r>
            <w:r w:rsidR="00EA1EBB" w:rsidRPr="006E725C">
              <w:rPr>
                <w:lang w:val="en-GB"/>
              </w:rPr>
              <w:t xml:space="preserve">4%. </w:t>
            </w:r>
            <w:r w:rsidR="00062A71" w:rsidRPr="006E725C">
              <w:rPr>
                <w:lang w:val="en-GB"/>
              </w:rPr>
              <w:t>Total</w:t>
            </w:r>
            <w:r w:rsidR="00A362F9">
              <w:rPr>
                <w:lang w:val="en-GB"/>
              </w:rPr>
              <w:t xml:space="preserve"> price</w:t>
            </w:r>
            <w:r w:rsidR="00062A71" w:rsidRPr="006E725C">
              <w:rPr>
                <w:lang w:val="en-GB"/>
              </w:rPr>
              <w:t xml:space="preserve"> growth was weakening last year faster than the</w:t>
            </w:r>
            <w:r w:rsidR="003523A9" w:rsidRPr="006E725C">
              <w:rPr>
                <w:lang w:val="en-GB"/>
              </w:rPr>
              <w:t xml:space="preserve"> </w:t>
            </w:r>
            <w:r w:rsidR="00062A71" w:rsidRPr="006E725C">
              <w:rPr>
                <w:lang w:val="en-GB"/>
              </w:rPr>
              <w:t xml:space="preserve">nominal increase of wages and salaries, thus </w:t>
            </w:r>
            <w:r w:rsidR="003523A9" w:rsidRPr="006E725C">
              <w:rPr>
                <w:lang w:val="en-GB"/>
              </w:rPr>
              <w:t xml:space="preserve">the real year-on-year increase of the volume of wages and salaries slightly strengthened </w:t>
            </w:r>
            <w:r w:rsidR="00AC1B53" w:rsidRPr="006E725C">
              <w:rPr>
                <w:lang w:val="en-GB"/>
              </w:rPr>
              <w:t xml:space="preserve">to </w:t>
            </w:r>
            <w:r w:rsidR="00EA1EBB" w:rsidRPr="006E725C">
              <w:rPr>
                <w:lang w:val="en-GB"/>
              </w:rPr>
              <w:t>0</w:t>
            </w:r>
            <w:r w:rsidR="00AC1B53" w:rsidRPr="006E725C">
              <w:rPr>
                <w:lang w:val="en-GB"/>
              </w:rPr>
              <w:t>.</w:t>
            </w:r>
            <w:r w:rsidR="00EA1EBB" w:rsidRPr="006E725C">
              <w:rPr>
                <w:lang w:val="en-GB"/>
              </w:rPr>
              <w:t>5%</w:t>
            </w:r>
            <w:r w:rsidR="00062A71" w:rsidRPr="006E725C">
              <w:rPr>
                <w:lang w:val="en-GB"/>
              </w:rPr>
              <w:t xml:space="preserve"> in Q4</w:t>
            </w:r>
            <w:r w:rsidR="00EA1EBB" w:rsidRPr="006E725C">
              <w:rPr>
                <w:lang w:val="en-GB"/>
              </w:rPr>
              <w:t xml:space="preserve">. </w:t>
            </w:r>
            <w:r w:rsidR="00932117" w:rsidRPr="006E725C">
              <w:rPr>
                <w:lang w:val="en-GB"/>
              </w:rPr>
              <w:t xml:space="preserve">Wages and salaries grew the most year-on-year in other activities </w:t>
            </w:r>
            <w:r w:rsidR="00EA1EBB" w:rsidRPr="006E725C">
              <w:rPr>
                <w:lang w:val="en-GB"/>
              </w:rPr>
              <w:t>(12</w:t>
            </w:r>
            <w:r w:rsidR="00932117" w:rsidRPr="006E725C">
              <w:rPr>
                <w:lang w:val="en-GB"/>
              </w:rPr>
              <w:t>.</w:t>
            </w:r>
            <w:r w:rsidR="00EA1EBB" w:rsidRPr="006E725C">
              <w:rPr>
                <w:lang w:val="en-GB"/>
              </w:rPr>
              <w:t xml:space="preserve">9% </w:t>
            </w:r>
            <w:r w:rsidR="00932117" w:rsidRPr="006E725C">
              <w:rPr>
                <w:lang w:val="en-GB"/>
              </w:rPr>
              <w:t xml:space="preserve">with the employment growth of </w:t>
            </w:r>
            <w:r w:rsidR="00EA1EBB" w:rsidRPr="006E725C">
              <w:rPr>
                <w:lang w:val="en-GB"/>
              </w:rPr>
              <w:t>2</w:t>
            </w:r>
            <w:r w:rsidR="00932117" w:rsidRPr="006E725C">
              <w:rPr>
                <w:lang w:val="en-GB"/>
              </w:rPr>
              <w:t>.</w:t>
            </w:r>
            <w:r w:rsidR="00EA1EBB" w:rsidRPr="006E725C">
              <w:rPr>
                <w:lang w:val="en-GB"/>
              </w:rPr>
              <w:t xml:space="preserve">9%), </w:t>
            </w:r>
            <w:r w:rsidR="004B2249" w:rsidRPr="006E725C">
              <w:rPr>
                <w:lang w:val="en-GB"/>
              </w:rPr>
              <w:t xml:space="preserve">closely followed by the real estate activities </w:t>
            </w:r>
            <w:r w:rsidR="00EA1EBB" w:rsidRPr="006E725C">
              <w:rPr>
                <w:lang w:val="en-GB"/>
              </w:rPr>
              <w:t>(12</w:t>
            </w:r>
            <w:r w:rsidR="004B2249" w:rsidRPr="006E725C">
              <w:rPr>
                <w:lang w:val="en-GB"/>
              </w:rPr>
              <w:t>.</w:t>
            </w:r>
            <w:r w:rsidR="00EA1EBB" w:rsidRPr="006E725C">
              <w:rPr>
                <w:lang w:val="en-GB"/>
              </w:rPr>
              <w:t>5%</w:t>
            </w:r>
            <w:r w:rsidR="004B2249" w:rsidRPr="006E725C">
              <w:rPr>
                <w:lang w:val="en-GB"/>
              </w:rPr>
              <w:t xml:space="preserve"> with the employment growth of </w:t>
            </w:r>
            <w:r w:rsidR="00EA1EBB" w:rsidRPr="006E725C">
              <w:rPr>
                <w:lang w:val="en-GB"/>
              </w:rPr>
              <w:t>0</w:t>
            </w:r>
            <w:r w:rsidR="004B2249" w:rsidRPr="006E725C">
              <w:rPr>
                <w:lang w:val="en-GB"/>
              </w:rPr>
              <w:t>.</w:t>
            </w:r>
            <w:r w:rsidR="00EA1EBB" w:rsidRPr="006E725C">
              <w:rPr>
                <w:lang w:val="en-GB"/>
              </w:rPr>
              <w:t>8%).</w:t>
            </w:r>
            <w:r w:rsidR="004B2249" w:rsidRPr="006E725C">
              <w:rPr>
                <w:lang w:val="en-GB"/>
              </w:rPr>
              <w:t xml:space="preserve"> </w:t>
            </w:r>
            <w:r w:rsidR="0098371F" w:rsidRPr="006E725C">
              <w:rPr>
                <w:lang w:val="en-GB"/>
              </w:rPr>
              <w:t xml:space="preserve">The increase of the volume of wages and salaries was above average in professional, scientific, technical and administrative activities </w:t>
            </w:r>
            <w:r w:rsidR="00EA1EBB" w:rsidRPr="006E725C">
              <w:rPr>
                <w:lang w:val="en-GB"/>
              </w:rPr>
              <w:t>(8</w:t>
            </w:r>
            <w:r w:rsidR="0098371F" w:rsidRPr="006E725C">
              <w:rPr>
                <w:lang w:val="en-GB"/>
              </w:rPr>
              <w:t>.</w:t>
            </w:r>
            <w:r w:rsidR="00EA1EBB" w:rsidRPr="006E725C">
              <w:rPr>
                <w:lang w:val="en-GB"/>
              </w:rPr>
              <w:t>6%,</w:t>
            </w:r>
            <w:r w:rsidR="0098371F" w:rsidRPr="006E725C">
              <w:rPr>
                <w:lang w:val="en-GB"/>
              </w:rPr>
              <w:t xml:space="preserve"> employment by </w:t>
            </w:r>
            <w:r w:rsidR="00EA1EBB" w:rsidRPr="006E725C">
              <w:rPr>
                <w:lang w:val="en-GB"/>
              </w:rPr>
              <w:t>2</w:t>
            </w:r>
            <w:r w:rsidR="0098371F" w:rsidRPr="006E725C">
              <w:rPr>
                <w:lang w:val="en-GB"/>
              </w:rPr>
              <w:t>.</w:t>
            </w:r>
            <w:r w:rsidR="00EA1EBB" w:rsidRPr="006E725C">
              <w:rPr>
                <w:lang w:val="en-GB"/>
              </w:rPr>
              <w:t>5%)</w:t>
            </w:r>
            <w:r w:rsidR="0098371F" w:rsidRPr="006E725C">
              <w:rPr>
                <w:lang w:val="en-GB"/>
              </w:rPr>
              <w:t xml:space="preserve"> and in information and communication </w:t>
            </w:r>
            <w:r w:rsidR="00EA1EBB" w:rsidRPr="006E725C">
              <w:rPr>
                <w:lang w:val="en-GB"/>
              </w:rPr>
              <w:t>(7</w:t>
            </w:r>
            <w:r w:rsidR="0098371F" w:rsidRPr="006E725C">
              <w:rPr>
                <w:lang w:val="en-GB"/>
              </w:rPr>
              <w:t>.</w:t>
            </w:r>
            <w:r w:rsidR="00EA1EBB" w:rsidRPr="006E725C">
              <w:rPr>
                <w:lang w:val="en-GB"/>
              </w:rPr>
              <w:t>5%,</w:t>
            </w:r>
            <w:r w:rsidR="0098371F" w:rsidRPr="006E725C">
              <w:rPr>
                <w:lang w:val="en-GB"/>
              </w:rPr>
              <w:t xml:space="preserve"> employment by </w:t>
            </w:r>
            <w:r w:rsidR="00EA1EBB" w:rsidRPr="006E725C">
              <w:rPr>
                <w:lang w:val="en-GB"/>
              </w:rPr>
              <w:t>1</w:t>
            </w:r>
            <w:r w:rsidR="0098371F" w:rsidRPr="006E725C">
              <w:rPr>
                <w:lang w:val="en-GB"/>
              </w:rPr>
              <w:t>.</w:t>
            </w:r>
            <w:r w:rsidR="00EA1EBB" w:rsidRPr="006E725C">
              <w:rPr>
                <w:lang w:val="en-GB"/>
              </w:rPr>
              <w:t xml:space="preserve">0%). </w:t>
            </w:r>
            <w:r w:rsidR="00901F6D" w:rsidRPr="006E725C">
              <w:rPr>
                <w:lang w:val="en-GB"/>
              </w:rPr>
              <w:t xml:space="preserve">Wages grew markedly slower compared to the rest of </w:t>
            </w:r>
            <w:r w:rsidR="00D7497E" w:rsidRPr="006E725C">
              <w:rPr>
                <w:lang w:val="en-GB"/>
              </w:rPr>
              <w:t xml:space="preserve">the </w:t>
            </w:r>
            <w:r w:rsidR="00901F6D" w:rsidRPr="006E725C">
              <w:rPr>
                <w:lang w:val="en-GB"/>
              </w:rPr>
              <w:t xml:space="preserve">economy </w:t>
            </w:r>
            <w:r w:rsidR="00294977" w:rsidRPr="006E725C">
              <w:rPr>
                <w:lang w:val="en-GB"/>
              </w:rPr>
              <w:t xml:space="preserve">in manufacturing </w:t>
            </w:r>
            <w:r w:rsidR="00EA1EBB" w:rsidRPr="006E725C">
              <w:rPr>
                <w:lang w:val="en-GB"/>
              </w:rPr>
              <w:t>(5</w:t>
            </w:r>
            <w:r w:rsidR="00294977" w:rsidRPr="006E725C">
              <w:rPr>
                <w:lang w:val="en-GB"/>
              </w:rPr>
              <w:t>.</w:t>
            </w:r>
            <w:r w:rsidR="00EA1EBB" w:rsidRPr="006E725C">
              <w:rPr>
                <w:lang w:val="en-GB"/>
              </w:rPr>
              <w:t>1%),</w:t>
            </w:r>
            <w:r w:rsidR="00294977" w:rsidRPr="006E725C">
              <w:rPr>
                <w:lang w:val="en-GB"/>
              </w:rPr>
              <w:t xml:space="preserve"> where the employment simultaneously decreased by </w:t>
            </w:r>
            <w:r w:rsidR="00EA1EBB" w:rsidRPr="006E725C">
              <w:rPr>
                <w:lang w:val="en-GB"/>
              </w:rPr>
              <w:t>1</w:t>
            </w:r>
            <w:r w:rsidR="00294977" w:rsidRPr="006E725C">
              <w:rPr>
                <w:lang w:val="en-GB"/>
              </w:rPr>
              <w:t>.</w:t>
            </w:r>
            <w:r w:rsidR="00EA1EBB" w:rsidRPr="006E725C">
              <w:rPr>
                <w:lang w:val="en-GB"/>
              </w:rPr>
              <w:t>3%</w:t>
            </w:r>
            <w:r w:rsidR="00294977" w:rsidRPr="006E725C">
              <w:rPr>
                <w:lang w:val="en-GB"/>
              </w:rPr>
              <w:t xml:space="preserve"> year-on-year</w:t>
            </w:r>
            <w:r w:rsidR="00EA1EBB" w:rsidRPr="006E725C">
              <w:rPr>
                <w:lang w:val="en-GB"/>
              </w:rPr>
              <w:t>, a</w:t>
            </w:r>
            <w:r w:rsidR="00294977" w:rsidRPr="006E725C">
              <w:rPr>
                <w:lang w:val="en-GB"/>
              </w:rPr>
              <w:t xml:space="preserve">nd in financial and insurance activities </w:t>
            </w:r>
            <w:r w:rsidR="00EA1EBB" w:rsidRPr="006E725C">
              <w:rPr>
                <w:lang w:val="en-GB"/>
              </w:rPr>
              <w:t>(5</w:t>
            </w:r>
            <w:r w:rsidR="00294977" w:rsidRPr="006E725C">
              <w:rPr>
                <w:lang w:val="en-GB"/>
              </w:rPr>
              <w:t>.</w:t>
            </w:r>
            <w:r w:rsidR="00EA1EBB" w:rsidRPr="006E725C">
              <w:rPr>
                <w:lang w:val="en-GB"/>
              </w:rPr>
              <w:t>0%</w:t>
            </w:r>
            <w:r w:rsidR="00294977" w:rsidRPr="006E725C">
              <w:rPr>
                <w:lang w:val="en-GB"/>
              </w:rPr>
              <w:t xml:space="preserve"> given the drop of employment by </w:t>
            </w:r>
            <w:r w:rsidR="00EA1EBB" w:rsidRPr="006E725C">
              <w:rPr>
                <w:lang w:val="en-GB"/>
              </w:rPr>
              <w:t>1</w:t>
            </w:r>
            <w:r w:rsidR="00294977" w:rsidRPr="006E725C">
              <w:rPr>
                <w:lang w:val="en-GB"/>
              </w:rPr>
              <w:t>.</w:t>
            </w:r>
            <w:r w:rsidR="00EA1EBB" w:rsidRPr="006E725C">
              <w:rPr>
                <w:lang w:val="en-GB"/>
              </w:rPr>
              <w:t>2%).</w:t>
            </w:r>
          </w:p>
        </w:tc>
      </w:tr>
      <w:tr w:rsidR="00EA1EBB" w:rsidRPr="006E725C" w14:paraId="5BC159AD" w14:textId="77777777" w:rsidTr="005855B4">
        <w:trPr>
          <w:trHeight w:val="145"/>
        </w:trPr>
        <w:tc>
          <w:tcPr>
            <w:tcW w:w="1806" w:type="dxa"/>
            <w:shd w:val="clear" w:color="auto" w:fill="auto"/>
            <w:tcMar>
              <w:left w:w="0" w:type="dxa"/>
            </w:tcMar>
          </w:tcPr>
          <w:p w14:paraId="7B2AE299" w14:textId="2675BC7A" w:rsidR="00EA1EBB" w:rsidRPr="006E725C" w:rsidRDefault="00CF2A1B" w:rsidP="00BA5125">
            <w:pPr>
              <w:pStyle w:val="Marginlie"/>
              <w:rPr>
                <w:lang w:val="en-GB"/>
              </w:rPr>
            </w:pPr>
            <w:r w:rsidRPr="006E725C">
              <w:rPr>
                <w:lang w:val="en-GB"/>
              </w:rPr>
              <w:t xml:space="preserve">Quarter-on-quarter growth of wages and </w:t>
            </w:r>
            <w:r w:rsidR="00901F6D" w:rsidRPr="006E725C">
              <w:rPr>
                <w:lang w:val="en-GB"/>
              </w:rPr>
              <w:t>salaries</w:t>
            </w:r>
            <w:r w:rsidRPr="006E725C">
              <w:rPr>
                <w:lang w:val="en-GB"/>
              </w:rPr>
              <w:t xml:space="preserve"> </w:t>
            </w:r>
            <w:r w:rsidR="006F29CB" w:rsidRPr="006E725C">
              <w:rPr>
                <w:lang w:val="en-GB"/>
              </w:rPr>
              <w:t xml:space="preserve">strengthened at the end of year </w:t>
            </w:r>
            <w:r w:rsidR="00EA1EBB" w:rsidRPr="006E725C">
              <w:rPr>
                <w:lang w:val="en-GB"/>
              </w:rPr>
              <w:t>2023</w:t>
            </w:r>
            <w:r w:rsidR="006F29CB" w:rsidRPr="006E725C">
              <w:rPr>
                <w:lang w:val="en-GB"/>
              </w:rPr>
              <w:t xml:space="preserve">. </w:t>
            </w:r>
          </w:p>
        </w:tc>
        <w:tc>
          <w:tcPr>
            <w:tcW w:w="223" w:type="dxa"/>
            <w:shd w:val="clear" w:color="auto" w:fill="auto"/>
            <w:tcMar>
              <w:left w:w="0" w:type="dxa"/>
            </w:tcMar>
          </w:tcPr>
          <w:p w14:paraId="3743F534"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45229BD7" w14:textId="61EA7AC4" w:rsidR="00EA1EBB" w:rsidRPr="006E725C" w:rsidRDefault="00314D47" w:rsidP="00192BA8">
            <w:pPr>
              <w:rPr>
                <w:lang w:val="en-GB"/>
              </w:rPr>
            </w:pPr>
            <w:r w:rsidRPr="006E725C">
              <w:rPr>
                <w:lang w:val="en-GB"/>
              </w:rPr>
              <w:t xml:space="preserve">Quarter-on-quarter growth of wages and salaries strengthened to </w:t>
            </w:r>
            <w:r w:rsidR="00EA1EBB" w:rsidRPr="006E725C">
              <w:rPr>
                <w:lang w:val="en-GB"/>
              </w:rPr>
              <w:t>1</w:t>
            </w:r>
            <w:r w:rsidRPr="006E725C">
              <w:rPr>
                <w:lang w:val="en-GB"/>
              </w:rPr>
              <w:t>.</w:t>
            </w:r>
            <w:r w:rsidR="00EA1EBB" w:rsidRPr="006E725C">
              <w:rPr>
                <w:lang w:val="en-GB"/>
              </w:rPr>
              <w:t>7%</w:t>
            </w:r>
            <w:r w:rsidRPr="006E725C">
              <w:rPr>
                <w:lang w:val="en-GB"/>
              </w:rPr>
              <w:t xml:space="preserve"> in Q4</w:t>
            </w:r>
            <w:r w:rsidR="00EA1EBB" w:rsidRPr="006E725C">
              <w:rPr>
                <w:lang w:val="en-GB"/>
              </w:rPr>
              <w:t>,</w:t>
            </w:r>
            <w:r w:rsidRPr="006E725C">
              <w:rPr>
                <w:lang w:val="en-GB"/>
              </w:rPr>
              <w:t xml:space="preserve"> while the total employment in fact stagnated </w:t>
            </w:r>
            <w:r w:rsidR="00EA1EBB" w:rsidRPr="006E725C">
              <w:rPr>
                <w:lang w:val="en-GB"/>
              </w:rPr>
              <w:t>(−0</w:t>
            </w:r>
            <w:r w:rsidRPr="006E725C">
              <w:rPr>
                <w:lang w:val="en-GB"/>
              </w:rPr>
              <w:t>.</w:t>
            </w:r>
            <w:r w:rsidR="00EA1EBB" w:rsidRPr="006E725C">
              <w:rPr>
                <w:lang w:val="en-GB"/>
              </w:rPr>
              <w:t>1%).</w:t>
            </w:r>
            <w:r w:rsidRPr="006E725C">
              <w:rPr>
                <w:lang w:val="en-GB"/>
              </w:rPr>
              <w:t xml:space="preserve"> Wages and salaries grew in real terms by </w:t>
            </w:r>
            <w:r w:rsidR="00EA1EBB" w:rsidRPr="006E725C">
              <w:rPr>
                <w:lang w:val="en-GB"/>
              </w:rPr>
              <w:t>0</w:t>
            </w:r>
            <w:r w:rsidRPr="006E725C">
              <w:rPr>
                <w:lang w:val="en-GB"/>
              </w:rPr>
              <w:t>.</w:t>
            </w:r>
            <w:r w:rsidR="00EA1EBB" w:rsidRPr="006E725C">
              <w:rPr>
                <w:lang w:val="en-GB"/>
              </w:rPr>
              <w:t>7%.</w:t>
            </w:r>
            <w:r w:rsidRPr="006E725C">
              <w:rPr>
                <w:lang w:val="en-GB"/>
              </w:rPr>
              <w:t xml:space="preserve"> </w:t>
            </w:r>
            <w:r w:rsidR="000C0190" w:rsidRPr="006E725C">
              <w:rPr>
                <w:lang w:val="en-GB"/>
              </w:rPr>
              <w:t xml:space="preserve">The revival of the wage dynamics involved the whole economy. </w:t>
            </w:r>
            <w:r w:rsidR="000A55C4" w:rsidRPr="006E725C">
              <w:rPr>
                <w:lang w:val="en-GB"/>
              </w:rPr>
              <w:t xml:space="preserve">The volume of wages and salaries </w:t>
            </w:r>
            <w:r w:rsidR="00C76249" w:rsidRPr="006E725C">
              <w:rPr>
                <w:lang w:val="en-GB"/>
              </w:rPr>
              <w:t xml:space="preserve">increased the most quarter-on-quarter in other activities </w:t>
            </w:r>
            <w:r w:rsidR="00EA1EBB" w:rsidRPr="006E725C">
              <w:rPr>
                <w:lang w:val="en-GB"/>
              </w:rPr>
              <w:t>(6</w:t>
            </w:r>
            <w:r w:rsidR="00C76249" w:rsidRPr="006E725C">
              <w:rPr>
                <w:lang w:val="en-GB"/>
              </w:rPr>
              <w:t>.</w:t>
            </w:r>
            <w:r w:rsidR="00EA1EBB" w:rsidRPr="006E725C">
              <w:rPr>
                <w:lang w:val="en-GB"/>
              </w:rPr>
              <w:t>2%),</w:t>
            </w:r>
            <w:r w:rsidR="00C76249" w:rsidRPr="006E725C">
              <w:rPr>
                <w:lang w:val="en-GB"/>
              </w:rPr>
              <w:t xml:space="preserve"> where the employment also grew strongly </w:t>
            </w:r>
            <w:r w:rsidR="00EA1EBB" w:rsidRPr="006E725C">
              <w:rPr>
                <w:lang w:val="en-GB"/>
              </w:rPr>
              <w:t>(2</w:t>
            </w:r>
            <w:r w:rsidR="00C76249" w:rsidRPr="006E725C">
              <w:rPr>
                <w:lang w:val="en-GB"/>
              </w:rPr>
              <w:t>.</w:t>
            </w:r>
            <w:r w:rsidR="00EA1EBB" w:rsidRPr="006E725C">
              <w:rPr>
                <w:lang w:val="en-GB"/>
              </w:rPr>
              <w:t>4%).</w:t>
            </w:r>
            <w:r w:rsidR="00C76249" w:rsidRPr="006E725C">
              <w:rPr>
                <w:lang w:val="en-GB"/>
              </w:rPr>
              <w:t xml:space="preserve"> Wages and salaries also grew strongly in</w:t>
            </w:r>
            <w:r w:rsidR="00D84060" w:rsidRPr="006E725C">
              <w:rPr>
                <w:lang w:val="en-GB"/>
              </w:rPr>
              <w:t xml:space="preserve"> </w:t>
            </w:r>
            <w:r w:rsidR="007F72E3" w:rsidRPr="006E725C">
              <w:rPr>
                <w:spacing w:val="-5"/>
                <w:lang w:val="en-GB"/>
              </w:rPr>
              <w:t xml:space="preserve">division </w:t>
            </w:r>
            <w:r w:rsidR="00192BA8">
              <w:rPr>
                <w:spacing w:val="-5"/>
                <w:lang w:val="en-GB"/>
              </w:rPr>
              <w:t>t</w:t>
            </w:r>
            <w:r w:rsidR="007F72E3" w:rsidRPr="006E725C">
              <w:rPr>
                <w:spacing w:val="-5"/>
                <w:lang w:val="en-GB"/>
              </w:rPr>
              <w:t xml:space="preserve">rade, transport, accommodation and </w:t>
            </w:r>
            <w:r w:rsidR="00192BA8">
              <w:rPr>
                <w:spacing w:val="-5"/>
                <w:lang w:val="en-GB"/>
              </w:rPr>
              <w:t>food service</w:t>
            </w:r>
            <w:r w:rsidR="007F72E3" w:rsidRPr="006E725C">
              <w:rPr>
                <w:spacing w:val="-5"/>
                <w:lang w:val="en-GB"/>
              </w:rPr>
              <w:t xml:space="preserve"> </w:t>
            </w:r>
            <w:r w:rsidR="00EA1EBB" w:rsidRPr="006E725C">
              <w:rPr>
                <w:lang w:val="en-GB"/>
              </w:rPr>
              <w:t>(3</w:t>
            </w:r>
            <w:r w:rsidR="003A18CA" w:rsidRPr="006E725C">
              <w:rPr>
                <w:lang w:val="en-GB"/>
              </w:rPr>
              <w:t>.</w:t>
            </w:r>
            <w:r w:rsidR="00EA1EBB" w:rsidRPr="006E725C">
              <w:rPr>
                <w:lang w:val="en-GB"/>
              </w:rPr>
              <w:t xml:space="preserve">1, </w:t>
            </w:r>
            <w:r w:rsidR="003A18CA" w:rsidRPr="006E725C">
              <w:rPr>
                <w:lang w:val="en-GB"/>
              </w:rPr>
              <w:t xml:space="preserve">employment fell by </w:t>
            </w:r>
            <w:r w:rsidR="00EA1EBB" w:rsidRPr="006E725C">
              <w:rPr>
                <w:lang w:val="en-GB"/>
              </w:rPr>
              <w:t>1</w:t>
            </w:r>
            <w:r w:rsidR="003A18CA" w:rsidRPr="006E725C">
              <w:rPr>
                <w:lang w:val="en-GB"/>
              </w:rPr>
              <w:t>.</w:t>
            </w:r>
            <w:r w:rsidR="00EA1EBB" w:rsidRPr="006E725C">
              <w:rPr>
                <w:lang w:val="en-GB"/>
              </w:rPr>
              <w:t>1%),</w:t>
            </w:r>
            <w:r w:rsidR="003A18CA" w:rsidRPr="006E725C">
              <w:rPr>
                <w:lang w:val="en-GB"/>
              </w:rPr>
              <w:t xml:space="preserve"> in financial and insurance activities </w:t>
            </w:r>
            <w:r w:rsidR="00EA1EBB" w:rsidRPr="006E725C">
              <w:rPr>
                <w:lang w:val="en-GB"/>
              </w:rPr>
              <w:t>(2</w:t>
            </w:r>
            <w:r w:rsidR="003A18CA" w:rsidRPr="006E725C">
              <w:rPr>
                <w:lang w:val="en-GB"/>
              </w:rPr>
              <w:t>.</w:t>
            </w:r>
            <w:r w:rsidR="00EA1EBB" w:rsidRPr="006E725C">
              <w:rPr>
                <w:lang w:val="en-GB"/>
              </w:rPr>
              <w:t>4%,</w:t>
            </w:r>
            <w:r w:rsidR="003A18CA" w:rsidRPr="006E725C">
              <w:rPr>
                <w:lang w:val="en-GB"/>
              </w:rPr>
              <w:t xml:space="preserve"> employment </w:t>
            </w:r>
            <w:r w:rsidR="00EA1EBB" w:rsidRPr="006E725C">
              <w:rPr>
                <w:lang w:val="en-GB"/>
              </w:rPr>
              <w:t>−1</w:t>
            </w:r>
            <w:r w:rsidR="003A18CA" w:rsidRPr="006E725C">
              <w:rPr>
                <w:lang w:val="en-GB"/>
              </w:rPr>
              <w:t>.</w:t>
            </w:r>
            <w:r w:rsidR="00EA1EBB" w:rsidRPr="006E725C">
              <w:rPr>
                <w:lang w:val="en-GB"/>
              </w:rPr>
              <w:t>1%) a</w:t>
            </w:r>
            <w:r w:rsidR="00557D13" w:rsidRPr="006E725C">
              <w:rPr>
                <w:lang w:val="en-GB"/>
              </w:rPr>
              <w:t xml:space="preserve">nd in construction </w:t>
            </w:r>
            <w:r w:rsidR="00EA1EBB" w:rsidRPr="006E725C">
              <w:rPr>
                <w:lang w:val="en-GB"/>
              </w:rPr>
              <w:t>(2</w:t>
            </w:r>
            <w:r w:rsidR="00557D13" w:rsidRPr="006E725C">
              <w:rPr>
                <w:lang w:val="en-GB"/>
              </w:rPr>
              <w:t>.</w:t>
            </w:r>
            <w:r w:rsidR="00EA1EBB" w:rsidRPr="006E725C">
              <w:rPr>
                <w:lang w:val="en-GB"/>
              </w:rPr>
              <w:t xml:space="preserve">0%, </w:t>
            </w:r>
            <w:r w:rsidR="00557D13" w:rsidRPr="006E725C">
              <w:rPr>
                <w:lang w:val="en-GB"/>
              </w:rPr>
              <w:t xml:space="preserve">employment </w:t>
            </w:r>
            <w:r w:rsidR="00EA1EBB" w:rsidRPr="006E725C">
              <w:rPr>
                <w:lang w:val="en-GB"/>
              </w:rPr>
              <w:t>−1</w:t>
            </w:r>
            <w:r w:rsidR="00557D13" w:rsidRPr="006E725C">
              <w:rPr>
                <w:lang w:val="en-GB"/>
              </w:rPr>
              <w:t>.</w:t>
            </w:r>
            <w:r w:rsidR="00EA1EBB" w:rsidRPr="006E725C">
              <w:rPr>
                <w:lang w:val="en-GB"/>
              </w:rPr>
              <w:t xml:space="preserve">0%). </w:t>
            </w:r>
            <w:r w:rsidR="0051672B" w:rsidRPr="006E725C">
              <w:rPr>
                <w:lang w:val="en-GB"/>
              </w:rPr>
              <w:t xml:space="preserve">On the </w:t>
            </w:r>
            <w:r w:rsidR="007E585C" w:rsidRPr="006E725C">
              <w:rPr>
                <w:lang w:val="en-GB"/>
              </w:rPr>
              <w:t>contrary,</w:t>
            </w:r>
            <w:r w:rsidR="0051672B" w:rsidRPr="006E725C">
              <w:rPr>
                <w:lang w:val="en-GB"/>
              </w:rPr>
              <w:t xml:space="preserve"> the quarter-on-quarter increase of wages and salaries weakened to </w:t>
            </w:r>
            <w:r w:rsidR="00EA1EBB" w:rsidRPr="006E725C">
              <w:rPr>
                <w:lang w:val="en-GB"/>
              </w:rPr>
              <w:t>0</w:t>
            </w:r>
            <w:r w:rsidR="0051672B" w:rsidRPr="006E725C">
              <w:rPr>
                <w:lang w:val="en-GB"/>
              </w:rPr>
              <w:t>.</w:t>
            </w:r>
            <w:r w:rsidR="00EA1EBB" w:rsidRPr="006E725C">
              <w:rPr>
                <w:lang w:val="en-GB"/>
              </w:rPr>
              <w:t>5%</w:t>
            </w:r>
            <w:r w:rsidR="0051672B" w:rsidRPr="006E725C">
              <w:rPr>
                <w:lang w:val="en-GB"/>
              </w:rPr>
              <w:t xml:space="preserve"> in the </w:t>
            </w:r>
            <w:bookmarkStart w:id="30" w:name="OLE_LINK1"/>
            <w:r w:rsidR="005F0B43" w:rsidRPr="006E725C">
              <w:rPr>
                <w:lang w:val="en-GB"/>
              </w:rPr>
              <w:t>p</w:t>
            </w:r>
            <w:r w:rsidR="00416097" w:rsidRPr="006E725C">
              <w:rPr>
                <w:rFonts w:cs="Arial"/>
                <w:szCs w:val="20"/>
                <w:lang w:val="en-GB"/>
              </w:rPr>
              <w:t xml:space="preserve">ublic administration, education, health and social work </w:t>
            </w:r>
            <w:bookmarkEnd w:id="30"/>
            <w:r w:rsidR="00D7497E" w:rsidRPr="006E725C">
              <w:rPr>
                <w:rFonts w:cs="Arial"/>
                <w:szCs w:val="20"/>
                <w:lang w:val="en-GB"/>
              </w:rPr>
              <w:t>accompanied</w:t>
            </w:r>
            <w:r w:rsidR="00CE6D92" w:rsidRPr="006E725C">
              <w:rPr>
                <w:rFonts w:cs="Arial"/>
                <w:szCs w:val="20"/>
                <w:lang w:val="en-GB"/>
              </w:rPr>
              <w:t xml:space="preserve"> by the employment growth of </w:t>
            </w:r>
            <w:r w:rsidR="00EA1EBB" w:rsidRPr="006E725C">
              <w:rPr>
                <w:lang w:val="en-GB"/>
              </w:rPr>
              <w:t>1</w:t>
            </w:r>
            <w:r w:rsidR="00CE6D92" w:rsidRPr="006E725C">
              <w:rPr>
                <w:lang w:val="en-GB"/>
              </w:rPr>
              <w:t>.</w:t>
            </w:r>
            <w:r w:rsidR="00EA1EBB" w:rsidRPr="006E725C">
              <w:rPr>
                <w:lang w:val="en-GB"/>
              </w:rPr>
              <w:t>0%.</w:t>
            </w:r>
            <w:r w:rsidR="00CE6D92" w:rsidRPr="006E725C">
              <w:rPr>
                <w:lang w:val="en-GB"/>
              </w:rPr>
              <w:t xml:space="preserve"> The wage dynamics was below the average of the total e</w:t>
            </w:r>
            <w:r w:rsidR="003F1E67" w:rsidRPr="006E725C">
              <w:rPr>
                <w:lang w:val="en-GB"/>
              </w:rPr>
              <w:t>c</w:t>
            </w:r>
            <w:r w:rsidR="00CE6D92" w:rsidRPr="006E725C">
              <w:rPr>
                <w:lang w:val="en-GB"/>
              </w:rPr>
              <w:t xml:space="preserve">onomy also in manufacturing </w:t>
            </w:r>
            <w:r w:rsidR="00EA1EBB" w:rsidRPr="006E725C">
              <w:rPr>
                <w:lang w:val="en-GB"/>
              </w:rPr>
              <w:t>(1</w:t>
            </w:r>
            <w:r w:rsidR="00CE6D92" w:rsidRPr="006E725C">
              <w:rPr>
                <w:lang w:val="en-GB"/>
              </w:rPr>
              <w:t>.</w:t>
            </w:r>
            <w:r w:rsidR="00EA1EBB" w:rsidRPr="006E725C">
              <w:rPr>
                <w:lang w:val="en-GB"/>
              </w:rPr>
              <w:t xml:space="preserve">2%, </w:t>
            </w:r>
            <w:r w:rsidR="00CE6D92" w:rsidRPr="006E725C">
              <w:rPr>
                <w:lang w:val="en-GB"/>
              </w:rPr>
              <w:t xml:space="preserve">employment </w:t>
            </w:r>
            <w:r w:rsidR="00EA1EBB" w:rsidRPr="006E725C">
              <w:rPr>
                <w:lang w:val="en-GB"/>
              </w:rPr>
              <w:t>−0</w:t>
            </w:r>
            <w:r w:rsidR="00CE6D92" w:rsidRPr="006E725C">
              <w:rPr>
                <w:lang w:val="en-GB"/>
              </w:rPr>
              <w:t>.</w:t>
            </w:r>
            <w:r w:rsidR="00EA1EBB" w:rsidRPr="006E725C">
              <w:rPr>
                <w:lang w:val="en-GB"/>
              </w:rPr>
              <w:t>3%).</w:t>
            </w:r>
          </w:p>
        </w:tc>
      </w:tr>
      <w:tr w:rsidR="00EA1EBB" w:rsidRPr="006E725C" w14:paraId="1B84378E" w14:textId="77777777" w:rsidTr="005855B4">
        <w:trPr>
          <w:trHeight w:val="145"/>
        </w:trPr>
        <w:tc>
          <w:tcPr>
            <w:tcW w:w="1806" w:type="dxa"/>
            <w:shd w:val="clear" w:color="auto" w:fill="auto"/>
            <w:tcMar>
              <w:left w:w="0" w:type="dxa"/>
            </w:tcMar>
          </w:tcPr>
          <w:p w14:paraId="239A2222" w14:textId="76AEC419" w:rsidR="00EA1EBB" w:rsidRPr="006E725C" w:rsidRDefault="00EB7D07" w:rsidP="00BA5125">
            <w:pPr>
              <w:pStyle w:val="Marginlie"/>
              <w:rPr>
                <w:lang w:val="en-GB"/>
              </w:rPr>
            </w:pPr>
            <w:r w:rsidRPr="006E725C">
              <w:rPr>
                <w:lang w:val="en-GB"/>
              </w:rPr>
              <w:t>Househol</w:t>
            </w:r>
            <w:r w:rsidR="00224BB6" w:rsidRPr="006E725C">
              <w:rPr>
                <w:lang w:val="en-GB"/>
              </w:rPr>
              <w:t xml:space="preserve">d consumption strongly slumped last year. </w:t>
            </w:r>
          </w:p>
        </w:tc>
        <w:tc>
          <w:tcPr>
            <w:tcW w:w="223" w:type="dxa"/>
            <w:shd w:val="clear" w:color="auto" w:fill="auto"/>
            <w:tcMar>
              <w:left w:w="0" w:type="dxa"/>
            </w:tcMar>
          </w:tcPr>
          <w:p w14:paraId="6B1C357C"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343CCCA9" w14:textId="7B0D59CE" w:rsidR="00EA1EBB" w:rsidRPr="006E725C" w:rsidRDefault="00B46BE1" w:rsidP="00BA5125">
            <w:pPr>
              <w:rPr>
                <w:spacing w:val="-2"/>
                <w:lang w:val="en-GB"/>
              </w:rPr>
            </w:pPr>
            <w:r w:rsidRPr="006E725C">
              <w:rPr>
                <w:spacing w:val="-2"/>
                <w:lang w:val="en-GB"/>
              </w:rPr>
              <w:t xml:space="preserve">Domestic </w:t>
            </w:r>
            <w:r w:rsidR="001D2FE3" w:rsidRPr="006E725C">
              <w:rPr>
                <w:spacing w:val="-2"/>
                <w:lang w:val="en-GB"/>
              </w:rPr>
              <w:t xml:space="preserve">consumption </w:t>
            </w:r>
            <w:r w:rsidR="0071333D" w:rsidRPr="006E725C">
              <w:rPr>
                <w:spacing w:val="-2"/>
                <w:lang w:val="en-GB"/>
              </w:rPr>
              <w:t xml:space="preserve">decreased in total by </w:t>
            </w:r>
            <w:r w:rsidR="00EA1EBB" w:rsidRPr="006E725C">
              <w:rPr>
                <w:spacing w:val="-2"/>
                <w:lang w:val="en-GB"/>
              </w:rPr>
              <w:t>1</w:t>
            </w:r>
            <w:r w:rsidR="0071333D" w:rsidRPr="006E725C">
              <w:rPr>
                <w:spacing w:val="-2"/>
                <w:lang w:val="en-GB"/>
              </w:rPr>
              <w:t>.</w:t>
            </w:r>
            <w:r w:rsidR="00EA1EBB" w:rsidRPr="006E725C">
              <w:rPr>
                <w:spacing w:val="-2"/>
                <w:lang w:val="en-GB"/>
              </w:rPr>
              <w:t>2%</w:t>
            </w:r>
            <w:r w:rsidR="0071333D" w:rsidRPr="006E725C">
              <w:rPr>
                <w:spacing w:val="-2"/>
                <w:lang w:val="en-GB"/>
              </w:rPr>
              <w:t xml:space="preserve"> last year</w:t>
            </w:r>
            <w:r w:rsidR="00EA1EBB" w:rsidRPr="006E725C">
              <w:rPr>
                <w:spacing w:val="-2"/>
                <w:lang w:val="en-GB"/>
              </w:rPr>
              <w:t xml:space="preserve">. </w:t>
            </w:r>
            <w:r w:rsidR="00426F72" w:rsidRPr="006E725C">
              <w:rPr>
                <w:spacing w:val="-2"/>
                <w:lang w:val="en-GB"/>
              </w:rPr>
              <w:t xml:space="preserve">The development of </w:t>
            </w:r>
            <w:r w:rsidR="00456C88" w:rsidRPr="006E725C">
              <w:rPr>
                <w:spacing w:val="-2"/>
                <w:lang w:val="en-GB"/>
              </w:rPr>
              <w:t xml:space="preserve">household consumption, which was lower by </w:t>
            </w:r>
            <w:r w:rsidR="00EA1EBB" w:rsidRPr="006E725C">
              <w:rPr>
                <w:spacing w:val="-2"/>
                <w:lang w:val="en-GB"/>
              </w:rPr>
              <w:t>3</w:t>
            </w:r>
            <w:r w:rsidR="00456C88" w:rsidRPr="006E725C">
              <w:rPr>
                <w:spacing w:val="-2"/>
                <w:lang w:val="en-GB"/>
              </w:rPr>
              <w:t>.</w:t>
            </w:r>
            <w:r w:rsidR="00EA1EBB" w:rsidRPr="006E725C">
              <w:rPr>
                <w:spacing w:val="-2"/>
                <w:lang w:val="en-GB"/>
              </w:rPr>
              <w:t>1%</w:t>
            </w:r>
            <w:r w:rsidR="00426F72" w:rsidRPr="006E725C">
              <w:rPr>
                <w:spacing w:val="-2"/>
                <w:lang w:val="en-GB"/>
              </w:rPr>
              <w:t xml:space="preserve"> stood exclusively behind it</w:t>
            </w:r>
            <w:r w:rsidR="00EA1EBB" w:rsidRPr="006E725C">
              <w:rPr>
                <w:spacing w:val="-2"/>
                <w:lang w:val="en-GB"/>
              </w:rPr>
              <w:t xml:space="preserve">. </w:t>
            </w:r>
            <w:r w:rsidR="00DA114D" w:rsidRPr="006E725C">
              <w:rPr>
                <w:spacing w:val="-2"/>
                <w:lang w:val="en-GB"/>
              </w:rPr>
              <w:t>Except for the p</w:t>
            </w:r>
            <w:r w:rsidR="005648F8" w:rsidRPr="006E725C">
              <w:rPr>
                <w:spacing w:val="-2"/>
                <w:lang w:val="en-GB"/>
              </w:rPr>
              <w:t xml:space="preserve">andemic year </w:t>
            </w:r>
            <w:r w:rsidR="00EA1EBB" w:rsidRPr="006E725C">
              <w:rPr>
                <w:spacing w:val="-2"/>
                <w:lang w:val="en-GB"/>
              </w:rPr>
              <w:t>2020</w:t>
            </w:r>
            <w:r w:rsidR="005648F8" w:rsidRPr="006E725C">
              <w:rPr>
                <w:spacing w:val="-2"/>
                <w:lang w:val="en-GB"/>
              </w:rPr>
              <w:t xml:space="preserve">, it was the </w:t>
            </w:r>
            <w:r w:rsidR="00DA114D" w:rsidRPr="006E725C">
              <w:rPr>
                <w:spacing w:val="-2"/>
                <w:lang w:val="en-GB"/>
              </w:rPr>
              <w:t>deepest</w:t>
            </w:r>
            <w:r w:rsidR="005648F8" w:rsidRPr="006E725C">
              <w:rPr>
                <w:spacing w:val="-2"/>
                <w:lang w:val="en-GB"/>
              </w:rPr>
              <w:t xml:space="preserve"> recorded </w:t>
            </w:r>
            <w:r w:rsidR="006B2A1F" w:rsidRPr="006E725C">
              <w:rPr>
                <w:spacing w:val="-2"/>
                <w:lang w:val="en-GB"/>
              </w:rPr>
              <w:t xml:space="preserve">plunge of the household consumption in the history of the independent CR. </w:t>
            </w:r>
            <w:r w:rsidR="00D30003" w:rsidRPr="006E725C">
              <w:rPr>
                <w:spacing w:val="-2"/>
                <w:lang w:val="en-GB"/>
              </w:rPr>
              <w:t xml:space="preserve">General government consumption on the other hand increased by </w:t>
            </w:r>
            <w:r w:rsidR="00EA1EBB" w:rsidRPr="006E725C">
              <w:rPr>
                <w:spacing w:val="-2"/>
                <w:lang w:val="en-GB"/>
              </w:rPr>
              <w:t>3</w:t>
            </w:r>
            <w:r w:rsidR="00D30003" w:rsidRPr="006E725C">
              <w:rPr>
                <w:spacing w:val="-2"/>
                <w:lang w:val="en-GB"/>
              </w:rPr>
              <w:t>.</w:t>
            </w:r>
            <w:r w:rsidR="00EA1EBB" w:rsidRPr="006E725C">
              <w:rPr>
                <w:spacing w:val="-2"/>
                <w:lang w:val="en-GB"/>
              </w:rPr>
              <w:t>0%</w:t>
            </w:r>
            <w:r w:rsidR="00D30003" w:rsidRPr="006E725C">
              <w:rPr>
                <w:spacing w:val="-2"/>
                <w:lang w:val="en-GB"/>
              </w:rPr>
              <w:t xml:space="preserve"> last year</w:t>
            </w:r>
            <w:r w:rsidR="00EA1EBB" w:rsidRPr="006E725C">
              <w:rPr>
                <w:spacing w:val="-2"/>
                <w:lang w:val="en-GB"/>
              </w:rPr>
              <w:t xml:space="preserve">. </w:t>
            </w:r>
            <w:r w:rsidR="00BC4C38" w:rsidRPr="006E725C">
              <w:rPr>
                <w:spacing w:val="-2"/>
                <w:lang w:val="en-GB"/>
              </w:rPr>
              <w:t xml:space="preserve">Regarding the </w:t>
            </w:r>
            <w:r w:rsidR="00BB25E8" w:rsidRPr="006E725C">
              <w:rPr>
                <w:spacing w:val="-2"/>
                <w:lang w:val="en-GB"/>
              </w:rPr>
              <w:t xml:space="preserve">structure </w:t>
            </w:r>
            <w:r w:rsidR="00E20733" w:rsidRPr="006E725C">
              <w:rPr>
                <w:spacing w:val="-2"/>
                <w:lang w:val="en-GB"/>
              </w:rPr>
              <w:t xml:space="preserve">of household </w:t>
            </w:r>
            <w:r w:rsidR="00E20733" w:rsidRPr="006E725C">
              <w:rPr>
                <w:spacing w:val="-2"/>
                <w:lang w:val="en-GB"/>
              </w:rPr>
              <w:lastRenderedPageBreak/>
              <w:t>consumption according to the durability</w:t>
            </w:r>
            <w:r w:rsidR="00EA1EBB" w:rsidRPr="006E725C">
              <w:rPr>
                <w:rStyle w:val="Znakapoznpodarou"/>
                <w:lang w:val="en-GB"/>
              </w:rPr>
              <w:footnoteReference w:id="9"/>
            </w:r>
            <w:r w:rsidR="006E725C">
              <w:rPr>
                <w:spacing w:val="-2"/>
                <w:lang w:val="en-GB"/>
              </w:rPr>
              <w:t>,</w:t>
            </w:r>
            <w:r w:rsidR="00EA1EBB" w:rsidRPr="006E725C">
              <w:rPr>
                <w:spacing w:val="-2"/>
                <w:lang w:val="en-GB"/>
              </w:rPr>
              <w:t xml:space="preserve"> </w:t>
            </w:r>
            <w:r w:rsidR="00E20733" w:rsidRPr="006E725C">
              <w:rPr>
                <w:spacing w:val="-2"/>
                <w:lang w:val="en-GB"/>
              </w:rPr>
              <w:t xml:space="preserve">all </w:t>
            </w:r>
            <w:r w:rsidR="00220989" w:rsidRPr="006E725C">
              <w:rPr>
                <w:spacing w:val="-2"/>
                <w:lang w:val="en-GB"/>
              </w:rPr>
              <w:t xml:space="preserve">its </w:t>
            </w:r>
            <w:r w:rsidR="00E20733" w:rsidRPr="006E725C">
              <w:rPr>
                <w:spacing w:val="-2"/>
                <w:lang w:val="en-GB"/>
              </w:rPr>
              <w:t xml:space="preserve">types </w:t>
            </w:r>
            <w:r w:rsidR="00220989" w:rsidRPr="006E725C">
              <w:rPr>
                <w:spacing w:val="-2"/>
                <w:lang w:val="en-GB"/>
              </w:rPr>
              <w:t xml:space="preserve">were falling last year. </w:t>
            </w:r>
            <w:r w:rsidR="00EB6B48" w:rsidRPr="006E725C">
              <w:rPr>
                <w:spacing w:val="-2"/>
                <w:lang w:val="en-GB"/>
              </w:rPr>
              <w:t xml:space="preserve">The consumption of medium-term </w:t>
            </w:r>
            <w:r w:rsidR="002470EB" w:rsidRPr="006E725C">
              <w:rPr>
                <w:spacing w:val="-2"/>
                <w:lang w:val="en-GB"/>
              </w:rPr>
              <w:t xml:space="preserve">durability </w:t>
            </w:r>
            <w:r w:rsidR="00EA1EBB" w:rsidRPr="006E725C">
              <w:rPr>
                <w:spacing w:val="-2"/>
                <w:lang w:val="en-GB"/>
              </w:rPr>
              <w:t>(−6</w:t>
            </w:r>
            <w:r w:rsidR="002470EB" w:rsidRPr="006E725C">
              <w:rPr>
                <w:spacing w:val="-2"/>
                <w:lang w:val="en-GB"/>
              </w:rPr>
              <w:t>.</w:t>
            </w:r>
            <w:r w:rsidR="00EA1EBB" w:rsidRPr="006E725C">
              <w:rPr>
                <w:spacing w:val="-2"/>
                <w:lang w:val="en-GB"/>
              </w:rPr>
              <w:t>3%) a</w:t>
            </w:r>
            <w:r w:rsidR="002470EB" w:rsidRPr="006E725C">
              <w:rPr>
                <w:spacing w:val="-2"/>
                <w:lang w:val="en-GB"/>
              </w:rPr>
              <w:t xml:space="preserve">nd long-term durability </w:t>
            </w:r>
            <w:r w:rsidR="00EA1EBB" w:rsidRPr="006E725C">
              <w:rPr>
                <w:spacing w:val="-2"/>
                <w:lang w:val="en-GB"/>
              </w:rPr>
              <w:t>(−4</w:t>
            </w:r>
            <w:r w:rsidR="002470EB" w:rsidRPr="006E725C">
              <w:rPr>
                <w:spacing w:val="-2"/>
                <w:lang w:val="en-GB"/>
              </w:rPr>
              <w:t>.</w:t>
            </w:r>
            <w:r w:rsidR="00EA1EBB" w:rsidRPr="006E725C">
              <w:rPr>
                <w:spacing w:val="-2"/>
                <w:lang w:val="en-GB"/>
              </w:rPr>
              <w:t xml:space="preserve">4%) </w:t>
            </w:r>
            <w:r w:rsidR="00F56D87" w:rsidRPr="006E725C">
              <w:rPr>
                <w:spacing w:val="-2"/>
                <w:lang w:val="en-GB"/>
              </w:rPr>
              <w:t>goods dived t</w:t>
            </w:r>
            <w:r w:rsidR="00EB6B48" w:rsidRPr="006E725C">
              <w:rPr>
                <w:spacing w:val="-2"/>
                <w:lang w:val="en-GB"/>
              </w:rPr>
              <w:t>he most</w:t>
            </w:r>
            <w:r w:rsidR="00EA1EBB" w:rsidRPr="006E725C">
              <w:rPr>
                <w:spacing w:val="-2"/>
                <w:lang w:val="en-GB"/>
              </w:rPr>
              <w:t xml:space="preserve">. </w:t>
            </w:r>
            <w:r w:rsidR="00F71047" w:rsidRPr="006E725C">
              <w:rPr>
                <w:spacing w:val="-2"/>
                <w:lang w:val="en-GB"/>
              </w:rPr>
              <w:t>Households</w:t>
            </w:r>
            <w:r w:rsidR="002470EB" w:rsidRPr="006E725C">
              <w:rPr>
                <w:spacing w:val="-2"/>
                <w:lang w:val="en-GB"/>
              </w:rPr>
              <w:t xml:space="preserve"> considerably reduced </w:t>
            </w:r>
            <w:r w:rsidR="00F71047" w:rsidRPr="006E725C">
              <w:rPr>
                <w:spacing w:val="-2"/>
                <w:lang w:val="en-GB"/>
              </w:rPr>
              <w:t xml:space="preserve">their expenditures also </w:t>
            </w:r>
            <w:r w:rsidR="004C2346" w:rsidRPr="006E725C">
              <w:rPr>
                <w:spacing w:val="-2"/>
                <w:lang w:val="en-GB"/>
              </w:rPr>
              <w:t xml:space="preserve">on </w:t>
            </w:r>
            <w:r w:rsidR="00CA66FE" w:rsidRPr="006E725C">
              <w:rPr>
                <w:spacing w:val="-2"/>
                <w:lang w:val="en-GB"/>
              </w:rPr>
              <w:t xml:space="preserve">the </w:t>
            </w:r>
            <w:r w:rsidR="00617C0F" w:rsidRPr="006E725C">
              <w:rPr>
                <w:spacing w:val="-2"/>
                <w:lang w:val="en-GB"/>
              </w:rPr>
              <w:t xml:space="preserve">short-term durability </w:t>
            </w:r>
            <w:r w:rsidR="00CA66FE" w:rsidRPr="006E725C">
              <w:rPr>
                <w:spacing w:val="-2"/>
                <w:lang w:val="en-GB"/>
              </w:rPr>
              <w:t xml:space="preserve">goods consumption </w:t>
            </w:r>
            <w:r w:rsidR="00EA1EBB" w:rsidRPr="006E725C">
              <w:rPr>
                <w:spacing w:val="-2"/>
                <w:lang w:val="en-GB"/>
              </w:rPr>
              <w:t>(−4</w:t>
            </w:r>
            <w:r w:rsidR="00617C0F" w:rsidRPr="006E725C">
              <w:rPr>
                <w:spacing w:val="-2"/>
                <w:lang w:val="en-GB"/>
              </w:rPr>
              <w:t>.</w:t>
            </w:r>
            <w:r w:rsidR="00EA1EBB" w:rsidRPr="006E725C">
              <w:rPr>
                <w:spacing w:val="-2"/>
                <w:lang w:val="en-GB"/>
              </w:rPr>
              <w:t>1%). T</w:t>
            </w:r>
            <w:r w:rsidR="000D4E8E" w:rsidRPr="006E725C">
              <w:rPr>
                <w:spacing w:val="-2"/>
                <w:lang w:val="en-GB"/>
              </w:rPr>
              <w:t xml:space="preserve">his consumption </w:t>
            </w:r>
            <w:r w:rsidR="00411826" w:rsidRPr="006E725C">
              <w:rPr>
                <w:spacing w:val="-2"/>
                <w:lang w:val="en-GB"/>
              </w:rPr>
              <w:t xml:space="preserve">slumped three times in real terms during the last four years and thus fell below the level </w:t>
            </w:r>
            <w:r w:rsidR="00AD2E25" w:rsidRPr="006E725C">
              <w:rPr>
                <w:spacing w:val="-2"/>
                <w:lang w:val="en-GB"/>
              </w:rPr>
              <w:t xml:space="preserve">of year </w:t>
            </w:r>
            <w:r w:rsidR="00EA1EBB" w:rsidRPr="006E725C">
              <w:rPr>
                <w:spacing w:val="-2"/>
                <w:lang w:val="en-GB"/>
              </w:rPr>
              <w:t xml:space="preserve">2015. </w:t>
            </w:r>
            <w:r w:rsidR="00647EDF" w:rsidRPr="006E725C">
              <w:rPr>
                <w:spacing w:val="-2"/>
                <w:lang w:val="en-GB"/>
              </w:rPr>
              <w:t xml:space="preserve">Consumption of services went down by </w:t>
            </w:r>
            <w:r w:rsidR="00EA1EBB" w:rsidRPr="006E725C">
              <w:rPr>
                <w:spacing w:val="-2"/>
                <w:lang w:val="en-GB"/>
              </w:rPr>
              <w:t>0</w:t>
            </w:r>
            <w:r w:rsidR="00647EDF" w:rsidRPr="006E725C">
              <w:rPr>
                <w:spacing w:val="-2"/>
                <w:lang w:val="en-GB"/>
              </w:rPr>
              <w:t>.</w:t>
            </w:r>
            <w:r w:rsidR="00EA1EBB" w:rsidRPr="006E725C">
              <w:rPr>
                <w:spacing w:val="-2"/>
                <w:lang w:val="en-GB"/>
              </w:rPr>
              <w:t>4%</w:t>
            </w:r>
            <w:r w:rsidR="00647EDF" w:rsidRPr="006E725C">
              <w:rPr>
                <w:spacing w:val="-2"/>
                <w:lang w:val="en-GB"/>
              </w:rPr>
              <w:t xml:space="preserve"> last year</w:t>
            </w:r>
            <w:r w:rsidR="00EA1EBB" w:rsidRPr="006E725C">
              <w:rPr>
                <w:spacing w:val="-2"/>
                <w:lang w:val="en-GB"/>
              </w:rPr>
              <w:t xml:space="preserve">. </w:t>
            </w:r>
            <w:r w:rsidR="00FE4EBA" w:rsidRPr="006E725C">
              <w:rPr>
                <w:spacing w:val="-2"/>
                <w:lang w:val="en-GB"/>
              </w:rPr>
              <w:t xml:space="preserve">Total consumption increased year-on-year by </w:t>
            </w:r>
            <w:r w:rsidR="00EA1EBB" w:rsidRPr="006E725C">
              <w:rPr>
                <w:spacing w:val="-2"/>
                <w:lang w:val="en-GB"/>
              </w:rPr>
              <w:t>0</w:t>
            </w:r>
            <w:r w:rsidR="00FE4EBA" w:rsidRPr="006E725C">
              <w:rPr>
                <w:spacing w:val="-2"/>
                <w:lang w:val="en-GB"/>
              </w:rPr>
              <w:t>.</w:t>
            </w:r>
            <w:r w:rsidR="00EA1EBB" w:rsidRPr="006E725C">
              <w:rPr>
                <w:spacing w:val="-2"/>
                <w:lang w:val="en-GB"/>
              </w:rPr>
              <w:t>3%</w:t>
            </w:r>
            <w:r w:rsidR="00FE4EBA" w:rsidRPr="006E725C">
              <w:rPr>
                <w:spacing w:val="-2"/>
                <w:lang w:val="en-GB"/>
              </w:rPr>
              <w:t xml:space="preserve"> in Q4</w:t>
            </w:r>
            <w:r w:rsidR="00EA1EBB" w:rsidRPr="006E725C">
              <w:rPr>
                <w:spacing w:val="-2"/>
                <w:lang w:val="en-GB"/>
              </w:rPr>
              <w:t>,</w:t>
            </w:r>
            <w:r w:rsidR="00FE4EBA" w:rsidRPr="006E725C">
              <w:rPr>
                <w:spacing w:val="-2"/>
                <w:lang w:val="en-GB"/>
              </w:rPr>
              <w:t xml:space="preserve"> for the first time since Q</w:t>
            </w:r>
            <w:r w:rsidR="00EA1EBB" w:rsidRPr="006E725C">
              <w:rPr>
                <w:spacing w:val="-2"/>
                <w:lang w:val="en-GB"/>
              </w:rPr>
              <w:t>2</w:t>
            </w:r>
            <w:r w:rsidR="00FE4EBA" w:rsidRPr="006E725C">
              <w:rPr>
                <w:spacing w:val="-2"/>
                <w:lang w:val="en-GB"/>
              </w:rPr>
              <w:t xml:space="preserve"> </w:t>
            </w:r>
            <w:r w:rsidR="00EA1EBB" w:rsidRPr="006E725C">
              <w:rPr>
                <w:spacing w:val="-2"/>
                <w:lang w:val="en-GB"/>
              </w:rPr>
              <w:t xml:space="preserve">2022. </w:t>
            </w:r>
            <w:r w:rsidR="00FE4EBA" w:rsidRPr="006E725C">
              <w:rPr>
                <w:spacing w:val="-2"/>
                <w:lang w:val="en-GB"/>
              </w:rPr>
              <w:t xml:space="preserve">The year-on-year decrease of household consumption </w:t>
            </w:r>
            <w:r w:rsidR="005E4B04" w:rsidRPr="006E725C">
              <w:rPr>
                <w:spacing w:val="-2"/>
                <w:lang w:val="en-GB"/>
              </w:rPr>
              <w:t xml:space="preserve">was curbed to </w:t>
            </w:r>
            <w:r w:rsidR="00EA1EBB" w:rsidRPr="006E725C">
              <w:rPr>
                <w:spacing w:val="-2"/>
                <w:lang w:val="en-GB"/>
              </w:rPr>
              <w:t>−0</w:t>
            </w:r>
            <w:r w:rsidR="005E4B04" w:rsidRPr="006E725C">
              <w:rPr>
                <w:spacing w:val="-2"/>
                <w:lang w:val="en-GB"/>
              </w:rPr>
              <w:t>.</w:t>
            </w:r>
            <w:r w:rsidR="00EA1EBB" w:rsidRPr="006E725C">
              <w:rPr>
                <w:spacing w:val="-2"/>
                <w:lang w:val="en-GB"/>
              </w:rPr>
              <w:t>5% a</w:t>
            </w:r>
            <w:r w:rsidR="005E4B04" w:rsidRPr="006E725C">
              <w:rPr>
                <w:spacing w:val="-2"/>
                <w:lang w:val="en-GB"/>
              </w:rPr>
              <w:t xml:space="preserve">nd the government consumption increased by </w:t>
            </w:r>
            <w:r w:rsidR="00EA1EBB" w:rsidRPr="006E725C">
              <w:rPr>
                <w:spacing w:val="-2"/>
                <w:lang w:val="en-GB"/>
              </w:rPr>
              <w:t>1</w:t>
            </w:r>
            <w:r w:rsidR="005E4B04" w:rsidRPr="006E725C">
              <w:rPr>
                <w:spacing w:val="-2"/>
                <w:lang w:val="en-GB"/>
              </w:rPr>
              <w:t>.</w:t>
            </w:r>
            <w:r w:rsidR="00EA1EBB" w:rsidRPr="006E725C">
              <w:rPr>
                <w:spacing w:val="-2"/>
                <w:lang w:val="en-GB"/>
              </w:rPr>
              <w:t>9%</w:t>
            </w:r>
            <w:r w:rsidR="005E4B04" w:rsidRPr="006E725C">
              <w:rPr>
                <w:spacing w:val="-2"/>
                <w:lang w:val="en-GB"/>
              </w:rPr>
              <w:t xml:space="preserve"> year-on-year</w:t>
            </w:r>
            <w:r w:rsidR="00EA1EBB" w:rsidRPr="006E725C">
              <w:rPr>
                <w:spacing w:val="-2"/>
                <w:lang w:val="en-GB"/>
              </w:rPr>
              <w:t xml:space="preserve">. </w:t>
            </w:r>
            <w:r w:rsidR="00220128" w:rsidRPr="006E725C">
              <w:rPr>
                <w:spacing w:val="-2"/>
                <w:lang w:val="en-GB"/>
              </w:rPr>
              <w:t>The two quarter-on-quarter increases from Q2 an</w:t>
            </w:r>
            <w:r w:rsidR="006E725C">
              <w:rPr>
                <w:spacing w:val="-2"/>
                <w:lang w:val="en-GB"/>
              </w:rPr>
              <w:t>d</w:t>
            </w:r>
            <w:r w:rsidR="00220128" w:rsidRPr="006E725C">
              <w:rPr>
                <w:spacing w:val="-2"/>
                <w:lang w:val="en-GB"/>
              </w:rPr>
              <w:t xml:space="preserve"> Q3 were followed by stagnating consumption in Q</w:t>
            </w:r>
            <w:r w:rsidR="00EA1EBB" w:rsidRPr="006E725C">
              <w:rPr>
                <w:spacing w:val="-2"/>
                <w:lang w:val="en-GB"/>
              </w:rPr>
              <w:t xml:space="preserve">4. </w:t>
            </w:r>
            <w:r w:rsidR="00912AF9" w:rsidRPr="006E725C">
              <w:rPr>
                <w:spacing w:val="-2"/>
                <w:lang w:val="en-GB"/>
              </w:rPr>
              <w:t xml:space="preserve">Household consumption was quarter-on-quarter higher by </w:t>
            </w:r>
            <w:r w:rsidR="00EA1EBB" w:rsidRPr="006E725C">
              <w:rPr>
                <w:spacing w:val="-2"/>
                <w:lang w:val="en-GB"/>
              </w:rPr>
              <w:t>0</w:t>
            </w:r>
            <w:r w:rsidR="00912AF9" w:rsidRPr="006E725C">
              <w:rPr>
                <w:spacing w:val="-2"/>
                <w:lang w:val="en-GB"/>
              </w:rPr>
              <w:t>.</w:t>
            </w:r>
            <w:r w:rsidR="00EA1EBB" w:rsidRPr="006E725C">
              <w:rPr>
                <w:spacing w:val="-2"/>
                <w:lang w:val="en-GB"/>
              </w:rPr>
              <w:t>5%,</w:t>
            </w:r>
            <w:r w:rsidR="00912AF9" w:rsidRPr="006E725C">
              <w:rPr>
                <w:spacing w:val="-2"/>
                <w:lang w:val="en-GB"/>
              </w:rPr>
              <w:t xml:space="preserve"> while the government consumption decreased by </w:t>
            </w:r>
            <w:r w:rsidR="00EA1EBB" w:rsidRPr="006E725C">
              <w:rPr>
                <w:spacing w:val="-2"/>
                <w:lang w:val="en-GB"/>
              </w:rPr>
              <w:t>1</w:t>
            </w:r>
            <w:r w:rsidR="00912AF9" w:rsidRPr="006E725C">
              <w:rPr>
                <w:spacing w:val="-2"/>
                <w:lang w:val="en-GB"/>
              </w:rPr>
              <w:t>.</w:t>
            </w:r>
            <w:r w:rsidR="00EA1EBB" w:rsidRPr="006E725C">
              <w:rPr>
                <w:spacing w:val="-2"/>
                <w:lang w:val="en-GB"/>
              </w:rPr>
              <w:t xml:space="preserve">3%. </w:t>
            </w:r>
            <w:r w:rsidR="00FB2A1A" w:rsidRPr="006E725C">
              <w:rPr>
                <w:spacing w:val="-2"/>
                <w:lang w:val="en-GB"/>
              </w:rPr>
              <w:t xml:space="preserve">In Q4 itself, the long-term durability </w:t>
            </w:r>
            <w:r w:rsidR="00BE4E2F" w:rsidRPr="006E725C">
              <w:rPr>
                <w:spacing w:val="-2"/>
                <w:lang w:val="en-GB"/>
              </w:rPr>
              <w:t xml:space="preserve">goods </w:t>
            </w:r>
            <w:r w:rsidR="00EA1EBB" w:rsidRPr="006E725C">
              <w:rPr>
                <w:spacing w:val="-2"/>
                <w:lang w:val="en-GB"/>
              </w:rPr>
              <w:t>(2</w:t>
            </w:r>
            <w:r w:rsidR="00BE4E2F" w:rsidRPr="006E725C">
              <w:rPr>
                <w:spacing w:val="-2"/>
                <w:lang w:val="en-GB"/>
              </w:rPr>
              <w:t>.</w:t>
            </w:r>
            <w:r w:rsidR="00EA1EBB" w:rsidRPr="006E725C">
              <w:rPr>
                <w:spacing w:val="-2"/>
                <w:lang w:val="en-GB"/>
              </w:rPr>
              <w:t xml:space="preserve">0 %, </w:t>
            </w:r>
            <w:r w:rsidR="00BE4E2F" w:rsidRPr="006E725C">
              <w:rPr>
                <w:spacing w:val="-2"/>
                <w:lang w:val="en-GB"/>
              </w:rPr>
              <w:t>for the first time since Q</w:t>
            </w:r>
            <w:r w:rsidR="00EA1EBB" w:rsidRPr="006E725C">
              <w:rPr>
                <w:spacing w:val="-2"/>
                <w:lang w:val="en-GB"/>
              </w:rPr>
              <w:t>1</w:t>
            </w:r>
            <w:r w:rsidR="00BE4E2F" w:rsidRPr="006E725C">
              <w:rPr>
                <w:spacing w:val="-2"/>
                <w:lang w:val="en-GB"/>
              </w:rPr>
              <w:t xml:space="preserve"> </w:t>
            </w:r>
            <w:r w:rsidR="00EA1EBB" w:rsidRPr="006E725C">
              <w:rPr>
                <w:spacing w:val="-2"/>
                <w:lang w:val="en-GB"/>
              </w:rPr>
              <w:t xml:space="preserve">2022) </w:t>
            </w:r>
            <w:r w:rsidR="00FB2A1A" w:rsidRPr="006E725C">
              <w:rPr>
                <w:spacing w:val="-2"/>
                <w:lang w:val="en-GB"/>
              </w:rPr>
              <w:t>as well as short-term durability</w:t>
            </w:r>
            <w:r w:rsidR="00BE4E2F" w:rsidRPr="006E725C">
              <w:rPr>
                <w:spacing w:val="-2"/>
                <w:lang w:val="en-GB"/>
              </w:rPr>
              <w:t xml:space="preserve"> goods </w:t>
            </w:r>
            <w:r w:rsidR="00EA1EBB" w:rsidRPr="006E725C">
              <w:rPr>
                <w:spacing w:val="-2"/>
                <w:lang w:val="en-GB"/>
              </w:rPr>
              <w:t>(0</w:t>
            </w:r>
            <w:r w:rsidR="00BE4E2F" w:rsidRPr="006E725C">
              <w:rPr>
                <w:spacing w:val="-2"/>
                <w:lang w:val="en-GB"/>
              </w:rPr>
              <w:t>.</w:t>
            </w:r>
            <w:r w:rsidR="00EA1EBB" w:rsidRPr="006E725C">
              <w:rPr>
                <w:spacing w:val="-2"/>
                <w:lang w:val="en-GB"/>
              </w:rPr>
              <w:t xml:space="preserve">9%, </w:t>
            </w:r>
            <w:r w:rsidR="00BE4E2F" w:rsidRPr="006E725C">
              <w:rPr>
                <w:spacing w:val="-2"/>
                <w:lang w:val="en-GB"/>
              </w:rPr>
              <w:t xml:space="preserve">for the first time since the end of year </w:t>
            </w:r>
            <w:r w:rsidR="00EA1EBB" w:rsidRPr="006E725C">
              <w:rPr>
                <w:spacing w:val="-2"/>
                <w:lang w:val="en-GB"/>
              </w:rPr>
              <w:t xml:space="preserve">2021) </w:t>
            </w:r>
            <w:r w:rsidR="00FB2A1A" w:rsidRPr="006E725C">
              <w:rPr>
                <w:spacing w:val="-2"/>
                <w:lang w:val="en-GB"/>
              </w:rPr>
              <w:t xml:space="preserve">consumption </w:t>
            </w:r>
            <w:r w:rsidR="00BE4E2F" w:rsidRPr="006E725C">
              <w:rPr>
                <w:spacing w:val="-2"/>
                <w:lang w:val="en-GB"/>
              </w:rPr>
              <w:t>increased year-on-year a</w:t>
            </w:r>
            <w:r w:rsidR="00136175" w:rsidRPr="006E725C">
              <w:rPr>
                <w:spacing w:val="-2"/>
                <w:lang w:val="en-GB"/>
              </w:rPr>
              <w:t>nd the consumption of services stagnated</w:t>
            </w:r>
            <w:r w:rsidR="00EA1EBB" w:rsidRPr="006E725C">
              <w:rPr>
                <w:spacing w:val="-2"/>
                <w:lang w:val="en-GB"/>
              </w:rPr>
              <w:t xml:space="preserve">. </w:t>
            </w:r>
            <w:r w:rsidR="00136175" w:rsidRPr="006E725C">
              <w:rPr>
                <w:spacing w:val="-2"/>
                <w:lang w:val="en-GB"/>
              </w:rPr>
              <w:t>Year-on-year plunge of the medium-term durab</w:t>
            </w:r>
            <w:r w:rsidR="00F539B0" w:rsidRPr="006E725C">
              <w:rPr>
                <w:spacing w:val="-2"/>
                <w:lang w:val="en-GB"/>
              </w:rPr>
              <w:t xml:space="preserve">ility goods consumption nevertheless continued </w:t>
            </w:r>
            <w:r w:rsidR="00EA1EBB" w:rsidRPr="006E725C">
              <w:rPr>
                <w:spacing w:val="-2"/>
                <w:lang w:val="en-GB"/>
              </w:rPr>
              <w:t>(−4</w:t>
            </w:r>
            <w:r w:rsidR="00F539B0" w:rsidRPr="006E725C">
              <w:rPr>
                <w:spacing w:val="-2"/>
                <w:lang w:val="en-GB"/>
              </w:rPr>
              <w:t>.</w:t>
            </w:r>
            <w:r w:rsidR="00EA1EBB" w:rsidRPr="006E725C">
              <w:rPr>
                <w:spacing w:val="-2"/>
                <w:lang w:val="en-GB"/>
              </w:rPr>
              <w:t xml:space="preserve">8%). </w:t>
            </w:r>
            <w:r w:rsidR="00A336D2" w:rsidRPr="006E725C">
              <w:rPr>
                <w:spacing w:val="-2"/>
                <w:lang w:val="en-GB"/>
              </w:rPr>
              <w:t xml:space="preserve">Consumption of both long-term durability </w:t>
            </w:r>
            <w:r w:rsidR="00EA1EBB" w:rsidRPr="006E725C">
              <w:rPr>
                <w:spacing w:val="-2"/>
                <w:lang w:val="en-GB"/>
              </w:rPr>
              <w:t>(2</w:t>
            </w:r>
            <w:r w:rsidR="00A336D2" w:rsidRPr="006E725C">
              <w:rPr>
                <w:spacing w:val="-2"/>
                <w:lang w:val="en-GB"/>
              </w:rPr>
              <w:t>.</w:t>
            </w:r>
            <w:r w:rsidR="00EA1EBB" w:rsidRPr="006E725C">
              <w:rPr>
                <w:spacing w:val="-2"/>
                <w:lang w:val="en-GB"/>
              </w:rPr>
              <w:t xml:space="preserve">7%) </w:t>
            </w:r>
            <w:r w:rsidR="00A336D2" w:rsidRPr="006E725C">
              <w:rPr>
                <w:spacing w:val="-2"/>
                <w:lang w:val="en-GB"/>
              </w:rPr>
              <w:t xml:space="preserve">and medium-term durability </w:t>
            </w:r>
            <w:r w:rsidR="00EA1EBB" w:rsidRPr="006E725C">
              <w:rPr>
                <w:spacing w:val="-2"/>
                <w:lang w:val="en-GB"/>
              </w:rPr>
              <w:t>(3</w:t>
            </w:r>
            <w:r w:rsidR="00A336D2" w:rsidRPr="006E725C">
              <w:rPr>
                <w:spacing w:val="-2"/>
                <w:lang w:val="en-GB"/>
              </w:rPr>
              <w:t>.</w:t>
            </w:r>
            <w:r w:rsidR="00EA1EBB" w:rsidRPr="006E725C">
              <w:rPr>
                <w:spacing w:val="-2"/>
                <w:lang w:val="en-GB"/>
              </w:rPr>
              <w:t xml:space="preserve">2%) </w:t>
            </w:r>
            <w:r w:rsidR="005868C6" w:rsidRPr="006E725C">
              <w:rPr>
                <w:spacing w:val="-2"/>
                <w:lang w:val="en-GB"/>
              </w:rPr>
              <w:t xml:space="preserve">goods as well as services </w:t>
            </w:r>
            <w:r w:rsidR="00EA1EBB" w:rsidRPr="006E725C">
              <w:rPr>
                <w:spacing w:val="-2"/>
                <w:lang w:val="en-GB"/>
              </w:rPr>
              <w:t>(2</w:t>
            </w:r>
            <w:r w:rsidR="005868C6" w:rsidRPr="006E725C">
              <w:rPr>
                <w:spacing w:val="-2"/>
                <w:lang w:val="en-GB"/>
              </w:rPr>
              <w:t>.</w:t>
            </w:r>
            <w:r w:rsidR="00EA1EBB" w:rsidRPr="006E725C">
              <w:rPr>
                <w:spacing w:val="-2"/>
                <w:lang w:val="en-GB"/>
              </w:rPr>
              <w:t>1%)</w:t>
            </w:r>
            <w:r w:rsidR="00A336D2" w:rsidRPr="006E725C">
              <w:rPr>
                <w:spacing w:val="-2"/>
                <w:lang w:val="en-GB"/>
              </w:rPr>
              <w:t xml:space="preserve"> was higher quarter-on-quarter</w:t>
            </w:r>
            <w:r w:rsidR="00EA1EBB" w:rsidRPr="006E725C">
              <w:rPr>
                <w:spacing w:val="-2"/>
                <w:lang w:val="en-GB"/>
              </w:rPr>
              <w:t xml:space="preserve">. </w:t>
            </w:r>
            <w:r w:rsidR="00707CA3" w:rsidRPr="006E725C">
              <w:rPr>
                <w:spacing w:val="-2"/>
                <w:lang w:val="en-GB"/>
              </w:rPr>
              <w:t>However,</w:t>
            </w:r>
            <w:r w:rsidR="00515BD0" w:rsidRPr="006E725C">
              <w:rPr>
                <w:spacing w:val="-2"/>
                <w:lang w:val="en-GB"/>
              </w:rPr>
              <w:t xml:space="preserve"> the household consumption for non-durable goods shrank by 1.8% quarter-on-quarter in Q4. </w:t>
            </w:r>
            <w:r w:rsidR="00EA1EBB" w:rsidRPr="006E725C">
              <w:rPr>
                <w:spacing w:val="-2"/>
                <w:lang w:val="en-GB"/>
              </w:rPr>
              <w:t xml:space="preserve">  </w:t>
            </w:r>
          </w:p>
        </w:tc>
      </w:tr>
      <w:tr w:rsidR="00EA1EBB" w:rsidRPr="006E725C" w14:paraId="1A04B19A" w14:textId="77777777" w:rsidTr="005855B4">
        <w:trPr>
          <w:trHeight w:val="154"/>
        </w:trPr>
        <w:tc>
          <w:tcPr>
            <w:tcW w:w="1806" w:type="dxa"/>
            <w:vMerge w:val="restart"/>
            <w:shd w:val="clear" w:color="auto" w:fill="auto"/>
            <w:tcMar>
              <w:left w:w="0" w:type="dxa"/>
            </w:tcMar>
          </w:tcPr>
          <w:p w14:paraId="3A53F2FE" w14:textId="77777777" w:rsidR="00EA1EBB" w:rsidRPr="006E725C" w:rsidRDefault="00EA1EBB" w:rsidP="00BA5125">
            <w:pPr>
              <w:pStyle w:val="Marginlie"/>
              <w:rPr>
                <w:lang w:val="en-GB"/>
              </w:rPr>
            </w:pPr>
          </w:p>
        </w:tc>
        <w:tc>
          <w:tcPr>
            <w:tcW w:w="223" w:type="dxa"/>
            <w:vMerge w:val="restart"/>
            <w:shd w:val="clear" w:color="auto" w:fill="auto"/>
            <w:tcMar>
              <w:left w:w="0" w:type="dxa"/>
            </w:tcMar>
          </w:tcPr>
          <w:p w14:paraId="419DBAC9"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5B1399EB" w14:textId="7004C8B2" w:rsidR="00EA1EBB" w:rsidRPr="006E725C" w:rsidRDefault="00E730ED" w:rsidP="00BA5125">
            <w:pPr>
              <w:spacing w:after="0"/>
              <w:rPr>
                <w:lang w:val="en-GB"/>
              </w:rPr>
            </w:pPr>
            <w:r w:rsidRPr="006E725C">
              <w:rPr>
                <w:b/>
                <w:szCs w:val="20"/>
                <w:lang w:val="en-GB"/>
              </w:rPr>
              <w:t xml:space="preserve">Chart </w:t>
            </w:r>
            <w:r w:rsidR="00EA1EBB" w:rsidRPr="006E725C">
              <w:rPr>
                <w:b/>
                <w:szCs w:val="20"/>
                <w:lang w:val="en-GB"/>
              </w:rPr>
              <w:t xml:space="preserve">2 </w:t>
            </w:r>
            <w:r w:rsidR="00C22576" w:rsidRPr="006E725C">
              <w:rPr>
                <w:b/>
                <w:szCs w:val="20"/>
                <w:lang w:val="en-GB"/>
              </w:rPr>
              <w:t>Contribution of expenditure items to real GDP change</w:t>
            </w:r>
            <w:r w:rsidR="00C22576" w:rsidRPr="006E725C">
              <w:rPr>
                <w:rFonts w:cs="Arial"/>
                <w:b/>
                <w:szCs w:val="20"/>
                <w:lang w:val="en-GB" w:eastAsia="en-US"/>
              </w:rPr>
              <w:t xml:space="preserve">* </w:t>
            </w:r>
            <w:r w:rsidR="00C22576" w:rsidRPr="006E725C">
              <w:rPr>
                <w:rFonts w:cs="Arial"/>
                <w:bCs/>
                <w:szCs w:val="20"/>
                <w:lang w:val="en-GB" w:eastAsia="en-US"/>
              </w:rPr>
              <w:t xml:space="preserve">(volume indices, year-on-year growth, contributions in p.p., GDP in %) </w:t>
            </w:r>
          </w:p>
        </w:tc>
      </w:tr>
      <w:tr w:rsidR="00EA1EBB" w:rsidRPr="006E725C" w14:paraId="1E3F9AE0" w14:textId="77777777" w:rsidTr="0079457A">
        <w:tblPrEx>
          <w:tblCellMar>
            <w:left w:w="70" w:type="dxa"/>
            <w:right w:w="70" w:type="dxa"/>
          </w:tblCellMar>
        </w:tblPrEx>
        <w:trPr>
          <w:trHeight w:val="154"/>
        </w:trPr>
        <w:tc>
          <w:tcPr>
            <w:tcW w:w="1806" w:type="dxa"/>
            <w:vMerge/>
          </w:tcPr>
          <w:p w14:paraId="411E23A2" w14:textId="77777777" w:rsidR="00EA1EBB" w:rsidRPr="006E725C" w:rsidRDefault="00EA1EBB" w:rsidP="00BA5125">
            <w:pPr>
              <w:pStyle w:val="Marginlie"/>
              <w:rPr>
                <w:lang w:val="en-GB"/>
              </w:rPr>
            </w:pPr>
          </w:p>
        </w:tc>
        <w:tc>
          <w:tcPr>
            <w:tcW w:w="223" w:type="dxa"/>
            <w:vMerge/>
          </w:tcPr>
          <w:p w14:paraId="3C49CAA7" w14:textId="77777777" w:rsidR="00EA1EBB" w:rsidRPr="006E725C" w:rsidRDefault="00EA1EBB" w:rsidP="00BA5125">
            <w:pPr>
              <w:pStyle w:val="Textpoznpodarou"/>
              <w:jc w:val="both"/>
              <w:rPr>
                <w:spacing w:val="-4"/>
                <w:lang w:val="en-GB"/>
              </w:rPr>
            </w:pPr>
          </w:p>
        </w:tc>
        <w:tc>
          <w:tcPr>
            <w:tcW w:w="7610" w:type="dxa"/>
            <w:shd w:val="clear" w:color="auto" w:fill="auto"/>
          </w:tcPr>
          <w:p w14:paraId="75F04979" w14:textId="4AADFC26" w:rsidR="00EA1EBB" w:rsidRPr="006E725C" w:rsidRDefault="0079457A" w:rsidP="00BA5125">
            <w:pPr>
              <w:spacing w:after="0"/>
              <w:rPr>
                <w:lang w:val="en-GB"/>
              </w:rPr>
            </w:pPr>
            <w:r>
              <w:rPr>
                <w:noProof/>
              </w:rPr>
              <w:drawing>
                <wp:inline distT="0" distB="0" distL="0" distR="0" wp14:anchorId="0FAF1ACB" wp14:editId="0AA5680C">
                  <wp:extent cx="4743950" cy="3457950"/>
                  <wp:effectExtent l="0" t="0" r="0" b="0"/>
                  <wp:docPr id="7" name="Graf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EA1EBB" w:rsidRPr="006E725C" w14:paraId="490AAC8B" w14:textId="77777777" w:rsidTr="005855B4">
        <w:trPr>
          <w:trHeight w:val="154"/>
        </w:trPr>
        <w:tc>
          <w:tcPr>
            <w:tcW w:w="1806" w:type="dxa"/>
            <w:vMerge/>
            <w:tcMar>
              <w:left w:w="0" w:type="dxa"/>
            </w:tcMar>
          </w:tcPr>
          <w:p w14:paraId="092536DB" w14:textId="77777777" w:rsidR="00EA1EBB" w:rsidRPr="006E725C" w:rsidRDefault="00EA1EBB" w:rsidP="00BA5125">
            <w:pPr>
              <w:pStyle w:val="Marginlie"/>
              <w:rPr>
                <w:lang w:val="en-GB"/>
              </w:rPr>
            </w:pPr>
          </w:p>
        </w:tc>
        <w:tc>
          <w:tcPr>
            <w:tcW w:w="223" w:type="dxa"/>
            <w:vMerge/>
            <w:tcMar>
              <w:left w:w="0" w:type="dxa"/>
            </w:tcMar>
          </w:tcPr>
          <w:p w14:paraId="73B61ADD"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2C31900A" w14:textId="06ED2FAF" w:rsidR="00EA1EBB" w:rsidRPr="006E725C" w:rsidRDefault="00E730ED" w:rsidP="00BA5125">
            <w:pPr>
              <w:spacing w:after="0"/>
              <w:rPr>
                <w:sz w:val="14"/>
                <w:szCs w:val="14"/>
                <w:lang w:val="en-GB"/>
              </w:rPr>
            </w:pPr>
            <w:r w:rsidRPr="006E725C">
              <w:rPr>
                <w:sz w:val="14"/>
                <w:szCs w:val="14"/>
                <w:lang w:val="en-GB"/>
              </w:rPr>
              <w:t>Source</w:t>
            </w:r>
            <w:r w:rsidR="00EA1EBB" w:rsidRPr="006E725C">
              <w:rPr>
                <w:sz w:val="14"/>
                <w:szCs w:val="14"/>
                <w:lang w:val="en-GB"/>
              </w:rPr>
              <w:t xml:space="preserve">: </w:t>
            </w:r>
            <w:r w:rsidRPr="006E725C">
              <w:rPr>
                <w:sz w:val="14"/>
                <w:szCs w:val="14"/>
                <w:lang w:val="en-GB"/>
              </w:rPr>
              <w:t>CZ</w:t>
            </w:r>
            <w:r w:rsidR="003F07A8" w:rsidRPr="006E725C">
              <w:rPr>
                <w:sz w:val="14"/>
                <w:szCs w:val="14"/>
                <w:lang w:val="en-GB"/>
              </w:rPr>
              <w:t>SO</w:t>
            </w:r>
          </w:p>
          <w:p w14:paraId="046F9DF0" w14:textId="20A4951F" w:rsidR="00387EDC" w:rsidRPr="006E725C" w:rsidRDefault="00EA1EBB" w:rsidP="0079457A">
            <w:pPr>
              <w:rPr>
                <w:b/>
                <w:bCs/>
                <w:sz w:val="16"/>
                <w:szCs w:val="16"/>
                <w:lang w:val="en-GB"/>
              </w:rPr>
            </w:pPr>
            <w:r w:rsidRPr="006E725C">
              <w:rPr>
                <w:sz w:val="14"/>
                <w:szCs w:val="14"/>
                <w:lang w:val="en-GB"/>
              </w:rPr>
              <w:t xml:space="preserve">* </w:t>
            </w:r>
            <w:r w:rsidR="003D3B79" w:rsidRPr="006E725C">
              <w:rPr>
                <w:sz w:val="14"/>
                <w:szCs w:val="14"/>
                <w:lang w:val="en-GB"/>
              </w:rPr>
              <w:t>after exclusion of imports for final use</w:t>
            </w:r>
          </w:p>
        </w:tc>
      </w:tr>
      <w:tr w:rsidR="00EA1EBB" w:rsidRPr="006E725C" w14:paraId="54EA766E" w14:textId="77777777" w:rsidTr="005855B4">
        <w:trPr>
          <w:trHeight w:val="145"/>
        </w:trPr>
        <w:tc>
          <w:tcPr>
            <w:tcW w:w="1806" w:type="dxa"/>
            <w:shd w:val="clear" w:color="auto" w:fill="auto"/>
            <w:tcMar>
              <w:left w:w="0" w:type="dxa"/>
            </w:tcMar>
          </w:tcPr>
          <w:p w14:paraId="398A3EB7" w14:textId="0C863F42" w:rsidR="00EA1EBB" w:rsidRPr="006E725C" w:rsidRDefault="001A6F58" w:rsidP="00BA5125">
            <w:pPr>
              <w:pStyle w:val="Marginlie"/>
              <w:rPr>
                <w:lang w:val="en-GB"/>
              </w:rPr>
            </w:pPr>
            <w:r w:rsidRPr="006E725C">
              <w:rPr>
                <w:lang w:val="en-GB"/>
              </w:rPr>
              <w:t xml:space="preserve">Investment activity expanded last year, </w:t>
            </w:r>
            <w:r w:rsidR="00C62B91" w:rsidRPr="006E725C">
              <w:rPr>
                <w:lang w:val="en-GB"/>
              </w:rPr>
              <w:t>but the change in inventories worked strongly in the direction of GDP decrease.</w:t>
            </w:r>
          </w:p>
        </w:tc>
        <w:tc>
          <w:tcPr>
            <w:tcW w:w="223" w:type="dxa"/>
            <w:shd w:val="clear" w:color="auto" w:fill="auto"/>
            <w:tcMar>
              <w:left w:w="0" w:type="dxa"/>
            </w:tcMar>
          </w:tcPr>
          <w:p w14:paraId="0794D3BE"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738BCAA8" w14:textId="5DF5394A" w:rsidR="00EA1EBB" w:rsidRPr="006E725C" w:rsidRDefault="00351894" w:rsidP="00BA5125">
            <w:pPr>
              <w:rPr>
                <w:lang w:val="en-GB"/>
              </w:rPr>
            </w:pPr>
            <w:r w:rsidRPr="006E725C">
              <w:rPr>
                <w:lang w:val="en-GB"/>
              </w:rPr>
              <w:t xml:space="preserve">Expenditures on gross </w:t>
            </w:r>
            <w:r w:rsidR="006E13F6" w:rsidRPr="006E725C">
              <w:rPr>
                <w:lang w:val="en-GB"/>
              </w:rPr>
              <w:t xml:space="preserve">capital formation decreased in real terms by </w:t>
            </w:r>
            <w:r w:rsidR="00EA1EBB" w:rsidRPr="006E725C">
              <w:rPr>
                <w:lang w:val="en-GB"/>
              </w:rPr>
              <w:t>7</w:t>
            </w:r>
            <w:r w:rsidR="006E13F6" w:rsidRPr="006E725C">
              <w:rPr>
                <w:lang w:val="en-GB"/>
              </w:rPr>
              <w:t>.</w:t>
            </w:r>
            <w:r w:rsidR="00EA1EBB" w:rsidRPr="006E725C">
              <w:rPr>
                <w:lang w:val="en-GB"/>
              </w:rPr>
              <w:t>0%</w:t>
            </w:r>
            <w:r w:rsidR="006E13F6" w:rsidRPr="006E725C">
              <w:rPr>
                <w:lang w:val="en-GB"/>
              </w:rPr>
              <w:t xml:space="preserve"> last year</w:t>
            </w:r>
            <w:r w:rsidR="00EA1EBB" w:rsidRPr="006E725C">
              <w:rPr>
                <w:lang w:val="en-GB"/>
              </w:rPr>
              <w:t xml:space="preserve">. </w:t>
            </w:r>
            <w:r w:rsidR="00306D98" w:rsidRPr="006E725C">
              <w:rPr>
                <w:lang w:val="en-GB"/>
              </w:rPr>
              <w:t>However,</w:t>
            </w:r>
            <w:r w:rsidR="00D97483" w:rsidRPr="006E725C">
              <w:rPr>
                <w:lang w:val="en-GB"/>
              </w:rPr>
              <w:t xml:space="preserve"> the gross fixed capital formation </w:t>
            </w:r>
            <w:r w:rsidR="00EA1EBB" w:rsidRPr="006E725C">
              <w:rPr>
                <w:lang w:val="en-GB"/>
              </w:rPr>
              <w:t>(</w:t>
            </w:r>
            <w:r w:rsidR="00FC283B" w:rsidRPr="006E725C">
              <w:rPr>
                <w:lang w:val="en-GB"/>
              </w:rPr>
              <w:t>investment</w:t>
            </w:r>
            <w:r w:rsidR="00EA1EBB" w:rsidRPr="006E725C">
              <w:rPr>
                <w:lang w:val="en-GB"/>
              </w:rPr>
              <w:t>)</w:t>
            </w:r>
            <w:r w:rsidR="00D97483" w:rsidRPr="006E725C">
              <w:rPr>
                <w:lang w:val="en-GB"/>
              </w:rPr>
              <w:t xml:space="preserve"> as such continued in the favourable </w:t>
            </w:r>
            <w:r w:rsidR="00FC283B" w:rsidRPr="006E725C">
              <w:rPr>
                <w:lang w:val="en-GB"/>
              </w:rPr>
              <w:t xml:space="preserve">development in year </w:t>
            </w:r>
            <w:r w:rsidR="00EA1EBB" w:rsidRPr="006E725C">
              <w:rPr>
                <w:lang w:val="en-GB"/>
              </w:rPr>
              <w:t>2022 a</w:t>
            </w:r>
            <w:r w:rsidR="004E086D" w:rsidRPr="006E725C">
              <w:rPr>
                <w:lang w:val="en-GB"/>
              </w:rPr>
              <w:t xml:space="preserve">nd </w:t>
            </w:r>
            <w:r w:rsidR="00FC283B" w:rsidRPr="006E725C">
              <w:rPr>
                <w:lang w:val="en-GB"/>
              </w:rPr>
              <w:t>increased</w:t>
            </w:r>
            <w:r w:rsidR="004E086D" w:rsidRPr="006E725C">
              <w:rPr>
                <w:lang w:val="en-GB"/>
              </w:rPr>
              <w:t xml:space="preserve"> by </w:t>
            </w:r>
            <w:r w:rsidR="00EA1EBB" w:rsidRPr="006E725C">
              <w:rPr>
                <w:lang w:val="en-GB"/>
              </w:rPr>
              <w:t>3</w:t>
            </w:r>
            <w:r w:rsidR="004E086D" w:rsidRPr="006E725C">
              <w:rPr>
                <w:lang w:val="en-GB"/>
              </w:rPr>
              <w:t>.</w:t>
            </w:r>
            <w:r w:rsidR="00EA1EBB" w:rsidRPr="006E725C">
              <w:rPr>
                <w:lang w:val="en-GB"/>
              </w:rPr>
              <w:t>3%</w:t>
            </w:r>
            <w:r w:rsidR="00A460FC" w:rsidRPr="006E725C">
              <w:rPr>
                <w:lang w:val="en-GB"/>
              </w:rPr>
              <w:t xml:space="preserve"> last year</w:t>
            </w:r>
            <w:r w:rsidR="00EA1EBB" w:rsidRPr="006E725C">
              <w:rPr>
                <w:lang w:val="en-GB"/>
              </w:rPr>
              <w:t xml:space="preserve">. </w:t>
            </w:r>
            <w:r w:rsidR="00A460FC" w:rsidRPr="006E725C">
              <w:rPr>
                <w:lang w:val="en-GB"/>
              </w:rPr>
              <w:t>Total decrease was thus caused by the change in inventories</w:t>
            </w:r>
            <w:r w:rsidR="00EA1EBB" w:rsidRPr="006E725C">
              <w:rPr>
                <w:rStyle w:val="Znakapoznpodarou"/>
                <w:lang w:val="en-GB"/>
              </w:rPr>
              <w:footnoteReference w:id="10"/>
            </w:r>
            <w:r w:rsidR="00EA1EBB" w:rsidRPr="006E725C">
              <w:rPr>
                <w:lang w:val="en-GB"/>
              </w:rPr>
              <w:t xml:space="preserve">, </w:t>
            </w:r>
            <w:r w:rsidR="00960405" w:rsidRPr="006E725C">
              <w:rPr>
                <w:lang w:val="en-GB"/>
              </w:rPr>
              <w:t xml:space="preserve">which considerably affects the </w:t>
            </w:r>
            <w:r w:rsidR="00990D4E" w:rsidRPr="006E725C">
              <w:rPr>
                <w:lang w:val="en-GB"/>
              </w:rPr>
              <w:t xml:space="preserve">economic development dynamics </w:t>
            </w:r>
            <w:r w:rsidR="00960405" w:rsidRPr="006E725C">
              <w:rPr>
                <w:lang w:val="en-GB"/>
              </w:rPr>
              <w:t>in the last years</w:t>
            </w:r>
            <w:r w:rsidR="00EA1EBB" w:rsidRPr="006E725C">
              <w:rPr>
                <w:lang w:val="en-GB"/>
              </w:rPr>
              <w:t xml:space="preserve">. </w:t>
            </w:r>
            <w:r w:rsidR="00F052CC" w:rsidRPr="006E725C">
              <w:rPr>
                <w:lang w:val="en-GB"/>
              </w:rPr>
              <w:t>Its contribution in the direction of GDP decrease was</w:t>
            </w:r>
            <w:r w:rsidR="00EA1EBB" w:rsidRPr="006E725C">
              <w:rPr>
                <w:lang w:val="en-GB"/>
              </w:rPr>
              <w:t xml:space="preserve"> −3</w:t>
            </w:r>
            <w:r w:rsidR="00F052CC" w:rsidRPr="006E725C">
              <w:rPr>
                <w:lang w:val="en-GB"/>
              </w:rPr>
              <w:t>.</w:t>
            </w:r>
            <w:r w:rsidR="00EA1EBB" w:rsidRPr="006E725C">
              <w:rPr>
                <w:lang w:val="en-GB"/>
              </w:rPr>
              <w:t xml:space="preserve">1 </w:t>
            </w:r>
            <w:proofErr w:type="spellStart"/>
            <w:r w:rsidR="00EA1EBB" w:rsidRPr="006E725C">
              <w:rPr>
                <w:lang w:val="en-GB"/>
              </w:rPr>
              <w:t>p.</w:t>
            </w:r>
            <w:r w:rsidR="00F052CC" w:rsidRPr="006E725C">
              <w:rPr>
                <w:lang w:val="en-GB"/>
              </w:rPr>
              <w:t>p</w:t>
            </w:r>
            <w:proofErr w:type="spellEnd"/>
            <w:r w:rsidR="00990D4E" w:rsidRPr="006E725C">
              <w:rPr>
                <w:lang w:val="en-GB"/>
              </w:rPr>
              <w:t xml:space="preserve"> last year</w:t>
            </w:r>
            <w:r w:rsidR="00EA1EBB" w:rsidRPr="006E725C">
              <w:rPr>
                <w:lang w:val="en-GB"/>
              </w:rPr>
              <w:t xml:space="preserve">. </w:t>
            </w:r>
            <w:r w:rsidR="00E47394" w:rsidRPr="006E725C">
              <w:rPr>
                <w:lang w:val="en-GB"/>
              </w:rPr>
              <w:t xml:space="preserve">Significant </w:t>
            </w:r>
            <w:r w:rsidR="007C0D78" w:rsidRPr="006E725C">
              <w:rPr>
                <w:lang w:val="en-GB"/>
              </w:rPr>
              <w:t xml:space="preserve">rise </w:t>
            </w:r>
            <w:r w:rsidR="00E47394" w:rsidRPr="006E725C">
              <w:rPr>
                <w:lang w:val="en-GB"/>
              </w:rPr>
              <w:t>of i</w:t>
            </w:r>
            <w:r w:rsidR="004A620D" w:rsidRPr="006E725C">
              <w:rPr>
                <w:lang w:val="en-GB"/>
              </w:rPr>
              <w:t xml:space="preserve">nvestments </w:t>
            </w:r>
            <w:r w:rsidR="000B4309" w:rsidRPr="006E725C">
              <w:rPr>
                <w:lang w:val="en-GB"/>
              </w:rPr>
              <w:t xml:space="preserve">in transport </w:t>
            </w:r>
            <w:r w:rsidR="000B4309" w:rsidRPr="006E725C">
              <w:rPr>
                <w:lang w:val="en-GB"/>
              </w:rPr>
              <w:lastRenderedPageBreak/>
              <w:t>equipment (15.7%)</w:t>
            </w:r>
            <w:r w:rsidR="007D4FA5" w:rsidRPr="006E725C">
              <w:rPr>
                <w:lang w:val="en-GB"/>
              </w:rPr>
              <w:t xml:space="preserve"> and </w:t>
            </w:r>
            <w:r w:rsidR="00F56FFB" w:rsidRPr="006E725C">
              <w:rPr>
                <w:lang w:val="en-GB"/>
              </w:rPr>
              <w:t xml:space="preserve">in ICT and other machinery and equipment </w:t>
            </w:r>
            <w:r w:rsidR="00EA1EBB" w:rsidRPr="006E725C">
              <w:rPr>
                <w:lang w:val="en-GB"/>
              </w:rPr>
              <w:t>(15</w:t>
            </w:r>
            <w:r w:rsidR="00F56FFB" w:rsidRPr="006E725C">
              <w:rPr>
                <w:lang w:val="en-GB"/>
              </w:rPr>
              <w:t>.</w:t>
            </w:r>
            <w:r w:rsidR="00EA1EBB" w:rsidRPr="006E725C">
              <w:rPr>
                <w:lang w:val="en-GB"/>
              </w:rPr>
              <w:t>5%)</w:t>
            </w:r>
            <w:r w:rsidR="00463091" w:rsidRPr="006E725C">
              <w:rPr>
                <w:lang w:val="en-GB"/>
              </w:rPr>
              <w:t xml:space="preserve"> contributed to the last year’s</w:t>
            </w:r>
            <w:r w:rsidR="007C0D78" w:rsidRPr="006E725C">
              <w:rPr>
                <w:lang w:val="en-GB"/>
              </w:rPr>
              <w:t xml:space="preserve"> </w:t>
            </w:r>
            <w:r w:rsidR="0095408D" w:rsidRPr="006E725C">
              <w:rPr>
                <w:lang w:val="en-GB"/>
              </w:rPr>
              <w:t>increase of</w:t>
            </w:r>
            <w:r w:rsidR="007D4FA5" w:rsidRPr="006E725C">
              <w:rPr>
                <w:lang w:val="en-GB"/>
              </w:rPr>
              <w:t xml:space="preserve"> expenditures on gross fixed capital formation. </w:t>
            </w:r>
            <w:r w:rsidR="00865E80" w:rsidRPr="006E725C">
              <w:rPr>
                <w:lang w:val="en-GB"/>
              </w:rPr>
              <w:t xml:space="preserve">Situation in the area of investment into </w:t>
            </w:r>
            <w:r w:rsidR="00DB28CB" w:rsidRPr="006E725C">
              <w:rPr>
                <w:lang w:val="en-GB"/>
              </w:rPr>
              <w:t xml:space="preserve">structures corresponded </w:t>
            </w:r>
            <w:r w:rsidR="002A0132" w:rsidRPr="006E725C">
              <w:rPr>
                <w:lang w:val="en-GB"/>
              </w:rPr>
              <w:t>with the adverse development in construction.</w:t>
            </w:r>
            <w:r w:rsidR="00C57EC0" w:rsidRPr="006E725C">
              <w:rPr>
                <w:lang w:val="en-GB"/>
              </w:rPr>
              <w:t xml:space="preserve"> Investment</w:t>
            </w:r>
            <w:r w:rsidR="00947816" w:rsidRPr="006E725C">
              <w:rPr>
                <w:lang w:val="en-GB"/>
              </w:rPr>
              <w:t xml:space="preserve">s in dwellings </w:t>
            </w:r>
            <w:r w:rsidR="00EA1EBB" w:rsidRPr="006E725C">
              <w:rPr>
                <w:lang w:val="en-GB"/>
              </w:rPr>
              <w:t>(−6</w:t>
            </w:r>
            <w:r w:rsidR="00947816" w:rsidRPr="006E725C">
              <w:rPr>
                <w:lang w:val="en-GB"/>
              </w:rPr>
              <w:t>.</w:t>
            </w:r>
            <w:r w:rsidR="00EA1EBB" w:rsidRPr="006E725C">
              <w:rPr>
                <w:lang w:val="en-GB"/>
              </w:rPr>
              <w:t xml:space="preserve">7%) </w:t>
            </w:r>
            <w:r w:rsidR="00C57EC0" w:rsidRPr="006E725C">
              <w:rPr>
                <w:lang w:val="en-GB"/>
              </w:rPr>
              <w:t xml:space="preserve">fell for the third year in a row and </w:t>
            </w:r>
            <w:r w:rsidR="00EA1EBB" w:rsidRPr="006E725C">
              <w:rPr>
                <w:lang w:val="en-GB"/>
              </w:rPr>
              <w:t>invest</w:t>
            </w:r>
            <w:r w:rsidR="00D14680" w:rsidRPr="006E725C">
              <w:rPr>
                <w:lang w:val="en-GB"/>
              </w:rPr>
              <w:t xml:space="preserve">ments in other buildings and structures </w:t>
            </w:r>
            <w:r w:rsidR="00EA1EBB" w:rsidRPr="006E725C">
              <w:rPr>
                <w:lang w:val="en-GB"/>
              </w:rPr>
              <w:t>(−1</w:t>
            </w:r>
            <w:r w:rsidR="00D14680" w:rsidRPr="006E725C">
              <w:rPr>
                <w:lang w:val="en-GB"/>
              </w:rPr>
              <w:t>.</w:t>
            </w:r>
            <w:r w:rsidR="00EA1EBB" w:rsidRPr="006E725C">
              <w:rPr>
                <w:lang w:val="en-GB"/>
              </w:rPr>
              <w:t>5%)</w:t>
            </w:r>
            <w:r w:rsidR="00947816" w:rsidRPr="006E725C">
              <w:rPr>
                <w:lang w:val="en-GB"/>
              </w:rPr>
              <w:t xml:space="preserve"> did not </w:t>
            </w:r>
            <w:r w:rsidR="00697FC2" w:rsidRPr="006E725C">
              <w:rPr>
                <w:lang w:val="en-GB"/>
              </w:rPr>
              <w:t xml:space="preserve">continue in the strong increase from year 2022. </w:t>
            </w:r>
            <w:r w:rsidR="004C2735" w:rsidRPr="006E725C">
              <w:rPr>
                <w:lang w:val="en-GB"/>
              </w:rPr>
              <w:t xml:space="preserve">Expenditures on intellectual property products were also lower last year </w:t>
            </w:r>
            <w:r w:rsidR="00EA1EBB" w:rsidRPr="006E725C">
              <w:rPr>
                <w:lang w:val="en-GB"/>
              </w:rPr>
              <w:t>(−3</w:t>
            </w:r>
            <w:r w:rsidR="004C2735" w:rsidRPr="006E725C">
              <w:rPr>
                <w:lang w:val="en-GB"/>
              </w:rPr>
              <w:t>.</w:t>
            </w:r>
            <w:r w:rsidR="00EA1EBB" w:rsidRPr="006E725C">
              <w:rPr>
                <w:lang w:val="en-GB"/>
              </w:rPr>
              <w:t xml:space="preserve">5%). </w:t>
            </w:r>
            <w:r w:rsidR="00D9113A" w:rsidRPr="006E725C">
              <w:rPr>
                <w:lang w:val="en-GB"/>
              </w:rPr>
              <w:t>Expenditures</w:t>
            </w:r>
            <w:r w:rsidR="005C02F0" w:rsidRPr="006E725C">
              <w:rPr>
                <w:lang w:val="en-GB"/>
              </w:rPr>
              <w:t xml:space="preserve"> on </w:t>
            </w:r>
            <w:r w:rsidR="00D9113A" w:rsidRPr="006E725C">
              <w:rPr>
                <w:lang w:val="en-GB"/>
              </w:rPr>
              <w:t>gross capital formation fell by 14.9% year-on-year due to the inventories dissolution in Q</w:t>
            </w:r>
            <w:r w:rsidR="00EA1EBB" w:rsidRPr="006E725C">
              <w:rPr>
                <w:lang w:val="en-GB"/>
              </w:rPr>
              <w:t>4</w:t>
            </w:r>
            <w:r w:rsidR="00D9113A" w:rsidRPr="006E725C">
              <w:rPr>
                <w:lang w:val="en-GB"/>
              </w:rPr>
              <w:t xml:space="preserve"> itself. Nevertheless,</w:t>
            </w:r>
            <w:r w:rsidR="00801BFE" w:rsidRPr="006E725C">
              <w:rPr>
                <w:lang w:val="en-GB"/>
              </w:rPr>
              <w:t xml:space="preserve"> investment still featured a robust growth </w:t>
            </w:r>
            <w:r w:rsidR="00EA1EBB" w:rsidRPr="006E725C">
              <w:rPr>
                <w:lang w:val="en-GB"/>
              </w:rPr>
              <w:t>(4</w:t>
            </w:r>
            <w:r w:rsidR="00801BFE" w:rsidRPr="006E725C">
              <w:rPr>
                <w:lang w:val="en-GB"/>
              </w:rPr>
              <w:t>.</w:t>
            </w:r>
            <w:r w:rsidR="00EA1EBB" w:rsidRPr="006E725C">
              <w:rPr>
                <w:lang w:val="en-GB"/>
              </w:rPr>
              <w:t xml:space="preserve">7%). </w:t>
            </w:r>
            <w:r w:rsidR="00354B4A" w:rsidRPr="006E725C">
              <w:rPr>
                <w:lang w:val="en-GB"/>
              </w:rPr>
              <w:t xml:space="preserve">The situation was similar from the view of the quarter-on-quarter dynamics. Expenditures on gross capital formation decreased by </w:t>
            </w:r>
            <w:r w:rsidR="00EA1EBB" w:rsidRPr="006E725C">
              <w:rPr>
                <w:lang w:val="en-GB"/>
              </w:rPr>
              <w:t>10</w:t>
            </w:r>
            <w:r w:rsidR="00354B4A" w:rsidRPr="006E725C">
              <w:rPr>
                <w:lang w:val="en-GB"/>
              </w:rPr>
              <w:t>.</w:t>
            </w:r>
            <w:r w:rsidR="00EA1EBB" w:rsidRPr="006E725C">
              <w:rPr>
                <w:lang w:val="en-GB"/>
              </w:rPr>
              <w:t>5%,</w:t>
            </w:r>
            <w:r w:rsidR="00354B4A" w:rsidRPr="006E725C">
              <w:rPr>
                <w:lang w:val="en-GB"/>
              </w:rPr>
              <w:t xml:space="preserve"> but </w:t>
            </w:r>
            <w:r w:rsidR="005A7E84" w:rsidRPr="006E725C">
              <w:rPr>
                <w:lang w:val="en-GB"/>
              </w:rPr>
              <w:t xml:space="preserve">the investment activity recorded a recovery of </w:t>
            </w:r>
            <w:r w:rsidR="00EA1EBB" w:rsidRPr="006E725C">
              <w:rPr>
                <w:lang w:val="en-GB"/>
              </w:rPr>
              <w:t>1</w:t>
            </w:r>
            <w:r w:rsidR="005A7E84" w:rsidRPr="006E725C">
              <w:rPr>
                <w:lang w:val="en-GB"/>
              </w:rPr>
              <w:t>.</w:t>
            </w:r>
            <w:r w:rsidR="00EA1EBB" w:rsidRPr="006E725C">
              <w:rPr>
                <w:lang w:val="en-GB"/>
              </w:rPr>
              <w:t xml:space="preserve">1%. </w:t>
            </w:r>
            <w:r w:rsidR="005650BF" w:rsidRPr="006E725C">
              <w:rPr>
                <w:lang w:val="en-GB"/>
              </w:rPr>
              <w:t xml:space="preserve">The investment growth displayed the same structure in Q4 itself as for the whole year. </w:t>
            </w:r>
            <w:r w:rsidR="009834D2" w:rsidRPr="006E725C">
              <w:rPr>
                <w:lang w:val="en-GB"/>
              </w:rPr>
              <w:t xml:space="preserve">Investment in transport equipment </w:t>
            </w:r>
            <w:r w:rsidR="00EA1EBB" w:rsidRPr="006E725C">
              <w:rPr>
                <w:lang w:val="en-GB"/>
              </w:rPr>
              <w:t>(20</w:t>
            </w:r>
            <w:r w:rsidR="009834D2" w:rsidRPr="006E725C">
              <w:rPr>
                <w:lang w:val="en-GB"/>
              </w:rPr>
              <w:t>.</w:t>
            </w:r>
            <w:r w:rsidR="00EA1EBB" w:rsidRPr="006E725C">
              <w:rPr>
                <w:lang w:val="en-GB"/>
              </w:rPr>
              <w:t>3%) a</w:t>
            </w:r>
            <w:r w:rsidR="009834D2" w:rsidRPr="006E725C">
              <w:rPr>
                <w:lang w:val="en-GB"/>
              </w:rPr>
              <w:t xml:space="preserve">nd in ICT and other </w:t>
            </w:r>
            <w:r w:rsidR="00EA5895" w:rsidRPr="006E725C">
              <w:rPr>
                <w:lang w:val="en-GB"/>
              </w:rPr>
              <w:t xml:space="preserve">machinery and equipment </w:t>
            </w:r>
            <w:r w:rsidR="00EA1EBB" w:rsidRPr="006E725C">
              <w:rPr>
                <w:lang w:val="en-GB"/>
              </w:rPr>
              <w:t>(17</w:t>
            </w:r>
            <w:r w:rsidR="00EA5895" w:rsidRPr="006E725C">
              <w:rPr>
                <w:lang w:val="en-GB"/>
              </w:rPr>
              <w:t>.</w:t>
            </w:r>
            <w:r w:rsidR="00EA1EBB" w:rsidRPr="006E725C">
              <w:rPr>
                <w:lang w:val="en-GB"/>
              </w:rPr>
              <w:t>0%)</w:t>
            </w:r>
            <w:r w:rsidR="00EA5895" w:rsidRPr="006E725C">
              <w:rPr>
                <w:lang w:val="en-GB"/>
              </w:rPr>
              <w:t xml:space="preserve"> grew very strongly year-on-year</w:t>
            </w:r>
            <w:r w:rsidR="00EA1EBB" w:rsidRPr="006E725C">
              <w:rPr>
                <w:lang w:val="en-GB"/>
              </w:rPr>
              <w:t xml:space="preserve">. </w:t>
            </w:r>
            <w:r w:rsidR="008D2CB5" w:rsidRPr="006E725C">
              <w:rPr>
                <w:lang w:val="en-GB"/>
              </w:rPr>
              <w:t xml:space="preserve">Expenditures on </w:t>
            </w:r>
            <w:r w:rsidR="00576B08" w:rsidRPr="006E725C">
              <w:rPr>
                <w:lang w:val="en-GB"/>
              </w:rPr>
              <w:t>dwellings</w:t>
            </w:r>
            <w:r w:rsidR="008D2CB5" w:rsidRPr="006E725C">
              <w:rPr>
                <w:lang w:val="en-GB"/>
              </w:rPr>
              <w:t xml:space="preserve"> dropped for the </w:t>
            </w:r>
            <w:r w:rsidR="00576B08" w:rsidRPr="006E725C">
              <w:rPr>
                <w:lang w:val="en-GB"/>
              </w:rPr>
              <w:t>seventh</w:t>
            </w:r>
            <w:r w:rsidR="008D2CB5" w:rsidRPr="006E725C">
              <w:rPr>
                <w:lang w:val="en-GB"/>
              </w:rPr>
              <w:t xml:space="preserve"> time in a row </w:t>
            </w:r>
            <w:r w:rsidR="00EA1EBB" w:rsidRPr="006E725C">
              <w:rPr>
                <w:lang w:val="en-GB"/>
              </w:rPr>
              <w:t>(−2</w:t>
            </w:r>
            <w:r w:rsidR="008D2CB5" w:rsidRPr="006E725C">
              <w:rPr>
                <w:lang w:val="en-GB"/>
              </w:rPr>
              <w:t>.</w:t>
            </w:r>
            <w:r w:rsidR="00EA1EBB" w:rsidRPr="006E725C">
              <w:rPr>
                <w:lang w:val="en-GB"/>
              </w:rPr>
              <w:t>3%)</w:t>
            </w:r>
            <w:r w:rsidR="008D2CB5" w:rsidRPr="006E725C">
              <w:rPr>
                <w:lang w:val="en-GB"/>
              </w:rPr>
              <w:t xml:space="preserve"> and investment</w:t>
            </w:r>
            <w:r w:rsidR="00576B08" w:rsidRPr="006E725C">
              <w:rPr>
                <w:lang w:val="en-GB"/>
              </w:rPr>
              <w:t xml:space="preserve">s in other buildings and structures were also lower </w:t>
            </w:r>
            <w:r w:rsidR="00EA1EBB" w:rsidRPr="006E725C">
              <w:rPr>
                <w:lang w:val="en-GB"/>
              </w:rPr>
              <w:t>(−1</w:t>
            </w:r>
            <w:r w:rsidR="00576B08" w:rsidRPr="006E725C">
              <w:rPr>
                <w:lang w:val="en-GB"/>
              </w:rPr>
              <w:t>.</w:t>
            </w:r>
            <w:r w:rsidR="00EA1EBB" w:rsidRPr="006E725C">
              <w:rPr>
                <w:lang w:val="en-GB"/>
              </w:rPr>
              <w:t>6%). Invest</w:t>
            </w:r>
            <w:r w:rsidR="00EC7BAA" w:rsidRPr="006E725C">
              <w:rPr>
                <w:lang w:val="en-GB"/>
              </w:rPr>
              <w:t xml:space="preserve">ment </w:t>
            </w:r>
            <w:r w:rsidR="00306D98" w:rsidRPr="006E725C">
              <w:rPr>
                <w:lang w:val="en-GB"/>
              </w:rPr>
              <w:t xml:space="preserve">in </w:t>
            </w:r>
            <w:r w:rsidR="004B4DA5" w:rsidRPr="006E725C">
              <w:rPr>
                <w:lang w:val="en-GB"/>
              </w:rPr>
              <w:t xml:space="preserve">intellectual property products dropped by </w:t>
            </w:r>
            <w:r w:rsidR="00EA1EBB" w:rsidRPr="006E725C">
              <w:rPr>
                <w:lang w:val="en-GB"/>
              </w:rPr>
              <w:t>4</w:t>
            </w:r>
            <w:r w:rsidR="004B4DA5" w:rsidRPr="006E725C">
              <w:rPr>
                <w:lang w:val="en-GB"/>
              </w:rPr>
              <w:t>.</w:t>
            </w:r>
            <w:r w:rsidR="00EA1EBB" w:rsidRPr="006E725C">
              <w:rPr>
                <w:lang w:val="en-GB"/>
              </w:rPr>
              <w:t>0%</w:t>
            </w:r>
            <w:r w:rsidR="004B4DA5" w:rsidRPr="006E725C">
              <w:rPr>
                <w:lang w:val="en-GB"/>
              </w:rPr>
              <w:t xml:space="preserve"> year-on-year</w:t>
            </w:r>
            <w:r w:rsidR="00EA1EBB" w:rsidRPr="006E725C">
              <w:rPr>
                <w:lang w:val="en-GB"/>
              </w:rPr>
              <w:t xml:space="preserve">. </w:t>
            </w:r>
            <w:r w:rsidR="00282B3F" w:rsidRPr="006E725C">
              <w:rPr>
                <w:lang w:val="en-GB"/>
              </w:rPr>
              <w:t xml:space="preserve">The quarter-on-quarter comparison of investment </w:t>
            </w:r>
            <w:r w:rsidR="002267F7" w:rsidRPr="006E725C">
              <w:rPr>
                <w:lang w:val="en-GB"/>
              </w:rPr>
              <w:t>activity</w:t>
            </w:r>
            <w:r w:rsidR="00282B3F" w:rsidRPr="006E725C">
              <w:rPr>
                <w:lang w:val="en-GB"/>
              </w:rPr>
              <w:t xml:space="preserve"> </w:t>
            </w:r>
            <w:r w:rsidR="009A3E06" w:rsidRPr="006E725C">
              <w:rPr>
                <w:lang w:val="en-GB"/>
              </w:rPr>
              <w:t xml:space="preserve">looked slightly more favourable at the end of year </w:t>
            </w:r>
            <w:r w:rsidR="00EA1EBB" w:rsidRPr="006E725C">
              <w:rPr>
                <w:lang w:val="en-GB"/>
              </w:rPr>
              <w:t>2023</w:t>
            </w:r>
            <w:r w:rsidR="009A3E06" w:rsidRPr="006E725C">
              <w:rPr>
                <w:lang w:val="en-GB"/>
              </w:rPr>
              <w:t xml:space="preserve">. </w:t>
            </w:r>
            <w:r w:rsidR="00F537D9" w:rsidRPr="006E725C">
              <w:rPr>
                <w:lang w:val="en-GB"/>
              </w:rPr>
              <w:t>Investment in</w:t>
            </w:r>
            <w:r w:rsidR="0030617B" w:rsidRPr="006E725C">
              <w:rPr>
                <w:lang w:val="en-GB"/>
              </w:rPr>
              <w:t xml:space="preserve"> dwellings </w:t>
            </w:r>
            <w:r w:rsidR="00EA1EBB" w:rsidRPr="006E725C">
              <w:rPr>
                <w:lang w:val="en-GB"/>
              </w:rPr>
              <w:t>(2</w:t>
            </w:r>
            <w:r w:rsidR="00F537D9" w:rsidRPr="006E725C">
              <w:rPr>
                <w:lang w:val="en-GB"/>
              </w:rPr>
              <w:t>.</w:t>
            </w:r>
            <w:r w:rsidR="00EA1EBB" w:rsidRPr="006E725C">
              <w:rPr>
                <w:lang w:val="en-GB"/>
              </w:rPr>
              <w:t>9%)</w:t>
            </w:r>
            <w:r w:rsidR="00B36AEB" w:rsidRPr="006E725C">
              <w:rPr>
                <w:lang w:val="en-GB"/>
              </w:rPr>
              <w:t xml:space="preserve"> as well as other buildings and structures </w:t>
            </w:r>
            <w:r w:rsidR="00EA1EBB" w:rsidRPr="006E725C">
              <w:rPr>
                <w:lang w:val="en-GB"/>
              </w:rPr>
              <w:t>(3</w:t>
            </w:r>
            <w:r w:rsidR="00B36AEB" w:rsidRPr="006E725C">
              <w:rPr>
                <w:lang w:val="en-GB"/>
              </w:rPr>
              <w:t>.</w:t>
            </w:r>
            <w:r w:rsidR="00EA1EBB" w:rsidRPr="006E725C">
              <w:rPr>
                <w:lang w:val="en-GB"/>
              </w:rPr>
              <w:t xml:space="preserve">5%) </w:t>
            </w:r>
            <w:r w:rsidR="00F537D9" w:rsidRPr="006E725C">
              <w:rPr>
                <w:lang w:val="en-GB"/>
              </w:rPr>
              <w:t>were higher</w:t>
            </w:r>
            <w:r w:rsidR="00B36AEB" w:rsidRPr="006E725C">
              <w:rPr>
                <w:lang w:val="en-GB"/>
              </w:rPr>
              <w:t xml:space="preserve"> </w:t>
            </w:r>
            <w:r w:rsidR="00EA1EBB" w:rsidRPr="006E725C">
              <w:rPr>
                <w:lang w:val="en-GB"/>
              </w:rPr>
              <w:t>a</w:t>
            </w:r>
            <w:r w:rsidR="00B36AEB" w:rsidRPr="006E725C">
              <w:rPr>
                <w:lang w:val="en-GB"/>
              </w:rPr>
              <w:t>nd</w:t>
            </w:r>
            <w:r w:rsidR="00EA1EBB" w:rsidRPr="006E725C">
              <w:rPr>
                <w:lang w:val="en-GB"/>
              </w:rPr>
              <w:t xml:space="preserve"> </w:t>
            </w:r>
            <w:r w:rsidR="004B4DA5" w:rsidRPr="006E725C">
              <w:rPr>
                <w:lang w:val="en-GB"/>
              </w:rPr>
              <w:t xml:space="preserve">the expenditures on intellectual property products also increased </w:t>
            </w:r>
            <w:r w:rsidR="00EA1EBB" w:rsidRPr="006E725C">
              <w:rPr>
                <w:lang w:val="en-GB"/>
              </w:rPr>
              <w:t>(3</w:t>
            </w:r>
            <w:r w:rsidR="004B4DA5" w:rsidRPr="006E725C">
              <w:rPr>
                <w:lang w:val="en-GB"/>
              </w:rPr>
              <w:t>.</w:t>
            </w:r>
            <w:r w:rsidR="00EA1EBB" w:rsidRPr="006E725C">
              <w:rPr>
                <w:lang w:val="en-GB"/>
              </w:rPr>
              <w:t xml:space="preserve">2%). </w:t>
            </w:r>
            <w:r w:rsidR="001371E1" w:rsidRPr="006E725C">
              <w:rPr>
                <w:lang w:val="en-GB"/>
              </w:rPr>
              <w:t xml:space="preserve">Investments </w:t>
            </w:r>
            <w:r w:rsidR="00FC5F81" w:rsidRPr="006E725C">
              <w:rPr>
                <w:lang w:val="en-GB"/>
              </w:rPr>
              <w:t xml:space="preserve">in transport equipment </w:t>
            </w:r>
            <w:r w:rsidR="00EA1EBB" w:rsidRPr="006E725C">
              <w:rPr>
                <w:lang w:val="en-GB"/>
              </w:rPr>
              <w:t>(−1</w:t>
            </w:r>
            <w:r w:rsidR="00FC5F81" w:rsidRPr="006E725C">
              <w:rPr>
                <w:lang w:val="en-GB"/>
              </w:rPr>
              <w:t>.</w:t>
            </w:r>
            <w:r w:rsidR="00EA1EBB" w:rsidRPr="006E725C">
              <w:rPr>
                <w:lang w:val="en-GB"/>
              </w:rPr>
              <w:t>6%) a</w:t>
            </w:r>
            <w:r w:rsidR="00FC5F81" w:rsidRPr="006E725C">
              <w:rPr>
                <w:lang w:val="en-GB"/>
              </w:rPr>
              <w:t>nd</w:t>
            </w:r>
            <w:r w:rsidR="00EA1EBB" w:rsidRPr="006E725C">
              <w:rPr>
                <w:lang w:val="en-GB"/>
              </w:rPr>
              <w:t xml:space="preserve"> ICT a</w:t>
            </w:r>
            <w:r w:rsidR="00C84D26" w:rsidRPr="006E725C">
              <w:rPr>
                <w:lang w:val="en-GB"/>
              </w:rPr>
              <w:t xml:space="preserve">nd other machinery and equipment </w:t>
            </w:r>
            <w:r w:rsidR="00EA1EBB" w:rsidRPr="006E725C">
              <w:rPr>
                <w:lang w:val="en-GB"/>
              </w:rPr>
              <w:t>(−2</w:t>
            </w:r>
            <w:r w:rsidR="00C84D26" w:rsidRPr="006E725C">
              <w:rPr>
                <w:lang w:val="en-GB"/>
              </w:rPr>
              <w:t>.</w:t>
            </w:r>
            <w:r w:rsidR="00EA1EBB" w:rsidRPr="006E725C">
              <w:rPr>
                <w:lang w:val="en-GB"/>
              </w:rPr>
              <w:t>2%)</w:t>
            </w:r>
            <w:r w:rsidR="00FC5F81" w:rsidRPr="006E725C">
              <w:rPr>
                <w:lang w:val="en-GB"/>
              </w:rPr>
              <w:t xml:space="preserve"> dropped quarter-on-quarter in Q4</w:t>
            </w:r>
            <w:r w:rsidR="00EA1EBB" w:rsidRPr="006E725C">
              <w:rPr>
                <w:lang w:val="en-GB"/>
              </w:rPr>
              <w:t>.</w:t>
            </w:r>
          </w:p>
        </w:tc>
      </w:tr>
      <w:tr w:rsidR="00EA1EBB" w:rsidRPr="006E725C" w14:paraId="66FDEB8B" w14:textId="77777777" w:rsidTr="005855B4">
        <w:trPr>
          <w:trHeight w:val="145"/>
        </w:trPr>
        <w:tc>
          <w:tcPr>
            <w:tcW w:w="1806" w:type="dxa"/>
            <w:shd w:val="clear" w:color="auto" w:fill="auto"/>
            <w:tcMar>
              <w:left w:w="0" w:type="dxa"/>
            </w:tcMar>
          </w:tcPr>
          <w:p w14:paraId="41CE4D47" w14:textId="2E127D57" w:rsidR="00EA1EBB" w:rsidRPr="006E725C" w:rsidRDefault="004C5A25" w:rsidP="00BA5125">
            <w:pPr>
              <w:pStyle w:val="Marginlie"/>
              <w:rPr>
                <w:lang w:val="en-GB"/>
              </w:rPr>
            </w:pPr>
            <w:r w:rsidRPr="006E725C">
              <w:rPr>
                <w:lang w:val="en-GB"/>
              </w:rPr>
              <w:lastRenderedPageBreak/>
              <w:t xml:space="preserve">The international trade balance of goods and services reached a surplus last year. </w:t>
            </w:r>
          </w:p>
        </w:tc>
        <w:tc>
          <w:tcPr>
            <w:tcW w:w="223" w:type="dxa"/>
            <w:shd w:val="clear" w:color="auto" w:fill="auto"/>
            <w:tcMar>
              <w:left w:w="0" w:type="dxa"/>
            </w:tcMar>
          </w:tcPr>
          <w:p w14:paraId="2277652D"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597134A8" w14:textId="2ACF5C90" w:rsidR="00EA1EBB" w:rsidRPr="006E725C" w:rsidRDefault="004C5A25" w:rsidP="00F01EA8">
            <w:pPr>
              <w:rPr>
                <w:lang w:val="en-GB"/>
              </w:rPr>
            </w:pPr>
            <w:r w:rsidRPr="006E725C">
              <w:rPr>
                <w:lang w:val="en-GB"/>
              </w:rPr>
              <w:t xml:space="preserve">Favourable influence of the external demand on the GDP growth </w:t>
            </w:r>
            <w:r w:rsidR="00CE3770" w:rsidRPr="006E725C">
              <w:rPr>
                <w:lang w:val="en-GB"/>
              </w:rPr>
              <w:t xml:space="preserve">flowed from the </w:t>
            </w:r>
            <w:r w:rsidR="006A6BE3" w:rsidRPr="006E725C">
              <w:rPr>
                <w:lang w:val="en-GB"/>
              </w:rPr>
              <w:t xml:space="preserve">opposing development of export and import in year </w:t>
            </w:r>
            <w:r w:rsidR="00EA1EBB" w:rsidRPr="006E725C">
              <w:rPr>
                <w:lang w:val="en-GB"/>
              </w:rPr>
              <w:t>2023</w:t>
            </w:r>
            <w:r w:rsidR="006A6BE3" w:rsidRPr="006E725C">
              <w:rPr>
                <w:lang w:val="en-GB"/>
              </w:rPr>
              <w:t>. While the export of goods and services</w:t>
            </w:r>
            <w:r w:rsidR="00EA1EBB" w:rsidRPr="006E725C">
              <w:rPr>
                <w:rStyle w:val="Znakapoznpodarou"/>
                <w:lang w:val="en-GB"/>
              </w:rPr>
              <w:footnoteReference w:id="11"/>
            </w:r>
            <w:r w:rsidR="00EA1EBB" w:rsidRPr="006E725C">
              <w:rPr>
                <w:lang w:val="en-GB"/>
              </w:rPr>
              <w:t xml:space="preserve"> </w:t>
            </w:r>
            <w:r w:rsidR="00E41634" w:rsidRPr="006E725C">
              <w:rPr>
                <w:lang w:val="en-GB"/>
              </w:rPr>
              <w:t xml:space="preserve">expanded in real terms by </w:t>
            </w:r>
            <w:r w:rsidR="00EA1EBB" w:rsidRPr="006E725C">
              <w:rPr>
                <w:lang w:val="en-GB"/>
              </w:rPr>
              <w:t>3</w:t>
            </w:r>
            <w:r w:rsidR="00E41634" w:rsidRPr="006E725C">
              <w:rPr>
                <w:lang w:val="en-GB"/>
              </w:rPr>
              <w:t>.</w:t>
            </w:r>
            <w:r w:rsidR="00EA1EBB" w:rsidRPr="006E725C">
              <w:rPr>
                <w:lang w:val="en-GB"/>
              </w:rPr>
              <w:t>1%</w:t>
            </w:r>
            <w:r w:rsidR="00E41634" w:rsidRPr="006E725C">
              <w:rPr>
                <w:lang w:val="en-GB"/>
              </w:rPr>
              <w:t xml:space="preserve"> last year</w:t>
            </w:r>
            <w:r w:rsidR="00EA1EBB" w:rsidRPr="006E725C">
              <w:rPr>
                <w:lang w:val="en-GB"/>
              </w:rPr>
              <w:t>,</w:t>
            </w:r>
            <w:r w:rsidR="00E41634" w:rsidRPr="006E725C">
              <w:rPr>
                <w:lang w:val="en-GB"/>
              </w:rPr>
              <w:t xml:space="preserve"> import fell by </w:t>
            </w:r>
            <w:r w:rsidR="00EA1EBB" w:rsidRPr="006E725C">
              <w:rPr>
                <w:lang w:val="en-GB"/>
              </w:rPr>
              <w:t>0</w:t>
            </w:r>
            <w:r w:rsidR="00E41634" w:rsidRPr="006E725C">
              <w:rPr>
                <w:lang w:val="en-GB"/>
              </w:rPr>
              <w:t>.</w:t>
            </w:r>
            <w:r w:rsidR="00EA1EBB" w:rsidRPr="006E725C">
              <w:rPr>
                <w:lang w:val="en-GB"/>
              </w:rPr>
              <w:t xml:space="preserve">4%. </w:t>
            </w:r>
            <w:r w:rsidR="00055E2F" w:rsidRPr="006E725C">
              <w:rPr>
                <w:lang w:val="en-GB"/>
              </w:rPr>
              <w:t xml:space="preserve">Exports of goods and services increased year-on-year by </w:t>
            </w:r>
            <w:r w:rsidR="00EA1EBB" w:rsidRPr="006E725C">
              <w:rPr>
                <w:lang w:val="en-GB"/>
              </w:rPr>
              <w:t>1</w:t>
            </w:r>
            <w:r w:rsidR="00055E2F" w:rsidRPr="006E725C">
              <w:rPr>
                <w:lang w:val="en-GB"/>
              </w:rPr>
              <w:t>.</w:t>
            </w:r>
            <w:r w:rsidR="00EA1EBB" w:rsidRPr="006E725C">
              <w:rPr>
                <w:lang w:val="en-GB"/>
              </w:rPr>
              <w:t>0% a</w:t>
            </w:r>
            <w:r w:rsidR="00055E2F" w:rsidRPr="006E725C">
              <w:rPr>
                <w:lang w:val="en-GB"/>
              </w:rPr>
              <w:t xml:space="preserve">nd imports on the contrary </w:t>
            </w:r>
            <w:r w:rsidR="00B27178" w:rsidRPr="006E725C">
              <w:rPr>
                <w:lang w:val="en-GB"/>
              </w:rPr>
              <w:t xml:space="preserve">plunged by notable </w:t>
            </w:r>
            <w:r w:rsidR="00EA1EBB" w:rsidRPr="006E725C">
              <w:rPr>
                <w:lang w:val="en-GB"/>
              </w:rPr>
              <w:t>4</w:t>
            </w:r>
            <w:r w:rsidR="00B27178" w:rsidRPr="006E725C">
              <w:rPr>
                <w:lang w:val="en-GB"/>
              </w:rPr>
              <w:t>.</w:t>
            </w:r>
            <w:r w:rsidR="00EA1EBB" w:rsidRPr="006E725C">
              <w:rPr>
                <w:lang w:val="en-GB"/>
              </w:rPr>
              <w:t>7%</w:t>
            </w:r>
            <w:r w:rsidR="00055E2F" w:rsidRPr="006E725C">
              <w:rPr>
                <w:lang w:val="en-GB"/>
              </w:rPr>
              <w:t xml:space="preserve"> in Q4</w:t>
            </w:r>
            <w:r w:rsidR="00EA1EBB" w:rsidRPr="006E725C">
              <w:rPr>
                <w:lang w:val="en-GB"/>
              </w:rPr>
              <w:t xml:space="preserve">. </w:t>
            </w:r>
            <w:r w:rsidR="00B60BBF" w:rsidRPr="006E725C">
              <w:rPr>
                <w:lang w:val="en-GB"/>
              </w:rPr>
              <w:t xml:space="preserve">Exports of goods grew relatively mildly </w:t>
            </w:r>
            <w:r w:rsidR="00EA1EBB" w:rsidRPr="006E725C">
              <w:rPr>
                <w:lang w:val="en-GB"/>
              </w:rPr>
              <w:t>(0</w:t>
            </w:r>
            <w:r w:rsidR="00B60BBF" w:rsidRPr="006E725C">
              <w:rPr>
                <w:lang w:val="en-GB"/>
              </w:rPr>
              <w:t>.</w:t>
            </w:r>
            <w:r w:rsidR="00EA1EBB" w:rsidRPr="006E725C">
              <w:rPr>
                <w:lang w:val="en-GB"/>
              </w:rPr>
              <w:t>4%),</w:t>
            </w:r>
            <w:r w:rsidR="00B60BBF" w:rsidRPr="006E725C">
              <w:rPr>
                <w:lang w:val="en-GB"/>
              </w:rPr>
              <w:t xml:space="preserve"> the increase for services was stronger </w:t>
            </w:r>
            <w:r w:rsidR="00EA1EBB" w:rsidRPr="006E725C">
              <w:rPr>
                <w:lang w:val="en-GB"/>
              </w:rPr>
              <w:t>(4</w:t>
            </w:r>
            <w:r w:rsidR="00B60BBF" w:rsidRPr="006E725C">
              <w:rPr>
                <w:lang w:val="en-GB"/>
              </w:rPr>
              <w:t>.</w:t>
            </w:r>
            <w:r w:rsidR="00EA1EBB" w:rsidRPr="006E725C">
              <w:rPr>
                <w:lang w:val="en-GB"/>
              </w:rPr>
              <w:t xml:space="preserve">7%). </w:t>
            </w:r>
            <w:r w:rsidR="00B60BBF" w:rsidRPr="006E725C">
              <w:rPr>
                <w:lang w:val="en-GB"/>
              </w:rPr>
              <w:t xml:space="preserve">Following the two preceding decreases the export increased by </w:t>
            </w:r>
            <w:r w:rsidR="00EA1EBB" w:rsidRPr="006E725C">
              <w:rPr>
                <w:lang w:val="en-GB"/>
              </w:rPr>
              <w:t>2</w:t>
            </w:r>
            <w:r w:rsidR="00B60BBF" w:rsidRPr="006E725C">
              <w:rPr>
                <w:lang w:val="en-GB"/>
              </w:rPr>
              <w:t>.</w:t>
            </w:r>
            <w:r w:rsidR="00EA1EBB" w:rsidRPr="006E725C">
              <w:rPr>
                <w:lang w:val="en-GB"/>
              </w:rPr>
              <w:t>2%</w:t>
            </w:r>
            <w:r w:rsidR="00B60BBF" w:rsidRPr="006E725C">
              <w:rPr>
                <w:lang w:val="en-GB"/>
              </w:rPr>
              <w:t xml:space="preserve"> quarter-on-quarter in Q4</w:t>
            </w:r>
            <w:r w:rsidR="00EA1EBB" w:rsidRPr="006E725C">
              <w:rPr>
                <w:lang w:val="en-GB"/>
              </w:rPr>
              <w:t xml:space="preserve">. </w:t>
            </w:r>
            <w:r w:rsidR="009B479C" w:rsidRPr="006E725C">
              <w:rPr>
                <w:lang w:val="en-GB"/>
              </w:rPr>
              <w:t xml:space="preserve">In </w:t>
            </w:r>
            <w:r w:rsidR="00AA314A" w:rsidRPr="006E725C">
              <w:rPr>
                <w:lang w:val="en-GB"/>
              </w:rPr>
              <w:t>that,</w:t>
            </w:r>
            <w:r w:rsidR="009B479C" w:rsidRPr="006E725C">
              <w:rPr>
                <w:lang w:val="en-GB"/>
              </w:rPr>
              <w:t xml:space="preserve"> the export of goods rose by </w:t>
            </w:r>
            <w:r w:rsidR="00EA1EBB" w:rsidRPr="006E725C">
              <w:rPr>
                <w:lang w:val="en-GB"/>
              </w:rPr>
              <w:t>1</w:t>
            </w:r>
            <w:r w:rsidR="009B479C" w:rsidRPr="006E725C">
              <w:rPr>
                <w:lang w:val="en-GB"/>
              </w:rPr>
              <w:t>.</w:t>
            </w:r>
            <w:r w:rsidR="00EA1EBB" w:rsidRPr="006E725C">
              <w:rPr>
                <w:lang w:val="en-GB"/>
              </w:rPr>
              <w:t>6% a</w:t>
            </w:r>
            <w:r w:rsidR="009B479C" w:rsidRPr="006E725C">
              <w:rPr>
                <w:lang w:val="en-GB"/>
              </w:rPr>
              <w:t xml:space="preserve">nd services by </w:t>
            </w:r>
            <w:r w:rsidR="00EA1EBB" w:rsidRPr="006E725C">
              <w:rPr>
                <w:lang w:val="en-GB"/>
              </w:rPr>
              <w:t>5</w:t>
            </w:r>
            <w:r w:rsidR="009B479C" w:rsidRPr="006E725C">
              <w:rPr>
                <w:lang w:val="en-GB"/>
              </w:rPr>
              <w:t>.</w:t>
            </w:r>
            <w:r w:rsidR="00EA1EBB" w:rsidRPr="006E725C">
              <w:rPr>
                <w:lang w:val="en-GB"/>
              </w:rPr>
              <w:t>1%.</w:t>
            </w:r>
            <w:r w:rsidR="009B479C" w:rsidRPr="006E725C">
              <w:rPr>
                <w:lang w:val="en-GB"/>
              </w:rPr>
              <w:t xml:space="preserve"> The quarter-on-quarter decrease of imports </w:t>
            </w:r>
            <w:r w:rsidR="00EA1EBB" w:rsidRPr="006E725C">
              <w:rPr>
                <w:lang w:val="en-GB"/>
              </w:rPr>
              <w:t>(−2</w:t>
            </w:r>
            <w:r w:rsidR="009B479C" w:rsidRPr="006E725C">
              <w:rPr>
                <w:lang w:val="en-GB"/>
              </w:rPr>
              <w:t>.</w:t>
            </w:r>
            <w:r w:rsidR="00EA1EBB" w:rsidRPr="006E725C">
              <w:rPr>
                <w:lang w:val="en-GB"/>
              </w:rPr>
              <w:t>4%)</w:t>
            </w:r>
            <w:r w:rsidR="009B479C" w:rsidRPr="006E725C">
              <w:rPr>
                <w:lang w:val="en-GB"/>
              </w:rPr>
              <w:t xml:space="preserve"> continued for the fourth quarter in a row. The international trade balance of goods and services attained a surplus of </w:t>
            </w:r>
            <w:r w:rsidR="00EA1EBB" w:rsidRPr="006E725C">
              <w:rPr>
                <w:lang w:val="en-GB"/>
              </w:rPr>
              <w:t>378</w:t>
            </w:r>
            <w:r w:rsidR="009B479C" w:rsidRPr="006E725C">
              <w:rPr>
                <w:lang w:val="en-GB"/>
              </w:rPr>
              <w:t>.</w:t>
            </w:r>
            <w:r w:rsidR="00EA1EBB" w:rsidRPr="006E725C">
              <w:rPr>
                <w:lang w:val="en-GB"/>
              </w:rPr>
              <w:t>0</w:t>
            </w:r>
            <w:r w:rsidR="009B479C" w:rsidRPr="006E725C">
              <w:rPr>
                <w:lang w:val="en-GB"/>
              </w:rPr>
              <w:t xml:space="preserve"> </w:t>
            </w:r>
            <w:r w:rsidR="009C0832">
              <w:rPr>
                <w:lang w:val="en-GB"/>
              </w:rPr>
              <w:t xml:space="preserve">CZK </w:t>
            </w:r>
            <w:proofErr w:type="spellStart"/>
            <w:r w:rsidR="009C0832">
              <w:rPr>
                <w:lang w:val="en-GB"/>
              </w:rPr>
              <w:t>bn</w:t>
            </w:r>
            <w:proofErr w:type="spellEnd"/>
            <w:r w:rsidR="009B479C" w:rsidRPr="006E725C">
              <w:rPr>
                <w:lang w:val="en-GB"/>
              </w:rPr>
              <w:t xml:space="preserve">, which was by </w:t>
            </w:r>
            <w:r w:rsidR="00EA1EBB" w:rsidRPr="006E725C">
              <w:rPr>
                <w:lang w:val="en-GB"/>
              </w:rPr>
              <w:t>312</w:t>
            </w:r>
            <w:r w:rsidR="009B479C" w:rsidRPr="006E725C">
              <w:rPr>
                <w:lang w:val="en-GB"/>
              </w:rPr>
              <w:t>.</w:t>
            </w:r>
            <w:r w:rsidR="00EA1EBB" w:rsidRPr="006E725C">
              <w:rPr>
                <w:lang w:val="en-GB"/>
              </w:rPr>
              <w:t>4</w:t>
            </w:r>
            <w:r w:rsidR="009B479C" w:rsidRPr="006E725C">
              <w:rPr>
                <w:lang w:val="en-GB"/>
              </w:rPr>
              <w:t xml:space="preserve"> </w:t>
            </w:r>
            <w:proofErr w:type="spellStart"/>
            <w:r w:rsidR="009B479C" w:rsidRPr="006E725C">
              <w:rPr>
                <w:lang w:val="en-GB"/>
              </w:rPr>
              <w:t>bn</w:t>
            </w:r>
            <w:proofErr w:type="spellEnd"/>
            <w:r w:rsidR="009B479C" w:rsidRPr="006E725C">
              <w:rPr>
                <w:lang w:val="en-GB"/>
              </w:rPr>
              <w:t xml:space="preserve"> </w:t>
            </w:r>
            <w:r w:rsidR="00540313" w:rsidRPr="006E725C">
              <w:rPr>
                <w:lang w:val="en-GB"/>
              </w:rPr>
              <w:t xml:space="preserve">better result </w:t>
            </w:r>
            <w:r w:rsidR="00865DDD" w:rsidRPr="006E725C">
              <w:rPr>
                <w:lang w:val="en-GB"/>
              </w:rPr>
              <w:t xml:space="preserve">year-on-year. Trade balance of goods improved significantly </w:t>
            </w:r>
            <w:r w:rsidR="00EA1EBB" w:rsidRPr="006E725C">
              <w:rPr>
                <w:lang w:val="en-GB"/>
              </w:rPr>
              <w:t>(</w:t>
            </w:r>
            <w:r w:rsidR="00865DDD" w:rsidRPr="006E725C">
              <w:rPr>
                <w:lang w:val="en-GB"/>
              </w:rPr>
              <w:t xml:space="preserve">by </w:t>
            </w:r>
            <w:r w:rsidR="00EA1EBB" w:rsidRPr="006E725C">
              <w:rPr>
                <w:lang w:val="en-GB"/>
              </w:rPr>
              <w:t>308</w:t>
            </w:r>
            <w:r w:rsidR="00865DDD" w:rsidRPr="006E725C">
              <w:rPr>
                <w:lang w:val="en-GB"/>
              </w:rPr>
              <w:t>.</w:t>
            </w:r>
            <w:r w:rsidR="00EA1EBB" w:rsidRPr="006E725C">
              <w:rPr>
                <w:lang w:val="en-GB"/>
              </w:rPr>
              <w:t>6</w:t>
            </w:r>
            <w:r w:rsidR="00865DDD" w:rsidRPr="006E725C">
              <w:rPr>
                <w:lang w:val="en-GB"/>
              </w:rPr>
              <w:t xml:space="preserve"> </w:t>
            </w:r>
            <w:r w:rsidR="009C0832">
              <w:rPr>
                <w:lang w:val="en-GB"/>
              </w:rPr>
              <w:t xml:space="preserve">CZK </w:t>
            </w:r>
            <w:proofErr w:type="spellStart"/>
            <w:r w:rsidR="009C0832">
              <w:rPr>
                <w:lang w:val="en-GB"/>
              </w:rPr>
              <w:t>bn</w:t>
            </w:r>
            <w:proofErr w:type="spellEnd"/>
            <w:r w:rsidR="00EA1EBB" w:rsidRPr="006E725C">
              <w:rPr>
                <w:lang w:val="en-GB"/>
              </w:rPr>
              <w:t xml:space="preserve">), </w:t>
            </w:r>
            <w:r w:rsidR="0082528D" w:rsidRPr="006E725C">
              <w:rPr>
                <w:lang w:val="en-GB"/>
              </w:rPr>
              <w:t xml:space="preserve">the surplus of international trade of services was also slightly larger </w:t>
            </w:r>
            <w:r w:rsidR="00EA1EBB" w:rsidRPr="006E725C">
              <w:rPr>
                <w:lang w:val="en-GB"/>
              </w:rPr>
              <w:t>(+3</w:t>
            </w:r>
            <w:r w:rsidR="0082528D" w:rsidRPr="006E725C">
              <w:rPr>
                <w:lang w:val="en-GB"/>
              </w:rPr>
              <w:t>.</w:t>
            </w:r>
            <w:r w:rsidR="00EA1EBB" w:rsidRPr="006E725C">
              <w:rPr>
                <w:lang w:val="en-GB"/>
              </w:rPr>
              <w:t>7</w:t>
            </w:r>
            <w:r w:rsidR="0082528D" w:rsidRPr="006E725C">
              <w:rPr>
                <w:lang w:val="en-GB"/>
              </w:rPr>
              <w:t xml:space="preserve"> </w:t>
            </w:r>
            <w:proofErr w:type="spellStart"/>
            <w:r w:rsidR="0082528D" w:rsidRPr="006E725C">
              <w:rPr>
                <w:lang w:val="en-GB"/>
              </w:rPr>
              <w:t>bn</w:t>
            </w:r>
            <w:proofErr w:type="spellEnd"/>
            <w:r w:rsidR="00EA1EBB" w:rsidRPr="006E725C">
              <w:rPr>
                <w:lang w:val="en-GB"/>
              </w:rPr>
              <w:t xml:space="preserve">). </w:t>
            </w:r>
            <w:r w:rsidR="005E0E74" w:rsidRPr="006E725C">
              <w:rPr>
                <w:lang w:val="en-GB"/>
              </w:rPr>
              <w:t xml:space="preserve">The international trade balance </w:t>
            </w:r>
            <w:r w:rsidR="00C129BB" w:rsidRPr="006E725C">
              <w:rPr>
                <w:lang w:val="en-GB"/>
              </w:rPr>
              <w:t xml:space="preserve">achieved a surplus of </w:t>
            </w:r>
            <w:r w:rsidR="00EA1EBB" w:rsidRPr="006E725C">
              <w:rPr>
                <w:lang w:val="en-GB"/>
              </w:rPr>
              <w:t>128</w:t>
            </w:r>
            <w:r w:rsidR="00C129BB" w:rsidRPr="006E725C">
              <w:rPr>
                <w:lang w:val="en-GB"/>
              </w:rPr>
              <w:t>.</w:t>
            </w:r>
            <w:r w:rsidR="00EA1EBB" w:rsidRPr="006E725C">
              <w:rPr>
                <w:lang w:val="en-GB"/>
              </w:rPr>
              <w:t>0</w:t>
            </w:r>
            <w:r w:rsidR="00C129BB" w:rsidRPr="006E725C">
              <w:rPr>
                <w:lang w:val="en-GB"/>
              </w:rPr>
              <w:t xml:space="preserve"> </w:t>
            </w:r>
            <w:r w:rsidR="009C0832">
              <w:rPr>
                <w:lang w:val="en-GB"/>
              </w:rPr>
              <w:t xml:space="preserve">CZK </w:t>
            </w:r>
            <w:proofErr w:type="spellStart"/>
            <w:r w:rsidR="009C0832">
              <w:rPr>
                <w:lang w:val="en-GB"/>
              </w:rPr>
              <w:t>bn</w:t>
            </w:r>
            <w:proofErr w:type="spellEnd"/>
            <w:r w:rsidR="00C129BB" w:rsidRPr="006E725C">
              <w:rPr>
                <w:lang w:val="en-GB"/>
              </w:rPr>
              <w:t xml:space="preserve"> in Q4 and improved by </w:t>
            </w:r>
            <w:r w:rsidR="00EA1EBB" w:rsidRPr="006E725C">
              <w:rPr>
                <w:lang w:val="en-GB"/>
              </w:rPr>
              <w:t>106</w:t>
            </w:r>
            <w:r w:rsidR="00C129BB" w:rsidRPr="006E725C">
              <w:rPr>
                <w:lang w:val="en-GB"/>
              </w:rPr>
              <w:t>.</w:t>
            </w:r>
            <w:r w:rsidR="00EA1EBB" w:rsidRPr="006E725C">
              <w:rPr>
                <w:lang w:val="en-GB"/>
              </w:rPr>
              <w:t>4</w:t>
            </w:r>
            <w:r w:rsidR="00C129BB" w:rsidRPr="006E725C">
              <w:rPr>
                <w:lang w:val="en-GB"/>
              </w:rPr>
              <w:t xml:space="preserve"> </w:t>
            </w:r>
            <w:proofErr w:type="spellStart"/>
            <w:r w:rsidR="00C129BB" w:rsidRPr="006E725C">
              <w:rPr>
                <w:lang w:val="en-GB"/>
              </w:rPr>
              <w:t>bn</w:t>
            </w:r>
            <w:proofErr w:type="spellEnd"/>
            <w:r w:rsidR="00C129BB" w:rsidRPr="006E725C">
              <w:rPr>
                <w:lang w:val="en-GB"/>
              </w:rPr>
              <w:t xml:space="preserve"> year-on-year</w:t>
            </w:r>
            <w:r w:rsidR="00EA1EBB" w:rsidRPr="006E725C">
              <w:rPr>
                <w:lang w:val="en-GB"/>
              </w:rPr>
              <w:t>.</w:t>
            </w:r>
            <w:r w:rsidR="00306D98" w:rsidRPr="006E725C">
              <w:rPr>
                <w:lang w:val="en-GB"/>
              </w:rPr>
              <w:t xml:space="preserve"> </w:t>
            </w:r>
            <w:r w:rsidR="00EA1EBB" w:rsidRPr="006E725C">
              <w:rPr>
                <w:lang w:val="en-GB"/>
              </w:rPr>
              <w:t>P</w:t>
            </w:r>
            <w:r w:rsidR="008E5274" w:rsidRPr="006E725C">
              <w:rPr>
                <w:lang w:val="en-GB"/>
              </w:rPr>
              <w:t xml:space="preserve">ositive balance of trade of goods </w:t>
            </w:r>
            <w:r w:rsidR="00EA1EBB" w:rsidRPr="006E725C">
              <w:rPr>
                <w:lang w:val="en-GB"/>
              </w:rPr>
              <w:t>(+90</w:t>
            </w:r>
            <w:r w:rsidR="00F01EA8" w:rsidRPr="006E725C">
              <w:rPr>
                <w:lang w:val="en-GB"/>
              </w:rPr>
              <w:t>.</w:t>
            </w:r>
            <w:r w:rsidR="00EA1EBB" w:rsidRPr="006E725C">
              <w:rPr>
                <w:lang w:val="en-GB"/>
              </w:rPr>
              <w:t>7</w:t>
            </w:r>
            <w:r w:rsidR="00306D98" w:rsidRPr="006E725C">
              <w:rPr>
                <w:lang w:val="en-GB"/>
              </w:rPr>
              <w:t xml:space="preserve"> </w:t>
            </w:r>
            <w:r w:rsidR="009C0832">
              <w:rPr>
                <w:lang w:val="en-GB"/>
              </w:rPr>
              <w:t xml:space="preserve">CZK </w:t>
            </w:r>
            <w:proofErr w:type="spellStart"/>
            <w:r w:rsidR="009C0832">
              <w:rPr>
                <w:lang w:val="en-GB"/>
              </w:rPr>
              <w:t>bn</w:t>
            </w:r>
            <w:proofErr w:type="spellEnd"/>
            <w:r w:rsidR="00EA1EBB" w:rsidRPr="006E725C">
              <w:rPr>
                <w:lang w:val="en-GB"/>
              </w:rPr>
              <w:t>)</w:t>
            </w:r>
            <w:r w:rsidR="00306D98" w:rsidRPr="006E725C">
              <w:rPr>
                <w:lang w:val="en-GB"/>
              </w:rPr>
              <w:t xml:space="preserve"> </w:t>
            </w:r>
            <w:r w:rsidR="00AD6634" w:rsidRPr="006E725C">
              <w:rPr>
                <w:lang w:val="en-GB"/>
              </w:rPr>
              <w:t xml:space="preserve">as well as services </w:t>
            </w:r>
            <w:r w:rsidR="00EA1EBB" w:rsidRPr="006E725C">
              <w:rPr>
                <w:lang w:val="en-GB"/>
              </w:rPr>
              <w:t>(+15</w:t>
            </w:r>
            <w:r w:rsidR="00AD6634" w:rsidRPr="006E725C">
              <w:rPr>
                <w:lang w:val="en-GB"/>
              </w:rPr>
              <w:t>.</w:t>
            </w:r>
            <w:r w:rsidR="00EA1EBB" w:rsidRPr="006E725C">
              <w:rPr>
                <w:lang w:val="en-GB"/>
              </w:rPr>
              <w:t>7</w:t>
            </w:r>
            <w:r w:rsidR="00AD6634" w:rsidRPr="006E725C">
              <w:rPr>
                <w:lang w:val="en-GB"/>
              </w:rPr>
              <w:t xml:space="preserve"> </w:t>
            </w:r>
            <w:proofErr w:type="spellStart"/>
            <w:r w:rsidR="00AD6634" w:rsidRPr="006E725C">
              <w:rPr>
                <w:lang w:val="en-GB"/>
              </w:rPr>
              <w:t>bn</w:t>
            </w:r>
            <w:proofErr w:type="spellEnd"/>
            <w:r w:rsidR="00EA1EBB" w:rsidRPr="006E725C">
              <w:rPr>
                <w:lang w:val="en-GB"/>
              </w:rPr>
              <w:t>)</w:t>
            </w:r>
            <w:r w:rsidR="00AD6634" w:rsidRPr="006E725C">
              <w:rPr>
                <w:lang w:val="en-GB"/>
              </w:rPr>
              <w:t xml:space="preserve"> rose sharply year-on-year</w:t>
            </w:r>
            <w:r w:rsidR="00EA1EBB" w:rsidRPr="006E725C">
              <w:rPr>
                <w:lang w:val="en-GB"/>
              </w:rPr>
              <w:t xml:space="preserve">.       </w:t>
            </w:r>
          </w:p>
        </w:tc>
      </w:tr>
      <w:tr w:rsidR="0079457A" w:rsidRPr="006E725C" w14:paraId="0673ECB2" w14:textId="77777777" w:rsidTr="005855B4">
        <w:trPr>
          <w:trHeight w:val="145"/>
        </w:trPr>
        <w:tc>
          <w:tcPr>
            <w:tcW w:w="1806" w:type="dxa"/>
            <w:shd w:val="clear" w:color="auto" w:fill="auto"/>
            <w:tcMar>
              <w:left w:w="0" w:type="dxa"/>
            </w:tcMar>
          </w:tcPr>
          <w:p w14:paraId="2F957C75" w14:textId="69FAAB19" w:rsidR="0079457A" w:rsidRPr="006E725C" w:rsidRDefault="0079457A" w:rsidP="0079457A">
            <w:pPr>
              <w:pStyle w:val="Marginlie"/>
              <w:rPr>
                <w:lang w:val="en-GB"/>
              </w:rPr>
            </w:pPr>
            <w:r w:rsidRPr="006E725C">
              <w:rPr>
                <w:lang w:val="en-GB"/>
              </w:rPr>
              <w:t xml:space="preserve">Gross value added increased last year. </w:t>
            </w:r>
          </w:p>
        </w:tc>
        <w:tc>
          <w:tcPr>
            <w:tcW w:w="223" w:type="dxa"/>
            <w:shd w:val="clear" w:color="auto" w:fill="auto"/>
            <w:tcMar>
              <w:left w:w="0" w:type="dxa"/>
            </w:tcMar>
          </w:tcPr>
          <w:p w14:paraId="14D4594B" w14:textId="77777777" w:rsidR="0079457A" w:rsidRPr="006E725C" w:rsidRDefault="0079457A" w:rsidP="0079457A">
            <w:pPr>
              <w:pStyle w:val="Textpoznpodarou"/>
              <w:jc w:val="both"/>
              <w:rPr>
                <w:spacing w:val="-4"/>
                <w:lang w:val="en-GB"/>
              </w:rPr>
            </w:pPr>
          </w:p>
        </w:tc>
        <w:tc>
          <w:tcPr>
            <w:tcW w:w="7610" w:type="dxa"/>
            <w:shd w:val="clear" w:color="auto" w:fill="auto"/>
            <w:tcMar>
              <w:left w:w="0" w:type="dxa"/>
            </w:tcMar>
          </w:tcPr>
          <w:p w14:paraId="31723BFB" w14:textId="5EC14B78" w:rsidR="0079457A" w:rsidRPr="006E725C" w:rsidRDefault="0079457A" w:rsidP="0079457A">
            <w:pPr>
              <w:rPr>
                <w:lang w:val="en-GB"/>
              </w:rPr>
            </w:pPr>
            <w:r w:rsidRPr="006E725C">
              <w:rPr>
                <w:lang w:val="en-GB"/>
              </w:rPr>
              <w:t>The Gross value added (GVA) increased in total by 0.5% last year. Large difference thus emerged between the GVA and GDP dynamics</w:t>
            </w:r>
            <w:r w:rsidRPr="006E725C">
              <w:rPr>
                <w:rStyle w:val="Znakapoznpodarou"/>
                <w:lang w:val="en-GB"/>
              </w:rPr>
              <w:footnoteReference w:id="12"/>
            </w:r>
            <w:r w:rsidRPr="006E725C">
              <w:rPr>
                <w:lang w:val="en-GB"/>
              </w:rPr>
              <w:t>. GVA development in individual branches partially corresponded to the demand structure. Favourable development of external demand was thus reflected in the GVA growth of export-oriented manufacturing (2.2%). It was balancing the decreases in the remaining part of industry, which was apparent on the weak increase of GVA in the industry as a whole (0.5%). Among services, information and communication fared the best (6.2%). GVA recorded a moderate increase (similarly 1.1%) in real estate activities, p</w:t>
            </w:r>
            <w:r w:rsidRPr="006E725C">
              <w:rPr>
                <w:rFonts w:cs="Arial"/>
                <w:szCs w:val="20"/>
                <w:lang w:val="en-GB"/>
              </w:rPr>
              <w:t xml:space="preserve">ublic administration, education, health and social work and in other activities </w:t>
            </w:r>
            <w:r w:rsidRPr="006E725C">
              <w:rPr>
                <w:lang w:val="en-GB"/>
              </w:rPr>
              <w:t xml:space="preserve">last year. Professional, scientific, technical and administrative activities tied to the business demand showed GVA growth of 0.8% last year. Plunge of the household consumption was on the </w:t>
            </w:r>
            <w:r w:rsidRPr="006E725C">
              <w:rPr>
                <w:lang w:val="en-GB"/>
              </w:rPr>
              <w:lastRenderedPageBreak/>
              <w:t>contrary mirrored in the GVA decreased in d</w:t>
            </w:r>
            <w:r w:rsidRPr="006E725C">
              <w:rPr>
                <w:rFonts w:cs="Arial"/>
                <w:szCs w:val="20"/>
                <w:lang w:val="en-GB"/>
              </w:rPr>
              <w:t xml:space="preserve">ivision trade, transport, accommodation and </w:t>
            </w:r>
            <w:r w:rsidR="00192BA8">
              <w:rPr>
                <w:rFonts w:cs="Arial"/>
                <w:szCs w:val="20"/>
                <w:lang w:val="en-GB"/>
              </w:rPr>
              <w:t>food service</w:t>
            </w:r>
            <w:r w:rsidRPr="006E725C">
              <w:rPr>
                <w:rFonts w:cs="Arial"/>
                <w:szCs w:val="20"/>
                <w:lang w:val="en-GB"/>
              </w:rPr>
              <w:t xml:space="preserve"> </w:t>
            </w:r>
            <w:r w:rsidRPr="006E725C">
              <w:rPr>
                <w:lang w:val="en-GB"/>
              </w:rPr>
              <w:t xml:space="preserve">(−1.8%). Weak investment activities in the area of structures are observed on the GVA decrease in construction (−1.2%), where the GVA decreased for the fifth time in a row. Gross value added in construction thus by one fifth lagged behind the peak in year 2018 last year. </w:t>
            </w:r>
          </w:p>
        </w:tc>
      </w:tr>
      <w:tr w:rsidR="0079457A" w:rsidRPr="006E725C" w14:paraId="4E285A14" w14:textId="77777777" w:rsidTr="005855B4">
        <w:trPr>
          <w:trHeight w:val="170"/>
        </w:trPr>
        <w:tc>
          <w:tcPr>
            <w:tcW w:w="1806" w:type="dxa"/>
            <w:vMerge w:val="restart"/>
            <w:shd w:val="clear" w:color="auto" w:fill="auto"/>
            <w:tcMar>
              <w:left w:w="0" w:type="dxa"/>
            </w:tcMar>
          </w:tcPr>
          <w:p w14:paraId="36421D85" w14:textId="77777777" w:rsidR="0079457A" w:rsidRPr="006E725C" w:rsidRDefault="0079457A" w:rsidP="0079457A">
            <w:pPr>
              <w:pStyle w:val="Marginlie"/>
              <w:rPr>
                <w:lang w:val="en-GB"/>
              </w:rPr>
            </w:pPr>
          </w:p>
        </w:tc>
        <w:tc>
          <w:tcPr>
            <w:tcW w:w="223" w:type="dxa"/>
            <w:vMerge w:val="restart"/>
            <w:shd w:val="clear" w:color="auto" w:fill="auto"/>
            <w:tcMar>
              <w:left w:w="0" w:type="dxa"/>
            </w:tcMar>
          </w:tcPr>
          <w:p w14:paraId="217351FB" w14:textId="77777777" w:rsidR="0079457A" w:rsidRPr="006E725C" w:rsidRDefault="0079457A" w:rsidP="0079457A">
            <w:pPr>
              <w:pStyle w:val="Textpoznpodarou"/>
              <w:jc w:val="both"/>
              <w:rPr>
                <w:spacing w:val="-4"/>
                <w:lang w:val="en-GB"/>
              </w:rPr>
            </w:pPr>
          </w:p>
        </w:tc>
        <w:tc>
          <w:tcPr>
            <w:tcW w:w="7610" w:type="dxa"/>
            <w:shd w:val="clear" w:color="auto" w:fill="auto"/>
            <w:tcMar>
              <w:left w:w="0" w:type="dxa"/>
            </w:tcMar>
          </w:tcPr>
          <w:p w14:paraId="601CDBC7" w14:textId="14CA3A93" w:rsidR="0079457A" w:rsidRPr="006E725C" w:rsidRDefault="0079457A" w:rsidP="0079457A">
            <w:pPr>
              <w:spacing w:after="0"/>
              <w:rPr>
                <w:lang w:val="en-GB"/>
              </w:rPr>
            </w:pPr>
            <w:r w:rsidRPr="006E725C">
              <w:rPr>
                <w:b/>
                <w:szCs w:val="20"/>
                <w:lang w:val="en-GB"/>
              </w:rPr>
              <w:t>Chart 3 Contributions</w:t>
            </w:r>
            <w:r w:rsidRPr="006E725C">
              <w:rPr>
                <w:b/>
                <w:szCs w:val="20"/>
                <w:lang w:val="en-GB" w:eastAsia="en-US"/>
              </w:rPr>
              <w:t xml:space="preserve"> of branches to real change in GVA</w:t>
            </w:r>
            <w:r w:rsidRPr="006E725C">
              <w:rPr>
                <w:rFonts w:cs="Arial"/>
                <w:b/>
                <w:szCs w:val="20"/>
                <w:lang w:val="en-GB" w:eastAsia="en-US"/>
              </w:rPr>
              <w:t xml:space="preserve"> </w:t>
            </w:r>
            <w:r w:rsidRPr="006E725C">
              <w:rPr>
                <w:rFonts w:cs="Arial"/>
                <w:bCs/>
                <w:szCs w:val="20"/>
                <w:lang w:val="en-GB" w:eastAsia="en-US"/>
              </w:rPr>
              <w:t>(volume indices, year-on-year contributions in p.p., GVA in %)</w:t>
            </w:r>
            <w:r w:rsidRPr="006E725C">
              <w:rPr>
                <w:rFonts w:cs="Arial"/>
                <w:szCs w:val="20"/>
                <w:lang w:val="en-GB" w:eastAsia="en-US"/>
              </w:rPr>
              <w:t xml:space="preserve"> </w:t>
            </w:r>
          </w:p>
        </w:tc>
      </w:tr>
      <w:tr w:rsidR="0079457A" w:rsidRPr="006E725C" w14:paraId="75B87697" w14:textId="77777777" w:rsidTr="0079457A">
        <w:tblPrEx>
          <w:tblCellMar>
            <w:left w:w="70" w:type="dxa"/>
            <w:right w:w="70" w:type="dxa"/>
          </w:tblCellMar>
        </w:tblPrEx>
        <w:trPr>
          <w:trHeight w:val="170"/>
        </w:trPr>
        <w:tc>
          <w:tcPr>
            <w:tcW w:w="1806" w:type="dxa"/>
            <w:vMerge/>
          </w:tcPr>
          <w:p w14:paraId="7D14839C" w14:textId="77777777" w:rsidR="0079457A" w:rsidRPr="006E725C" w:rsidRDefault="0079457A" w:rsidP="0079457A">
            <w:pPr>
              <w:pStyle w:val="Marginlie"/>
              <w:rPr>
                <w:lang w:val="en-GB"/>
              </w:rPr>
            </w:pPr>
          </w:p>
        </w:tc>
        <w:tc>
          <w:tcPr>
            <w:tcW w:w="223" w:type="dxa"/>
            <w:vMerge/>
          </w:tcPr>
          <w:p w14:paraId="1709E96A" w14:textId="77777777" w:rsidR="0079457A" w:rsidRPr="006E725C" w:rsidRDefault="0079457A" w:rsidP="0079457A">
            <w:pPr>
              <w:pStyle w:val="Textpoznpodarou"/>
              <w:jc w:val="both"/>
              <w:rPr>
                <w:spacing w:val="-4"/>
                <w:lang w:val="en-GB"/>
              </w:rPr>
            </w:pPr>
          </w:p>
        </w:tc>
        <w:tc>
          <w:tcPr>
            <w:tcW w:w="7610" w:type="dxa"/>
            <w:shd w:val="clear" w:color="auto" w:fill="auto"/>
          </w:tcPr>
          <w:p w14:paraId="724C5727" w14:textId="6B560A67" w:rsidR="0079457A" w:rsidRPr="006E725C" w:rsidRDefault="0079457A" w:rsidP="0079457A">
            <w:pPr>
              <w:spacing w:after="0"/>
              <w:rPr>
                <w:lang w:val="en-GB"/>
              </w:rPr>
            </w:pPr>
            <w:r>
              <w:rPr>
                <w:noProof/>
              </w:rPr>
              <w:drawing>
                <wp:inline distT="0" distB="0" distL="0" distR="0" wp14:anchorId="1DDA840E" wp14:editId="226B9ECD">
                  <wp:extent cx="4734425" cy="3486525"/>
                  <wp:effectExtent l="0" t="0" r="0" b="0"/>
                  <wp:docPr id="9" name="Graf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79457A" w:rsidRPr="006E725C" w14:paraId="0798EF6C" w14:textId="77777777" w:rsidTr="005855B4">
        <w:trPr>
          <w:trHeight w:val="170"/>
        </w:trPr>
        <w:tc>
          <w:tcPr>
            <w:tcW w:w="1806" w:type="dxa"/>
            <w:vMerge/>
            <w:tcMar>
              <w:left w:w="0" w:type="dxa"/>
            </w:tcMar>
          </w:tcPr>
          <w:p w14:paraId="40AA6FC6" w14:textId="77777777" w:rsidR="0079457A" w:rsidRPr="006E725C" w:rsidRDefault="0079457A" w:rsidP="0079457A">
            <w:pPr>
              <w:pStyle w:val="Marginlie"/>
              <w:rPr>
                <w:lang w:val="en-GB"/>
              </w:rPr>
            </w:pPr>
          </w:p>
        </w:tc>
        <w:tc>
          <w:tcPr>
            <w:tcW w:w="223" w:type="dxa"/>
            <w:vMerge/>
            <w:tcMar>
              <w:left w:w="0" w:type="dxa"/>
            </w:tcMar>
          </w:tcPr>
          <w:p w14:paraId="658ECE94" w14:textId="77777777" w:rsidR="0079457A" w:rsidRPr="006E725C" w:rsidRDefault="0079457A" w:rsidP="0079457A">
            <w:pPr>
              <w:pStyle w:val="Textpoznpodarou"/>
              <w:jc w:val="both"/>
              <w:rPr>
                <w:spacing w:val="-4"/>
                <w:lang w:val="en-GB"/>
              </w:rPr>
            </w:pPr>
          </w:p>
        </w:tc>
        <w:tc>
          <w:tcPr>
            <w:tcW w:w="7610" w:type="dxa"/>
            <w:shd w:val="clear" w:color="auto" w:fill="auto"/>
            <w:tcMar>
              <w:left w:w="0" w:type="dxa"/>
            </w:tcMar>
          </w:tcPr>
          <w:p w14:paraId="3297E0D4" w14:textId="2413E10A" w:rsidR="0079457A" w:rsidRPr="0079457A" w:rsidRDefault="0079457A" w:rsidP="0079457A">
            <w:pPr>
              <w:rPr>
                <w:sz w:val="14"/>
                <w:szCs w:val="14"/>
                <w:lang w:val="en-GB"/>
              </w:rPr>
            </w:pPr>
            <w:r w:rsidRPr="006E725C">
              <w:rPr>
                <w:sz w:val="14"/>
                <w:szCs w:val="14"/>
                <w:lang w:val="en-GB"/>
              </w:rPr>
              <w:t>Source: CZSO</w:t>
            </w:r>
          </w:p>
        </w:tc>
      </w:tr>
      <w:tr w:rsidR="0079457A" w:rsidRPr="006E725C" w14:paraId="5DEF988A" w14:textId="77777777" w:rsidTr="005855B4">
        <w:trPr>
          <w:trHeight w:val="145"/>
        </w:trPr>
        <w:tc>
          <w:tcPr>
            <w:tcW w:w="1806" w:type="dxa"/>
            <w:shd w:val="clear" w:color="auto" w:fill="auto"/>
            <w:tcMar>
              <w:left w:w="0" w:type="dxa"/>
            </w:tcMar>
          </w:tcPr>
          <w:p w14:paraId="52BEA2C4" w14:textId="106FE73E" w:rsidR="0079457A" w:rsidRPr="006E725C" w:rsidRDefault="0079457A" w:rsidP="0079457A">
            <w:pPr>
              <w:pStyle w:val="Marginlie"/>
              <w:rPr>
                <w:lang w:val="en-GB"/>
              </w:rPr>
            </w:pPr>
            <w:r w:rsidRPr="006E725C">
              <w:rPr>
                <w:lang w:val="en-GB"/>
              </w:rPr>
              <w:t xml:space="preserve">GVA </w:t>
            </w:r>
            <w:r>
              <w:rPr>
                <w:lang w:val="en-GB"/>
              </w:rPr>
              <w:t>increased both year-</w:t>
            </w:r>
            <w:r w:rsidRPr="006E725C">
              <w:rPr>
                <w:lang w:val="en-GB"/>
              </w:rPr>
              <w:t>on-year and quarter-on-quarter in Q4.</w:t>
            </w:r>
          </w:p>
        </w:tc>
        <w:tc>
          <w:tcPr>
            <w:tcW w:w="223" w:type="dxa"/>
            <w:shd w:val="clear" w:color="auto" w:fill="auto"/>
            <w:tcMar>
              <w:left w:w="0" w:type="dxa"/>
            </w:tcMar>
          </w:tcPr>
          <w:p w14:paraId="76770F98" w14:textId="77777777" w:rsidR="0079457A" w:rsidRPr="006E725C" w:rsidRDefault="0079457A" w:rsidP="0079457A">
            <w:pPr>
              <w:pStyle w:val="Textpoznpodarou"/>
              <w:jc w:val="both"/>
              <w:rPr>
                <w:spacing w:val="-4"/>
                <w:lang w:val="en-GB"/>
              </w:rPr>
            </w:pPr>
          </w:p>
        </w:tc>
        <w:tc>
          <w:tcPr>
            <w:tcW w:w="7610" w:type="dxa"/>
            <w:shd w:val="clear" w:color="auto" w:fill="auto"/>
            <w:tcMar>
              <w:left w:w="0" w:type="dxa"/>
            </w:tcMar>
          </w:tcPr>
          <w:p w14:paraId="509E249E" w14:textId="512AB6AD" w:rsidR="0079457A" w:rsidRPr="006E725C" w:rsidRDefault="0079457A" w:rsidP="0079457A">
            <w:pPr>
              <w:rPr>
                <w:lang w:val="en-GB"/>
              </w:rPr>
            </w:pPr>
            <w:r w:rsidRPr="006E725C">
              <w:rPr>
                <w:lang w:val="en-GB"/>
              </w:rPr>
              <w:t>The gross value added grew by 0.3% year-on-year in Q4 itself. Development in manufacturing contributed the most to the growth (GVA growth of 1.7%). Similarly to the rest of the year the remaining industrial branches did not thrive much and the substantial performance in manufacturing thus managed to drive the whole industry to the GVA increase of only 0.4 %. In Q4, the GVA grew strongly year-on-year in information and communication (4.0%) and among service real estate activities (1.6%), other service activities (1.4%), professional, scientific, technical and administrative activities (0.9%) and p</w:t>
            </w:r>
            <w:r w:rsidRPr="006E725C">
              <w:rPr>
                <w:rFonts w:cs="Arial"/>
                <w:szCs w:val="20"/>
                <w:lang w:val="en-GB"/>
              </w:rPr>
              <w:t xml:space="preserve">ublic administration, education, health and social work </w:t>
            </w:r>
            <w:r w:rsidRPr="006E725C">
              <w:rPr>
                <w:lang w:val="en-GB"/>
              </w:rPr>
              <w:t xml:space="preserve">(0.6%) attained an above average GVA. The division trade, transport, accommodation and restaurants (−1.8%) the most inhibited the total year-on-year GVA growth, GVA decreased also in financial and insurance activities (−1.8%) and also in construction (−0.4%). Following the two preceding decreases in Q4 the gross value added increased by 0.6% quarter-on-quarter. Revival in manufacturing was very strong (3.0%) and the GVA increased markedly in real estate activities (1.9%). Growth in professional, scientific, technical and administrative activities (0.9%) also revived. GVA went down quarter-on-quarter in construction (−2.5%), other activities (−2.0%) and in financial and insurance activities (−0.9%). </w:t>
            </w:r>
          </w:p>
        </w:tc>
      </w:tr>
    </w:tbl>
    <w:p w14:paraId="4BBBC97D" w14:textId="77777777" w:rsidR="00EA1EBB" w:rsidRPr="006E725C" w:rsidRDefault="00EA1EBB" w:rsidP="00EA1EBB">
      <w:pPr>
        <w:spacing w:after="0" w:line="240" w:lineRule="auto"/>
        <w:jc w:val="left"/>
        <w:rPr>
          <w:rFonts w:eastAsia="MS Gothic"/>
          <w:b/>
          <w:bCs/>
          <w:color w:val="71818C"/>
          <w:sz w:val="32"/>
          <w:szCs w:val="32"/>
          <w:highlight w:val="yellow"/>
          <w:lang w:val="en-GB"/>
        </w:rPr>
      </w:pPr>
    </w:p>
    <w:p w14:paraId="7E2D94B3" w14:textId="77777777" w:rsidR="00EA1EBB" w:rsidRPr="006E725C" w:rsidRDefault="00EA1EBB" w:rsidP="00EA1EBB">
      <w:pPr>
        <w:pStyle w:val="Nadpis11"/>
        <w:rPr>
          <w:sz w:val="2"/>
          <w:szCs w:val="2"/>
          <w:lang w:val="en-GB"/>
        </w:rPr>
      </w:pPr>
    </w:p>
    <w:p w14:paraId="35AEA47E" w14:textId="77777777" w:rsidR="00EA1EBB" w:rsidRPr="006E725C" w:rsidRDefault="00EA1EBB" w:rsidP="00EA1EBB">
      <w:pPr>
        <w:pStyle w:val="Nadpis11"/>
        <w:rPr>
          <w:sz w:val="2"/>
          <w:szCs w:val="2"/>
          <w:lang w:val="en-GB"/>
        </w:rPr>
      </w:pPr>
    </w:p>
    <w:p w14:paraId="54F64EBB" w14:textId="77777777" w:rsidR="005E53DC" w:rsidRPr="006E725C" w:rsidRDefault="005E53DC">
      <w:pPr>
        <w:spacing w:after="0" w:line="240" w:lineRule="auto"/>
        <w:jc w:val="left"/>
        <w:rPr>
          <w:rFonts w:eastAsia="MS Gothic"/>
          <w:b/>
          <w:bCs/>
          <w:color w:val="71818C"/>
          <w:sz w:val="32"/>
          <w:szCs w:val="32"/>
          <w:highlight w:val="yellow"/>
          <w:lang w:val="en-GB"/>
        </w:rPr>
      </w:pPr>
      <w:r w:rsidRPr="006E725C">
        <w:rPr>
          <w:szCs w:val="32"/>
          <w:highlight w:val="yellow"/>
          <w:lang w:val="en-GB"/>
        </w:rPr>
        <w:br w:type="page"/>
      </w:r>
    </w:p>
    <w:p w14:paraId="1831DE26" w14:textId="71D878C8" w:rsidR="00BA5125" w:rsidRPr="006E725C" w:rsidRDefault="00BA5125" w:rsidP="00BA5125">
      <w:pPr>
        <w:pStyle w:val="Nadpis11"/>
        <w:rPr>
          <w:lang w:val="en-GB"/>
        </w:rPr>
      </w:pPr>
      <w:bookmarkStart w:id="31" w:name="_Toc145318534"/>
      <w:bookmarkStart w:id="32" w:name="_Toc164682185"/>
      <w:bookmarkEnd w:id="25"/>
      <w:bookmarkEnd w:id="26"/>
      <w:bookmarkEnd w:id="27"/>
      <w:r w:rsidRPr="006E725C">
        <w:rPr>
          <w:szCs w:val="32"/>
          <w:lang w:val="en-GB"/>
        </w:rPr>
        <w:lastRenderedPageBreak/>
        <w:t>3</w:t>
      </w:r>
      <w:r w:rsidRPr="006E725C">
        <w:rPr>
          <w:lang w:val="en-GB"/>
        </w:rPr>
        <w:t>. </w:t>
      </w:r>
      <w:r w:rsidR="00CE35A8" w:rsidRPr="006E725C">
        <w:rPr>
          <w:lang w:val="en-GB"/>
        </w:rPr>
        <w:t>Branches Performance</w:t>
      </w:r>
      <w:bookmarkEnd w:id="32"/>
    </w:p>
    <w:p w14:paraId="4C24079C" w14:textId="77777777" w:rsidR="00BA5125" w:rsidRPr="006E725C" w:rsidRDefault="00BA5125" w:rsidP="00BA5125">
      <w:pPr>
        <w:pStyle w:val="Nadpis11"/>
        <w:rPr>
          <w:b w:val="0"/>
          <w:sz w:val="2"/>
          <w:szCs w:val="2"/>
          <w:highlight w:val="yellow"/>
          <w:lang w:val="en-GB"/>
        </w:rPr>
      </w:pPr>
    </w:p>
    <w:p w14:paraId="1D44C12B" w14:textId="77777777" w:rsidR="00BA5125" w:rsidRPr="006E725C" w:rsidRDefault="00BA5125" w:rsidP="00BA5125">
      <w:pPr>
        <w:pStyle w:val="Nadpis11"/>
        <w:rPr>
          <w:b w:val="0"/>
          <w:sz w:val="2"/>
          <w:szCs w:val="2"/>
          <w:highlight w:val="yellow"/>
          <w:lang w:val="en-GB"/>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14"/>
        <w:gridCol w:w="229"/>
        <w:gridCol w:w="7596"/>
      </w:tblGrid>
      <w:tr w:rsidR="00BA5125" w:rsidRPr="006E725C" w14:paraId="0038449A" w14:textId="77777777" w:rsidTr="00BA5125">
        <w:trPr>
          <w:trHeight w:val="145"/>
        </w:trPr>
        <w:tc>
          <w:tcPr>
            <w:tcW w:w="1814" w:type="dxa"/>
            <w:tcBorders>
              <w:top w:val="nil"/>
              <w:left w:val="nil"/>
              <w:bottom w:val="nil"/>
              <w:right w:val="nil"/>
            </w:tcBorders>
            <w:shd w:val="clear" w:color="auto" w:fill="auto"/>
            <w:tcMar>
              <w:left w:w="0" w:type="dxa"/>
            </w:tcMar>
          </w:tcPr>
          <w:p w14:paraId="71B34BC3" w14:textId="202E6BF6" w:rsidR="00BA5125" w:rsidRPr="006E725C" w:rsidRDefault="00163660" w:rsidP="00BA5125">
            <w:pPr>
              <w:pStyle w:val="Marginlie"/>
              <w:rPr>
                <w:lang w:val="en-GB"/>
              </w:rPr>
            </w:pPr>
            <w:r w:rsidRPr="006E725C">
              <w:rPr>
                <w:lang w:val="en-GB"/>
              </w:rPr>
              <w:t xml:space="preserve">Gross value added fell during both Q2 and Q3. </w:t>
            </w:r>
            <w:r w:rsidR="00D274B3" w:rsidRPr="006E725C">
              <w:rPr>
                <w:lang w:val="en-GB"/>
              </w:rPr>
              <w:t xml:space="preserve">Economic performance </w:t>
            </w:r>
            <w:r w:rsidR="00FD5056">
              <w:rPr>
                <w:lang w:val="en-GB"/>
              </w:rPr>
              <w:t xml:space="preserve">still </w:t>
            </w:r>
            <w:r w:rsidR="00D274B3" w:rsidRPr="006E725C">
              <w:rPr>
                <w:lang w:val="en-GB"/>
              </w:rPr>
              <w:t xml:space="preserve">did not reach the record level from year 2019 even at the end of the last year. </w:t>
            </w:r>
          </w:p>
          <w:p w14:paraId="066E5A13" w14:textId="77777777" w:rsidR="00BA5125" w:rsidRPr="006E725C" w:rsidRDefault="00BA5125" w:rsidP="00BA5125">
            <w:pPr>
              <w:pStyle w:val="Marginlie"/>
              <w:rPr>
                <w:lang w:val="en-GB"/>
              </w:rPr>
            </w:pPr>
          </w:p>
        </w:tc>
        <w:tc>
          <w:tcPr>
            <w:tcW w:w="229" w:type="dxa"/>
            <w:tcBorders>
              <w:top w:val="nil"/>
              <w:left w:val="nil"/>
              <w:bottom w:val="nil"/>
              <w:right w:val="nil"/>
            </w:tcBorders>
            <w:shd w:val="clear" w:color="auto" w:fill="auto"/>
            <w:tcMar>
              <w:left w:w="0" w:type="dxa"/>
            </w:tcMar>
          </w:tcPr>
          <w:p w14:paraId="52824379" w14:textId="77777777" w:rsidR="00BA5125" w:rsidRPr="006E725C" w:rsidRDefault="00BA5125" w:rsidP="00BA5125">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6A63581D" w14:textId="056EA1EC" w:rsidR="00BA5125" w:rsidRPr="006E725C" w:rsidRDefault="00D274B3" w:rsidP="00BA5125">
            <w:pPr>
              <w:spacing w:after="200"/>
              <w:rPr>
                <w:color w:val="0D0D0D" w:themeColor="text1" w:themeTint="F2"/>
                <w:lang w:val="en-GB"/>
              </w:rPr>
            </w:pPr>
            <w:r w:rsidRPr="006E725C">
              <w:rPr>
                <w:color w:val="0D0D0D" w:themeColor="text1" w:themeTint="F2"/>
                <w:lang w:val="en-GB"/>
              </w:rPr>
              <w:t>Data from the supply side of the economy confirm the weak econom</w:t>
            </w:r>
            <w:r w:rsidR="00460964" w:rsidRPr="006E725C">
              <w:rPr>
                <w:color w:val="0D0D0D" w:themeColor="text1" w:themeTint="F2"/>
                <w:lang w:val="en-GB"/>
              </w:rPr>
              <w:t>i</w:t>
            </w:r>
            <w:r w:rsidRPr="006E725C">
              <w:rPr>
                <w:color w:val="0D0D0D" w:themeColor="text1" w:themeTint="F2"/>
                <w:lang w:val="en-GB"/>
              </w:rPr>
              <w:t xml:space="preserve">c dynamics </w:t>
            </w:r>
            <w:r w:rsidR="003221F0" w:rsidRPr="006E725C">
              <w:rPr>
                <w:color w:val="0D0D0D" w:themeColor="text1" w:themeTint="F2"/>
                <w:lang w:val="en-GB"/>
              </w:rPr>
              <w:t xml:space="preserve">evident for the whole last year. </w:t>
            </w:r>
            <w:r w:rsidR="00460964" w:rsidRPr="006E725C">
              <w:rPr>
                <w:color w:val="0D0D0D" w:themeColor="text1" w:themeTint="F2"/>
                <w:lang w:val="en-GB"/>
              </w:rPr>
              <w:t xml:space="preserve">In Q1 </w:t>
            </w:r>
            <w:r w:rsidR="00BA5125" w:rsidRPr="006E725C">
              <w:rPr>
                <w:color w:val="0D0D0D" w:themeColor="text1" w:themeTint="F2"/>
                <w:lang w:val="en-GB"/>
              </w:rPr>
              <w:t xml:space="preserve">2023, </w:t>
            </w:r>
            <w:r w:rsidR="00460964" w:rsidRPr="006E725C">
              <w:rPr>
                <w:color w:val="0D0D0D" w:themeColor="text1" w:themeTint="F2"/>
                <w:lang w:val="en-GB"/>
              </w:rPr>
              <w:t xml:space="preserve">when the national economy extricated itself from mild recession, the gross value added </w:t>
            </w:r>
            <w:r w:rsidR="00BA5125" w:rsidRPr="006E725C">
              <w:rPr>
                <w:bCs/>
                <w:lang w:val="en-GB"/>
              </w:rPr>
              <w:t>(</w:t>
            </w:r>
            <w:r w:rsidR="00460964" w:rsidRPr="006E725C">
              <w:rPr>
                <w:bCs/>
                <w:lang w:val="en-GB"/>
              </w:rPr>
              <w:t>GVA</w:t>
            </w:r>
            <w:r w:rsidR="00BA5125" w:rsidRPr="006E725C">
              <w:rPr>
                <w:bCs/>
                <w:lang w:val="en-GB"/>
              </w:rPr>
              <w:t>)</w:t>
            </w:r>
            <w:r w:rsidR="00BA5125" w:rsidRPr="006E725C">
              <w:rPr>
                <w:rStyle w:val="Znakapoznpodarou"/>
                <w:color w:val="0D0D0D" w:themeColor="text1" w:themeTint="F2"/>
                <w:spacing w:val="-5"/>
                <w:lang w:val="en-GB"/>
              </w:rPr>
              <w:footnoteReference w:id="13"/>
            </w:r>
            <w:r w:rsidR="00BA5125" w:rsidRPr="006E725C">
              <w:rPr>
                <w:bCs/>
                <w:lang w:val="en-GB"/>
              </w:rPr>
              <w:t xml:space="preserve"> </w:t>
            </w:r>
            <w:r w:rsidR="00460964" w:rsidRPr="006E725C">
              <w:rPr>
                <w:bCs/>
                <w:lang w:val="en-GB"/>
              </w:rPr>
              <w:t xml:space="preserve">mildly rose quarter-on-quarter </w:t>
            </w:r>
            <w:r w:rsidR="00BA5125" w:rsidRPr="006E725C">
              <w:rPr>
                <w:bCs/>
                <w:lang w:val="en-GB"/>
              </w:rPr>
              <w:t>(+0</w:t>
            </w:r>
            <w:r w:rsidR="00460964" w:rsidRPr="006E725C">
              <w:rPr>
                <w:bCs/>
                <w:lang w:val="en-GB"/>
              </w:rPr>
              <w:t>.</w:t>
            </w:r>
            <w:r w:rsidR="00BA5125" w:rsidRPr="006E725C">
              <w:rPr>
                <w:bCs/>
                <w:lang w:val="en-GB"/>
              </w:rPr>
              <w:t>5%),</w:t>
            </w:r>
            <w:r w:rsidR="00460964" w:rsidRPr="006E725C">
              <w:rPr>
                <w:bCs/>
                <w:lang w:val="en-GB"/>
              </w:rPr>
              <w:t xml:space="preserve"> specifically mainly thanks to public services</w:t>
            </w:r>
            <w:r w:rsidR="00BA5125" w:rsidRPr="006E725C">
              <w:rPr>
                <w:rStyle w:val="Znakapoznpodarou"/>
                <w:bCs/>
                <w:lang w:val="en-GB"/>
              </w:rPr>
              <w:footnoteReference w:id="14"/>
            </w:r>
            <w:r w:rsidR="00BA5125" w:rsidRPr="006E725C">
              <w:rPr>
                <w:bCs/>
                <w:lang w:val="en-GB"/>
              </w:rPr>
              <w:t xml:space="preserve">, IT, </w:t>
            </w:r>
            <w:r w:rsidR="00460964" w:rsidRPr="006E725C">
              <w:rPr>
                <w:bCs/>
                <w:lang w:val="en-GB"/>
              </w:rPr>
              <w:t>but also construction</w:t>
            </w:r>
            <w:r w:rsidR="00BA5125" w:rsidRPr="006E725C">
              <w:rPr>
                <w:bCs/>
                <w:lang w:val="en-GB"/>
              </w:rPr>
              <w:t xml:space="preserve">, </w:t>
            </w:r>
            <w:r w:rsidR="00460964" w:rsidRPr="006E725C">
              <w:rPr>
                <w:bCs/>
                <w:lang w:val="en-GB"/>
              </w:rPr>
              <w:t>which revived due to unusually warm winter. T</w:t>
            </w:r>
            <w:r w:rsidR="009C175F" w:rsidRPr="006E725C">
              <w:rPr>
                <w:bCs/>
                <w:lang w:val="en-GB"/>
              </w:rPr>
              <w:t xml:space="preserve">he GVA growth halted during the two subsequent quarters. </w:t>
            </w:r>
            <w:r w:rsidR="000763A1" w:rsidRPr="006E725C">
              <w:rPr>
                <w:bCs/>
                <w:lang w:val="en-GB"/>
              </w:rPr>
              <w:t xml:space="preserve">The weak both internal and </w:t>
            </w:r>
            <w:r w:rsidR="00223E20">
              <w:rPr>
                <w:bCs/>
                <w:lang w:val="en-GB"/>
              </w:rPr>
              <w:t>external demand had still negative</w:t>
            </w:r>
            <w:r w:rsidR="000763A1" w:rsidRPr="006E725C">
              <w:rPr>
                <w:bCs/>
                <w:lang w:val="en-GB"/>
              </w:rPr>
              <w:t xml:space="preserve"> impact </w:t>
            </w:r>
            <w:r w:rsidR="00223E20">
              <w:rPr>
                <w:bCs/>
                <w:lang w:val="en-GB"/>
              </w:rPr>
              <w:t>on industry and</w:t>
            </w:r>
            <w:r w:rsidR="000763A1" w:rsidRPr="006E725C">
              <w:rPr>
                <w:bCs/>
                <w:lang w:val="en-GB"/>
              </w:rPr>
              <w:t xml:space="preserve"> construction performance. In addition, the ongoing slump of household consumption also weakened the key branch of services. </w:t>
            </w:r>
            <w:r w:rsidR="00F91C9B" w:rsidRPr="006E725C">
              <w:rPr>
                <w:bCs/>
                <w:lang w:val="en-GB"/>
              </w:rPr>
              <w:t>Consequently,</w:t>
            </w:r>
            <w:r w:rsidR="00495BE3">
              <w:rPr>
                <w:bCs/>
                <w:lang w:val="en-GB"/>
              </w:rPr>
              <w:t xml:space="preserve"> a partial recovery</w:t>
            </w:r>
            <w:r w:rsidR="000763A1" w:rsidRPr="006E725C">
              <w:rPr>
                <w:bCs/>
                <w:lang w:val="en-GB"/>
              </w:rPr>
              <w:t xml:space="preserve"> occurred at the end of the year and the total GVA </w:t>
            </w:r>
            <w:r w:rsidR="00F91C9B" w:rsidRPr="006E725C">
              <w:rPr>
                <w:bCs/>
                <w:lang w:val="en-GB"/>
              </w:rPr>
              <w:t xml:space="preserve">increased by </w:t>
            </w:r>
            <w:r w:rsidR="00BA5125" w:rsidRPr="006E725C">
              <w:rPr>
                <w:bCs/>
                <w:lang w:val="en-GB"/>
              </w:rPr>
              <w:t>0</w:t>
            </w:r>
            <w:r w:rsidR="00F91C9B" w:rsidRPr="006E725C">
              <w:rPr>
                <w:bCs/>
                <w:lang w:val="en-GB"/>
              </w:rPr>
              <w:t>.</w:t>
            </w:r>
            <w:r w:rsidR="00BA5125" w:rsidRPr="006E725C">
              <w:rPr>
                <w:bCs/>
                <w:lang w:val="en-GB"/>
              </w:rPr>
              <w:t>6%</w:t>
            </w:r>
            <w:r w:rsidR="00F91C9B" w:rsidRPr="006E725C">
              <w:rPr>
                <w:bCs/>
                <w:lang w:val="en-GB"/>
              </w:rPr>
              <w:t xml:space="preserve"> compared to Q3 2023. </w:t>
            </w:r>
            <w:r w:rsidR="00711A9E" w:rsidRPr="006E725C">
              <w:rPr>
                <w:bCs/>
                <w:lang w:val="en-GB"/>
              </w:rPr>
              <w:t>However, only manufacturing pulled by the growth of the pro-export production of motor vehicles essentially contributed to this result</w:t>
            </w:r>
            <w:r w:rsidR="00BA5125" w:rsidRPr="006E725C">
              <w:rPr>
                <w:bCs/>
                <w:lang w:val="en-GB"/>
              </w:rPr>
              <w:t xml:space="preserve">, </w:t>
            </w:r>
            <w:r w:rsidR="00B60AE2" w:rsidRPr="006E725C">
              <w:rPr>
                <w:bCs/>
                <w:lang w:val="en-GB"/>
              </w:rPr>
              <w:t xml:space="preserve">since the performance in the majority of services activities rather stagnated. </w:t>
            </w:r>
            <w:r w:rsidR="00E35439">
              <w:rPr>
                <w:bCs/>
                <w:lang w:val="en-GB"/>
              </w:rPr>
              <w:t>Also</w:t>
            </w:r>
            <w:r w:rsidR="00EA5892" w:rsidRPr="006E725C">
              <w:rPr>
                <w:bCs/>
                <w:lang w:val="en-GB"/>
              </w:rPr>
              <w:t xml:space="preserve"> for this reason</w:t>
            </w:r>
            <w:r w:rsidR="00E35439">
              <w:rPr>
                <w:bCs/>
                <w:lang w:val="en-GB"/>
              </w:rPr>
              <w:t>,</w:t>
            </w:r>
            <w:r w:rsidR="00EA5892" w:rsidRPr="006E725C">
              <w:rPr>
                <w:bCs/>
                <w:lang w:val="en-GB"/>
              </w:rPr>
              <w:t xml:space="preserve"> the total economy GVA </w:t>
            </w:r>
            <w:r w:rsidR="00495BE3">
              <w:rPr>
                <w:bCs/>
                <w:lang w:val="en-GB"/>
              </w:rPr>
              <w:t>still slightly stayed behind its</w:t>
            </w:r>
            <w:r w:rsidR="00EA5892" w:rsidRPr="006E725C">
              <w:rPr>
                <w:bCs/>
                <w:lang w:val="en-GB"/>
              </w:rPr>
              <w:t xml:space="preserve"> peak from the period of the pre-pandemic expansion </w:t>
            </w:r>
            <w:r w:rsidR="00BA5125" w:rsidRPr="006E725C">
              <w:rPr>
                <w:bCs/>
                <w:lang w:val="en-GB"/>
              </w:rPr>
              <w:t>(</w:t>
            </w:r>
            <w:r w:rsidR="00EA5892" w:rsidRPr="006E725C">
              <w:rPr>
                <w:bCs/>
                <w:lang w:val="en-GB"/>
              </w:rPr>
              <w:t xml:space="preserve">by </w:t>
            </w:r>
            <w:r w:rsidR="00BA5125" w:rsidRPr="006E725C">
              <w:rPr>
                <w:bCs/>
                <w:lang w:val="en-GB"/>
              </w:rPr>
              <w:t>0</w:t>
            </w:r>
            <w:r w:rsidR="00EA5892" w:rsidRPr="006E725C">
              <w:rPr>
                <w:bCs/>
                <w:lang w:val="en-GB"/>
              </w:rPr>
              <w:t>.</w:t>
            </w:r>
            <w:r w:rsidR="00BA5125" w:rsidRPr="006E725C">
              <w:rPr>
                <w:bCs/>
                <w:lang w:val="en-GB"/>
              </w:rPr>
              <w:t>1%</w:t>
            </w:r>
            <w:r w:rsidR="00495BE3">
              <w:rPr>
                <w:bCs/>
                <w:lang w:val="en-GB"/>
              </w:rPr>
              <w:t xml:space="preserve">, compared with </w:t>
            </w:r>
            <w:r w:rsidR="00495BE3" w:rsidRPr="006E725C">
              <w:rPr>
                <w:bCs/>
                <w:lang w:val="en-GB"/>
              </w:rPr>
              <w:t>Q4 2019</w:t>
            </w:r>
            <w:r w:rsidR="00BA5125" w:rsidRPr="006E725C">
              <w:rPr>
                <w:bCs/>
                <w:lang w:val="en-GB"/>
              </w:rPr>
              <w:t>).</w:t>
            </w:r>
          </w:p>
        </w:tc>
      </w:tr>
      <w:tr w:rsidR="00BA5125" w:rsidRPr="006E725C" w14:paraId="208EB2F5" w14:textId="77777777" w:rsidTr="00BA5125">
        <w:trPr>
          <w:trHeight w:val="145"/>
        </w:trPr>
        <w:tc>
          <w:tcPr>
            <w:tcW w:w="1814" w:type="dxa"/>
            <w:tcBorders>
              <w:top w:val="nil"/>
              <w:left w:val="nil"/>
              <w:bottom w:val="nil"/>
              <w:right w:val="nil"/>
            </w:tcBorders>
            <w:shd w:val="clear" w:color="auto" w:fill="auto"/>
            <w:tcMar>
              <w:left w:w="0" w:type="dxa"/>
            </w:tcMar>
          </w:tcPr>
          <w:p w14:paraId="09AC8949" w14:textId="53921540" w:rsidR="00BA5125" w:rsidRPr="006E725C" w:rsidRDefault="00FD5056" w:rsidP="00BA5125">
            <w:pPr>
              <w:pStyle w:val="Marginlie"/>
              <w:rPr>
                <w:lang w:val="en-GB"/>
              </w:rPr>
            </w:pPr>
            <w:r>
              <w:rPr>
                <w:lang w:val="en-GB"/>
              </w:rPr>
              <w:t xml:space="preserve">Manufacturing and IT </w:t>
            </w:r>
            <w:r w:rsidR="006B757B" w:rsidRPr="006E725C">
              <w:rPr>
                <w:lang w:val="en-GB"/>
              </w:rPr>
              <w:t>contributed the most to the y</w:t>
            </w:r>
            <w:r>
              <w:rPr>
                <w:lang w:val="en-GB"/>
              </w:rPr>
              <w:t>ear-on-year GVA growth in 2023.</w:t>
            </w:r>
            <w:r w:rsidR="006B757B" w:rsidRPr="006E725C">
              <w:rPr>
                <w:lang w:val="en-GB"/>
              </w:rPr>
              <w:t xml:space="preserve"> </w:t>
            </w:r>
            <w:r>
              <w:rPr>
                <w:lang w:val="en-GB"/>
              </w:rPr>
              <w:t>T</w:t>
            </w:r>
            <w:r w:rsidR="00947C89" w:rsidRPr="006E725C">
              <w:rPr>
                <w:lang w:val="en-GB"/>
              </w:rPr>
              <w:t xml:space="preserve">he slump of mainly the mining and energy industry performance had the opposite effect. </w:t>
            </w:r>
          </w:p>
          <w:p w14:paraId="3B1B77FC" w14:textId="77777777" w:rsidR="00BA5125" w:rsidRPr="006E725C" w:rsidRDefault="00BA5125" w:rsidP="00BA5125">
            <w:pPr>
              <w:pStyle w:val="Marginlie"/>
              <w:rPr>
                <w:color w:val="0D0D0D" w:themeColor="text1" w:themeTint="F2"/>
                <w:spacing w:val="-4"/>
                <w:lang w:val="en-GB"/>
              </w:rPr>
            </w:pPr>
          </w:p>
        </w:tc>
        <w:tc>
          <w:tcPr>
            <w:tcW w:w="229" w:type="dxa"/>
            <w:tcBorders>
              <w:top w:val="nil"/>
              <w:left w:val="nil"/>
              <w:bottom w:val="nil"/>
              <w:right w:val="nil"/>
            </w:tcBorders>
            <w:shd w:val="clear" w:color="auto" w:fill="auto"/>
            <w:tcMar>
              <w:left w:w="0" w:type="dxa"/>
            </w:tcMar>
          </w:tcPr>
          <w:p w14:paraId="27D6C4D2" w14:textId="77777777" w:rsidR="00BA5125" w:rsidRPr="006E725C" w:rsidRDefault="00BA5125" w:rsidP="00BA5125">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75498560" w14:textId="7C8D853B" w:rsidR="00BA5125" w:rsidRPr="006E725C" w:rsidRDefault="009C175F" w:rsidP="00BA5125">
            <w:pPr>
              <w:spacing w:after="200"/>
              <w:rPr>
                <w:color w:val="0D0D0D" w:themeColor="text1" w:themeTint="F2"/>
                <w:spacing w:val="-4"/>
                <w:lang w:val="en-GB"/>
              </w:rPr>
            </w:pPr>
            <w:r w:rsidRPr="006E725C">
              <w:rPr>
                <w:color w:val="0D0D0D" w:themeColor="text1" w:themeTint="F2"/>
                <w:spacing w:val="-4"/>
                <w:lang w:val="en-GB"/>
              </w:rPr>
              <w:t>Total GVA increased by 0.</w:t>
            </w:r>
            <w:r w:rsidR="00BA5125" w:rsidRPr="006E725C">
              <w:rPr>
                <w:color w:val="0D0D0D" w:themeColor="text1" w:themeTint="F2"/>
                <w:spacing w:val="-4"/>
                <w:lang w:val="en-GB"/>
              </w:rPr>
              <w:t>5%</w:t>
            </w:r>
            <w:r w:rsidRPr="006E725C">
              <w:rPr>
                <w:color w:val="0D0D0D" w:themeColor="text1" w:themeTint="F2"/>
                <w:spacing w:val="-4"/>
                <w:lang w:val="en-GB"/>
              </w:rPr>
              <w:t xml:space="preserve"> for the whole year 2023</w:t>
            </w:r>
            <w:r w:rsidR="00BA5125" w:rsidRPr="006E725C">
              <w:rPr>
                <w:color w:val="0D0D0D" w:themeColor="text1" w:themeTint="F2"/>
                <w:spacing w:val="-4"/>
                <w:lang w:val="en-GB"/>
              </w:rPr>
              <w:t xml:space="preserve">, </w:t>
            </w:r>
            <w:r w:rsidRPr="006E725C">
              <w:rPr>
                <w:color w:val="0D0D0D" w:themeColor="text1" w:themeTint="F2"/>
                <w:spacing w:val="-4"/>
                <w:lang w:val="en-GB"/>
              </w:rPr>
              <w:t xml:space="preserve">when the year-on-year growth eased its pace for the second year in a row. </w:t>
            </w:r>
            <w:r w:rsidR="00947C89" w:rsidRPr="006E725C">
              <w:rPr>
                <w:color w:val="0D0D0D" w:themeColor="text1" w:themeTint="F2"/>
                <w:spacing w:val="-4"/>
                <w:lang w:val="en-GB"/>
              </w:rPr>
              <w:t xml:space="preserve">Manufacturing </w:t>
            </w:r>
            <w:r w:rsidR="00BA5125" w:rsidRPr="006E725C">
              <w:rPr>
                <w:color w:val="0D0D0D" w:themeColor="text1" w:themeTint="F2"/>
                <w:spacing w:val="-4"/>
                <w:lang w:val="en-GB"/>
              </w:rPr>
              <w:t>(+0</w:t>
            </w:r>
            <w:r w:rsidR="00947C89" w:rsidRPr="006E725C">
              <w:rPr>
                <w:color w:val="0D0D0D" w:themeColor="text1" w:themeTint="F2"/>
                <w:spacing w:val="-4"/>
                <w:lang w:val="en-GB"/>
              </w:rPr>
              <w:t>.</w:t>
            </w:r>
            <w:r w:rsidR="00BA5125" w:rsidRPr="006E725C">
              <w:rPr>
                <w:color w:val="0D0D0D" w:themeColor="text1" w:themeTint="F2"/>
                <w:spacing w:val="-4"/>
                <w:lang w:val="en-GB"/>
              </w:rPr>
              <w:t>5 p.</w:t>
            </w:r>
            <w:r w:rsidR="00947C89" w:rsidRPr="006E725C">
              <w:rPr>
                <w:color w:val="0D0D0D" w:themeColor="text1" w:themeTint="F2"/>
                <w:spacing w:val="-4"/>
                <w:lang w:val="en-GB"/>
              </w:rPr>
              <w:t>p.</w:t>
            </w:r>
            <w:r w:rsidR="00BA5125" w:rsidRPr="006E725C">
              <w:rPr>
                <w:color w:val="0D0D0D" w:themeColor="text1" w:themeTint="F2"/>
                <w:spacing w:val="-4"/>
                <w:lang w:val="en-GB"/>
              </w:rPr>
              <w:t xml:space="preserve">), </w:t>
            </w:r>
            <w:r w:rsidR="00947C89" w:rsidRPr="006E725C">
              <w:rPr>
                <w:color w:val="0D0D0D" w:themeColor="text1" w:themeTint="F2"/>
                <w:spacing w:val="-4"/>
                <w:lang w:val="en-GB"/>
              </w:rPr>
              <w:t xml:space="preserve">whose output increased by </w:t>
            </w:r>
            <w:r w:rsidR="00BA5125" w:rsidRPr="006E725C">
              <w:rPr>
                <w:color w:val="0D0D0D" w:themeColor="text1" w:themeTint="F2"/>
                <w:spacing w:val="-4"/>
                <w:lang w:val="en-GB"/>
              </w:rPr>
              <w:t>2</w:t>
            </w:r>
            <w:r w:rsidR="00947C89" w:rsidRPr="006E725C">
              <w:rPr>
                <w:color w:val="0D0D0D" w:themeColor="text1" w:themeTint="F2"/>
                <w:spacing w:val="-4"/>
                <w:lang w:val="en-GB"/>
              </w:rPr>
              <w:t>.</w:t>
            </w:r>
            <w:r w:rsidR="00BA5125" w:rsidRPr="006E725C">
              <w:rPr>
                <w:color w:val="0D0D0D" w:themeColor="text1" w:themeTint="F2"/>
                <w:spacing w:val="-4"/>
                <w:lang w:val="en-GB"/>
              </w:rPr>
              <w:t>2%</w:t>
            </w:r>
            <w:r w:rsidR="00947C89" w:rsidRPr="006E725C">
              <w:rPr>
                <w:color w:val="0D0D0D" w:themeColor="text1" w:themeTint="F2"/>
                <w:spacing w:val="-4"/>
                <w:lang w:val="en-GB"/>
              </w:rPr>
              <w:t xml:space="preserve"> last year,</w:t>
            </w:r>
            <w:r w:rsidR="006B757B" w:rsidRPr="006E725C">
              <w:rPr>
                <w:color w:val="0D0D0D" w:themeColor="text1" w:themeTint="F2"/>
                <w:spacing w:val="-4"/>
                <w:lang w:val="en-GB"/>
              </w:rPr>
              <w:t xml:space="preserve"> contributed to the growth the most for the third time in a row.</w:t>
            </w:r>
            <w:r w:rsidR="009154EF" w:rsidRPr="006E725C">
              <w:rPr>
                <w:color w:val="0D0D0D" w:themeColor="text1" w:themeTint="F2"/>
                <w:spacing w:val="-4"/>
                <w:lang w:val="en-GB"/>
              </w:rPr>
              <w:t xml:space="preserve"> Long-term developing information and communication</w:t>
            </w:r>
            <w:r w:rsidR="00FD5056">
              <w:rPr>
                <w:color w:val="0D0D0D" w:themeColor="text1" w:themeTint="F2"/>
                <w:spacing w:val="-4"/>
                <w:lang w:val="en-GB"/>
              </w:rPr>
              <w:t xml:space="preserve"> activities (IT)</w:t>
            </w:r>
            <w:r w:rsidR="009154EF" w:rsidRPr="006E725C">
              <w:rPr>
                <w:color w:val="0D0D0D" w:themeColor="text1" w:themeTint="F2"/>
                <w:spacing w:val="-4"/>
                <w:lang w:val="en-GB"/>
              </w:rPr>
              <w:t xml:space="preserve">, where the GVA rose the most among all the main branches </w:t>
            </w:r>
            <w:r w:rsidR="00BA5125" w:rsidRPr="006E725C">
              <w:rPr>
                <w:color w:val="0D0D0D" w:themeColor="text1" w:themeTint="F2"/>
                <w:spacing w:val="-4"/>
                <w:lang w:val="en-GB"/>
              </w:rPr>
              <w:t>(6</w:t>
            </w:r>
            <w:r w:rsidR="009154EF" w:rsidRPr="006E725C">
              <w:rPr>
                <w:color w:val="0D0D0D" w:themeColor="text1" w:themeTint="F2"/>
                <w:spacing w:val="-4"/>
                <w:lang w:val="en-GB"/>
              </w:rPr>
              <w:t>.</w:t>
            </w:r>
            <w:r w:rsidR="00BA5125" w:rsidRPr="006E725C">
              <w:rPr>
                <w:color w:val="0D0D0D" w:themeColor="text1" w:themeTint="F2"/>
                <w:spacing w:val="-4"/>
                <w:lang w:val="en-GB"/>
              </w:rPr>
              <w:t>2%)</w:t>
            </w:r>
            <w:r w:rsidR="00374AB7">
              <w:rPr>
                <w:color w:val="0D0D0D" w:themeColor="text1" w:themeTint="F2"/>
                <w:spacing w:val="-4"/>
                <w:lang w:val="en-GB"/>
              </w:rPr>
              <w:t>,</w:t>
            </w:r>
            <w:r w:rsidR="00FD5056">
              <w:rPr>
                <w:color w:val="0D0D0D" w:themeColor="text1" w:themeTint="F2"/>
                <w:spacing w:val="-4"/>
                <w:lang w:val="en-GB"/>
              </w:rPr>
              <w:t xml:space="preserve"> had almost the same</w:t>
            </w:r>
            <w:r w:rsidR="006B757B" w:rsidRPr="006E725C">
              <w:rPr>
                <w:color w:val="0D0D0D" w:themeColor="text1" w:themeTint="F2"/>
                <w:spacing w:val="-4"/>
                <w:lang w:val="en-GB"/>
              </w:rPr>
              <w:t xml:space="preserve"> effect</w:t>
            </w:r>
            <w:r w:rsidR="00BA5125" w:rsidRPr="006E725C">
              <w:rPr>
                <w:color w:val="0D0D0D" w:themeColor="text1" w:themeTint="F2"/>
                <w:spacing w:val="-4"/>
                <w:lang w:val="en-GB"/>
              </w:rPr>
              <w:t>.</w:t>
            </w:r>
            <w:r w:rsidR="006B757B" w:rsidRPr="006E725C">
              <w:rPr>
                <w:color w:val="0D0D0D" w:themeColor="text1" w:themeTint="F2"/>
                <w:spacing w:val="-4"/>
                <w:lang w:val="en-GB"/>
              </w:rPr>
              <w:t xml:space="preserve"> Public services also played an appreciable role </w:t>
            </w:r>
            <w:r w:rsidR="00BA5125" w:rsidRPr="006E725C">
              <w:rPr>
                <w:color w:val="0D0D0D" w:themeColor="text1" w:themeTint="F2"/>
                <w:spacing w:val="-4"/>
                <w:lang w:val="en-GB"/>
              </w:rPr>
              <w:t>(+0</w:t>
            </w:r>
            <w:r w:rsidR="006B757B" w:rsidRPr="006E725C">
              <w:rPr>
                <w:color w:val="0D0D0D" w:themeColor="text1" w:themeTint="F2"/>
                <w:spacing w:val="-4"/>
                <w:lang w:val="en-GB"/>
              </w:rPr>
              <w:t>.</w:t>
            </w:r>
            <w:r w:rsidR="00BA5125" w:rsidRPr="006E725C">
              <w:rPr>
                <w:color w:val="0D0D0D" w:themeColor="text1" w:themeTint="F2"/>
                <w:spacing w:val="-4"/>
                <w:lang w:val="en-GB"/>
              </w:rPr>
              <w:t>2 p.</w:t>
            </w:r>
            <w:r w:rsidR="006B757B" w:rsidRPr="006E725C">
              <w:rPr>
                <w:color w:val="0D0D0D" w:themeColor="text1" w:themeTint="F2"/>
                <w:spacing w:val="-4"/>
                <w:lang w:val="en-GB"/>
              </w:rPr>
              <w:t>p</w:t>
            </w:r>
            <w:r w:rsidR="00BA5125" w:rsidRPr="006E725C">
              <w:rPr>
                <w:color w:val="0D0D0D" w:themeColor="text1" w:themeTint="F2"/>
                <w:spacing w:val="-4"/>
                <w:lang w:val="en-GB"/>
              </w:rPr>
              <w:t xml:space="preserve">.), </w:t>
            </w:r>
            <w:r w:rsidR="006B757B" w:rsidRPr="006E725C">
              <w:rPr>
                <w:color w:val="0D0D0D" w:themeColor="text1" w:themeTint="F2"/>
                <w:spacing w:val="-4"/>
                <w:lang w:val="en-GB"/>
              </w:rPr>
              <w:t xml:space="preserve">even though their performance increased the least in the last eight years </w:t>
            </w:r>
            <w:r w:rsidR="00BA5125" w:rsidRPr="006E725C">
              <w:rPr>
                <w:color w:val="0D0D0D" w:themeColor="text1" w:themeTint="F2"/>
                <w:spacing w:val="-4"/>
                <w:lang w:val="en-GB"/>
              </w:rPr>
              <w:t>(1</w:t>
            </w:r>
            <w:r w:rsidR="006B757B" w:rsidRPr="006E725C">
              <w:rPr>
                <w:color w:val="0D0D0D" w:themeColor="text1" w:themeTint="F2"/>
                <w:spacing w:val="-4"/>
                <w:lang w:val="en-GB"/>
              </w:rPr>
              <w:t>.</w:t>
            </w:r>
            <w:r w:rsidR="00BA5125" w:rsidRPr="006E725C">
              <w:rPr>
                <w:color w:val="0D0D0D" w:themeColor="text1" w:themeTint="F2"/>
                <w:spacing w:val="-4"/>
                <w:lang w:val="en-GB"/>
              </w:rPr>
              <w:t xml:space="preserve">1%). </w:t>
            </w:r>
            <w:r w:rsidR="006B757B" w:rsidRPr="006E725C">
              <w:rPr>
                <w:color w:val="0D0D0D" w:themeColor="text1" w:themeTint="F2"/>
                <w:spacing w:val="-4"/>
                <w:lang w:val="en-GB"/>
              </w:rPr>
              <w:t xml:space="preserve">On the contrary, </w:t>
            </w:r>
            <w:r w:rsidR="00E61CD0" w:rsidRPr="006E725C">
              <w:rPr>
                <w:color w:val="0D0D0D" w:themeColor="text1" w:themeTint="F2"/>
                <w:spacing w:val="-4"/>
                <w:lang w:val="en-GB"/>
              </w:rPr>
              <w:t xml:space="preserve">mainly mining and quarrying, where the GVA dived by nearly one fifth year-on-year and exerted strength against the growth of the whole economy </w:t>
            </w:r>
            <w:r w:rsidR="00BA5125" w:rsidRPr="006E725C">
              <w:rPr>
                <w:color w:val="0D0D0D" w:themeColor="text1" w:themeTint="F2"/>
                <w:spacing w:val="-4"/>
                <w:lang w:val="en-GB"/>
              </w:rPr>
              <w:t>(</w:t>
            </w:r>
            <w:r w:rsidR="00BA5125" w:rsidRPr="006E725C">
              <w:rPr>
                <w:color w:val="0D0D0D" w:themeColor="text1" w:themeTint="F2"/>
                <w:lang w:val="en-GB"/>
              </w:rPr>
              <w:t>−</w:t>
            </w:r>
            <w:r w:rsidR="00BA5125" w:rsidRPr="006E725C">
              <w:rPr>
                <w:color w:val="0D0D0D" w:themeColor="text1" w:themeTint="F2"/>
                <w:spacing w:val="-4"/>
                <w:lang w:val="en-GB"/>
              </w:rPr>
              <w:t>0</w:t>
            </w:r>
            <w:r w:rsidR="00E61CD0" w:rsidRPr="006E725C">
              <w:rPr>
                <w:color w:val="0D0D0D" w:themeColor="text1" w:themeTint="F2"/>
                <w:spacing w:val="-4"/>
                <w:lang w:val="en-GB"/>
              </w:rPr>
              <w:t>.</w:t>
            </w:r>
            <w:r w:rsidR="00BA5125" w:rsidRPr="006E725C">
              <w:rPr>
                <w:color w:val="0D0D0D" w:themeColor="text1" w:themeTint="F2"/>
                <w:spacing w:val="-4"/>
                <w:lang w:val="en-GB"/>
              </w:rPr>
              <w:t>4 p.</w:t>
            </w:r>
            <w:r w:rsidR="00E61CD0" w:rsidRPr="006E725C">
              <w:rPr>
                <w:color w:val="0D0D0D" w:themeColor="text1" w:themeTint="F2"/>
                <w:spacing w:val="-4"/>
                <w:lang w:val="en-GB"/>
              </w:rPr>
              <w:t>p</w:t>
            </w:r>
            <w:r w:rsidR="00BA5125" w:rsidRPr="006E725C">
              <w:rPr>
                <w:color w:val="0D0D0D" w:themeColor="text1" w:themeTint="F2"/>
                <w:spacing w:val="-4"/>
                <w:lang w:val="en-GB"/>
              </w:rPr>
              <w:t>.)</w:t>
            </w:r>
            <w:r w:rsidR="00BA5125" w:rsidRPr="006E725C">
              <w:rPr>
                <w:rStyle w:val="Znakapoznpodarou"/>
                <w:color w:val="0D0D0D" w:themeColor="text1" w:themeTint="F2"/>
                <w:spacing w:val="-4"/>
                <w:lang w:val="en-GB"/>
              </w:rPr>
              <w:footnoteReference w:id="15"/>
            </w:r>
            <w:r w:rsidR="00832A1C">
              <w:rPr>
                <w:color w:val="0D0D0D" w:themeColor="text1" w:themeTint="F2"/>
                <w:spacing w:val="-4"/>
                <w:lang w:val="en-GB"/>
              </w:rPr>
              <w:t>,</w:t>
            </w:r>
            <w:r w:rsidR="00E61CD0" w:rsidRPr="006E725C">
              <w:rPr>
                <w:color w:val="0D0D0D" w:themeColor="text1" w:themeTint="F2"/>
                <w:spacing w:val="-4"/>
                <w:lang w:val="en-GB"/>
              </w:rPr>
              <w:t xml:space="preserve"> had a negative effect</w:t>
            </w:r>
            <w:r w:rsidR="00BA5125" w:rsidRPr="006E725C">
              <w:rPr>
                <w:color w:val="0D0D0D" w:themeColor="text1" w:themeTint="F2"/>
                <w:spacing w:val="-4"/>
                <w:lang w:val="en-GB"/>
              </w:rPr>
              <w:t xml:space="preserve">. </w:t>
            </w:r>
            <w:r w:rsidR="006D66DD">
              <w:rPr>
                <w:color w:val="0D0D0D" w:themeColor="text1" w:themeTint="F2"/>
                <w:spacing w:val="-4"/>
                <w:lang w:val="en-GB"/>
              </w:rPr>
              <w:t xml:space="preserve">The grouping of </w:t>
            </w:r>
            <w:r w:rsidR="00A01F62" w:rsidRPr="006E725C">
              <w:rPr>
                <w:color w:val="0D0D0D" w:themeColor="text1" w:themeTint="F2"/>
                <w:spacing w:val="-4"/>
                <w:lang w:val="en-GB"/>
              </w:rPr>
              <w:t>t</w:t>
            </w:r>
            <w:r w:rsidR="00DB4BF1" w:rsidRPr="006E725C">
              <w:rPr>
                <w:color w:val="0D0D0D" w:themeColor="text1" w:themeTint="F2"/>
                <w:spacing w:val="-4"/>
                <w:lang w:val="en-GB"/>
              </w:rPr>
              <w:t>rade, transport, accommodation and restaurants, whose performance lowered by 1.8% for the last</w:t>
            </w:r>
            <w:r w:rsidR="00A01F62" w:rsidRPr="006E725C">
              <w:rPr>
                <w:color w:val="0D0D0D" w:themeColor="text1" w:themeTint="F2"/>
                <w:spacing w:val="-4"/>
                <w:lang w:val="en-GB"/>
              </w:rPr>
              <w:t xml:space="preserve"> year</w:t>
            </w:r>
            <w:r w:rsidR="00832A1C">
              <w:rPr>
                <w:color w:val="0D0D0D" w:themeColor="text1" w:themeTint="F2"/>
                <w:spacing w:val="-4"/>
                <w:lang w:val="en-GB"/>
              </w:rPr>
              <w:t>,</w:t>
            </w:r>
            <w:r w:rsidR="00DB4BF1" w:rsidRPr="006E725C">
              <w:rPr>
                <w:color w:val="0D0D0D" w:themeColor="text1" w:themeTint="F2"/>
                <w:spacing w:val="-4"/>
                <w:lang w:val="en-GB"/>
              </w:rPr>
              <w:t xml:space="preserve"> </w:t>
            </w:r>
            <w:r w:rsidR="00E61CD0" w:rsidRPr="006E725C">
              <w:rPr>
                <w:bCs/>
                <w:lang w:val="en-GB"/>
              </w:rPr>
              <w:t>also had a comparable effect on the</w:t>
            </w:r>
            <w:r w:rsidR="00DB4BF1" w:rsidRPr="006E725C">
              <w:rPr>
                <w:bCs/>
                <w:lang w:val="en-GB"/>
              </w:rPr>
              <w:t xml:space="preserve"> GVA development</w:t>
            </w:r>
            <w:r w:rsidR="00BA5125" w:rsidRPr="006E725C">
              <w:rPr>
                <w:bCs/>
                <w:lang w:val="en-GB"/>
              </w:rPr>
              <w:t xml:space="preserve">. </w:t>
            </w:r>
            <w:r w:rsidR="00A6428C" w:rsidRPr="006E725C">
              <w:rPr>
                <w:bCs/>
                <w:lang w:val="en-GB"/>
              </w:rPr>
              <w:t xml:space="preserve">The impact of the considerable drop of consumption of the domestic households </w:t>
            </w:r>
            <w:r w:rsidR="00E35439">
              <w:rPr>
                <w:bCs/>
                <w:lang w:val="en-GB"/>
              </w:rPr>
              <w:t>(</w:t>
            </w:r>
            <w:r w:rsidR="00A6428C" w:rsidRPr="006E725C">
              <w:rPr>
                <w:bCs/>
                <w:lang w:val="en-GB"/>
              </w:rPr>
              <w:t xml:space="preserve">for both basic and </w:t>
            </w:r>
            <w:r w:rsidR="006428D3" w:rsidRPr="006E725C">
              <w:rPr>
                <w:bCs/>
                <w:lang w:val="en-GB"/>
              </w:rPr>
              <w:t>“</w:t>
            </w:r>
            <w:r w:rsidR="00802B5F">
              <w:rPr>
                <w:bCs/>
                <w:lang w:val="en-GB"/>
              </w:rPr>
              <w:t>non-essential”</w:t>
            </w:r>
            <w:r w:rsidR="006D66DD">
              <w:rPr>
                <w:bCs/>
                <w:lang w:val="en-GB"/>
              </w:rPr>
              <w:t xml:space="preserve"> goods</w:t>
            </w:r>
            <w:r w:rsidR="00E35439">
              <w:rPr>
                <w:bCs/>
                <w:lang w:val="en-GB"/>
              </w:rPr>
              <w:t xml:space="preserve">) was to some extent </w:t>
            </w:r>
            <w:r w:rsidR="00A6428C" w:rsidRPr="006E725C">
              <w:rPr>
                <w:bCs/>
                <w:lang w:val="en-GB"/>
              </w:rPr>
              <w:t xml:space="preserve">softened by the rising demand of non-residents in tourism. </w:t>
            </w:r>
            <w:r w:rsidR="000A3FD4" w:rsidRPr="006E725C">
              <w:rPr>
                <w:bCs/>
                <w:lang w:val="en-GB"/>
              </w:rPr>
              <w:t xml:space="preserve">The GVA </w:t>
            </w:r>
            <w:r w:rsidR="00A6428C" w:rsidRPr="006E725C">
              <w:rPr>
                <w:bCs/>
                <w:lang w:val="en-GB"/>
              </w:rPr>
              <w:t>in</w:t>
            </w:r>
            <w:r w:rsidR="00E35439">
              <w:rPr>
                <w:bCs/>
                <w:lang w:val="en-GB"/>
              </w:rPr>
              <w:t xml:space="preserve"> construction fell for the fifth year</w:t>
            </w:r>
            <w:r w:rsidR="000A3FD4" w:rsidRPr="006E725C">
              <w:rPr>
                <w:bCs/>
                <w:lang w:val="en-GB"/>
              </w:rPr>
              <w:t xml:space="preserve"> in a row, </w:t>
            </w:r>
            <w:r w:rsidR="00411F34" w:rsidRPr="006E725C">
              <w:rPr>
                <w:bCs/>
                <w:lang w:val="en-GB"/>
              </w:rPr>
              <w:t xml:space="preserve">nevertheless the last year’s decrease was the least pronounced for this time period </w:t>
            </w:r>
            <w:r w:rsidR="00BA5125" w:rsidRPr="006E725C">
              <w:rPr>
                <w:bCs/>
                <w:lang w:val="en-GB"/>
              </w:rPr>
              <w:t>(−1</w:t>
            </w:r>
            <w:r w:rsidR="00411F34" w:rsidRPr="006E725C">
              <w:rPr>
                <w:bCs/>
                <w:lang w:val="en-GB"/>
              </w:rPr>
              <w:t>.</w:t>
            </w:r>
            <w:r w:rsidR="00BA5125" w:rsidRPr="006E725C">
              <w:rPr>
                <w:bCs/>
                <w:lang w:val="en-GB"/>
              </w:rPr>
              <w:t>2%) a</w:t>
            </w:r>
            <w:r w:rsidR="000A3FD4" w:rsidRPr="006E725C">
              <w:rPr>
                <w:bCs/>
                <w:lang w:val="en-GB"/>
              </w:rPr>
              <w:t xml:space="preserve">nd its macroeconomic impact thus remained overshadowed by other branches. </w:t>
            </w:r>
            <w:r w:rsidR="00BA5125" w:rsidRPr="006E725C">
              <w:rPr>
                <w:bCs/>
                <w:lang w:val="en-GB"/>
              </w:rPr>
              <w:t xml:space="preserve"> </w:t>
            </w:r>
          </w:p>
        </w:tc>
      </w:tr>
      <w:tr w:rsidR="00BA5125" w:rsidRPr="006E725C" w14:paraId="285CC07E" w14:textId="77777777" w:rsidTr="00BA5125">
        <w:trPr>
          <w:trHeight w:val="145"/>
        </w:trPr>
        <w:tc>
          <w:tcPr>
            <w:tcW w:w="1814" w:type="dxa"/>
            <w:tcBorders>
              <w:top w:val="nil"/>
              <w:left w:val="nil"/>
              <w:bottom w:val="nil"/>
              <w:right w:val="nil"/>
            </w:tcBorders>
            <w:shd w:val="clear" w:color="auto" w:fill="auto"/>
            <w:tcMar>
              <w:left w:w="0" w:type="dxa"/>
            </w:tcMar>
          </w:tcPr>
          <w:p w14:paraId="1D7416E1" w14:textId="6283E95A" w:rsidR="00BA5125" w:rsidRPr="006E725C" w:rsidRDefault="00C04DD9" w:rsidP="00BA5125">
            <w:pPr>
              <w:pStyle w:val="Marginlie"/>
              <w:rPr>
                <w:color w:val="0D0D0D" w:themeColor="text1" w:themeTint="F2"/>
                <w:spacing w:val="-4"/>
                <w:lang w:val="en-GB"/>
              </w:rPr>
            </w:pPr>
            <w:r w:rsidRPr="006E725C">
              <w:rPr>
                <w:color w:val="0D0D0D" w:themeColor="text1" w:themeTint="F2"/>
                <w:spacing w:val="-4"/>
                <w:lang w:val="en-GB"/>
              </w:rPr>
              <w:t xml:space="preserve">The decrease of wood logging moderated. Production of meat kept further declining. Last year’s harvest was good for most main crops. </w:t>
            </w:r>
          </w:p>
        </w:tc>
        <w:tc>
          <w:tcPr>
            <w:tcW w:w="229" w:type="dxa"/>
            <w:tcBorders>
              <w:top w:val="nil"/>
              <w:left w:val="nil"/>
              <w:bottom w:val="nil"/>
              <w:right w:val="nil"/>
            </w:tcBorders>
            <w:shd w:val="clear" w:color="auto" w:fill="auto"/>
            <w:tcMar>
              <w:left w:w="0" w:type="dxa"/>
            </w:tcMar>
          </w:tcPr>
          <w:p w14:paraId="099E8038" w14:textId="77777777" w:rsidR="00BA5125" w:rsidRPr="006E725C" w:rsidRDefault="00BA5125" w:rsidP="00BA5125">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20A9ACF4" w14:textId="63F5998E" w:rsidR="00BA5125" w:rsidRPr="006E725C" w:rsidRDefault="00C04DD9" w:rsidP="00BA5125">
            <w:pPr>
              <w:spacing w:after="200"/>
              <w:rPr>
                <w:color w:val="0D0D0D" w:themeColor="text1" w:themeTint="F2"/>
                <w:lang w:val="en-GB"/>
              </w:rPr>
            </w:pPr>
            <w:r w:rsidRPr="006E725C">
              <w:rPr>
                <w:bCs/>
                <w:color w:val="0D0D0D" w:themeColor="text1" w:themeTint="F2"/>
                <w:lang w:val="en-GB"/>
              </w:rPr>
              <w:t xml:space="preserve">In the primary </w:t>
            </w:r>
            <w:r w:rsidR="00D8188C" w:rsidRPr="006E725C">
              <w:rPr>
                <w:bCs/>
                <w:color w:val="0D0D0D" w:themeColor="text1" w:themeTint="F2"/>
                <w:lang w:val="en-GB"/>
              </w:rPr>
              <w:t>sector,</w:t>
            </w:r>
            <w:r w:rsidRPr="006E725C">
              <w:rPr>
                <w:bCs/>
                <w:color w:val="0D0D0D" w:themeColor="text1" w:themeTint="F2"/>
                <w:lang w:val="en-GB"/>
              </w:rPr>
              <w:t xml:space="preserve"> the GVA nearly did not change last year</w:t>
            </w:r>
            <w:r w:rsidR="00E35439">
              <w:rPr>
                <w:bCs/>
                <w:color w:val="0D0D0D" w:themeColor="text1" w:themeTint="F2"/>
                <w:lang w:val="en-GB"/>
              </w:rPr>
              <w:t xml:space="preserve"> </w:t>
            </w:r>
            <w:r w:rsidR="00E35439" w:rsidRPr="006E725C">
              <w:rPr>
                <w:bCs/>
                <w:color w:val="0D0D0D" w:themeColor="text1" w:themeTint="F2"/>
                <w:lang w:val="en-GB"/>
              </w:rPr>
              <w:t>(+0.</w:t>
            </w:r>
            <w:r w:rsidR="00E35439">
              <w:rPr>
                <w:bCs/>
                <w:color w:val="0D0D0D" w:themeColor="text1" w:themeTint="F2"/>
                <w:lang w:val="en-GB"/>
              </w:rPr>
              <w:t>3%),</w:t>
            </w:r>
            <w:r w:rsidR="00E35439" w:rsidRPr="006E725C">
              <w:rPr>
                <w:bCs/>
                <w:color w:val="0D0D0D" w:themeColor="text1" w:themeTint="F2"/>
                <w:lang w:val="en-GB"/>
              </w:rPr>
              <w:t xml:space="preserve"> </w:t>
            </w:r>
            <w:r w:rsidRPr="006E725C">
              <w:rPr>
                <w:bCs/>
                <w:color w:val="0D0D0D" w:themeColor="text1" w:themeTint="F2"/>
                <w:lang w:val="en-GB"/>
              </w:rPr>
              <w:t xml:space="preserve">following two more notable decreases in years </w:t>
            </w:r>
            <w:r w:rsidR="00BA5125" w:rsidRPr="006E725C">
              <w:rPr>
                <w:bCs/>
                <w:color w:val="0D0D0D" w:themeColor="text1" w:themeTint="F2"/>
                <w:lang w:val="en-GB"/>
              </w:rPr>
              <w:t>2021 a</w:t>
            </w:r>
            <w:r w:rsidRPr="006E725C">
              <w:rPr>
                <w:bCs/>
                <w:color w:val="0D0D0D" w:themeColor="text1" w:themeTint="F2"/>
                <w:lang w:val="en-GB"/>
              </w:rPr>
              <w:t>nd</w:t>
            </w:r>
            <w:r w:rsidR="00BA5125" w:rsidRPr="006E725C">
              <w:rPr>
                <w:bCs/>
                <w:color w:val="0D0D0D" w:themeColor="text1" w:themeTint="F2"/>
                <w:lang w:val="en-GB"/>
              </w:rPr>
              <w:t xml:space="preserve"> 2022. </w:t>
            </w:r>
            <w:r w:rsidR="007E2C81" w:rsidRPr="006E725C">
              <w:rPr>
                <w:bCs/>
                <w:color w:val="0D0D0D" w:themeColor="text1" w:themeTint="F2"/>
                <w:lang w:val="en-GB"/>
              </w:rPr>
              <w:t>The decline of the bark beetle wood logging prevailed</w:t>
            </w:r>
            <w:r w:rsidR="00BA5125" w:rsidRPr="006E725C">
              <w:rPr>
                <w:bCs/>
                <w:color w:val="0D0D0D" w:themeColor="text1" w:themeTint="F2"/>
                <w:lang w:val="en-GB"/>
              </w:rPr>
              <w:t xml:space="preserve">, </w:t>
            </w:r>
            <w:r w:rsidR="00A06E2D" w:rsidRPr="006E725C">
              <w:rPr>
                <w:bCs/>
                <w:color w:val="0D0D0D" w:themeColor="text1" w:themeTint="F2"/>
                <w:lang w:val="en-GB"/>
              </w:rPr>
              <w:t xml:space="preserve">but at a slower pace compared to the preceding two years. The volume of total logging gradually approaches the level from before the onset of the bark beetle outbreak </w:t>
            </w:r>
            <w:r w:rsidR="00BA5125" w:rsidRPr="006E725C">
              <w:rPr>
                <w:bCs/>
                <w:color w:val="0D0D0D" w:themeColor="text1" w:themeTint="F2"/>
                <w:lang w:val="en-GB"/>
              </w:rPr>
              <w:t>(</w:t>
            </w:r>
            <w:r w:rsidR="00A06E2D" w:rsidRPr="006E725C">
              <w:rPr>
                <w:bCs/>
                <w:color w:val="0D0D0D" w:themeColor="text1" w:themeTint="F2"/>
                <w:lang w:val="en-GB"/>
              </w:rPr>
              <w:t xml:space="preserve">year </w:t>
            </w:r>
            <w:r w:rsidR="00BA5125" w:rsidRPr="006E725C">
              <w:rPr>
                <w:bCs/>
                <w:color w:val="0D0D0D" w:themeColor="text1" w:themeTint="F2"/>
                <w:lang w:val="en-GB"/>
              </w:rPr>
              <w:t xml:space="preserve">2017). </w:t>
            </w:r>
            <w:r w:rsidR="008620A3" w:rsidRPr="006E725C">
              <w:rPr>
                <w:bCs/>
                <w:color w:val="0D0D0D" w:themeColor="text1" w:themeTint="F2"/>
                <w:lang w:val="en-GB"/>
              </w:rPr>
              <w:t xml:space="preserve">Production of meat in slaughterhouses </w:t>
            </w:r>
            <w:r w:rsidR="00A01F62" w:rsidRPr="006E725C">
              <w:rPr>
                <w:bCs/>
                <w:color w:val="0D0D0D" w:themeColor="text1" w:themeTint="F2"/>
                <w:lang w:val="en-GB"/>
              </w:rPr>
              <w:t xml:space="preserve">decreased </w:t>
            </w:r>
            <w:r w:rsidR="008620A3" w:rsidRPr="006E725C">
              <w:rPr>
                <w:color w:val="0D0D0D" w:themeColor="text1" w:themeTint="F2"/>
                <w:lang w:val="en-GB"/>
              </w:rPr>
              <w:t>last year in agriculture</w:t>
            </w:r>
            <w:r w:rsidR="00BA5125" w:rsidRPr="006E725C">
              <w:rPr>
                <w:color w:val="0D0D0D" w:themeColor="text1" w:themeTint="F2"/>
                <w:lang w:val="en-GB"/>
              </w:rPr>
              <w:t xml:space="preserve"> (−2</w:t>
            </w:r>
            <w:r w:rsidR="008620A3" w:rsidRPr="006E725C">
              <w:rPr>
                <w:color w:val="0D0D0D" w:themeColor="text1" w:themeTint="F2"/>
                <w:lang w:val="en-GB"/>
              </w:rPr>
              <w:t>.</w:t>
            </w:r>
            <w:r w:rsidR="00BA5125" w:rsidRPr="006E725C">
              <w:rPr>
                <w:color w:val="0D0D0D" w:themeColor="text1" w:themeTint="F2"/>
                <w:lang w:val="en-GB"/>
              </w:rPr>
              <w:t xml:space="preserve">6%), </w:t>
            </w:r>
            <w:r w:rsidR="007E2C81" w:rsidRPr="006E725C">
              <w:rPr>
                <w:color w:val="0D0D0D" w:themeColor="text1" w:themeTint="F2"/>
                <w:lang w:val="en-GB"/>
              </w:rPr>
              <w:t xml:space="preserve">however less than in year </w:t>
            </w:r>
            <w:r w:rsidR="00BA5125" w:rsidRPr="006E725C">
              <w:rPr>
                <w:color w:val="0D0D0D" w:themeColor="text1" w:themeTint="F2"/>
                <w:lang w:val="en-GB"/>
              </w:rPr>
              <w:t>2022 (−4</w:t>
            </w:r>
            <w:r w:rsidR="007E2C81" w:rsidRPr="006E725C">
              <w:rPr>
                <w:color w:val="0D0D0D" w:themeColor="text1" w:themeTint="F2"/>
                <w:lang w:val="en-GB"/>
              </w:rPr>
              <w:t>.</w:t>
            </w:r>
            <w:r w:rsidR="00BA5125" w:rsidRPr="006E725C">
              <w:rPr>
                <w:color w:val="0D0D0D" w:themeColor="text1" w:themeTint="F2"/>
                <w:lang w:val="en-GB"/>
              </w:rPr>
              <w:t xml:space="preserve">2%). </w:t>
            </w:r>
            <w:r w:rsidR="007E2C81" w:rsidRPr="006E725C">
              <w:rPr>
                <w:color w:val="0D0D0D" w:themeColor="text1" w:themeTint="F2"/>
                <w:lang w:val="en-GB"/>
              </w:rPr>
              <w:t>In contrast the long-term trend of mild strengthening of the milk production persisted</w:t>
            </w:r>
            <w:r w:rsidR="00BA5125" w:rsidRPr="006E725C">
              <w:rPr>
                <w:rStyle w:val="Znakapoznpodarou"/>
                <w:color w:val="0D0D0D" w:themeColor="text1" w:themeTint="F2"/>
                <w:lang w:val="en-GB"/>
              </w:rPr>
              <w:footnoteReference w:id="16"/>
            </w:r>
            <w:r w:rsidR="00BA5125" w:rsidRPr="006E725C">
              <w:rPr>
                <w:color w:val="0D0D0D" w:themeColor="text1" w:themeTint="F2"/>
                <w:lang w:val="en-GB"/>
              </w:rPr>
              <w:t xml:space="preserve">. </w:t>
            </w:r>
            <w:r w:rsidR="008620A3" w:rsidRPr="006E725C">
              <w:rPr>
                <w:color w:val="0D0D0D" w:themeColor="text1" w:themeTint="F2"/>
                <w:lang w:val="en-GB"/>
              </w:rPr>
              <w:t>Even though the majority of main crops experienced year-on-year decrease of harvest</w:t>
            </w:r>
            <w:r w:rsidR="00BA5125" w:rsidRPr="006E725C">
              <w:rPr>
                <w:rStyle w:val="Znakapoznpodarou"/>
                <w:color w:val="0D0D0D" w:themeColor="text1" w:themeTint="F2"/>
                <w:lang w:val="en-GB"/>
              </w:rPr>
              <w:footnoteReference w:id="17"/>
            </w:r>
            <w:r w:rsidR="00E35439">
              <w:rPr>
                <w:color w:val="0D0D0D" w:themeColor="text1" w:themeTint="F2"/>
                <w:lang w:val="en-GB"/>
              </w:rPr>
              <w:t xml:space="preserve">, </w:t>
            </w:r>
            <w:r w:rsidR="008620A3" w:rsidRPr="006E725C">
              <w:rPr>
                <w:color w:val="0D0D0D" w:themeColor="text1" w:themeTint="F2"/>
                <w:lang w:val="en-GB"/>
              </w:rPr>
              <w:t xml:space="preserve">still </w:t>
            </w:r>
            <w:r w:rsidR="006B39E1">
              <w:rPr>
                <w:color w:val="0D0D0D" w:themeColor="text1" w:themeTint="F2"/>
                <w:lang w:val="en-GB"/>
              </w:rPr>
              <w:t xml:space="preserve">the </w:t>
            </w:r>
            <w:r w:rsidR="006B39E1">
              <w:rPr>
                <w:color w:val="0D0D0D" w:themeColor="text1" w:themeTint="F2"/>
                <w:lang w:val="en-GB"/>
              </w:rPr>
              <w:lastRenderedPageBreak/>
              <w:t>harvest</w:t>
            </w:r>
            <w:r w:rsidR="008620A3" w:rsidRPr="006E725C">
              <w:rPr>
                <w:color w:val="0D0D0D" w:themeColor="text1" w:themeTint="F2"/>
                <w:lang w:val="en-GB"/>
              </w:rPr>
              <w:t xml:space="preserve"> </w:t>
            </w:r>
            <w:r w:rsidR="006B39E1">
              <w:rPr>
                <w:color w:val="0D0D0D" w:themeColor="text1" w:themeTint="F2"/>
                <w:lang w:val="en-GB"/>
              </w:rPr>
              <w:t xml:space="preserve">in 2023 </w:t>
            </w:r>
            <w:r w:rsidR="00E35439">
              <w:rPr>
                <w:color w:val="0D0D0D" w:themeColor="text1" w:themeTint="F2"/>
                <w:lang w:val="en-GB"/>
              </w:rPr>
              <w:t>can</w:t>
            </w:r>
            <w:r w:rsidR="008620A3" w:rsidRPr="006E725C">
              <w:rPr>
                <w:color w:val="0D0D0D" w:themeColor="text1" w:themeTint="F2"/>
                <w:lang w:val="en-GB"/>
              </w:rPr>
              <w:t xml:space="preserve"> be considered good </w:t>
            </w:r>
            <w:r w:rsidR="00BA5125" w:rsidRPr="006E725C">
              <w:rPr>
                <w:color w:val="0D0D0D" w:themeColor="text1" w:themeTint="F2"/>
                <w:lang w:val="en-GB"/>
              </w:rPr>
              <w:t>(</w:t>
            </w:r>
            <w:r w:rsidR="008620A3" w:rsidRPr="006E725C">
              <w:rPr>
                <w:color w:val="0D0D0D" w:themeColor="text1" w:themeTint="F2"/>
                <w:lang w:val="en-GB"/>
              </w:rPr>
              <w:t>even above-average for some cereals or oil plants</w:t>
            </w:r>
            <w:r w:rsidR="00BA5125" w:rsidRPr="006E725C">
              <w:rPr>
                <w:color w:val="0D0D0D" w:themeColor="text1" w:themeTint="F2"/>
                <w:lang w:val="en-GB"/>
              </w:rPr>
              <w:t>).</w:t>
            </w:r>
          </w:p>
        </w:tc>
      </w:tr>
      <w:tr w:rsidR="00BA5125" w:rsidRPr="006E725C" w14:paraId="1D2392A2" w14:textId="77777777" w:rsidTr="00BA5125">
        <w:trPr>
          <w:trHeight w:val="145"/>
        </w:trPr>
        <w:tc>
          <w:tcPr>
            <w:tcW w:w="1814" w:type="dxa"/>
            <w:tcBorders>
              <w:top w:val="nil"/>
              <w:left w:val="nil"/>
              <w:bottom w:val="nil"/>
              <w:right w:val="nil"/>
            </w:tcBorders>
            <w:shd w:val="clear" w:color="auto" w:fill="auto"/>
            <w:tcMar>
              <w:left w:w="0" w:type="dxa"/>
            </w:tcMar>
          </w:tcPr>
          <w:p w14:paraId="09516FED" w14:textId="0B61776F" w:rsidR="00BA5125" w:rsidRPr="006E725C" w:rsidRDefault="00572FDF" w:rsidP="00BA5125">
            <w:pPr>
              <w:pStyle w:val="Marginlie"/>
              <w:rPr>
                <w:color w:val="0D0D0D" w:themeColor="text1" w:themeTint="F2"/>
                <w:spacing w:val="-4"/>
                <w:lang w:val="en-GB"/>
              </w:rPr>
            </w:pPr>
            <w:r w:rsidRPr="006E725C">
              <w:rPr>
                <w:color w:val="0D0D0D" w:themeColor="text1" w:themeTint="F2"/>
                <w:spacing w:val="-4"/>
                <w:lang w:val="en-GB"/>
              </w:rPr>
              <w:lastRenderedPageBreak/>
              <w:t>Industry went through a cyclical downturn.</w:t>
            </w:r>
            <w:r w:rsidR="0044227A" w:rsidRPr="006E725C">
              <w:rPr>
                <w:color w:val="0D0D0D" w:themeColor="text1" w:themeTint="F2"/>
                <w:spacing w:val="-4"/>
                <w:lang w:val="en-GB"/>
              </w:rPr>
              <w:t xml:space="preserve"> It faced high price level of inputs as well as weak internal and external demand for the whole last year. </w:t>
            </w:r>
          </w:p>
          <w:p w14:paraId="143F9BE3" w14:textId="128B9FEB" w:rsidR="00BA5125" w:rsidRDefault="00BA5125" w:rsidP="00BA5125">
            <w:pPr>
              <w:pStyle w:val="Marginlie"/>
              <w:rPr>
                <w:color w:val="0D0D0D" w:themeColor="text1" w:themeTint="F2"/>
                <w:spacing w:val="-4"/>
                <w:lang w:val="en-GB"/>
              </w:rPr>
            </w:pPr>
          </w:p>
          <w:p w14:paraId="1182AA07" w14:textId="5E911422" w:rsidR="002D26B8" w:rsidRDefault="002D26B8" w:rsidP="00BA5125">
            <w:pPr>
              <w:pStyle w:val="Marginlie"/>
              <w:rPr>
                <w:color w:val="0D0D0D" w:themeColor="text1" w:themeTint="F2"/>
                <w:spacing w:val="-4"/>
                <w:lang w:val="en-GB"/>
              </w:rPr>
            </w:pPr>
          </w:p>
          <w:p w14:paraId="7EBE4001" w14:textId="31F1DBA2" w:rsidR="002D26B8" w:rsidRDefault="002D26B8" w:rsidP="00BA5125">
            <w:pPr>
              <w:pStyle w:val="Marginlie"/>
              <w:rPr>
                <w:color w:val="0D0D0D" w:themeColor="text1" w:themeTint="F2"/>
                <w:spacing w:val="-4"/>
                <w:lang w:val="en-GB"/>
              </w:rPr>
            </w:pPr>
          </w:p>
          <w:p w14:paraId="2683AEF1" w14:textId="77777777" w:rsidR="002D26B8" w:rsidRPr="006E725C" w:rsidRDefault="002D26B8" w:rsidP="00BA5125">
            <w:pPr>
              <w:pStyle w:val="Marginlie"/>
              <w:rPr>
                <w:color w:val="0D0D0D" w:themeColor="text1" w:themeTint="F2"/>
                <w:spacing w:val="-4"/>
                <w:lang w:val="en-GB"/>
              </w:rPr>
            </w:pPr>
          </w:p>
          <w:p w14:paraId="674BFD33" w14:textId="7ED1A6E7" w:rsidR="00BA5125" w:rsidRPr="006E725C" w:rsidRDefault="0044227A" w:rsidP="00BA5125">
            <w:pPr>
              <w:pStyle w:val="Marginlie"/>
              <w:rPr>
                <w:color w:val="0D0D0D" w:themeColor="text1" w:themeTint="F2"/>
                <w:spacing w:val="-4"/>
                <w:lang w:val="en-GB"/>
              </w:rPr>
            </w:pPr>
            <w:r w:rsidRPr="006E725C">
              <w:rPr>
                <w:color w:val="0D0D0D" w:themeColor="text1" w:themeTint="F2"/>
                <w:spacing w:val="-4"/>
                <w:lang w:val="en-GB"/>
              </w:rPr>
              <w:t xml:space="preserve">Adverse development of industry </w:t>
            </w:r>
            <w:r w:rsidR="00812708">
              <w:rPr>
                <w:color w:val="0D0D0D" w:themeColor="text1" w:themeTint="F2"/>
                <w:spacing w:val="-4"/>
                <w:lang w:val="en-GB"/>
              </w:rPr>
              <w:t>was m</w:t>
            </w:r>
            <w:r w:rsidRPr="006E725C">
              <w:rPr>
                <w:color w:val="0D0D0D" w:themeColor="text1" w:themeTint="F2"/>
                <w:spacing w:val="-4"/>
                <w:lang w:val="en-GB"/>
              </w:rPr>
              <w:t xml:space="preserve">itigated by higher production of motor vehicle manufacturing. Neither this industry however avoided short-term outages. </w:t>
            </w:r>
            <w:r w:rsidR="00BA5125" w:rsidRPr="006E725C">
              <w:rPr>
                <w:color w:val="0D0D0D" w:themeColor="text1" w:themeTint="F2"/>
                <w:spacing w:val="-4"/>
                <w:lang w:val="en-GB"/>
              </w:rPr>
              <w:t xml:space="preserve"> </w:t>
            </w:r>
          </w:p>
        </w:tc>
        <w:tc>
          <w:tcPr>
            <w:tcW w:w="229" w:type="dxa"/>
            <w:tcBorders>
              <w:top w:val="nil"/>
              <w:left w:val="nil"/>
              <w:bottom w:val="nil"/>
              <w:right w:val="nil"/>
            </w:tcBorders>
            <w:shd w:val="clear" w:color="auto" w:fill="auto"/>
            <w:tcMar>
              <w:left w:w="0" w:type="dxa"/>
            </w:tcMar>
          </w:tcPr>
          <w:p w14:paraId="693D6E08" w14:textId="77777777" w:rsidR="00BA5125" w:rsidRPr="006E725C" w:rsidRDefault="00BA5125" w:rsidP="00BA5125">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74B3274F" w14:textId="0E648B56" w:rsidR="00BA5125" w:rsidRPr="006E725C" w:rsidRDefault="00581B64" w:rsidP="00BA5125">
            <w:pPr>
              <w:spacing w:after="0"/>
              <w:rPr>
                <w:color w:val="0D0D0D" w:themeColor="text1" w:themeTint="F2"/>
                <w:spacing w:val="-4"/>
                <w:lang w:val="en-GB"/>
              </w:rPr>
            </w:pPr>
            <w:r w:rsidRPr="006E725C">
              <w:rPr>
                <w:color w:val="0D0D0D" w:themeColor="text1" w:themeTint="F2"/>
                <w:spacing w:val="-4"/>
                <w:lang w:val="en-GB"/>
              </w:rPr>
              <w:t xml:space="preserve">Industry in the CR, similarly to </w:t>
            </w:r>
            <w:r w:rsidR="00572FDF" w:rsidRPr="006E725C">
              <w:rPr>
                <w:color w:val="0D0D0D" w:themeColor="text1" w:themeTint="F2"/>
                <w:spacing w:val="-4"/>
                <w:lang w:val="en-GB"/>
              </w:rPr>
              <w:t>most of</w:t>
            </w:r>
            <w:r w:rsidRPr="006E725C">
              <w:rPr>
                <w:color w:val="0D0D0D" w:themeColor="text1" w:themeTint="F2"/>
                <w:spacing w:val="-4"/>
                <w:lang w:val="en-GB"/>
              </w:rPr>
              <w:t xml:space="preserve"> the EU states</w:t>
            </w:r>
            <w:r w:rsidR="00BA5125" w:rsidRPr="006E725C">
              <w:rPr>
                <w:color w:val="0D0D0D" w:themeColor="text1" w:themeTint="F2"/>
                <w:spacing w:val="-4"/>
                <w:lang w:val="en-GB"/>
              </w:rPr>
              <w:t>,</w:t>
            </w:r>
            <w:r w:rsidRPr="006E725C">
              <w:rPr>
                <w:color w:val="0D0D0D" w:themeColor="text1" w:themeTint="F2"/>
                <w:spacing w:val="-4"/>
                <w:lang w:val="en-GB"/>
              </w:rPr>
              <w:t xml:space="preserve"> was situated in the cyclical downturn last year, whose beginning can be traced already to the half of year </w:t>
            </w:r>
            <w:r w:rsidR="00BA5125" w:rsidRPr="006E725C">
              <w:rPr>
                <w:color w:val="0D0D0D" w:themeColor="text1" w:themeTint="F2"/>
                <w:spacing w:val="-4"/>
                <w:lang w:val="en-GB"/>
              </w:rPr>
              <w:t xml:space="preserve">2022. </w:t>
            </w:r>
            <w:r w:rsidR="00715231" w:rsidRPr="006E725C">
              <w:rPr>
                <w:color w:val="0D0D0D" w:themeColor="text1" w:themeTint="F2"/>
                <w:spacing w:val="-4"/>
                <w:lang w:val="en-GB"/>
              </w:rPr>
              <w:t xml:space="preserve">The cost pressures linked to the sharp hike of prices of energies and other inputs </w:t>
            </w:r>
            <w:r w:rsidR="00BA5125" w:rsidRPr="006E725C">
              <w:rPr>
                <w:color w:val="0D0D0D" w:themeColor="text1" w:themeTint="F2"/>
                <w:spacing w:val="-4"/>
                <w:lang w:val="en-GB"/>
              </w:rPr>
              <w:t>(</w:t>
            </w:r>
            <w:r w:rsidR="00715231" w:rsidRPr="006E725C">
              <w:rPr>
                <w:color w:val="0D0D0D" w:themeColor="text1" w:themeTint="F2"/>
                <w:spacing w:val="-4"/>
                <w:lang w:val="en-GB"/>
              </w:rPr>
              <w:t>as well as uncertainty regarding their development</w:t>
            </w:r>
            <w:r w:rsidR="00BA5125" w:rsidRPr="006E725C">
              <w:rPr>
                <w:color w:val="0D0D0D" w:themeColor="text1" w:themeTint="F2"/>
                <w:spacing w:val="-4"/>
                <w:lang w:val="en-GB"/>
              </w:rPr>
              <w:t xml:space="preserve">) </w:t>
            </w:r>
            <w:r w:rsidR="00715231" w:rsidRPr="006E725C">
              <w:rPr>
                <w:color w:val="0D0D0D" w:themeColor="text1" w:themeTint="F2"/>
                <w:spacing w:val="-4"/>
                <w:lang w:val="en-GB"/>
              </w:rPr>
              <w:t xml:space="preserve">were magnified by the weakening demand in the key export territories. </w:t>
            </w:r>
            <w:r w:rsidR="00862C86" w:rsidRPr="006E725C">
              <w:rPr>
                <w:color w:val="0D0D0D" w:themeColor="text1" w:themeTint="F2"/>
                <w:spacing w:val="-4"/>
                <w:lang w:val="en-GB"/>
              </w:rPr>
              <w:t xml:space="preserve">Beside </w:t>
            </w:r>
            <w:r w:rsidR="00D8188C" w:rsidRPr="006E725C">
              <w:rPr>
                <w:color w:val="0D0D0D" w:themeColor="text1" w:themeTint="F2"/>
                <w:spacing w:val="-4"/>
                <w:lang w:val="en-GB"/>
              </w:rPr>
              <w:t>this,</w:t>
            </w:r>
            <w:r w:rsidR="00862C86" w:rsidRPr="006E725C">
              <w:rPr>
                <w:color w:val="0D0D0D" w:themeColor="text1" w:themeTint="F2"/>
                <w:spacing w:val="-4"/>
                <w:lang w:val="en-GB"/>
              </w:rPr>
              <w:t xml:space="preserve"> the slump of both household consumption and private investment activity</w:t>
            </w:r>
            <w:r w:rsidR="002D26B8">
              <w:rPr>
                <w:color w:val="0D0D0D" w:themeColor="text1" w:themeTint="F2"/>
                <w:spacing w:val="-4"/>
                <w:lang w:val="en-GB"/>
              </w:rPr>
              <w:t xml:space="preserve"> had also negative effect</w:t>
            </w:r>
            <w:r w:rsidR="00862C86" w:rsidRPr="006E725C">
              <w:rPr>
                <w:color w:val="0D0D0D" w:themeColor="text1" w:themeTint="F2"/>
                <w:spacing w:val="-4"/>
                <w:lang w:val="en-GB"/>
              </w:rPr>
              <w:t>. Even though the prices of energies became stable last year, they still lay significantly above the level f</w:t>
            </w:r>
            <w:r w:rsidR="00B411B8" w:rsidRPr="006E725C">
              <w:rPr>
                <w:color w:val="0D0D0D" w:themeColor="text1" w:themeTint="F2"/>
                <w:spacing w:val="-4"/>
                <w:lang w:val="en-GB"/>
              </w:rPr>
              <w:t>ro</w:t>
            </w:r>
            <w:r w:rsidR="00862C86" w:rsidRPr="006E725C">
              <w:rPr>
                <w:color w:val="0D0D0D" w:themeColor="text1" w:themeTint="F2"/>
                <w:spacing w:val="-4"/>
                <w:lang w:val="en-GB"/>
              </w:rPr>
              <w:t xml:space="preserve">m year </w:t>
            </w:r>
            <w:r w:rsidR="00BA5125" w:rsidRPr="006E725C">
              <w:rPr>
                <w:color w:val="0D0D0D" w:themeColor="text1" w:themeTint="F2"/>
                <w:spacing w:val="-4"/>
                <w:lang w:val="en-GB"/>
              </w:rPr>
              <w:t xml:space="preserve">2021. </w:t>
            </w:r>
            <w:r w:rsidR="00AF5F65" w:rsidRPr="006E725C">
              <w:rPr>
                <w:color w:val="0D0D0D" w:themeColor="text1" w:themeTint="F2"/>
                <w:spacing w:val="-4"/>
                <w:lang w:val="en-GB"/>
              </w:rPr>
              <w:t xml:space="preserve">It naturally affected especially the energy-intensive industrial branches. The adverse development was mitigated by the revival in the motor vehicle manufacturing, </w:t>
            </w:r>
            <w:r w:rsidR="00862C86" w:rsidRPr="006E725C">
              <w:rPr>
                <w:color w:val="0D0D0D" w:themeColor="text1" w:themeTint="F2"/>
                <w:spacing w:val="-4"/>
                <w:lang w:val="en-GB"/>
              </w:rPr>
              <w:t xml:space="preserve">which gradually finalised larger volume of orders </w:t>
            </w:r>
            <w:r w:rsidR="00AF5F65" w:rsidRPr="006E725C">
              <w:rPr>
                <w:color w:val="0D0D0D" w:themeColor="text1" w:themeTint="F2"/>
                <w:spacing w:val="-4"/>
                <w:lang w:val="en-GB"/>
              </w:rPr>
              <w:t xml:space="preserve">accumulated from the period, when the </w:t>
            </w:r>
            <w:r w:rsidR="00C04293" w:rsidRPr="006E725C">
              <w:rPr>
                <w:color w:val="0D0D0D" w:themeColor="text1" w:themeTint="F2"/>
                <w:spacing w:val="-4"/>
                <w:lang w:val="en-GB"/>
              </w:rPr>
              <w:t>continuity o</w:t>
            </w:r>
            <w:r w:rsidR="002D26B8">
              <w:rPr>
                <w:color w:val="0D0D0D" w:themeColor="text1" w:themeTint="F2"/>
                <w:spacing w:val="-4"/>
                <w:lang w:val="en-GB"/>
              </w:rPr>
              <w:t>f production was slackened due to</w:t>
            </w:r>
            <w:r w:rsidR="00C04293" w:rsidRPr="006E725C">
              <w:rPr>
                <w:color w:val="0D0D0D" w:themeColor="text1" w:themeTint="F2"/>
                <w:spacing w:val="-4"/>
                <w:lang w:val="en-GB"/>
              </w:rPr>
              <w:t xml:space="preserve"> the disrupted supply chains. </w:t>
            </w:r>
            <w:r w:rsidR="002D26B8">
              <w:rPr>
                <w:color w:val="0D0D0D" w:themeColor="text1" w:themeTint="F2"/>
                <w:spacing w:val="-4"/>
                <w:lang w:val="en-GB"/>
              </w:rPr>
              <w:t xml:space="preserve">The total </w:t>
            </w:r>
            <w:r w:rsidR="00AF5F65" w:rsidRPr="006E725C">
              <w:rPr>
                <w:color w:val="0D0D0D" w:themeColor="text1" w:themeTint="F2"/>
                <w:spacing w:val="-4"/>
                <w:lang w:val="en-GB"/>
              </w:rPr>
              <w:t>industrial output</w:t>
            </w:r>
            <w:r w:rsidR="00BA5125" w:rsidRPr="006E725C">
              <w:rPr>
                <w:rStyle w:val="Znakapoznpodarou"/>
                <w:color w:val="0D0D0D" w:themeColor="text1" w:themeTint="F2"/>
                <w:spacing w:val="-4"/>
                <w:lang w:val="en-GB"/>
              </w:rPr>
              <w:footnoteReference w:id="18"/>
            </w:r>
            <w:r w:rsidR="00BA5125" w:rsidRPr="006E725C">
              <w:rPr>
                <w:color w:val="0D0D0D" w:themeColor="text1" w:themeTint="F2"/>
                <w:spacing w:val="-4"/>
                <w:lang w:val="en-GB"/>
              </w:rPr>
              <w:t xml:space="preserve"> </w:t>
            </w:r>
            <w:r w:rsidR="00AF5F65" w:rsidRPr="006E725C">
              <w:rPr>
                <w:color w:val="0D0D0D" w:themeColor="text1" w:themeTint="F2"/>
                <w:spacing w:val="-4"/>
                <w:lang w:val="en-GB"/>
              </w:rPr>
              <w:t xml:space="preserve">rather stagnated quarter-on-quarter in the first half of year </w:t>
            </w:r>
            <w:r w:rsidR="00BA5125" w:rsidRPr="006E725C">
              <w:rPr>
                <w:color w:val="0D0D0D" w:themeColor="text1" w:themeTint="F2"/>
                <w:spacing w:val="-4"/>
                <w:lang w:val="en-GB"/>
              </w:rPr>
              <w:t>2023</w:t>
            </w:r>
            <w:r w:rsidR="00AF5F65" w:rsidRPr="006E725C">
              <w:rPr>
                <w:color w:val="0D0D0D" w:themeColor="text1" w:themeTint="F2"/>
                <w:spacing w:val="-4"/>
                <w:lang w:val="en-GB"/>
              </w:rPr>
              <w:t xml:space="preserve">, </w:t>
            </w:r>
            <w:r w:rsidR="00C04293" w:rsidRPr="006E725C">
              <w:rPr>
                <w:color w:val="0D0D0D" w:themeColor="text1" w:themeTint="F2"/>
                <w:spacing w:val="-4"/>
                <w:lang w:val="en-GB"/>
              </w:rPr>
              <w:t xml:space="preserve">it decreased by </w:t>
            </w:r>
            <w:r w:rsidR="00BA5125" w:rsidRPr="006E725C">
              <w:rPr>
                <w:color w:val="0D0D0D" w:themeColor="text1" w:themeTint="F2"/>
                <w:spacing w:val="-4"/>
                <w:lang w:val="en-GB"/>
              </w:rPr>
              <w:t>2</w:t>
            </w:r>
            <w:r w:rsidR="00C04293" w:rsidRPr="006E725C">
              <w:rPr>
                <w:color w:val="0D0D0D" w:themeColor="text1" w:themeTint="F2"/>
                <w:spacing w:val="-4"/>
                <w:lang w:val="en-GB"/>
              </w:rPr>
              <w:t>.</w:t>
            </w:r>
            <w:r w:rsidR="00BA5125" w:rsidRPr="006E725C">
              <w:rPr>
                <w:color w:val="0D0D0D" w:themeColor="text1" w:themeTint="F2"/>
                <w:spacing w:val="-4"/>
                <w:lang w:val="en-GB"/>
              </w:rPr>
              <w:t>3%</w:t>
            </w:r>
            <w:r w:rsidR="00C04293" w:rsidRPr="006E725C">
              <w:rPr>
                <w:color w:val="0D0D0D" w:themeColor="text1" w:themeTint="F2"/>
                <w:spacing w:val="-4"/>
                <w:lang w:val="en-GB"/>
              </w:rPr>
              <w:t xml:space="preserve"> in Q3</w:t>
            </w:r>
            <w:r w:rsidR="00BA5125" w:rsidRPr="006E725C">
              <w:rPr>
                <w:color w:val="0D0D0D" w:themeColor="text1" w:themeTint="F2"/>
                <w:spacing w:val="-4"/>
                <w:lang w:val="en-GB"/>
              </w:rPr>
              <w:t xml:space="preserve"> (</w:t>
            </w:r>
            <w:r w:rsidR="00C04293" w:rsidRPr="006E725C">
              <w:rPr>
                <w:color w:val="0D0D0D" w:themeColor="text1" w:themeTint="F2"/>
                <w:spacing w:val="-4"/>
                <w:lang w:val="en-GB"/>
              </w:rPr>
              <w:t>the most in the last three years</w:t>
            </w:r>
            <w:r w:rsidR="00BA5125" w:rsidRPr="006E725C">
              <w:rPr>
                <w:color w:val="0D0D0D" w:themeColor="text1" w:themeTint="F2"/>
                <w:spacing w:val="-4"/>
                <w:lang w:val="en-GB"/>
              </w:rPr>
              <w:t xml:space="preserve">), </w:t>
            </w:r>
            <w:r w:rsidR="00C04293" w:rsidRPr="006E725C">
              <w:rPr>
                <w:color w:val="0D0D0D" w:themeColor="text1" w:themeTint="F2"/>
                <w:spacing w:val="-4"/>
                <w:lang w:val="en-GB"/>
              </w:rPr>
              <w:t xml:space="preserve">mainly due to the motor vehicle manufacturing, whose continuity was disrupted by difficulties with supplies of some components shortly. </w:t>
            </w:r>
            <w:r w:rsidR="00345F2D" w:rsidRPr="006E725C">
              <w:rPr>
                <w:color w:val="0D0D0D" w:themeColor="text1" w:themeTint="F2"/>
                <w:spacing w:val="-4"/>
                <w:lang w:val="en-GB"/>
              </w:rPr>
              <w:t>Partial revival occurred in Q</w:t>
            </w:r>
            <w:r w:rsidR="00BA5125" w:rsidRPr="006E725C">
              <w:rPr>
                <w:color w:val="0D0D0D" w:themeColor="text1" w:themeTint="F2"/>
                <w:spacing w:val="-4"/>
                <w:lang w:val="en-GB"/>
              </w:rPr>
              <w:t>4</w:t>
            </w:r>
            <w:r w:rsidR="00345F2D" w:rsidRPr="006E725C">
              <w:rPr>
                <w:color w:val="0D0D0D" w:themeColor="text1" w:themeTint="F2"/>
                <w:spacing w:val="-4"/>
                <w:lang w:val="en-GB"/>
              </w:rPr>
              <w:t xml:space="preserve">, since the production increased by </w:t>
            </w:r>
            <w:r w:rsidR="00BA5125" w:rsidRPr="006E725C">
              <w:rPr>
                <w:color w:val="0D0D0D" w:themeColor="text1" w:themeTint="F2"/>
                <w:spacing w:val="-4"/>
                <w:lang w:val="en-GB"/>
              </w:rPr>
              <w:t>1</w:t>
            </w:r>
            <w:r w:rsidR="00345F2D" w:rsidRPr="006E725C">
              <w:rPr>
                <w:color w:val="0D0D0D" w:themeColor="text1" w:themeTint="F2"/>
                <w:spacing w:val="-4"/>
                <w:lang w:val="en-GB"/>
              </w:rPr>
              <w:t>.</w:t>
            </w:r>
            <w:r w:rsidR="00BA5125" w:rsidRPr="006E725C">
              <w:rPr>
                <w:color w:val="0D0D0D" w:themeColor="text1" w:themeTint="F2"/>
                <w:spacing w:val="-4"/>
                <w:lang w:val="en-GB"/>
              </w:rPr>
              <w:t xml:space="preserve">9%, </w:t>
            </w:r>
            <w:r w:rsidR="003D7B43">
              <w:rPr>
                <w:color w:val="0D0D0D" w:themeColor="text1" w:themeTint="F2"/>
                <w:spacing w:val="-4"/>
                <w:lang w:val="en-GB"/>
              </w:rPr>
              <w:t xml:space="preserve">especially </w:t>
            </w:r>
            <w:r w:rsidR="00345F2D" w:rsidRPr="006E725C">
              <w:rPr>
                <w:color w:val="0D0D0D" w:themeColor="text1" w:themeTint="F2"/>
                <w:spacing w:val="-4"/>
                <w:lang w:val="en-GB"/>
              </w:rPr>
              <w:t xml:space="preserve">thanks to the </w:t>
            </w:r>
            <w:r w:rsidR="0038775D" w:rsidRPr="006E725C">
              <w:rPr>
                <w:color w:val="0D0D0D" w:themeColor="text1" w:themeTint="F2"/>
                <w:spacing w:val="-4"/>
                <w:lang w:val="en-GB"/>
              </w:rPr>
              <w:t xml:space="preserve">manufacturing of transport equipment </w:t>
            </w:r>
            <w:r w:rsidR="00BA5125" w:rsidRPr="006E725C">
              <w:rPr>
                <w:color w:val="0D0D0D" w:themeColor="text1" w:themeTint="F2"/>
                <w:spacing w:val="-4"/>
                <w:lang w:val="en-GB"/>
              </w:rPr>
              <w:t>(</w:t>
            </w:r>
            <w:r w:rsidR="0038775D" w:rsidRPr="006E725C">
              <w:rPr>
                <w:color w:val="0D0D0D" w:themeColor="text1" w:themeTint="F2"/>
                <w:spacing w:val="-4"/>
                <w:lang w:val="en-GB"/>
              </w:rPr>
              <w:t xml:space="preserve">which also processed some </w:t>
            </w:r>
            <w:r w:rsidR="00206598" w:rsidRPr="006E725C">
              <w:rPr>
                <w:color w:val="0D0D0D" w:themeColor="text1" w:themeTint="F2"/>
                <w:spacing w:val="-4"/>
                <w:lang w:val="en-GB"/>
              </w:rPr>
              <w:t>large, extraordinary</w:t>
            </w:r>
            <w:r w:rsidR="0038775D" w:rsidRPr="006E725C">
              <w:rPr>
                <w:color w:val="0D0D0D" w:themeColor="text1" w:themeTint="F2"/>
                <w:spacing w:val="-4"/>
                <w:lang w:val="en-GB"/>
              </w:rPr>
              <w:t xml:space="preserve"> orders</w:t>
            </w:r>
            <w:r w:rsidR="00BA5125" w:rsidRPr="006E725C">
              <w:rPr>
                <w:color w:val="0D0D0D" w:themeColor="text1" w:themeTint="F2"/>
                <w:spacing w:val="-4"/>
                <w:lang w:val="en-GB"/>
              </w:rPr>
              <w:t>) a</w:t>
            </w:r>
            <w:r w:rsidR="0038775D" w:rsidRPr="006E725C">
              <w:rPr>
                <w:color w:val="0D0D0D" w:themeColor="text1" w:themeTint="F2"/>
                <w:spacing w:val="-4"/>
                <w:lang w:val="en-GB"/>
              </w:rPr>
              <w:t xml:space="preserve">nd their main supplier branches. </w:t>
            </w:r>
            <w:r w:rsidR="00206598" w:rsidRPr="006E725C">
              <w:rPr>
                <w:color w:val="0D0D0D" w:themeColor="text1" w:themeTint="F2"/>
                <w:spacing w:val="-4"/>
                <w:lang w:val="en-GB"/>
              </w:rPr>
              <w:t xml:space="preserve">Still the output of the whole industry mildly fell behind </w:t>
            </w:r>
            <w:r w:rsidR="003D7B43">
              <w:rPr>
                <w:color w:val="0D0D0D" w:themeColor="text1" w:themeTint="F2"/>
                <w:spacing w:val="-4"/>
                <w:lang w:val="en-GB"/>
              </w:rPr>
              <w:t>its</w:t>
            </w:r>
            <w:r w:rsidR="003D7B43" w:rsidRPr="006E725C">
              <w:rPr>
                <w:color w:val="0D0D0D" w:themeColor="text1" w:themeTint="F2"/>
                <w:spacing w:val="-4"/>
                <w:lang w:val="en-GB"/>
              </w:rPr>
              <w:t xml:space="preserve"> peak from the period of the pre-pandemic expansion (Q2 </w:t>
            </w:r>
            <w:r w:rsidR="003D7B43">
              <w:rPr>
                <w:color w:val="0D0D0D" w:themeColor="text1" w:themeTint="F2"/>
                <w:spacing w:val="-4"/>
                <w:lang w:val="en-GB"/>
              </w:rPr>
              <w:t xml:space="preserve">2019) </w:t>
            </w:r>
            <w:r w:rsidR="00206598" w:rsidRPr="006E725C">
              <w:rPr>
                <w:color w:val="0D0D0D" w:themeColor="text1" w:themeTint="F2"/>
                <w:spacing w:val="-4"/>
                <w:lang w:val="en-GB"/>
              </w:rPr>
              <w:t xml:space="preserve">at the end of </w:t>
            </w:r>
            <w:r w:rsidR="003D7B43">
              <w:rPr>
                <w:color w:val="0D0D0D" w:themeColor="text1" w:themeTint="F2"/>
                <w:spacing w:val="-4"/>
                <w:lang w:val="en-GB"/>
              </w:rPr>
              <w:t>2023</w:t>
            </w:r>
            <w:r w:rsidR="00206598" w:rsidRPr="006E725C">
              <w:rPr>
                <w:color w:val="0D0D0D" w:themeColor="text1" w:themeTint="F2"/>
                <w:spacing w:val="-4"/>
                <w:lang w:val="en-GB"/>
              </w:rPr>
              <w:t xml:space="preserve"> </w:t>
            </w:r>
            <w:r w:rsidR="00BA5125" w:rsidRPr="006E725C">
              <w:rPr>
                <w:color w:val="0D0D0D" w:themeColor="text1" w:themeTint="F2"/>
                <w:spacing w:val="-4"/>
                <w:lang w:val="en-GB"/>
              </w:rPr>
              <w:t>(</w:t>
            </w:r>
            <w:r w:rsidR="00206598" w:rsidRPr="006E725C">
              <w:rPr>
                <w:color w:val="0D0D0D" w:themeColor="text1" w:themeTint="F2"/>
                <w:spacing w:val="-4"/>
                <w:lang w:val="en-GB"/>
              </w:rPr>
              <w:t xml:space="preserve">by </w:t>
            </w:r>
            <w:r w:rsidR="00BA5125" w:rsidRPr="006E725C">
              <w:rPr>
                <w:color w:val="0D0D0D" w:themeColor="text1" w:themeTint="F2"/>
                <w:spacing w:val="-4"/>
                <w:lang w:val="en-GB"/>
              </w:rPr>
              <w:t>1</w:t>
            </w:r>
            <w:r w:rsidR="00206598" w:rsidRPr="006E725C">
              <w:rPr>
                <w:color w:val="0D0D0D" w:themeColor="text1" w:themeTint="F2"/>
                <w:spacing w:val="-4"/>
                <w:lang w:val="en-GB"/>
              </w:rPr>
              <w:t>.</w:t>
            </w:r>
            <w:r w:rsidR="00BA5125" w:rsidRPr="006E725C">
              <w:rPr>
                <w:color w:val="0D0D0D" w:themeColor="text1" w:themeTint="F2"/>
                <w:spacing w:val="-4"/>
                <w:lang w:val="en-GB"/>
              </w:rPr>
              <w:t>1%)</w:t>
            </w:r>
            <w:r w:rsidR="00BA5125" w:rsidRPr="006E725C">
              <w:rPr>
                <w:rStyle w:val="Znakapoznpodarou"/>
                <w:color w:val="0D0D0D" w:themeColor="text1" w:themeTint="F2"/>
                <w:spacing w:val="-4"/>
                <w:lang w:val="en-GB"/>
              </w:rPr>
              <w:footnoteReference w:id="19"/>
            </w:r>
          </w:p>
          <w:p w14:paraId="17F7EBF3" w14:textId="77777777" w:rsidR="00BA5125" w:rsidRPr="006E725C" w:rsidRDefault="00BA5125" w:rsidP="00BA5125">
            <w:pPr>
              <w:spacing w:after="0"/>
              <w:rPr>
                <w:color w:val="0D0D0D" w:themeColor="text1" w:themeTint="F2"/>
                <w:spacing w:val="-4"/>
                <w:lang w:val="en-GB"/>
              </w:rPr>
            </w:pPr>
          </w:p>
        </w:tc>
      </w:tr>
      <w:tr w:rsidR="00BA5125" w:rsidRPr="006E725C" w14:paraId="519756E2" w14:textId="77777777" w:rsidTr="00BA5125">
        <w:trPr>
          <w:trHeight w:val="145"/>
        </w:trPr>
        <w:tc>
          <w:tcPr>
            <w:tcW w:w="1814" w:type="dxa"/>
            <w:tcBorders>
              <w:top w:val="nil"/>
              <w:left w:val="nil"/>
              <w:bottom w:val="nil"/>
              <w:right w:val="nil"/>
            </w:tcBorders>
            <w:shd w:val="clear" w:color="auto" w:fill="auto"/>
            <w:tcMar>
              <w:left w:w="0" w:type="dxa"/>
            </w:tcMar>
          </w:tcPr>
          <w:p w14:paraId="78BD2405" w14:textId="598CCB4E" w:rsidR="00BA5125" w:rsidRPr="006E725C" w:rsidRDefault="00A77557" w:rsidP="00BA5125">
            <w:pPr>
              <w:pStyle w:val="Marginlie"/>
              <w:rPr>
                <w:color w:val="0D0D0D" w:themeColor="text1" w:themeTint="F2"/>
                <w:spacing w:val="-4"/>
                <w:lang w:val="en-GB"/>
              </w:rPr>
            </w:pPr>
            <w:r w:rsidRPr="006E725C">
              <w:rPr>
                <w:color w:val="0D0D0D" w:themeColor="text1" w:themeTint="F2"/>
                <w:spacing w:val="-4"/>
                <w:lang w:val="en-GB"/>
              </w:rPr>
              <w:t xml:space="preserve">Despite the fast growth of output in the manufacturing of motor </w:t>
            </w:r>
            <w:r w:rsidR="00D8188C" w:rsidRPr="006E725C">
              <w:rPr>
                <w:color w:val="0D0D0D" w:themeColor="text1" w:themeTint="F2"/>
                <w:spacing w:val="-4"/>
                <w:lang w:val="en-GB"/>
              </w:rPr>
              <w:t>vehicles</w:t>
            </w:r>
            <w:r w:rsidRPr="006E725C">
              <w:rPr>
                <w:color w:val="0D0D0D" w:themeColor="text1" w:themeTint="F2"/>
                <w:spacing w:val="-4"/>
                <w:lang w:val="en-GB"/>
              </w:rPr>
              <w:t>, the performance of the whole industr</w:t>
            </w:r>
            <w:r w:rsidR="004519E2">
              <w:rPr>
                <w:color w:val="0D0D0D" w:themeColor="text1" w:themeTint="F2"/>
                <w:spacing w:val="-4"/>
                <w:lang w:val="en-GB"/>
              </w:rPr>
              <w:t>y slightly decreased in 2023.</w:t>
            </w:r>
          </w:p>
        </w:tc>
        <w:tc>
          <w:tcPr>
            <w:tcW w:w="229" w:type="dxa"/>
            <w:tcBorders>
              <w:top w:val="nil"/>
              <w:left w:val="nil"/>
              <w:bottom w:val="nil"/>
              <w:right w:val="nil"/>
            </w:tcBorders>
            <w:shd w:val="clear" w:color="auto" w:fill="auto"/>
            <w:tcMar>
              <w:left w:w="0" w:type="dxa"/>
            </w:tcMar>
          </w:tcPr>
          <w:p w14:paraId="0B1BC57C" w14:textId="77777777" w:rsidR="00BA5125" w:rsidRPr="006E725C" w:rsidRDefault="00BA5125" w:rsidP="00BA5125">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4373EEA7" w14:textId="5A040A57" w:rsidR="00BA5125" w:rsidRPr="006E725C" w:rsidRDefault="00715231" w:rsidP="00D66C85">
            <w:pPr>
              <w:spacing w:after="180"/>
              <w:rPr>
                <w:color w:val="0D0D0D" w:themeColor="text1" w:themeTint="F2"/>
                <w:spacing w:val="-4"/>
                <w:lang w:val="en-GB"/>
              </w:rPr>
            </w:pPr>
            <w:r w:rsidRPr="006E725C">
              <w:rPr>
                <w:color w:val="0D0D0D" w:themeColor="text1" w:themeTint="F2"/>
                <w:spacing w:val="-4"/>
                <w:lang w:val="en-GB"/>
              </w:rPr>
              <w:t xml:space="preserve">The industrial output decreased by </w:t>
            </w:r>
            <w:r w:rsidR="00BA5125" w:rsidRPr="006E725C">
              <w:rPr>
                <w:color w:val="0D0D0D" w:themeColor="text1" w:themeTint="F2"/>
                <w:spacing w:val="-4"/>
                <w:lang w:val="en-GB"/>
              </w:rPr>
              <w:t>0</w:t>
            </w:r>
            <w:r w:rsidRPr="006E725C">
              <w:rPr>
                <w:color w:val="0D0D0D" w:themeColor="text1" w:themeTint="F2"/>
                <w:spacing w:val="-4"/>
                <w:lang w:val="en-GB"/>
              </w:rPr>
              <w:t>.</w:t>
            </w:r>
            <w:r w:rsidR="00BA5125" w:rsidRPr="006E725C">
              <w:rPr>
                <w:color w:val="0D0D0D" w:themeColor="text1" w:themeTint="F2"/>
                <w:spacing w:val="-4"/>
                <w:lang w:val="en-GB"/>
              </w:rPr>
              <w:t>8%</w:t>
            </w:r>
            <w:r w:rsidRPr="006E725C">
              <w:rPr>
                <w:color w:val="0D0D0D" w:themeColor="text1" w:themeTint="F2"/>
                <w:spacing w:val="-4"/>
                <w:lang w:val="en-GB"/>
              </w:rPr>
              <w:t xml:space="preserve"> for the whole last year</w:t>
            </w:r>
            <w:r w:rsidR="00BA5125" w:rsidRPr="006E725C">
              <w:rPr>
                <w:color w:val="0D0D0D" w:themeColor="text1" w:themeTint="F2"/>
                <w:spacing w:val="-4"/>
                <w:lang w:val="en-GB"/>
              </w:rPr>
              <w:t xml:space="preserve">, </w:t>
            </w:r>
            <w:r w:rsidRPr="006E725C">
              <w:rPr>
                <w:color w:val="0D0D0D" w:themeColor="text1" w:themeTint="F2"/>
                <w:spacing w:val="-4"/>
                <w:lang w:val="en-GB"/>
              </w:rPr>
              <w:t xml:space="preserve">it thus fell after two years of post-crisis recovery. </w:t>
            </w:r>
            <w:r w:rsidR="00A26F8F" w:rsidRPr="006E725C">
              <w:rPr>
                <w:color w:val="0D0D0D" w:themeColor="text1" w:themeTint="F2"/>
                <w:spacing w:val="-4"/>
                <w:lang w:val="en-GB"/>
              </w:rPr>
              <w:t>Manufacturing of transport equipment</w:t>
            </w:r>
            <w:r w:rsidR="00BA5125" w:rsidRPr="006E725C">
              <w:rPr>
                <w:color w:val="0D0D0D" w:themeColor="text1" w:themeTint="F2"/>
                <w:spacing w:val="-4"/>
                <w:lang w:val="en-GB"/>
              </w:rPr>
              <w:t xml:space="preserve">, </w:t>
            </w:r>
            <w:r w:rsidRPr="006E725C">
              <w:rPr>
                <w:color w:val="0D0D0D" w:themeColor="text1" w:themeTint="F2"/>
                <w:spacing w:val="-4"/>
                <w:lang w:val="en-GB"/>
              </w:rPr>
              <w:t xml:space="preserve">where the production growth accelerated to </w:t>
            </w:r>
            <w:r w:rsidR="00BA5125" w:rsidRPr="006E725C">
              <w:rPr>
                <w:color w:val="0D0D0D" w:themeColor="text1" w:themeTint="F2"/>
                <w:spacing w:val="-4"/>
                <w:lang w:val="en-GB"/>
              </w:rPr>
              <w:t>16</w:t>
            </w:r>
            <w:r w:rsidRPr="006E725C">
              <w:rPr>
                <w:color w:val="0D0D0D" w:themeColor="text1" w:themeTint="F2"/>
                <w:spacing w:val="-4"/>
                <w:lang w:val="en-GB"/>
              </w:rPr>
              <w:t>.</w:t>
            </w:r>
            <w:r w:rsidR="00BA5125" w:rsidRPr="006E725C">
              <w:rPr>
                <w:color w:val="0D0D0D" w:themeColor="text1" w:themeTint="F2"/>
                <w:spacing w:val="-4"/>
                <w:lang w:val="en-GB"/>
              </w:rPr>
              <w:t>6%</w:t>
            </w:r>
            <w:r w:rsidRPr="006E725C">
              <w:rPr>
                <w:color w:val="0D0D0D" w:themeColor="text1" w:themeTint="F2"/>
                <w:spacing w:val="-4"/>
                <w:lang w:val="en-GB"/>
              </w:rPr>
              <w:t xml:space="preserve"> last year</w:t>
            </w:r>
            <w:r w:rsidR="00BA5125" w:rsidRPr="006E725C">
              <w:rPr>
                <w:color w:val="0D0D0D" w:themeColor="text1" w:themeTint="F2"/>
                <w:spacing w:val="-4"/>
                <w:lang w:val="en-GB"/>
              </w:rPr>
              <w:t xml:space="preserve"> (</w:t>
            </w:r>
            <w:r w:rsidRPr="006E725C">
              <w:rPr>
                <w:color w:val="0D0D0D" w:themeColor="text1" w:themeTint="F2"/>
                <w:spacing w:val="-4"/>
                <w:lang w:val="en-GB"/>
              </w:rPr>
              <w:t xml:space="preserve">the most in the last </w:t>
            </w:r>
            <w:r w:rsidR="00BA5125" w:rsidRPr="006E725C">
              <w:rPr>
                <w:color w:val="0D0D0D" w:themeColor="text1" w:themeTint="F2"/>
                <w:spacing w:val="-4"/>
                <w:lang w:val="en-GB"/>
              </w:rPr>
              <w:t>12</w:t>
            </w:r>
            <w:r w:rsidRPr="006E725C">
              <w:rPr>
                <w:color w:val="0D0D0D" w:themeColor="text1" w:themeTint="F2"/>
                <w:spacing w:val="-4"/>
                <w:lang w:val="en-GB"/>
              </w:rPr>
              <w:t xml:space="preserve"> </w:t>
            </w:r>
            <w:r w:rsidR="00A26F8F" w:rsidRPr="006E725C">
              <w:rPr>
                <w:color w:val="0D0D0D" w:themeColor="text1" w:themeTint="F2"/>
                <w:spacing w:val="-4"/>
                <w:lang w:val="en-GB"/>
              </w:rPr>
              <w:t>years</w:t>
            </w:r>
            <w:r w:rsidR="00BA5125" w:rsidRPr="006E725C">
              <w:rPr>
                <w:color w:val="0D0D0D" w:themeColor="text1" w:themeTint="F2"/>
                <w:spacing w:val="-4"/>
                <w:lang w:val="en-GB"/>
              </w:rPr>
              <w:t>)</w:t>
            </w:r>
            <w:r w:rsidR="00A26F8F" w:rsidRPr="006E725C">
              <w:rPr>
                <w:color w:val="0D0D0D" w:themeColor="text1" w:themeTint="F2"/>
                <w:spacing w:val="-4"/>
                <w:lang w:val="en-GB"/>
              </w:rPr>
              <w:t xml:space="preserve"> considerably influenced the </w:t>
            </w:r>
            <w:r w:rsidR="00A26F8F" w:rsidRPr="00D66C85">
              <w:rPr>
                <w:color w:val="0D0D0D" w:themeColor="text1" w:themeTint="F2"/>
                <w:spacing w:val="-6"/>
                <w:lang w:val="en-GB"/>
              </w:rPr>
              <w:t>d</w:t>
            </w:r>
            <w:r w:rsidR="00D66C85" w:rsidRPr="00D66C85">
              <w:rPr>
                <w:color w:val="0D0D0D" w:themeColor="text1" w:themeTint="F2"/>
                <w:spacing w:val="-6"/>
                <w:lang w:val="en-GB"/>
              </w:rPr>
              <w:t>evelopment of industry</w:t>
            </w:r>
            <w:r w:rsidR="00D66C85" w:rsidRPr="00D66C85">
              <w:rPr>
                <w:rStyle w:val="Znakapoznpodarou"/>
                <w:color w:val="0D0D0D" w:themeColor="text1" w:themeTint="F2"/>
                <w:spacing w:val="-6"/>
                <w:lang w:val="en-GB"/>
              </w:rPr>
              <w:footnoteReference w:id="20"/>
            </w:r>
            <w:r w:rsidR="00BA5125" w:rsidRPr="00D66C85">
              <w:rPr>
                <w:color w:val="0D0D0D" w:themeColor="text1" w:themeTint="F2"/>
                <w:spacing w:val="-6"/>
                <w:lang w:val="en-GB"/>
              </w:rPr>
              <w:t xml:space="preserve">. </w:t>
            </w:r>
            <w:r w:rsidR="00425381" w:rsidRPr="00D66C85">
              <w:rPr>
                <w:color w:val="0D0D0D" w:themeColor="text1" w:themeTint="F2"/>
                <w:spacing w:val="-6"/>
                <w:lang w:val="en-GB"/>
              </w:rPr>
              <w:t>Both manufacturing of personal transport equipment</w:t>
            </w:r>
            <w:r w:rsidR="00BA5125" w:rsidRPr="00D66C85">
              <w:rPr>
                <w:rStyle w:val="Znakapoznpodarou"/>
                <w:color w:val="0D0D0D" w:themeColor="text1" w:themeTint="F2"/>
                <w:spacing w:val="-6"/>
                <w:lang w:val="en-GB"/>
              </w:rPr>
              <w:footnoteReference w:id="21"/>
            </w:r>
            <w:r w:rsidR="00BA5125" w:rsidRPr="00D66C85">
              <w:rPr>
                <w:color w:val="0D0D0D" w:themeColor="text1" w:themeTint="F2"/>
                <w:spacing w:val="-6"/>
                <w:lang w:val="en-GB"/>
              </w:rPr>
              <w:t xml:space="preserve"> (</w:t>
            </w:r>
            <w:r w:rsidR="00403926" w:rsidRPr="00D66C85">
              <w:rPr>
                <w:color w:val="0D0D0D" w:themeColor="text1" w:themeTint="F2"/>
                <w:spacing w:val="-6"/>
                <w:lang w:val="en-GB"/>
              </w:rPr>
              <w:t>benefiting</w:t>
            </w:r>
            <w:r w:rsidR="00403926" w:rsidRPr="006E725C">
              <w:rPr>
                <w:color w:val="0D0D0D" w:themeColor="text1" w:themeTint="F2"/>
                <w:spacing w:val="-4"/>
                <w:lang w:val="en-GB"/>
              </w:rPr>
              <w:t xml:space="preserve"> from the growing </w:t>
            </w:r>
            <w:r w:rsidR="00D66C85">
              <w:rPr>
                <w:color w:val="0D0D0D" w:themeColor="text1" w:themeTint="F2"/>
                <w:spacing w:val="-4"/>
                <w:lang w:val="en-GB"/>
              </w:rPr>
              <w:t xml:space="preserve">of both </w:t>
            </w:r>
            <w:r w:rsidR="00403926" w:rsidRPr="006E725C">
              <w:rPr>
                <w:color w:val="0D0D0D" w:themeColor="text1" w:themeTint="F2"/>
                <w:spacing w:val="-4"/>
                <w:lang w:val="en-GB"/>
              </w:rPr>
              <w:t>internal as well as external demand</w:t>
            </w:r>
            <w:r w:rsidR="00BA5125" w:rsidRPr="006E725C">
              <w:rPr>
                <w:rStyle w:val="Znakapoznpodarou"/>
                <w:color w:val="0D0D0D" w:themeColor="text1" w:themeTint="F2"/>
                <w:spacing w:val="-4"/>
                <w:lang w:val="en-GB"/>
              </w:rPr>
              <w:footnoteReference w:id="22"/>
            </w:r>
            <w:r w:rsidR="00BA5125" w:rsidRPr="006E725C">
              <w:rPr>
                <w:color w:val="0D0D0D" w:themeColor="text1" w:themeTint="F2"/>
                <w:spacing w:val="-4"/>
                <w:lang w:val="en-GB"/>
              </w:rPr>
              <w:t>)</w:t>
            </w:r>
            <w:r w:rsidR="00425381" w:rsidRPr="006E725C">
              <w:rPr>
                <w:color w:val="0D0D0D" w:themeColor="text1" w:themeTint="F2"/>
                <w:spacing w:val="-4"/>
                <w:lang w:val="en-GB"/>
              </w:rPr>
              <w:t xml:space="preserve"> and other transport equipment </w:t>
            </w:r>
            <w:r w:rsidR="00BA5125" w:rsidRPr="006E725C">
              <w:rPr>
                <w:color w:val="0D0D0D" w:themeColor="text1" w:themeTint="F2"/>
                <w:spacing w:val="-4"/>
                <w:lang w:val="en-GB"/>
              </w:rPr>
              <w:t>(</w:t>
            </w:r>
            <w:r w:rsidR="00425381" w:rsidRPr="006E725C">
              <w:rPr>
                <w:color w:val="0D0D0D" w:themeColor="text1" w:themeTint="F2"/>
                <w:spacing w:val="-4"/>
                <w:lang w:val="en-GB"/>
              </w:rPr>
              <w:t>driven by significant domestic orders for the army and also the railway</w:t>
            </w:r>
            <w:r w:rsidR="00BA5125" w:rsidRPr="006E725C">
              <w:rPr>
                <w:color w:val="0D0D0D" w:themeColor="text1" w:themeTint="F2"/>
                <w:spacing w:val="-4"/>
                <w:lang w:val="en-GB"/>
              </w:rPr>
              <w:t>)</w:t>
            </w:r>
            <w:r w:rsidR="00425381" w:rsidRPr="006E725C">
              <w:rPr>
                <w:color w:val="0D0D0D" w:themeColor="text1" w:themeTint="F2"/>
                <w:spacing w:val="-4"/>
                <w:lang w:val="en-GB"/>
              </w:rPr>
              <w:t xml:space="preserve"> thrived</w:t>
            </w:r>
            <w:r w:rsidR="00BA5125" w:rsidRPr="006E725C">
              <w:rPr>
                <w:color w:val="0D0D0D" w:themeColor="text1" w:themeTint="F2"/>
                <w:spacing w:val="-4"/>
                <w:lang w:val="en-GB"/>
              </w:rPr>
              <w:t xml:space="preserve">. </w:t>
            </w:r>
            <w:r w:rsidR="004E563C" w:rsidRPr="006E725C">
              <w:rPr>
                <w:color w:val="0D0D0D" w:themeColor="text1" w:themeTint="F2"/>
                <w:spacing w:val="-4"/>
                <w:lang w:val="en-GB"/>
              </w:rPr>
              <w:t xml:space="preserve">In spite of occasional partial outage in supplies of some production </w:t>
            </w:r>
            <w:r w:rsidR="00B30287" w:rsidRPr="006E725C">
              <w:rPr>
                <w:color w:val="0D0D0D" w:themeColor="text1" w:themeTint="F2"/>
                <w:spacing w:val="-4"/>
                <w:lang w:val="en-GB"/>
              </w:rPr>
              <w:t>components,</w:t>
            </w:r>
            <w:r w:rsidR="004E563C" w:rsidRPr="006E725C">
              <w:rPr>
                <w:color w:val="0D0D0D" w:themeColor="text1" w:themeTint="F2"/>
                <w:spacing w:val="-4"/>
                <w:lang w:val="en-GB"/>
              </w:rPr>
              <w:t xml:space="preserve"> the utilisation of the production capacities in the motor vehicle manufacturing remained above 92% throughout </w:t>
            </w:r>
            <w:r w:rsidR="00B411B8" w:rsidRPr="006E725C">
              <w:rPr>
                <w:color w:val="0D0D0D" w:themeColor="text1" w:themeTint="F2"/>
                <w:spacing w:val="-4"/>
                <w:lang w:val="en-GB"/>
              </w:rPr>
              <w:t>a</w:t>
            </w:r>
            <w:r w:rsidR="004E563C" w:rsidRPr="006E725C">
              <w:rPr>
                <w:color w:val="0D0D0D" w:themeColor="text1" w:themeTint="F2"/>
                <w:spacing w:val="-4"/>
                <w:lang w:val="en-GB"/>
              </w:rPr>
              <w:t xml:space="preserve"> major part of the last year and belonged to the highest within the industry</w:t>
            </w:r>
            <w:r w:rsidR="00BA5125" w:rsidRPr="006E725C">
              <w:rPr>
                <w:rStyle w:val="Znakapoznpodarou"/>
                <w:color w:val="0D0D0D" w:themeColor="text1" w:themeTint="F2"/>
                <w:spacing w:val="-4"/>
                <w:lang w:val="en-GB"/>
              </w:rPr>
              <w:footnoteReference w:id="23"/>
            </w:r>
            <w:r w:rsidR="00BA5125" w:rsidRPr="006E725C">
              <w:rPr>
                <w:color w:val="0D0D0D" w:themeColor="text1" w:themeTint="F2"/>
                <w:spacing w:val="-4"/>
                <w:lang w:val="en-GB"/>
              </w:rPr>
              <w:t xml:space="preserve">. </w:t>
            </w:r>
          </w:p>
        </w:tc>
      </w:tr>
      <w:tr w:rsidR="00BA5125" w:rsidRPr="006E725C" w14:paraId="031471AE" w14:textId="77777777" w:rsidTr="00BA5125">
        <w:trPr>
          <w:trHeight w:val="145"/>
        </w:trPr>
        <w:tc>
          <w:tcPr>
            <w:tcW w:w="1814" w:type="dxa"/>
            <w:tcBorders>
              <w:top w:val="nil"/>
              <w:left w:val="nil"/>
              <w:bottom w:val="nil"/>
              <w:right w:val="nil"/>
            </w:tcBorders>
            <w:shd w:val="clear" w:color="auto" w:fill="auto"/>
            <w:tcMar>
              <w:left w:w="0" w:type="dxa"/>
            </w:tcMar>
          </w:tcPr>
          <w:p w14:paraId="35ECEA41" w14:textId="17BA63A8" w:rsidR="00BA5125" w:rsidRPr="006E725C" w:rsidRDefault="005B427B" w:rsidP="00BA5125">
            <w:pPr>
              <w:pStyle w:val="Marginlie"/>
              <w:rPr>
                <w:color w:val="0D0D0D" w:themeColor="text1" w:themeTint="F2"/>
                <w:spacing w:val="-4"/>
                <w:lang w:val="en-GB"/>
              </w:rPr>
            </w:pPr>
            <w:r w:rsidRPr="006E725C">
              <w:rPr>
                <w:color w:val="0D0D0D" w:themeColor="text1" w:themeTint="F2"/>
                <w:spacing w:val="-4"/>
                <w:lang w:val="en-GB"/>
              </w:rPr>
              <w:t xml:space="preserve">The largest slump </w:t>
            </w:r>
            <w:r w:rsidR="00B411B8" w:rsidRPr="006E725C">
              <w:rPr>
                <w:color w:val="0D0D0D" w:themeColor="text1" w:themeTint="F2"/>
                <w:spacing w:val="-4"/>
                <w:lang w:val="en-GB"/>
              </w:rPr>
              <w:t>afflicted</w:t>
            </w:r>
            <w:r w:rsidRPr="006E725C">
              <w:rPr>
                <w:color w:val="0D0D0D" w:themeColor="text1" w:themeTint="F2"/>
                <w:spacing w:val="-4"/>
                <w:lang w:val="en-GB"/>
              </w:rPr>
              <w:t xml:space="preserve"> the </w:t>
            </w:r>
            <w:r w:rsidR="00B411B8" w:rsidRPr="006E725C">
              <w:rPr>
                <w:color w:val="0D0D0D" w:themeColor="text1" w:themeTint="F2"/>
                <w:spacing w:val="-4"/>
                <w:lang w:val="en-GB"/>
              </w:rPr>
              <w:t>manufacturing</w:t>
            </w:r>
            <w:r w:rsidRPr="006E725C">
              <w:rPr>
                <w:color w:val="0D0D0D" w:themeColor="text1" w:themeTint="F2"/>
                <w:spacing w:val="-4"/>
                <w:lang w:val="en-GB"/>
              </w:rPr>
              <w:t xml:space="preserve"> of construction materials. The output fell in the majority of energy-</w:t>
            </w:r>
            <w:r w:rsidR="00B411B8" w:rsidRPr="006E725C">
              <w:rPr>
                <w:color w:val="0D0D0D" w:themeColor="text1" w:themeTint="F2"/>
                <w:spacing w:val="-4"/>
                <w:lang w:val="en-GB"/>
              </w:rPr>
              <w:t>intensive</w:t>
            </w:r>
            <w:r w:rsidRPr="006E725C">
              <w:rPr>
                <w:color w:val="0D0D0D" w:themeColor="text1" w:themeTint="F2"/>
                <w:spacing w:val="-4"/>
                <w:lang w:val="en-GB"/>
              </w:rPr>
              <w:t xml:space="preserve"> </w:t>
            </w:r>
            <w:r w:rsidR="00B411B8" w:rsidRPr="006E725C">
              <w:rPr>
                <w:color w:val="0D0D0D" w:themeColor="text1" w:themeTint="F2"/>
                <w:spacing w:val="-4"/>
                <w:lang w:val="en-GB"/>
              </w:rPr>
              <w:t>manufacturing</w:t>
            </w:r>
            <w:r w:rsidRPr="006E725C">
              <w:rPr>
                <w:color w:val="0D0D0D" w:themeColor="text1" w:themeTint="F2"/>
                <w:spacing w:val="-4"/>
                <w:lang w:val="en-GB"/>
              </w:rPr>
              <w:t xml:space="preserve"> activities in both years 20</w:t>
            </w:r>
            <w:r w:rsidR="00BA5125" w:rsidRPr="006E725C">
              <w:rPr>
                <w:color w:val="0D0D0D" w:themeColor="text1" w:themeTint="F2"/>
                <w:spacing w:val="-4"/>
                <w:lang w:val="en-GB"/>
              </w:rPr>
              <w:t>22</w:t>
            </w:r>
            <w:r w:rsidRPr="006E725C">
              <w:rPr>
                <w:color w:val="0D0D0D" w:themeColor="text1" w:themeTint="F2"/>
                <w:spacing w:val="-4"/>
                <w:lang w:val="en-GB"/>
              </w:rPr>
              <w:t xml:space="preserve"> and </w:t>
            </w:r>
            <w:r w:rsidR="00BA5125" w:rsidRPr="006E725C">
              <w:rPr>
                <w:color w:val="0D0D0D" w:themeColor="text1" w:themeTint="F2"/>
                <w:spacing w:val="-4"/>
                <w:lang w:val="en-GB"/>
              </w:rPr>
              <w:t>2023.</w:t>
            </w:r>
          </w:p>
        </w:tc>
        <w:tc>
          <w:tcPr>
            <w:tcW w:w="229" w:type="dxa"/>
            <w:tcBorders>
              <w:top w:val="nil"/>
              <w:left w:val="nil"/>
              <w:bottom w:val="nil"/>
              <w:right w:val="nil"/>
            </w:tcBorders>
            <w:shd w:val="clear" w:color="auto" w:fill="auto"/>
            <w:tcMar>
              <w:left w:w="0" w:type="dxa"/>
            </w:tcMar>
          </w:tcPr>
          <w:p w14:paraId="5CE38465" w14:textId="77777777" w:rsidR="00BA5125" w:rsidRPr="006E725C" w:rsidRDefault="00BA5125" w:rsidP="00BA5125">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1F5B0D28" w14:textId="7A78C0E6" w:rsidR="00BA5125" w:rsidRPr="006E725C" w:rsidRDefault="001B7FAD" w:rsidP="00BA5125">
            <w:pPr>
              <w:spacing w:after="180"/>
              <w:rPr>
                <w:spacing w:val="-5"/>
                <w:lang w:val="en-GB"/>
              </w:rPr>
            </w:pPr>
            <w:r w:rsidRPr="006E725C">
              <w:rPr>
                <w:spacing w:val="-5"/>
                <w:lang w:val="en-GB"/>
              </w:rPr>
              <w:t>The sub-branch of the</w:t>
            </w:r>
            <w:r w:rsidR="001A6A14">
              <w:rPr>
                <w:spacing w:val="-5"/>
                <w:lang w:val="en-GB"/>
              </w:rPr>
              <w:t xml:space="preserve"> </w:t>
            </w:r>
            <w:proofErr w:type="spellStart"/>
            <w:r w:rsidR="001A6A14">
              <w:rPr>
                <w:spacing w:val="-5"/>
                <w:lang w:val="en-GB"/>
              </w:rPr>
              <w:t>electrotechnical</w:t>
            </w:r>
            <w:proofErr w:type="spellEnd"/>
            <w:r w:rsidR="001A6A14">
              <w:rPr>
                <w:spacing w:val="-5"/>
                <w:lang w:val="en-GB"/>
              </w:rPr>
              <w:t xml:space="preserve"> industry profited from </w:t>
            </w:r>
            <w:r w:rsidRPr="006E725C">
              <w:rPr>
                <w:spacing w:val="-5"/>
                <w:lang w:val="en-GB"/>
              </w:rPr>
              <w:t>the development</w:t>
            </w:r>
            <w:r w:rsidR="00A73D1E">
              <w:rPr>
                <w:spacing w:val="-5"/>
                <w:lang w:val="en-GB"/>
              </w:rPr>
              <w:t xml:space="preserve"> of motor vehicle manufacturing. I</w:t>
            </w:r>
            <w:r w:rsidRPr="006E725C">
              <w:rPr>
                <w:spacing w:val="-5"/>
                <w:lang w:val="en-GB"/>
              </w:rPr>
              <w:t xml:space="preserve">t however grew slower </w:t>
            </w:r>
            <w:r w:rsidR="00BA5125" w:rsidRPr="006E725C">
              <w:rPr>
                <w:spacing w:val="-5"/>
                <w:lang w:val="en-GB"/>
              </w:rPr>
              <w:t>(+4</w:t>
            </w:r>
            <w:r w:rsidR="00B411B8" w:rsidRPr="006E725C">
              <w:rPr>
                <w:spacing w:val="-5"/>
                <w:lang w:val="en-GB"/>
              </w:rPr>
              <w:t>.</w:t>
            </w:r>
            <w:r w:rsidR="00BA5125" w:rsidRPr="006E725C">
              <w:rPr>
                <w:spacing w:val="-5"/>
                <w:lang w:val="en-GB"/>
              </w:rPr>
              <w:t>2%) a</w:t>
            </w:r>
            <w:r w:rsidRPr="006E725C">
              <w:rPr>
                <w:spacing w:val="-5"/>
                <w:lang w:val="en-GB"/>
              </w:rPr>
              <w:t xml:space="preserve">nd contributed </w:t>
            </w:r>
            <w:r w:rsidR="0013689F" w:rsidRPr="006E725C">
              <w:rPr>
                <w:spacing w:val="-5"/>
                <w:lang w:val="en-GB"/>
              </w:rPr>
              <w:t>to</w:t>
            </w:r>
            <w:r w:rsidR="001A6A14">
              <w:rPr>
                <w:spacing w:val="-5"/>
                <w:lang w:val="en-GB"/>
              </w:rPr>
              <w:t xml:space="preserve"> the</w:t>
            </w:r>
            <w:r w:rsidRPr="006E725C">
              <w:rPr>
                <w:spacing w:val="-5"/>
                <w:lang w:val="en-GB"/>
              </w:rPr>
              <w:t xml:space="preserve"> growth of the whole industry only </w:t>
            </w:r>
            <w:r w:rsidR="001A6A14">
              <w:rPr>
                <w:spacing w:val="-5"/>
                <w:lang w:val="en-GB"/>
              </w:rPr>
              <w:t xml:space="preserve">by </w:t>
            </w:r>
            <w:r w:rsidR="00BA5125" w:rsidRPr="006E725C">
              <w:rPr>
                <w:spacing w:val="-5"/>
                <w:lang w:val="en-GB"/>
              </w:rPr>
              <w:t>0</w:t>
            </w:r>
            <w:r w:rsidRPr="006E725C">
              <w:rPr>
                <w:spacing w:val="-5"/>
                <w:lang w:val="en-GB"/>
              </w:rPr>
              <w:t>.</w:t>
            </w:r>
            <w:r w:rsidR="00BA5125" w:rsidRPr="006E725C">
              <w:rPr>
                <w:spacing w:val="-5"/>
                <w:lang w:val="en-GB"/>
              </w:rPr>
              <w:t>3 p.</w:t>
            </w:r>
            <w:r w:rsidRPr="006E725C">
              <w:rPr>
                <w:spacing w:val="-5"/>
                <w:lang w:val="en-GB"/>
              </w:rPr>
              <w:t>p</w:t>
            </w:r>
            <w:r w:rsidR="00BA5125" w:rsidRPr="006E725C">
              <w:rPr>
                <w:spacing w:val="-5"/>
                <w:lang w:val="en-GB"/>
              </w:rPr>
              <w:t xml:space="preserve">. </w:t>
            </w:r>
            <w:r w:rsidRPr="006E725C">
              <w:rPr>
                <w:spacing w:val="-5"/>
                <w:lang w:val="en-GB"/>
              </w:rPr>
              <w:t xml:space="preserve">Output in the next sub-branch </w:t>
            </w:r>
            <w:r w:rsidR="00BA5125" w:rsidRPr="006E725C">
              <w:rPr>
                <w:spacing w:val="-5"/>
                <w:lang w:val="en-GB"/>
              </w:rPr>
              <w:t xml:space="preserve">– </w:t>
            </w:r>
            <w:r w:rsidRPr="006E725C">
              <w:rPr>
                <w:spacing w:val="-5"/>
                <w:lang w:val="en-GB"/>
              </w:rPr>
              <w:t>rubber and plastic industries</w:t>
            </w:r>
            <w:r w:rsidR="00BA5125" w:rsidRPr="006E725C">
              <w:rPr>
                <w:spacing w:val="-5"/>
                <w:lang w:val="en-GB"/>
              </w:rPr>
              <w:t xml:space="preserve"> – </w:t>
            </w:r>
            <w:r w:rsidRPr="006E725C">
              <w:rPr>
                <w:spacing w:val="-5"/>
                <w:lang w:val="en-GB"/>
              </w:rPr>
              <w:t xml:space="preserve">even slightly decreased </w:t>
            </w:r>
            <w:r w:rsidR="00BA5125" w:rsidRPr="006E725C">
              <w:rPr>
                <w:spacing w:val="-5"/>
                <w:lang w:val="en-GB"/>
              </w:rPr>
              <w:t>(</w:t>
            </w:r>
            <w:r w:rsidR="00BA5125" w:rsidRPr="006E725C">
              <w:rPr>
                <w:color w:val="0D0D0D" w:themeColor="text1" w:themeTint="F2"/>
                <w:lang w:val="en-GB"/>
              </w:rPr>
              <w:t>−</w:t>
            </w:r>
            <w:r w:rsidR="00BA5125" w:rsidRPr="006E725C">
              <w:rPr>
                <w:spacing w:val="-5"/>
                <w:lang w:val="en-GB"/>
              </w:rPr>
              <w:t>4</w:t>
            </w:r>
            <w:r w:rsidRPr="006E725C">
              <w:rPr>
                <w:spacing w:val="-5"/>
                <w:lang w:val="en-GB"/>
              </w:rPr>
              <w:t>.</w:t>
            </w:r>
            <w:r w:rsidR="00BA5125" w:rsidRPr="006E725C">
              <w:rPr>
                <w:spacing w:val="-5"/>
                <w:lang w:val="en-GB"/>
              </w:rPr>
              <w:t xml:space="preserve">5%), </w:t>
            </w:r>
            <w:r w:rsidRPr="006E725C">
              <w:rPr>
                <w:spacing w:val="-5"/>
                <w:lang w:val="en-GB"/>
              </w:rPr>
              <w:t>partially likely also for the reason, that compared to the above mentioned this features higher energy</w:t>
            </w:r>
            <w:r w:rsidRPr="002D2842">
              <w:rPr>
                <w:spacing w:val="-5"/>
                <w:lang w:val="en-GB"/>
              </w:rPr>
              <w:t>-intensity</w:t>
            </w:r>
            <w:r w:rsidRPr="006E725C">
              <w:rPr>
                <w:spacing w:val="-5"/>
                <w:lang w:val="en-GB"/>
              </w:rPr>
              <w:t>.</w:t>
            </w:r>
            <w:r w:rsidR="0013689F" w:rsidRPr="006E725C">
              <w:rPr>
                <w:spacing w:val="-5"/>
                <w:lang w:val="en-GB"/>
              </w:rPr>
              <w:t xml:space="preserve"> T</w:t>
            </w:r>
            <w:r w:rsidR="002D2842">
              <w:rPr>
                <w:spacing w:val="-5"/>
                <w:lang w:val="en-GB"/>
              </w:rPr>
              <w:t>his intensity, t</w:t>
            </w:r>
            <w:r w:rsidR="0013689F" w:rsidRPr="006E725C">
              <w:rPr>
                <w:spacing w:val="-5"/>
                <w:lang w:val="en-GB"/>
              </w:rPr>
              <w:t xml:space="preserve">ogether with the decreased demand on the part of </w:t>
            </w:r>
            <w:r w:rsidR="00320DB8" w:rsidRPr="006E725C">
              <w:rPr>
                <w:spacing w:val="-5"/>
                <w:lang w:val="en-GB"/>
              </w:rPr>
              <w:t>construction,</w:t>
            </w:r>
            <w:r w:rsidR="002D2842">
              <w:rPr>
                <w:spacing w:val="-5"/>
                <w:lang w:val="en-GB"/>
              </w:rPr>
              <w:t xml:space="preserve"> </w:t>
            </w:r>
            <w:r w:rsidR="00B16960">
              <w:rPr>
                <w:spacing w:val="-5"/>
                <w:lang w:val="en-GB"/>
              </w:rPr>
              <w:t>markedly affected the branch</w:t>
            </w:r>
            <w:r w:rsidR="0013689F" w:rsidRPr="006E725C">
              <w:rPr>
                <w:spacing w:val="-5"/>
                <w:lang w:val="en-GB"/>
              </w:rPr>
              <w:t xml:space="preserve"> of o</w:t>
            </w:r>
            <w:r w:rsidR="00B16960">
              <w:rPr>
                <w:spacing w:val="-5"/>
                <w:lang w:val="en-GB"/>
              </w:rPr>
              <w:t>ther non-metal mineral product</w:t>
            </w:r>
            <w:r w:rsidR="0013689F" w:rsidRPr="006E725C">
              <w:rPr>
                <w:spacing w:val="-5"/>
                <w:lang w:val="en-GB"/>
              </w:rPr>
              <w:t xml:space="preserve">, where the output plunged by </w:t>
            </w:r>
            <w:r w:rsidR="00BA5125" w:rsidRPr="006E725C">
              <w:rPr>
                <w:spacing w:val="-5"/>
                <w:lang w:val="en-GB"/>
              </w:rPr>
              <w:t>17</w:t>
            </w:r>
            <w:r w:rsidR="0013689F" w:rsidRPr="006E725C">
              <w:rPr>
                <w:spacing w:val="-5"/>
                <w:lang w:val="en-GB"/>
              </w:rPr>
              <w:t>.</w:t>
            </w:r>
            <w:r w:rsidR="00BA5125" w:rsidRPr="006E725C">
              <w:rPr>
                <w:spacing w:val="-5"/>
                <w:lang w:val="en-GB"/>
              </w:rPr>
              <w:t>1%</w:t>
            </w:r>
            <w:r w:rsidR="0013689F" w:rsidRPr="006E725C">
              <w:rPr>
                <w:spacing w:val="-5"/>
                <w:lang w:val="en-GB"/>
              </w:rPr>
              <w:t xml:space="preserve"> last year</w:t>
            </w:r>
            <w:r w:rsidR="00BA5125" w:rsidRPr="006E725C">
              <w:rPr>
                <w:spacing w:val="-5"/>
                <w:lang w:val="en-GB"/>
              </w:rPr>
              <w:t xml:space="preserve"> (</w:t>
            </w:r>
            <w:r w:rsidR="0013689F" w:rsidRPr="006E725C">
              <w:rPr>
                <w:spacing w:val="-5"/>
                <w:lang w:val="en-GB"/>
              </w:rPr>
              <w:t xml:space="preserve">the most after year </w:t>
            </w:r>
            <w:r w:rsidR="00BA5125" w:rsidRPr="006E725C">
              <w:rPr>
                <w:spacing w:val="-5"/>
                <w:lang w:val="en-GB"/>
              </w:rPr>
              <w:t xml:space="preserve">2009), </w:t>
            </w:r>
            <w:r w:rsidR="00B16960">
              <w:rPr>
                <w:spacing w:val="-5"/>
                <w:lang w:val="en-GB"/>
              </w:rPr>
              <w:t>the most</w:t>
            </w:r>
            <w:r w:rsidR="0013689F" w:rsidRPr="006E725C">
              <w:rPr>
                <w:spacing w:val="-5"/>
                <w:lang w:val="en-GB"/>
              </w:rPr>
              <w:t xml:space="preserve"> among all industrial branches. </w:t>
            </w:r>
            <w:r w:rsidR="00DB1ECC">
              <w:rPr>
                <w:spacing w:val="-5"/>
                <w:lang w:val="en-GB"/>
              </w:rPr>
              <w:t>The drop in</w:t>
            </w:r>
            <w:r w:rsidR="00634F30" w:rsidRPr="006E725C">
              <w:rPr>
                <w:spacing w:val="-5"/>
                <w:lang w:val="en-GB"/>
              </w:rPr>
              <w:t xml:space="preserve"> demand for technical textiles is </w:t>
            </w:r>
            <w:r w:rsidR="00634F30" w:rsidRPr="006E725C">
              <w:rPr>
                <w:spacing w:val="-5"/>
                <w:lang w:val="en-GB"/>
              </w:rPr>
              <w:lastRenderedPageBreak/>
              <w:t>also associated with weaker performance of construction</w:t>
            </w:r>
            <w:r w:rsidR="00BA5125" w:rsidRPr="006E725C">
              <w:rPr>
                <w:color w:val="0D0D0D" w:themeColor="text1" w:themeTint="F2"/>
                <w:spacing w:val="-4"/>
                <w:lang w:val="en-GB"/>
              </w:rPr>
              <w:t xml:space="preserve">, </w:t>
            </w:r>
            <w:r w:rsidR="003D3232" w:rsidRPr="006E725C">
              <w:rPr>
                <w:color w:val="0D0D0D" w:themeColor="text1" w:themeTint="F2"/>
                <w:spacing w:val="-4"/>
                <w:lang w:val="en-GB"/>
              </w:rPr>
              <w:t xml:space="preserve">which was reflected in the </w:t>
            </w:r>
            <w:r w:rsidR="00BA5125" w:rsidRPr="006E725C">
              <w:rPr>
                <w:color w:val="0D0D0D" w:themeColor="text1" w:themeTint="F2"/>
                <w:spacing w:val="-4"/>
                <w:lang w:val="en-GB"/>
              </w:rPr>
              <w:t xml:space="preserve">11% </w:t>
            </w:r>
            <w:r w:rsidR="00DB1ECC">
              <w:rPr>
                <w:color w:val="0D0D0D" w:themeColor="text1" w:themeTint="F2"/>
                <w:spacing w:val="-4"/>
                <w:lang w:val="en-GB"/>
              </w:rPr>
              <w:t>decrease</w:t>
            </w:r>
            <w:r w:rsidR="003D3232" w:rsidRPr="006E725C">
              <w:rPr>
                <w:color w:val="0D0D0D" w:themeColor="text1" w:themeTint="F2"/>
                <w:spacing w:val="-4"/>
                <w:lang w:val="en-GB"/>
              </w:rPr>
              <w:t xml:space="preserve"> of production in the whole textile industry. Weak internal and external demand </w:t>
            </w:r>
            <w:r w:rsidR="00343AA7" w:rsidRPr="006E725C">
              <w:rPr>
                <w:color w:val="0D0D0D" w:themeColor="text1" w:themeTint="F2"/>
                <w:spacing w:val="-4"/>
                <w:lang w:val="en-GB"/>
              </w:rPr>
              <w:t xml:space="preserve">led to the more than </w:t>
            </w:r>
            <w:r w:rsidR="00BA5125" w:rsidRPr="006E725C">
              <w:rPr>
                <w:spacing w:val="-5"/>
                <w:lang w:val="en-GB"/>
              </w:rPr>
              <w:t xml:space="preserve">14% </w:t>
            </w:r>
            <w:r w:rsidR="00343AA7" w:rsidRPr="006E725C">
              <w:rPr>
                <w:spacing w:val="-5"/>
                <w:lang w:val="en-GB"/>
              </w:rPr>
              <w:t xml:space="preserve">downturn in metallurgy and foundry industry </w:t>
            </w:r>
            <w:r w:rsidR="00BA5125" w:rsidRPr="006E725C">
              <w:rPr>
                <w:spacing w:val="-5"/>
                <w:lang w:val="en-GB"/>
              </w:rPr>
              <w:t>(</w:t>
            </w:r>
            <w:r w:rsidR="00DB1ECC">
              <w:rPr>
                <w:spacing w:val="-5"/>
                <w:lang w:val="en-GB"/>
              </w:rPr>
              <w:t xml:space="preserve">where </w:t>
            </w:r>
            <w:r w:rsidR="00343AA7" w:rsidRPr="006E725C">
              <w:rPr>
                <w:spacing w:val="-5"/>
                <w:lang w:val="en-GB"/>
              </w:rPr>
              <w:t>production decreased for the second year in a row, nearly by one quarter in the last five years</w:t>
            </w:r>
            <w:r w:rsidR="00BA5125" w:rsidRPr="006E725C">
              <w:rPr>
                <w:spacing w:val="-5"/>
                <w:lang w:val="en-GB"/>
              </w:rPr>
              <w:t xml:space="preserve">). </w:t>
            </w:r>
            <w:r w:rsidR="00634F30" w:rsidRPr="006E725C">
              <w:rPr>
                <w:spacing w:val="-5"/>
                <w:lang w:val="en-GB"/>
              </w:rPr>
              <w:t>Similarly,</w:t>
            </w:r>
            <w:r w:rsidR="00343AA7" w:rsidRPr="006E725C">
              <w:rPr>
                <w:spacing w:val="-5"/>
                <w:lang w:val="en-GB"/>
              </w:rPr>
              <w:t xml:space="preserve"> </w:t>
            </w:r>
            <w:r w:rsidR="00634F30" w:rsidRPr="006E725C">
              <w:rPr>
                <w:spacing w:val="-5"/>
                <w:lang w:val="en-GB"/>
              </w:rPr>
              <w:t xml:space="preserve">also </w:t>
            </w:r>
            <w:r w:rsidR="00343AA7" w:rsidRPr="006E725C">
              <w:rPr>
                <w:spacing w:val="-5"/>
                <w:lang w:val="en-GB"/>
              </w:rPr>
              <w:t xml:space="preserve">the chemical industry struggled </w:t>
            </w:r>
            <w:r w:rsidR="00634F30" w:rsidRPr="006E725C">
              <w:rPr>
                <w:spacing w:val="-5"/>
                <w:lang w:val="en-GB"/>
              </w:rPr>
              <w:t>with the sharp grow</w:t>
            </w:r>
            <w:r w:rsidR="00DB1ECC">
              <w:rPr>
                <w:spacing w:val="-5"/>
                <w:lang w:val="en-GB"/>
              </w:rPr>
              <w:t>th of prices of inputs</w:t>
            </w:r>
            <w:r w:rsidR="00634F30" w:rsidRPr="006E725C">
              <w:rPr>
                <w:spacing w:val="-5"/>
                <w:lang w:val="en-GB"/>
              </w:rPr>
              <w:t xml:space="preserve"> for the second year in a row and at the same time with the decrease of demand for output. It decreased by </w:t>
            </w:r>
            <w:r w:rsidR="00BA5125" w:rsidRPr="006E725C">
              <w:rPr>
                <w:spacing w:val="-5"/>
                <w:lang w:val="en-GB"/>
              </w:rPr>
              <w:t>9</w:t>
            </w:r>
            <w:r w:rsidR="00634F30" w:rsidRPr="006E725C">
              <w:rPr>
                <w:spacing w:val="-5"/>
                <w:lang w:val="en-GB"/>
              </w:rPr>
              <w:t>.</w:t>
            </w:r>
            <w:r w:rsidR="00BA5125" w:rsidRPr="006E725C">
              <w:rPr>
                <w:spacing w:val="-5"/>
                <w:lang w:val="en-GB"/>
              </w:rPr>
              <w:t>4%</w:t>
            </w:r>
            <w:r w:rsidR="00634F30" w:rsidRPr="006E725C">
              <w:rPr>
                <w:spacing w:val="-5"/>
                <w:lang w:val="en-GB"/>
              </w:rPr>
              <w:t xml:space="preserve"> last year</w:t>
            </w:r>
            <w:r w:rsidR="00BA5125" w:rsidRPr="006E725C">
              <w:rPr>
                <w:spacing w:val="-5"/>
                <w:lang w:val="en-GB"/>
              </w:rPr>
              <w:t xml:space="preserve">. </w:t>
            </w:r>
            <w:r w:rsidR="00634F30" w:rsidRPr="006E725C">
              <w:rPr>
                <w:spacing w:val="-5"/>
                <w:lang w:val="en-GB"/>
              </w:rPr>
              <w:t xml:space="preserve">Some smaller branches with energy-intensive production also suffered, in case of wood and paper industries it was however also considerably aided by lower wood logging. </w:t>
            </w:r>
          </w:p>
        </w:tc>
      </w:tr>
      <w:tr w:rsidR="00BA5125" w:rsidRPr="006E725C" w14:paraId="3DAAD178" w14:textId="77777777" w:rsidTr="00BA5125">
        <w:trPr>
          <w:trHeight w:val="145"/>
        </w:trPr>
        <w:tc>
          <w:tcPr>
            <w:tcW w:w="1814" w:type="dxa"/>
            <w:tcBorders>
              <w:top w:val="nil"/>
              <w:left w:val="nil"/>
              <w:bottom w:val="nil"/>
              <w:right w:val="nil"/>
            </w:tcBorders>
            <w:shd w:val="clear" w:color="auto" w:fill="auto"/>
            <w:tcMar>
              <w:left w:w="0" w:type="dxa"/>
            </w:tcMar>
          </w:tcPr>
          <w:p w14:paraId="4259D1E3" w14:textId="38FAE106" w:rsidR="00BA5125" w:rsidRPr="006E725C" w:rsidRDefault="000B52D8" w:rsidP="00BA5125">
            <w:pPr>
              <w:pStyle w:val="Marginlie"/>
              <w:rPr>
                <w:color w:val="0D0D0D" w:themeColor="text1" w:themeTint="F2"/>
                <w:spacing w:val="-4"/>
                <w:lang w:val="en-GB"/>
              </w:rPr>
            </w:pPr>
            <w:r w:rsidRPr="006E725C">
              <w:rPr>
                <w:color w:val="0D0D0D" w:themeColor="text1" w:themeTint="F2"/>
                <w:spacing w:val="-4"/>
                <w:lang w:val="en-GB"/>
              </w:rPr>
              <w:lastRenderedPageBreak/>
              <w:t xml:space="preserve">Among branches producing investment products, the output decreased the most in </w:t>
            </w:r>
            <w:r w:rsidR="006403E6" w:rsidRPr="006E725C">
              <w:rPr>
                <w:color w:val="0D0D0D" w:themeColor="text1" w:themeTint="F2"/>
                <w:spacing w:val="-4"/>
                <w:lang w:val="en-GB"/>
              </w:rPr>
              <w:t xml:space="preserve">machinery. The weaker external demand had the most adverse effect. </w:t>
            </w:r>
          </w:p>
        </w:tc>
        <w:tc>
          <w:tcPr>
            <w:tcW w:w="229" w:type="dxa"/>
            <w:tcBorders>
              <w:top w:val="nil"/>
              <w:left w:val="nil"/>
              <w:bottom w:val="nil"/>
              <w:right w:val="nil"/>
            </w:tcBorders>
            <w:shd w:val="clear" w:color="auto" w:fill="auto"/>
            <w:tcMar>
              <w:left w:w="0" w:type="dxa"/>
            </w:tcMar>
          </w:tcPr>
          <w:p w14:paraId="0AD5DBB8" w14:textId="77777777" w:rsidR="00BA5125" w:rsidRPr="006E725C" w:rsidRDefault="00BA5125" w:rsidP="00BA5125">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495ADBB0" w14:textId="6D95A405" w:rsidR="00BA5125" w:rsidRPr="006E725C" w:rsidRDefault="008C451F" w:rsidP="00BA5125">
            <w:pPr>
              <w:spacing w:after="180"/>
              <w:rPr>
                <w:color w:val="0D0D0D" w:themeColor="text1" w:themeTint="F2"/>
                <w:spacing w:val="-4"/>
                <w:lang w:val="en-GB"/>
              </w:rPr>
            </w:pPr>
            <w:r w:rsidRPr="006E725C">
              <w:rPr>
                <w:color w:val="0D0D0D" w:themeColor="text1" w:themeTint="F2"/>
                <w:spacing w:val="-4"/>
                <w:lang w:val="en-GB"/>
              </w:rPr>
              <w:t xml:space="preserve">Persisting weaker </w:t>
            </w:r>
            <w:r w:rsidR="000B52D8" w:rsidRPr="006E725C">
              <w:rPr>
                <w:color w:val="0D0D0D" w:themeColor="text1" w:themeTint="F2"/>
                <w:spacing w:val="-4"/>
                <w:lang w:val="en-GB"/>
              </w:rPr>
              <w:t>business confidence in the economy together with deteriorated accessibility of credit financing (due to high interest rates</w:t>
            </w:r>
            <w:r w:rsidR="00BA5125" w:rsidRPr="006E725C">
              <w:rPr>
                <w:color w:val="0D0D0D" w:themeColor="text1" w:themeTint="F2"/>
                <w:spacing w:val="-4"/>
                <w:lang w:val="en-GB"/>
              </w:rPr>
              <w:t xml:space="preserve">) </w:t>
            </w:r>
            <w:r w:rsidR="000B52D8" w:rsidRPr="006E725C">
              <w:rPr>
                <w:color w:val="0D0D0D" w:themeColor="text1" w:themeTint="F2"/>
                <w:spacing w:val="-4"/>
                <w:lang w:val="en-GB"/>
              </w:rPr>
              <w:t xml:space="preserve">inhibits the growth of private investment activity. It negatively impacts most industrial branches oriented on the production of investment products. </w:t>
            </w:r>
            <w:r w:rsidR="00EA1C07" w:rsidRPr="006E725C">
              <w:rPr>
                <w:color w:val="0D0D0D" w:themeColor="text1" w:themeTint="F2"/>
                <w:spacing w:val="-4"/>
                <w:lang w:val="en-GB"/>
              </w:rPr>
              <w:t xml:space="preserve">The output in machinery belonged to the fastest growing within industry in years </w:t>
            </w:r>
            <w:r w:rsidR="00BA5125" w:rsidRPr="006E725C">
              <w:rPr>
                <w:color w:val="0D0D0D" w:themeColor="text1" w:themeTint="F2"/>
                <w:spacing w:val="-4"/>
                <w:lang w:val="en-GB"/>
              </w:rPr>
              <w:t xml:space="preserve">2021 </w:t>
            </w:r>
            <w:r w:rsidR="00EA1C07" w:rsidRPr="006E725C">
              <w:rPr>
                <w:color w:val="0D0D0D" w:themeColor="text1" w:themeTint="F2"/>
                <w:spacing w:val="-4"/>
                <w:lang w:val="en-GB"/>
              </w:rPr>
              <w:t xml:space="preserve">as well as </w:t>
            </w:r>
            <w:r w:rsidR="00BA5125" w:rsidRPr="006E725C">
              <w:rPr>
                <w:color w:val="0D0D0D" w:themeColor="text1" w:themeTint="F2"/>
                <w:spacing w:val="-4"/>
                <w:lang w:val="en-GB"/>
              </w:rPr>
              <w:t xml:space="preserve">2022, </w:t>
            </w:r>
            <w:r w:rsidR="00EA1C07" w:rsidRPr="006E725C">
              <w:rPr>
                <w:color w:val="0D0D0D" w:themeColor="text1" w:themeTint="F2"/>
                <w:spacing w:val="-4"/>
                <w:lang w:val="en-GB"/>
              </w:rPr>
              <w:t xml:space="preserve">it however lowered by </w:t>
            </w:r>
            <w:r w:rsidR="00BA5125" w:rsidRPr="006E725C">
              <w:rPr>
                <w:color w:val="0D0D0D" w:themeColor="text1" w:themeTint="F2"/>
                <w:spacing w:val="-4"/>
                <w:lang w:val="en-GB"/>
              </w:rPr>
              <w:t>1</w:t>
            </w:r>
            <w:r w:rsidR="00EA1C07" w:rsidRPr="006E725C">
              <w:rPr>
                <w:color w:val="0D0D0D" w:themeColor="text1" w:themeTint="F2"/>
                <w:spacing w:val="-4"/>
                <w:lang w:val="en-GB"/>
              </w:rPr>
              <w:t>.</w:t>
            </w:r>
            <w:r w:rsidR="00BA5125" w:rsidRPr="006E725C">
              <w:rPr>
                <w:color w:val="0D0D0D" w:themeColor="text1" w:themeTint="F2"/>
                <w:spacing w:val="-4"/>
                <w:lang w:val="en-GB"/>
              </w:rPr>
              <w:t>6%</w:t>
            </w:r>
            <w:r w:rsidR="00EA1C07" w:rsidRPr="006E725C">
              <w:rPr>
                <w:color w:val="0D0D0D" w:themeColor="text1" w:themeTint="F2"/>
                <w:spacing w:val="-4"/>
                <w:lang w:val="en-GB"/>
              </w:rPr>
              <w:t xml:space="preserve"> last year</w:t>
            </w:r>
            <w:r w:rsidR="00BA5125" w:rsidRPr="006E725C">
              <w:rPr>
                <w:color w:val="0D0D0D" w:themeColor="text1" w:themeTint="F2"/>
                <w:spacing w:val="-4"/>
                <w:lang w:val="en-GB"/>
              </w:rPr>
              <w:t xml:space="preserve">, </w:t>
            </w:r>
            <w:r w:rsidR="00EA1C07" w:rsidRPr="006E725C">
              <w:rPr>
                <w:color w:val="0D0D0D" w:themeColor="text1" w:themeTint="F2"/>
                <w:spacing w:val="-4"/>
                <w:lang w:val="en-GB"/>
              </w:rPr>
              <w:t>first of all due to the weaker external demand. It also stood behind the mild last year</w:t>
            </w:r>
            <w:r w:rsidR="00C50ACF">
              <w:rPr>
                <w:color w:val="0D0D0D" w:themeColor="text1" w:themeTint="F2"/>
                <w:spacing w:val="-4"/>
                <w:lang w:val="en-GB"/>
              </w:rPr>
              <w:t xml:space="preserve">’s decrease of the </w:t>
            </w:r>
            <w:r w:rsidR="00C50ACF" w:rsidRPr="00C50ACF">
              <w:rPr>
                <w:color w:val="0D0D0D" w:themeColor="text1" w:themeTint="F2"/>
                <w:spacing w:val="-4"/>
                <w:lang w:val="en-GB"/>
              </w:rPr>
              <w:t xml:space="preserve">fabricated metal product </w:t>
            </w:r>
            <w:r w:rsidR="00EA1C07" w:rsidRPr="006E725C">
              <w:rPr>
                <w:color w:val="0D0D0D" w:themeColor="text1" w:themeTint="F2"/>
                <w:spacing w:val="-4"/>
                <w:lang w:val="en-GB"/>
              </w:rPr>
              <w:t xml:space="preserve">industry </w:t>
            </w:r>
            <w:r w:rsidR="00BA5125" w:rsidRPr="006E725C">
              <w:rPr>
                <w:color w:val="0D0D0D" w:themeColor="text1" w:themeTint="F2"/>
                <w:spacing w:val="-2"/>
                <w:lang w:val="en-GB"/>
              </w:rPr>
              <w:t>(−1</w:t>
            </w:r>
            <w:r w:rsidR="00EA1C07" w:rsidRPr="006E725C">
              <w:rPr>
                <w:color w:val="0D0D0D" w:themeColor="text1" w:themeTint="F2"/>
                <w:spacing w:val="-2"/>
                <w:lang w:val="en-GB"/>
              </w:rPr>
              <w:t>.</w:t>
            </w:r>
            <w:r w:rsidR="00BA5125" w:rsidRPr="006E725C">
              <w:rPr>
                <w:color w:val="0D0D0D" w:themeColor="text1" w:themeTint="F2"/>
                <w:spacing w:val="-2"/>
                <w:lang w:val="en-GB"/>
              </w:rPr>
              <w:t xml:space="preserve">1%), </w:t>
            </w:r>
            <w:r w:rsidR="00EA1C07" w:rsidRPr="006E725C">
              <w:rPr>
                <w:color w:val="0D0D0D" w:themeColor="text1" w:themeTint="F2"/>
                <w:spacing w:val="-2"/>
                <w:lang w:val="en-GB"/>
              </w:rPr>
              <w:t xml:space="preserve">where the internal demand prevented larger downturn </w:t>
            </w:r>
            <w:r w:rsidR="00BA5125" w:rsidRPr="006E725C">
              <w:rPr>
                <w:color w:val="0D0D0D" w:themeColor="text1" w:themeTint="F2"/>
                <w:spacing w:val="-2"/>
                <w:lang w:val="en-GB"/>
              </w:rPr>
              <w:t>(</w:t>
            </w:r>
            <w:r w:rsidR="00BA5125" w:rsidRPr="006E725C">
              <w:rPr>
                <w:color w:val="0D0D0D" w:themeColor="text1" w:themeTint="F2"/>
                <w:spacing w:val="-4"/>
                <w:lang w:val="en-GB"/>
              </w:rPr>
              <w:t>st</w:t>
            </w:r>
            <w:r w:rsidR="00EA1C07" w:rsidRPr="006E725C">
              <w:rPr>
                <w:color w:val="0D0D0D" w:themeColor="text1" w:themeTint="F2"/>
                <w:spacing w:val="-4"/>
                <w:lang w:val="en-GB"/>
              </w:rPr>
              <w:t>ate orders in defence and security</w:t>
            </w:r>
            <w:r w:rsidR="00C50ACF">
              <w:rPr>
                <w:color w:val="0D0D0D" w:themeColor="text1" w:themeTint="F2"/>
                <w:spacing w:val="-4"/>
                <w:lang w:val="en-GB"/>
              </w:rPr>
              <w:t>). Domestic</w:t>
            </w:r>
            <w:r w:rsidR="00EA1C07" w:rsidRPr="006E725C">
              <w:rPr>
                <w:color w:val="0D0D0D" w:themeColor="text1" w:themeTint="F2"/>
                <w:spacing w:val="-4"/>
                <w:lang w:val="en-GB"/>
              </w:rPr>
              <w:t xml:space="preserve"> demand </w:t>
            </w:r>
            <w:r w:rsidR="00C50ACF">
              <w:rPr>
                <w:color w:val="0D0D0D" w:themeColor="text1" w:themeTint="F2"/>
                <w:spacing w:val="-4"/>
                <w:lang w:val="en-GB"/>
              </w:rPr>
              <w:t>(</w:t>
            </w:r>
            <w:r w:rsidR="00EA1C07" w:rsidRPr="006E725C">
              <w:rPr>
                <w:color w:val="0D0D0D" w:themeColor="text1" w:themeTint="F2"/>
                <w:spacing w:val="-4"/>
                <w:lang w:val="en-GB"/>
              </w:rPr>
              <w:t>among other things in the form of photovoltaics</w:t>
            </w:r>
            <w:r w:rsidR="00C50ACF">
              <w:rPr>
                <w:color w:val="0D0D0D" w:themeColor="text1" w:themeTint="F2"/>
                <w:spacing w:val="-4"/>
                <w:lang w:val="en-GB"/>
              </w:rPr>
              <w:t>)</w:t>
            </w:r>
            <w:r w:rsidR="00EA1C07" w:rsidRPr="006E725C">
              <w:rPr>
                <w:color w:val="0D0D0D" w:themeColor="text1" w:themeTint="F2"/>
                <w:spacing w:val="-4"/>
                <w:lang w:val="en-GB"/>
              </w:rPr>
              <w:t xml:space="preserve"> development also supported the electronic industry, where the output slightly increased for the third year in a row </w:t>
            </w:r>
            <w:r w:rsidR="00BA5125" w:rsidRPr="006E725C">
              <w:rPr>
                <w:color w:val="0D0D0D" w:themeColor="text1" w:themeTint="F2"/>
                <w:spacing w:val="-4"/>
                <w:lang w:val="en-GB"/>
              </w:rPr>
              <w:t>(</w:t>
            </w:r>
            <w:r w:rsidR="00BA5125" w:rsidRPr="006E725C">
              <w:rPr>
                <w:color w:val="0D0D0D" w:themeColor="text1" w:themeTint="F2"/>
                <w:lang w:val="en-GB"/>
              </w:rPr>
              <w:t>+1</w:t>
            </w:r>
            <w:r w:rsidR="00EA1C07" w:rsidRPr="006E725C">
              <w:rPr>
                <w:color w:val="0D0D0D" w:themeColor="text1" w:themeTint="F2"/>
                <w:lang w:val="en-GB"/>
              </w:rPr>
              <w:t>.</w:t>
            </w:r>
            <w:r w:rsidR="00BA5125" w:rsidRPr="006E725C">
              <w:rPr>
                <w:color w:val="0D0D0D" w:themeColor="text1" w:themeTint="F2"/>
                <w:lang w:val="en-GB"/>
              </w:rPr>
              <w:t>3</w:t>
            </w:r>
            <w:r w:rsidR="00BA5125" w:rsidRPr="006E725C">
              <w:rPr>
                <w:color w:val="0D0D0D" w:themeColor="text1" w:themeTint="F2"/>
                <w:spacing w:val="-4"/>
                <w:lang w:val="en-GB"/>
              </w:rPr>
              <w:t>%</w:t>
            </w:r>
            <w:r w:rsidR="00EA1C07" w:rsidRPr="006E725C">
              <w:rPr>
                <w:color w:val="0D0D0D" w:themeColor="text1" w:themeTint="F2"/>
                <w:spacing w:val="-4"/>
                <w:lang w:val="en-GB"/>
              </w:rPr>
              <w:t xml:space="preserve"> last year</w:t>
            </w:r>
            <w:r w:rsidR="00BA5125" w:rsidRPr="006E725C">
              <w:rPr>
                <w:color w:val="0D0D0D" w:themeColor="text1" w:themeTint="F2"/>
                <w:spacing w:val="-4"/>
                <w:lang w:val="en-GB"/>
              </w:rPr>
              <w:t xml:space="preserve">). </w:t>
            </w:r>
          </w:p>
        </w:tc>
      </w:tr>
      <w:tr w:rsidR="007B5F59" w:rsidRPr="006E725C" w14:paraId="6469CBB5" w14:textId="77777777" w:rsidTr="00BA5125">
        <w:trPr>
          <w:trHeight w:val="170"/>
        </w:trPr>
        <w:tc>
          <w:tcPr>
            <w:tcW w:w="1814" w:type="dxa"/>
            <w:vMerge w:val="restart"/>
            <w:tcBorders>
              <w:top w:val="nil"/>
              <w:left w:val="nil"/>
              <w:bottom w:val="nil"/>
              <w:right w:val="nil"/>
            </w:tcBorders>
            <w:shd w:val="clear" w:color="auto" w:fill="auto"/>
            <w:tcMar>
              <w:left w:w="0" w:type="dxa"/>
            </w:tcMar>
          </w:tcPr>
          <w:p w14:paraId="001AAA2F" w14:textId="77777777" w:rsidR="007B5F59" w:rsidRPr="006E725C" w:rsidRDefault="007B5F59" w:rsidP="007B5F59">
            <w:pPr>
              <w:pStyle w:val="Marginlie"/>
              <w:rPr>
                <w:lang w:val="en-GB"/>
              </w:rPr>
            </w:pPr>
          </w:p>
        </w:tc>
        <w:tc>
          <w:tcPr>
            <w:tcW w:w="229" w:type="dxa"/>
            <w:vMerge w:val="restart"/>
            <w:tcBorders>
              <w:top w:val="nil"/>
              <w:left w:val="nil"/>
              <w:bottom w:val="nil"/>
              <w:right w:val="nil"/>
            </w:tcBorders>
            <w:shd w:val="clear" w:color="auto" w:fill="auto"/>
            <w:tcMar>
              <w:left w:w="0" w:type="dxa"/>
            </w:tcMar>
          </w:tcPr>
          <w:p w14:paraId="19FF7670"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786F645A" w14:textId="32EB5CA0" w:rsidR="007B5F59" w:rsidRPr="006E725C" w:rsidRDefault="007B5F59" w:rsidP="007B5F59">
            <w:pPr>
              <w:spacing w:after="0"/>
              <w:rPr>
                <w:spacing w:val="-2"/>
                <w:lang w:val="en-GB"/>
              </w:rPr>
            </w:pPr>
            <w:r w:rsidRPr="006E725C">
              <w:rPr>
                <w:rFonts w:cs="Arial"/>
                <w:b/>
                <w:bCs/>
                <w:color w:val="000000"/>
                <w:spacing w:val="-2"/>
                <w:szCs w:val="20"/>
                <w:lang w:val="en-GB"/>
              </w:rPr>
              <w:t xml:space="preserve">Chart 4 </w:t>
            </w:r>
            <w:r w:rsidRPr="006E725C">
              <w:rPr>
                <w:b/>
                <w:spacing w:val="-2"/>
                <w:lang w:val="en-GB"/>
              </w:rPr>
              <w:t xml:space="preserve">Contributions of sub-branches to the year-on-year change of the industrial output in the CR </w:t>
            </w:r>
            <w:r w:rsidRPr="006E725C">
              <w:rPr>
                <w:spacing w:val="-2"/>
                <w:lang w:val="en-GB"/>
              </w:rPr>
              <w:t xml:space="preserve">(adjusted for calendar effects, real, in p.p.) </w:t>
            </w:r>
            <w:r w:rsidRPr="006E725C">
              <w:rPr>
                <w:b/>
                <w:bCs/>
                <w:spacing w:val="-2"/>
                <w:lang w:val="en-GB"/>
              </w:rPr>
              <w:t>and output in the entire industry in the CR, Germany and EU27</w:t>
            </w:r>
            <w:r w:rsidRPr="006E725C">
              <w:rPr>
                <w:spacing w:val="-2"/>
                <w:lang w:val="en-GB"/>
              </w:rPr>
              <w:t xml:space="preserve"> (seasonally adjusted, level of year 2021=100, right axis)</w:t>
            </w:r>
          </w:p>
        </w:tc>
      </w:tr>
      <w:tr w:rsidR="007B5F59" w:rsidRPr="006E725C" w14:paraId="66A1866B" w14:textId="77777777" w:rsidTr="00FC4F31">
        <w:tblPrEx>
          <w:tblCellMar>
            <w:left w:w="70" w:type="dxa"/>
            <w:right w:w="70" w:type="dxa"/>
          </w:tblCellMar>
        </w:tblPrEx>
        <w:trPr>
          <w:trHeight w:val="170"/>
        </w:trPr>
        <w:tc>
          <w:tcPr>
            <w:tcW w:w="1814" w:type="dxa"/>
            <w:vMerge/>
            <w:tcBorders>
              <w:top w:val="nil"/>
              <w:left w:val="nil"/>
              <w:bottom w:val="nil"/>
              <w:right w:val="nil"/>
            </w:tcBorders>
            <w:shd w:val="clear" w:color="auto" w:fill="auto"/>
          </w:tcPr>
          <w:p w14:paraId="49B8CA47" w14:textId="77777777" w:rsidR="007B5F59" w:rsidRPr="006E725C" w:rsidRDefault="007B5F59" w:rsidP="007B5F59">
            <w:pPr>
              <w:pStyle w:val="Marginlie"/>
              <w:rPr>
                <w:lang w:val="en-GB"/>
              </w:rPr>
            </w:pPr>
          </w:p>
        </w:tc>
        <w:tc>
          <w:tcPr>
            <w:tcW w:w="229" w:type="dxa"/>
            <w:vMerge/>
            <w:tcBorders>
              <w:top w:val="nil"/>
              <w:left w:val="nil"/>
              <w:bottom w:val="nil"/>
              <w:right w:val="nil"/>
            </w:tcBorders>
            <w:shd w:val="clear" w:color="auto" w:fill="auto"/>
          </w:tcPr>
          <w:p w14:paraId="5134D25E"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Pr>
          <w:p w14:paraId="72775269" w14:textId="173604DE" w:rsidR="007B5F59" w:rsidRPr="006E725C" w:rsidRDefault="007B5F59" w:rsidP="007B5F59">
            <w:pPr>
              <w:spacing w:after="0"/>
              <w:rPr>
                <w:spacing w:val="-6"/>
                <w:lang w:val="en-GB"/>
              </w:rPr>
            </w:pPr>
            <w:r>
              <w:rPr>
                <w:noProof/>
              </w:rPr>
              <w:drawing>
                <wp:inline distT="0" distB="0" distL="0" distR="0" wp14:anchorId="0E6581EF" wp14:editId="7B306B23">
                  <wp:extent cx="4628636" cy="3653797"/>
                  <wp:effectExtent l="0" t="0" r="635" b="381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7B5F59" w:rsidRPr="006E725C" w14:paraId="3172F44F" w14:textId="77777777" w:rsidTr="00BA5125">
        <w:trPr>
          <w:trHeight w:val="170"/>
        </w:trPr>
        <w:tc>
          <w:tcPr>
            <w:tcW w:w="1814" w:type="dxa"/>
            <w:vMerge/>
            <w:tcBorders>
              <w:top w:val="nil"/>
              <w:left w:val="nil"/>
              <w:bottom w:val="nil"/>
              <w:right w:val="nil"/>
            </w:tcBorders>
            <w:shd w:val="clear" w:color="auto" w:fill="auto"/>
            <w:tcMar>
              <w:left w:w="0" w:type="dxa"/>
            </w:tcMar>
          </w:tcPr>
          <w:p w14:paraId="5DAEB5E0" w14:textId="77777777" w:rsidR="007B5F59" w:rsidRPr="006E725C" w:rsidRDefault="007B5F59" w:rsidP="007B5F59">
            <w:pPr>
              <w:pStyle w:val="Marginlie"/>
              <w:rPr>
                <w:lang w:val="en-GB"/>
              </w:rPr>
            </w:pPr>
          </w:p>
        </w:tc>
        <w:tc>
          <w:tcPr>
            <w:tcW w:w="229" w:type="dxa"/>
            <w:vMerge/>
            <w:tcBorders>
              <w:top w:val="nil"/>
              <w:left w:val="nil"/>
              <w:bottom w:val="nil"/>
              <w:right w:val="nil"/>
            </w:tcBorders>
            <w:shd w:val="clear" w:color="auto" w:fill="auto"/>
            <w:tcMar>
              <w:left w:w="0" w:type="dxa"/>
            </w:tcMar>
          </w:tcPr>
          <w:p w14:paraId="128427A6"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72F1B38A" w14:textId="79FC08A8" w:rsidR="007B5F59" w:rsidRPr="006E725C" w:rsidRDefault="007B5F59" w:rsidP="007B5F59">
            <w:pPr>
              <w:tabs>
                <w:tab w:val="right" w:pos="7683"/>
              </w:tabs>
              <w:spacing w:after="0" w:line="240" w:lineRule="auto"/>
              <w:jc w:val="left"/>
              <w:rPr>
                <w:rFonts w:cs="Arial"/>
                <w:sz w:val="14"/>
                <w:szCs w:val="14"/>
                <w:lang w:val="en-GB"/>
              </w:rPr>
            </w:pPr>
            <w:r w:rsidRPr="006E725C">
              <w:rPr>
                <w:rFonts w:cs="Arial"/>
                <w:sz w:val="14"/>
                <w:szCs w:val="14"/>
                <w:lang w:val="en-GB"/>
              </w:rPr>
              <w:t xml:space="preserve">Note: Sales are given in current prices.  </w:t>
            </w:r>
            <w:r w:rsidRPr="006E725C">
              <w:rPr>
                <w:rFonts w:cs="Arial"/>
                <w:sz w:val="14"/>
                <w:szCs w:val="14"/>
                <w:lang w:val="en-GB"/>
              </w:rPr>
              <w:tab/>
              <w:t xml:space="preserve"> </w:t>
            </w:r>
          </w:p>
          <w:p w14:paraId="3D81A3BA" w14:textId="572C4456" w:rsidR="007B5F59" w:rsidRPr="00FC4F31" w:rsidRDefault="007B5F59" w:rsidP="007B5F59">
            <w:pPr>
              <w:tabs>
                <w:tab w:val="right" w:pos="7683"/>
              </w:tabs>
              <w:spacing w:after="200" w:line="240" w:lineRule="auto"/>
              <w:jc w:val="left"/>
              <w:rPr>
                <w:rFonts w:cs="Arial"/>
                <w:sz w:val="14"/>
                <w:szCs w:val="14"/>
                <w:lang w:val="en-GB"/>
              </w:rPr>
            </w:pPr>
            <w:r w:rsidRPr="006E725C">
              <w:rPr>
                <w:rFonts w:cs="Arial"/>
                <w:sz w:val="14"/>
                <w:szCs w:val="14"/>
                <w:lang w:val="en-GB"/>
              </w:rPr>
              <w:t>Source: CZSO</w:t>
            </w:r>
            <w:r>
              <w:rPr>
                <w:rFonts w:cs="Arial"/>
                <w:sz w:val="14"/>
                <w:szCs w:val="14"/>
                <w:lang w:val="en-GB"/>
              </w:rPr>
              <w:t>, Eurostat</w:t>
            </w:r>
          </w:p>
        </w:tc>
      </w:tr>
      <w:tr w:rsidR="007B5F59" w:rsidRPr="006E725C" w14:paraId="3DE88D74" w14:textId="77777777" w:rsidTr="00BA5125">
        <w:trPr>
          <w:trHeight w:val="170"/>
        </w:trPr>
        <w:tc>
          <w:tcPr>
            <w:tcW w:w="1814" w:type="dxa"/>
            <w:tcBorders>
              <w:top w:val="nil"/>
              <w:left w:val="nil"/>
              <w:bottom w:val="nil"/>
              <w:right w:val="nil"/>
            </w:tcBorders>
            <w:shd w:val="clear" w:color="auto" w:fill="auto"/>
            <w:tcMar>
              <w:left w:w="0" w:type="dxa"/>
            </w:tcMar>
          </w:tcPr>
          <w:p w14:paraId="6EE11856" w14:textId="357780F3" w:rsidR="007B5F59" w:rsidRPr="006E725C" w:rsidRDefault="00EE5D5C" w:rsidP="007B5F59">
            <w:pPr>
              <w:pStyle w:val="Marginlie"/>
              <w:rPr>
                <w:color w:val="0D0D0D" w:themeColor="text1" w:themeTint="F2"/>
                <w:spacing w:val="-4"/>
                <w:lang w:val="en-GB"/>
              </w:rPr>
            </w:pPr>
            <w:r>
              <w:rPr>
                <w:color w:val="0D0D0D" w:themeColor="text1" w:themeTint="F2"/>
                <w:spacing w:val="-4"/>
                <w:lang w:val="en-GB"/>
              </w:rPr>
              <w:t>The r</w:t>
            </w:r>
            <w:r w:rsidR="00C50ACF">
              <w:rPr>
                <w:color w:val="0D0D0D" w:themeColor="text1" w:themeTint="F2"/>
                <w:spacing w:val="-4"/>
                <w:lang w:val="en-GB"/>
              </w:rPr>
              <w:t>eduction</w:t>
            </w:r>
            <w:r w:rsidR="007B5F59" w:rsidRPr="006E725C">
              <w:rPr>
                <w:color w:val="0D0D0D" w:themeColor="text1" w:themeTint="F2"/>
                <w:spacing w:val="-4"/>
                <w:lang w:val="en-GB"/>
              </w:rPr>
              <w:t xml:space="preserve"> the non-essential as well as common household expenditures led to the decrease of the food, </w:t>
            </w:r>
            <w:r w:rsidR="007B5F59" w:rsidRPr="006E725C">
              <w:rPr>
                <w:color w:val="0D0D0D" w:themeColor="text1" w:themeTint="F2"/>
                <w:spacing w:val="-4"/>
                <w:lang w:val="en-GB"/>
              </w:rPr>
              <w:lastRenderedPageBreak/>
              <w:t xml:space="preserve">beverage or furniture industry. </w:t>
            </w:r>
          </w:p>
          <w:p w14:paraId="4C6F9C75" w14:textId="77777777" w:rsidR="007B5F59" w:rsidRPr="006E725C" w:rsidRDefault="007B5F59" w:rsidP="007B5F59">
            <w:pPr>
              <w:pStyle w:val="Marginlie"/>
              <w:rPr>
                <w:color w:val="0D0D0D" w:themeColor="text1" w:themeTint="F2"/>
                <w:spacing w:val="-4"/>
                <w:lang w:val="en-GB"/>
              </w:rPr>
            </w:pPr>
          </w:p>
          <w:p w14:paraId="70D20473" w14:textId="77777777" w:rsidR="007B5F59" w:rsidRPr="006E725C" w:rsidRDefault="007B5F59" w:rsidP="007B5F59">
            <w:pPr>
              <w:pStyle w:val="Marginlie"/>
              <w:rPr>
                <w:color w:val="0D0D0D" w:themeColor="text1" w:themeTint="F2"/>
                <w:spacing w:val="-4"/>
                <w:lang w:val="en-GB"/>
              </w:rPr>
            </w:pPr>
          </w:p>
          <w:p w14:paraId="4401A8B6" w14:textId="77777777" w:rsidR="007B5F59" w:rsidRPr="006E725C" w:rsidRDefault="007B5F59" w:rsidP="007B5F59">
            <w:pPr>
              <w:pStyle w:val="Marginlie"/>
              <w:rPr>
                <w:color w:val="0D0D0D" w:themeColor="text1" w:themeTint="F2"/>
                <w:spacing w:val="-4"/>
                <w:lang w:val="en-GB"/>
              </w:rPr>
            </w:pPr>
          </w:p>
          <w:p w14:paraId="0EB22E8E" w14:textId="77777777" w:rsidR="007B5F59" w:rsidRPr="006E725C" w:rsidRDefault="007B5F59" w:rsidP="007B5F59">
            <w:pPr>
              <w:pStyle w:val="Marginlie"/>
              <w:rPr>
                <w:color w:val="0D0D0D" w:themeColor="text1" w:themeTint="F2"/>
                <w:spacing w:val="-4"/>
                <w:lang w:val="en-GB"/>
              </w:rPr>
            </w:pPr>
          </w:p>
          <w:p w14:paraId="64B0A84B" w14:textId="77777777" w:rsidR="007B5F59" w:rsidRPr="006E725C" w:rsidRDefault="007B5F59" w:rsidP="007B5F59">
            <w:pPr>
              <w:pStyle w:val="Marginlie"/>
              <w:rPr>
                <w:color w:val="0D0D0D" w:themeColor="text1" w:themeTint="F2"/>
                <w:spacing w:val="-4"/>
                <w:lang w:val="en-GB"/>
              </w:rPr>
            </w:pPr>
          </w:p>
          <w:p w14:paraId="6835339D" w14:textId="77777777" w:rsidR="007B5F59" w:rsidRPr="006E725C" w:rsidRDefault="007B5F59" w:rsidP="007B5F59">
            <w:pPr>
              <w:pStyle w:val="Marginlie"/>
              <w:rPr>
                <w:color w:val="0D0D0D" w:themeColor="text1" w:themeTint="F2"/>
                <w:spacing w:val="-4"/>
                <w:lang w:val="en-GB"/>
              </w:rPr>
            </w:pPr>
            <w:r w:rsidRPr="006E725C">
              <w:rPr>
                <w:color w:val="0D0D0D" w:themeColor="text1" w:themeTint="F2"/>
                <w:spacing w:val="-4"/>
                <w:lang w:val="en-GB"/>
              </w:rPr>
              <w:t xml:space="preserve">The external demand supported the ongoing growth of the pharmaceutical as well as leatherworking industries. </w:t>
            </w:r>
          </w:p>
          <w:p w14:paraId="3064218F" w14:textId="77777777" w:rsidR="007B5F59" w:rsidRPr="006E725C" w:rsidRDefault="007B5F59" w:rsidP="007B5F59">
            <w:pPr>
              <w:pStyle w:val="Marginlie"/>
              <w:rPr>
                <w:color w:val="0D0D0D" w:themeColor="text1" w:themeTint="F2"/>
                <w:spacing w:val="-4"/>
                <w:lang w:val="en-GB"/>
              </w:rPr>
            </w:pPr>
          </w:p>
        </w:tc>
        <w:tc>
          <w:tcPr>
            <w:tcW w:w="229" w:type="dxa"/>
            <w:tcBorders>
              <w:top w:val="nil"/>
              <w:left w:val="nil"/>
              <w:bottom w:val="nil"/>
              <w:right w:val="nil"/>
            </w:tcBorders>
            <w:shd w:val="clear" w:color="auto" w:fill="auto"/>
            <w:tcMar>
              <w:left w:w="0" w:type="dxa"/>
            </w:tcMar>
          </w:tcPr>
          <w:p w14:paraId="0C6835BB"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14E2050D" w14:textId="63EA8E86" w:rsidR="007B5F59" w:rsidRPr="006E725C" w:rsidRDefault="00C50ACF" w:rsidP="00A8707C">
            <w:pPr>
              <w:spacing w:after="180"/>
              <w:rPr>
                <w:color w:val="0D0D0D" w:themeColor="text1" w:themeTint="F2"/>
                <w:spacing w:val="-4"/>
                <w:lang w:val="en-GB"/>
              </w:rPr>
            </w:pPr>
            <w:r>
              <w:rPr>
                <w:color w:val="0D0D0D" w:themeColor="text1" w:themeTint="F2"/>
                <w:spacing w:val="-4"/>
                <w:lang w:val="en-GB"/>
              </w:rPr>
              <w:t>Even the majority of typically</w:t>
            </w:r>
            <w:r w:rsidR="007B5F59" w:rsidRPr="006E725C">
              <w:rPr>
                <w:color w:val="0D0D0D" w:themeColor="text1" w:themeTint="F2"/>
                <w:spacing w:val="-4"/>
                <w:lang w:val="en-GB"/>
              </w:rPr>
              <w:t xml:space="preserve"> smaller manufacturing branches focused largely on non-durable products did not avoid the decrease of output last year. Output of food industry slightly lowered for the second year in a row, by 1.5% last year</w:t>
            </w:r>
            <w:r w:rsidR="007B5F59" w:rsidRPr="006E725C">
              <w:rPr>
                <w:rStyle w:val="Znakapoznpodarou"/>
                <w:color w:val="0D0D0D" w:themeColor="text1" w:themeTint="F2"/>
                <w:spacing w:val="-4"/>
                <w:lang w:val="en-GB"/>
              </w:rPr>
              <w:footnoteReference w:id="24"/>
            </w:r>
            <w:r w:rsidR="007B5F59" w:rsidRPr="006E725C">
              <w:rPr>
                <w:color w:val="0D0D0D" w:themeColor="text1" w:themeTint="F2"/>
                <w:spacing w:val="-4"/>
                <w:lang w:val="en-GB"/>
              </w:rPr>
              <w:t xml:space="preserve">. Manufactures of beverages also experienced similar decrease in year 2023. The production dropped even </w:t>
            </w:r>
            <w:r w:rsidR="007B5F59" w:rsidRPr="006E725C">
              <w:rPr>
                <w:color w:val="0D0D0D" w:themeColor="text1" w:themeTint="F2"/>
                <w:spacing w:val="-4"/>
                <w:lang w:val="en-GB"/>
              </w:rPr>
              <w:lastRenderedPageBreak/>
              <w:t xml:space="preserve">more markedly in the significantly export-oriented manufacturing of </w:t>
            </w:r>
            <w:r w:rsidR="007B5F59">
              <w:rPr>
                <w:color w:val="0D0D0D" w:themeColor="text1" w:themeTint="F2"/>
                <w:spacing w:val="-4"/>
                <w:lang w:val="en-GB"/>
              </w:rPr>
              <w:t>clothing</w:t>
            </w:r>
            <w:r w:rsidR="007B5F59" w:rsidRPr="006E725C">
              <w:rPr>
                <w:color w:val="0D0D0D" w:themeColor="text1" w:themeTint="F2"/>
                <w:spacing w:val="-4"/>
                <w:lang w:val="en-GB"/>
              </w:rPr>
              <w:t xml:space="preserve"> </w:t>
            </w:r>
            <w:r w:rsidR="00A8707C">
              <w:rPr>
                <w:color w:val="0D0D0D" w:themeColor="text1" w:themeTint="F2"/>
                <w:spacing w:val="-6"/>
                <w:lang w:val="en-GB"/>
              </w:rPr>
              <w:t xml:space="preserve">(−4.3%), which </w:t>
            </w:r>
            <w:r w:rsidR="00A8707C" w:rsidRPr="00A8707C">
              <w:rPr>
                <w:color w:val="0D0D0D" w:themeColor="text1" w:themeTint="F2"/>
                <w:spacing w:val="-6"/>
                <w:lang w:val="en-GB"/>
              </w:rPr>
              <w:t>did not follow up on the recovery from the previous year</w:t>
            </w:r>
            <w:r w:rsidR="00A8707C">
              <w:rPr>
                <w:color w:val="0D0D0D" w:themeColor="text1" w:themeTint="F2"/>
                <w:spacing w:val="-6"/>
                <w:lang w:val="en-GB"/>
              </w:rPr>
              <w:t>. The reduction</w:t>
            </w:r>
            <w:r w:rsidR="007B5F59" w:rsidRPr="006E725C">
              <w:rPr>
                <w:color w:val="0D0D0D" w:themeColor="text1" w:themeTint="F2"/>
                <w:spacing w:val="-6"/>
                <w:lang w:val="en-GB"/>
              </w:rPr>
              <w:t xml:space="preserve"> of “non-essential” expenditures of households in reaction to the slump of real earnings likely halted the long-term developing other manufacturing last year</w:t>
            </w:r>
            <w:r w:rsidR="007B5F59" w:rsidRPr="006E725C">
              <w:rPr>
                <w:rStyle w:val="Znakapoznpodarou"/>
                <w:color w:val="0D0D0D" w:themeColor="text1" w:themeTint="F2"/>
                <w:spacing w:val="-4"/>
                <w:lang w:val="en-GB"/>
              </w:rPr>
              <w:footnoteReference w:id="25"/>
            </w:r>
            <w:r w:rsidR="007B5F59" w:rsidRPr="006E725C">
              <w:rPr>
                <w:color w:val="0D0D0D" w:themeColor="text1" w:themeTint="F2"/>
                <w:spacing w:val="-4"/>
                <w:lang w:val="en-GB"/>
              </w:rPr>
              <w:t xml:space="preserve">. Its output dropped by 3.6% </w:t>
            </w:r>
            <w:r w:rsidR="007B5F59" w:rsidRPr="006E725C">
              <w:rPr>
                <w:color w:val="0D0D0D" w:themeColor="text1" w:themeTint="F2"/>
                <w:spacing w:val="-2"/>
                <w:lang w:val="en-GB"/>
              </w:rPr>
              <w:t xml:space="preserve">– the most after year </w:t>
            </w:r>
            <w:r w:rsidR="007B5F59" w:rsidRPr="006E725C">
              <w:rPr>
                <w:color w:val="0D0D0D" w:themeColor="text1" w:themeTint="F2"/>
                <w:spacing w:val="-4"/>
                <w:lang w:val="en-GB"/>
              </w:rPr>
              <w:t>2009. Similar factors also influenced manufacturing of furniture last year, its significant downturn (by 11.1%) is however first of all the result of weak external demand. Among smaller branches the long-time growing substantially pro-export oriented pharmaceutical industry diverged, where the output increased by 6.1% last year (by 42.9% in the last five years). Next to the stable external demand, it was also assisted by the last year’s growth of the domestic orders. Thanks to the external demand the leatherworking and footwear industries, which recorded higher output for the third year in a row, also prospered.</w:t>
            </w:r>
          </w:p>
        </w:tc>
      </w:tr>
      <w:tr w:rsidR="007B5F59" w:rsidRPr="006E725C" w14:paraId="7625DA87" w14:textId="77777777" w:rsidTr="00BA5125">
        <w:trPr>
          <w:trHeight w:val="170"/>
        </w:trPr>
        <w:tc>
          <w:tcPr>
            <w:tcW w:w="1814" w:type="dxa"/>
            <w:tcBorders>
              <w:top w:val="nil"/>
              <w:left w:val="nil"/>
              <w:bottom w:val="nil"/>
              <w:right w:val="nil"/>
            </w:tcBorders>
            <w:shd w:val="clear" w:color="auto" w:fill="auto"/>
            <w:tcMar>
              <w:left w:w="0" w:type="dxa"/>
            </w:tcMar>
          </w:tcPr>
          <w:p w14:paraId="0A6B4A81" w14:textId="77777777" w:rsidR="00A03306" w:rsidRDefault="007B5F59" w:rsidP="007B5F59">
            <w:pPr>
              <w:pStyle w:val="Marginlie"/>
              <w:rPr>
                <w:color w:val="0D0D0D" w:themeColor="text1" w:themeTint="F2"/>
                <w:spacing w:val="-4"/>
                <w:lang w:val="en-GB"/>
              </w:rPr>
            </w:pPr>
            <w:r w:rsidRPr="006E725C">
              <w:rPr>
                <w:color w:val="0D0D0D" w:themeColor="text1" w:themeTint="F2"/>
                <w:spacing w:val="-4"/>
                <w:lang w:val="en-GB"/>
              </w:rPr>
              <w:lastRenderedPageBreak/>
              <w:t xml:space="preserve">Energy industry mainly stood behind the lower output in industry. </w:t>
            </w:r>
          </w:p>
          <w:p w14:paraId="30B72A16" w14:textId="77777777" w:rsidR="00A03306" w:rsidRDefault="00A03306" w:rsidP="007B5F59">
            <w:pPr>
              <w:pStyle w:val="Marginlie"/>
              <w:rPr>
                <w:color w:val="0D0D0D" w:themeColor="text1" w:themeTint="F2"/>
                <w:spacing w:val="-4"/>
                <w:lang w:val="en-GB"/>
              </w:rPr>
            </w:pPr>
          </w:p>
          <w:p w14:paraId="7A47DD28" w14:textId="77777777" w:rsidR="00A03306" w:rsidRDefault="00A03306" w:rsidP="007B5F59">
            <w:pPr>
              <w:pStyle w:val="Marginlie"/>
              <w:rPr>
                <w:color w:val="0D0D0D" w:themeColor="text1" w:themeTint="F2"/>
                <w:spacing w:val="-4"/>
                <w:lang w:val="en-GB"/>
              </w:rPr>
            </w:pPr>
          </w:p>
          <w:p w14:paraId="67639CC5" w14:textId="77777777" w:rsidR="00A03306" w:rsidRDefault="00A03306" w:rsidP="007B5F59">
            <w:pPr>
              <w:pStyle w:val="Marginlie"/>
              <w:rPr>
                <w:color w:val="0D0D0D" w:themeColor="text1" w:themeTint="F2"/>
                <w:spacing w:val="-4"/>
                <w:lang w:val="en-GB"/>
              </w:rPr>
            </w:pPr>
          </w:p>
          <w:p w14:paraId="098E614F" w14:textId="578D6B8B" w:rsidR="00EE5D5C" w:rsidRDefault="007B5F59" w:rsidP="007B5F59">
            <w:pPr>
              <w:pStyle w:val="Marginlie"/>
              <w:rPr>
                <w:color w:val="0D0D0D" w:themeColor="text1" w:themeTint="F2"/>
                <w:spacing w:val="-4"/>
                <w:lang w:val="en-GB"/>
              </w:rPr>
            </w:pPr>
            <w:r w:rsidRPr="006E725C">
              <w:rPr>
                <w:color w:val="0D0D0D" w:themeColor="text1" w:themeTint="F2"/>
                <w:spacing w:val="-4"/>
                <w:lang w:val="en-GB"/>
              </w:rPr>
              <w:t xml:space="preserve">Decrease of the electricity, gas and heat consumption in both businesses and households continued. </w:t>
            </w:r>
          </w:p>
          <w:p w14:paraId="0E7D4804" w14:textId="2784C491" w:rsidR="00EE5D5C" w:rsidRDefault="00EE5D5C" w:rsidP="007B5F59">
            <w:pPr>
              <w:pStyle w:val="Marginlie"/>
              <w:rPr>
                <w:color w:val="0D0D0D" w:themeColor="text1" w:themeTint="F2"/>
                <w:spacing w:val="-4"/>
                <w:lang w:val="en-GB"/>
              </w:rPr>
            </w:pPr>
          </w:p>
          <w:p w14:paraId="2B75B09D" w14:textId="77777777" w:rsidR="0005033D" w:rsidRDefault="0005033D" w:rsidP="007B5F59">
            <w:pPr>
              <w:pStyle w:val="Marginlie"/>
              <w:rPr>
                <w:color w:val="0D0D0D" w:themeColor="text1" w:themeTint="F2"/>
                <w:spacing w:val="-4"/>
                <w:lang w:val="en-GB"/>
              </w:rPr>
            </w:pPr>
          </w:p>
          <w:p w14:paraId="78EFAE1F" w14:textId="77777777" w:rsidR="00EE5D5C" w:rsidRDefault="00EE5D5C" w:rsidP="007B5F59">
            <w:pPr>
              <w:pStyle w:val="Marginlie"/>
              <w:rPr>
                <w:color w:val="0D0D0D" w:themeColor="text1" w:themeTint="F2"/>
                <w:spacing w:val="-4"/>
                <w:lang w:val="en-GB"/>
              </w:rPr>
            </w:pPr>
          </w:p>
          <w:p w14:paraId="563556A1" w14:textId="75904AEF" w:rsidR="007B5F59" w:rsidRPr="006E725C" w:rsidRDefault="007B5F59" w:rsidP="007B5F59">
            <w:pPr>
              <w:pStyle w:val="Marginlie"/>
              <w:rPr>
                <w:color w:val="0D0D0D" w:themeColor="text1" w:themeTint="F2"/>
                <w:spacing w:val="-4"/>
                <w:lang w:val="en-GB"/>
              </w:rPr>
            </w:pPr>
            <w:r w:rsidRPr="006E725C">
              <w:rPr>
                <w:color w:val="0D0D0D" w:themeColor="text1" w:themeTint="F2"/>
                <w:spacing w:val="-4"/>
                <w:lang w:val="en-GB"/>
              </w:rPr>
              <w:t>Output in mining industry again slumped after two-year recovery. Less coal as well as buil</w:t>
            </w:r>
            <w:r w:rsidR="00007D73">
              <w:rPr>
                <w:color w:val="0D0D0D" w:themeColor="text1" w:themeTint="F2"/>
                <w:spacing w:val="-4"/>
                <w:lang w:val="en-GB"/>
              </w:rPr>
              <w:t>ding materials was extracted.</w:t>
            </w:r>
            <w:r w:rsidRPr="006E725C">
              <w:rPr>
                <w:color w:val="0D0D0D" w:themeColor="text1" w:themeTint="F2"/>
                <w:spacing w:val="-4"/>
                <w:lang w:val="en-GB"/>
              </w:rPr>
              <w:t xml:space="preserve"> </w:t>
            </w:r>
          </w:p>
          <w:p w14:paraId="57494032" w14:textId="77777777" w:rsidR="007B5F59" w:rsidRPr="006E725C" w:rsidRDefault="007B5F59" w:rsidP="007B5F59">
            <w:pPr>
              <w:pStyle w:val="Marginlie"/>
              <w:rPr>
                <w:color w:val="0D0D0D" w:themeColor="text1" w:themeTint="F2"/>
                <w:spacing w:val="-4"/>
                <w:lang w:val="en-GB"/>
              </w:rPr>
            </w:pPr>
          </w:p>
        </w:tc>
        <w:tc>
          <w:tcPr>
            <w:tcW w:w="229" w:type="dxa"/>
            <w:tcBorders>
              <w:top w:val="nil"/>
              <w:left w:val="nil"/>
              <w:bottom w:val="nil"/>
              <w:right w:val="nil"/>
            </w:tcBorders>
            <w:shd w:val="clear" w:color="auto" w:fill="auto"/>
            <w:tcMar>
              <w:left w:w="0" w:type="dxa"/>
            </w:tcMar>
          </w:tcPr>
          <w:p w14:paraId="3030929C"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52753959" w14:textId="603088D1" w:rsidR="007B5F59" w:rsidRPr="006E725C" w:rsidRDefault="007B5F59" w:rsidP="007B5F59">
            <w:pPr>
              <w:spacing w:after="180"/>
              <w:rPr>
                <w:color w:val="0D0D0D" w:themeColor="text1" w:themeTint="F2"/>
                <w:spacing w:val="-4"/>
                <w:lang w:val="en-GB"/>
              </w:rPr>
            </w:pPr>
            <w:r w:rsidRPr="006E725C">
              <w:rPr>
                <w:color w:val="0D0D0D" w:themeColor="text1" w:themeTint="F2"/>
                <w:spacing w:val="-4"/>
                <w:lang w:val="en-GB"/>
              </w:rPr>
              <w:t xml:space="preserve">Energetics the most hindered the output of the whole industry last year, its production plunged by record 11.1% (“only” by 2.3% in year 2022) and contributed 1.1 p.p. to the </w:t>
            </w:r>
            <w:r w:rsidR="00EE5D5C">
              <w:rPr>
                <w:color w:val="0D0D0D" w:themeColor="text1" w:themeTint="F2"/>
                <w:spacing w:val="-4"/>
                <w:lang w:val="en-GB"/>
              </w:rPr>
              <w:t xml:space="preserve">total </w:t>
            </w:r>
            <w:r w:rsidRPr="006E725C">
              <w:rPr>
                <w:color w:val="0D0D0D" w:themeColor="text1" w:themeTint="F2"/>
                <w:spacing w:val="-4"/>
                <w:lang w:val="en-GB"/>
              </w:rPr>
              <w:t xml:space="preserve">industry decrease. </w:t>
            </w:r>
            <w:r w:rsidRPr="006E725C">
              <w:rPr>
                <w:color w:val="0D0D0D" w:themeColor="text1" w:themeTint="F2"/>
                <w:spacing w:val="-5"/>
                <w:lang w:val="en-GB"/>
              </w:rPr>
              <w:t xml:space="preserve">Deeper slump at the steam power plants and combined gas/steam plants (-18%) stood for the major part behind the lower electricity generation, the impact of the </w:t>
            </w:r>
            <w:r w:rsidR="00EE5D5C">
              <w:rPr>
                <w:color w:val="0D0D0D" w:themeColor="text1" w:themeTint="F2"/>
                <w:spacing w:val="-5"/>
                <w:lang w:val="en-GB"/>
              </w:rPr>
              <w:t xml:space="preserve">weaker </w:t>
            </w:r>
            <w:r w:rsidRPr="006E725C">
              <w:rPr>
                <w:color w:val="0D0D0D" w:themeColor="text1" w:themeTint="F2"/>
                <w:spacing w:val="-5"/>
                <w:lang w:val="en-GB"/>
              </w:rPr>
              <w:t>production of the nuclear power</w:t>
            </w:r>
            <w:r w:rsidR="00EE5D5C">
              <w:rPr>
                <w:color w:val="0D0D0D" w:themeColor="text1" w:themeTint="F2"/>
                <w:spacing w:val="-5"/>
                <w:lang w:val="en-GB"/>
              </w:rPr>
              <w:t xml:space="preserve"> plants was in the smaller</w:t>
            </w:r>
            <w:r w:rsidRPr="006E725C">
              <w:rPr>
                <w:color w:val="0D0D0D" w:themeColor="text1" w:themeTint="F2"/>
                <w:spacing w:val="-5"/>
                <w:lang w:val="en-GB"/>
              </w:rPr>
              <w:t xml:space="preserve"> (−2.0%). Next to the regular temporary shutdowns of the production facilities, the output of the whole energetics was connected to the further anticipated decrease of the internal demand</w:t>
            </w:r>
            <w:r w:rsidRPr="006E725C">
              <w:rPr>
                <w:rStyle w:val="Znakapoznpodarou"/>
                <w:color w:val="0D0D0D" w:themeColor="text1" w:themeTint="F2"/>
                <w:spacing w:val="-5"/>
                <w:lang w:val="en-GB"/>
              </w:rPr>
              <w:footnoteReference w:id="26"/>
            </w:r>
            <w:r w:rsidRPr="006E725C">
              <w:rPr>
                <w:color w:val="0D0D0D" w:themeColor="text1" w:themeTint="F2"/>
                <w:spacing w:val="-5"/>
                <w:lang w:val="en-GB"/>
              </w:rPr>
              <w:t>. There the impacts of the measures aimed at savings of electricity, natural ga</w:t>
            </w:r>
            <w:r w:rsidR="00A03306">
              <w:rPr>
                <w:color w:val="0D0D0D" w:themeColor="text1" w:themeTint="F2"/>
                <w:spacing w:val="-5"/>
                <w:lang w:val="en-GB"/>
              </w:rPr>
              <w:t>s as well as heat in</w:t>
            </w:r>
            <w:r w:rsidRPr="006E725C">
              <w:rPr>
                <w:color w:val="0D0D0D" w:themeColor="text1" w:themeTint="F2"/>
                <w:spacing w:val="-5"/>
                <w:lang w:val="en-GB"/>
              </w:rPr>
              <w:t xml:space="preserve"> both households and firms were evident last year </w:t>
            </w:r>
            <w:r w:rsidR="00A03306">
              <w:rPr>
                <w:color w:val="0D0D0D" w:themeColor="text1" w:themeTint="F2"/>
                <w:spacing w:val="-5"/>
                <w:lang w:val="en-GB"/>
              </w:rPr>
              <w:t>(</w:t>
            </w:r>
            <w:r w:rsidRPr="006E725C">
              <w:rPr>
                <w:color w:val="0D0D0D" w:themeColor="text1" w:themeTint="F2"/>
                <w:spacing w:val="-5"/>
                <w:lang w:val="en-GB"/>
              </w:rPr>
              <w:t>similarly to year 2022</w:t>
            </w:r>
            <w:r w:rsidR="00A03306">
              <w:rPr>
                <w:color w:val="0D0D0D" w:themeColor="text1" w:themeTint="F2"/>
                <w:spacing w:val="-5"/>
                <w:lang w:val="en-GB"/>
              </w:rPr>
              <w:t>)</w:t>
            </w:r>
            <w:r w:rsidRPr="006E725C">
              <w:rPr>
                <w:color w:val="0D0D0D" w:themeColor="text1" w:themeTint="F2"/>
                <w:spacing w:val="-5"/>
                <w:lang w:val="en-GB"/>
              </w:rPr>
              <w:t>. Additionally compared to year 2022, the effect of lower demand for energies in businesses due to the decrease of t</w:t>
            </w:r>
            <w:r w:rsidR="00A03306">
              <w:rPr>
                <w:color w:val="0D0D0D" w:themeColor="text1" w:themeTint="F2"/>
                <w:spacing w:val="-5"/>
                <w:lang w:val="en-GB"/>
              </w:rPr>
              <w:t>he production activity was more evident</w:t>
            </w:r>
            <w:r w:rsidRPr="006E725C">
              <w:rPr>
                <w:rStyle w:val="Znakapoznpodarou"/>
                <w:color w:val="0D0D0D" w:themeColor="text1" w:themeTint="F2"/>
                <w:spacing w:val="-5"/>
                <w:lang w:val="en-GB"/>
              </w:rPr>
              <w:footnoteReference w:id="27"/>
            </w:r>
            <w:r w:rsidR="00A03306">
              <w:rPr>
                <w:color w:val="0D0D0D" w:themeColor="text1" w:themeTint="F2"/>
                <w:spacing w:val="-5"/>
                <w:lang w:val="en-GB"/>
              </w:rPr>
              <w:t>, as well as the impact of</w:t>
            </w:r>
            <w:r w:rsidRPr="006E725C">
              <w:rPr>
                <w:color w:val="0D0D0D" w:themeColor="text1" w:themeTint="F2"/>
                <w:spacing w:val="-5"/>
                <w:lang w:val="en-GB"/>
              </w:rPr>
              <w:t xml:space="preserve"> favourable climatic conditions</w:t>
            </w:r>
            <w:r w:rsidR="00A03306">
              <w:rPr>
                <w:color w:val="0D0D0D" w:themeColor="text1" w:themeTint="F2"/>
                <w:spacing w:val="-5"/>
                <w:lang w:val="en-GB"/>
              </w:rPr>
              <w:t xml:space="preserve"> in winter season</w:t>
            </w:r>
            <w:r w:rsidRPr="006E725C">
              <w:rPr>
                <w:rStyle w:val="Znakapoznpodarou"/>
                <w:color w:val="0D0D0D" w:themeColor="text1" w:themeTint="F2"/>
                <w:spacing w:val="-5"/>
                <w:lang w:val="en-GB"/>
              </w:rPr>
              <w:footnoteReference w:id="28"/>
            </w:r>
            <w:r w:rsidRPr="006E725C">
              <w:rPr>
                <w:color w:val="0D0D0D" w:themeColor="text1" w:themeTint="F2"/>
                <w:spacing w:val="-5"/>
                <w:lang w:val="en-GB"/>
              </w:rPr>
              <w:t>. Following the temporary recovery in both years 2021 and 2022, the output in the very energy-intensive branch of mining a</w:t>
            </w:r>
            <w:r w:rsidR="0005033D">
              <w:rPr>
                <w:color w:val="0D0D0D" w:themeColor="text1" w:themeTint="F2"/>
                <w:spacing w:val="-5"/>
                <w:lang w:val="en-GB"/>
              </w:rPr>
              <w:t xml:space="preserve">nd quarrying plummeted by </w:t>
            </w:r>
            <w:r w:rsidRPr="006E725C">
              <w:rPr>
                <w:color w:val="0D0D0D" w:themeColor="text1" w:themeTint="F2"/>
                <w:spacing w:val="-5"/>
                <w:lang w:val="en-GB"/>
              </w:rPr>
              <w:t>one sixth last year. The long-term controlled downturn of still less profitable coal mining, only interrupted by mild growth in year 2022, especially contributed</w:t>
            </w:r>
            <w:r w:rsidR="0005033D">
              <w:rPr>
                <w:color w:val="0D0D0D" w:themeColor="text1" w:themeTint="F2"/>
                <w:spacing w:val="-5"/>
                <w:lang w:val="en-GB"/>
              </w:rPr>
              <w:t xml:space="preserve"> to it</w:t>
            </w:r>
            <w:r w:rsidRPr="006E725C">
              <w:rPr>
                <w:color w:val="0D0D0D" w:themeColor="text1" w:themeTint="F2"/>
                <w:spacing w:val="-5"/>
                <w:lang w:val="en-GB"/>
              </w:rPr>
              <w:t xml:space="preserve">. </w:t>
            </w:r>
            <w:r w:rsidR="0005033D">
              <w:rPr>
                <w:color w:val="0D0D0D" w:themeColor="text1" w:themeTint="F2"/>
                <w:spacing w:val="-5"/>
                <w:lang w:val="en-GB"/>
              </w:rPr>
              <w:t>In addition</w:t>
            </w:r>
            <w:r w:rsidR="00B33776">
              <w:rPr>
                <w:color w:val="0D0D0D" w:themeColor="text1" w:themeTint="F2"/>
                <w:spacing w:val="-5"/>
                <w:lang w:val="en-GB"/>
              </w:rPr>
              <w:t>,</w:t>
            </w:r>
            <w:r w:rsidR="0005033D">
              <w:rPr>
                <w:color w:val="0D0D0D" w:themeColor="text1" w:themeTint="F2"/>
                <w:spacing w:val="-5"/>
                <w:lang w:val="en-GB"/>
              </w:rPr>
              <w:t xml:space="preserve"> t</w:t>
            </w:r>
            <w:r w:rsidRPr="006E725C">
              <w:rPr>
                <w:color w:val="0D0D0D" w:themeColor="text1" w:themeTint="F2"/>
                <w:spacing w:val="-5"/>
                <w:lang w:val="en-GB"/>
              </w:rPr>
              <w:t>he decrease of output in the extraction of bu</w:t>
            </w:r>
            <w:r w:rsidR="0005033D">
              <w:rPr>
                <w:color w:val="0D0D0D" w:themeColor="text1" w:themeTint="F2"/>
                <w:spacing w:val="-5"/>
                <w:lang w:val="en-GB"/>
              </w:rPr>
              <w:t>ilding materials</w:t>
            </w:r>
            <w:r w:rsidRPr="006E725C">
              <w:rPr>
                <w:color w:val="0D0D0D" w:themeColor="text1" w:themeTint="F2"/>
                <w:spacing w:val="-5"/>
                <w:lang w:val="en-GB"/>
              </w:rPr>
              <w:t xml:space="preserve"> deepened </w:t>
            </w:r>
            <w:r w:rsidRPr="006E725C">
              <w:rPr>
                <w:color w:val="0D0D0D" w:themeColor="text1" w:themeTint="F2"/>
                <w:spacing w:val="-4"/>
                <w:lang w:val="en-GB"/>
              </w:rPr>
              <w:t>(to −16.4%) last year, even though it enjoyed a promising development before the onset of the energy crisi</w:t>
            </w:r>
            <w:r w:rsidR="0005033D">
              <w:rPr>
                <w:color w:val="0D0D0D" w:themeColor="text1" w:themeTint="F2"/>
                <w:spacing w:val="-4"/>
                <w:lang w:val="en-GB"/>
              </w:rPr>
              <w:t>s.</w:t>
            </w:r>
          </w:p>
        </w:tc>
      </w:tr>
      <w:tr w:rsidR="007B5F59" w:rsidRPr="006E725C" w14:paraId="0C301EF7" w14:textId="77777777" w:rsidTr="00BA5125">
        <w:trPr>
          <w:trHeight w:val="170"/>
        </w:trPr>
        <w:tc>
          <w:tcPr>
            <w:tcW w:w="1814" w:type="dxa"/>
            <w:tcBorders>
              <w:top w:val="nil"/>
              <w:left w:val="nil"/>
              <w:bottom w:val="nil"/>
              <w:right w:val="nil"/>
            </w:tcBorders>
            <w:shd w:val="clear" w:color="auto" w:fill="auto"/>
            <w:tcMar>
              <w:left w:w="0" w:type="dxa"/>
            </w:tcMar>
          </w:tcPr>
          <w:p w14:paraId="74AB1868" w14:textId="77777777" w:rsidR="007B5F59" w:rsidRPr="006E725C" w:rsidRDefault="007B5F59" w:rsidP="007B5F59">
            <w:pPr>
              <w:pStyle w:val="Marginlie"/>
              <w:rPr>
                <w:color w:val="0D0D0D" w:themeColor="text1" w:themeTint="F2"/>
                <w:lang w:val="en-GB"/>
              </w:rPr>
            </w:pPr>
            <w:r w:rsidRPr="006E725C">
              <w:rPr>
                <w:color w:val="0D0D0D" w:themeColor="text1" w:themeTint="F2"/>
                <w:lang w:val="en-GB"/>
              </w:rPr>
              <w:t xml:space="preserve">Value of new industrial orders was slightly falling for a major part of the last year. </w:t>
            </w:r>
          </w:p>
          <w:p w14:paraId="62D440A5" w14:textId="77777777" w:rsidR="007B5F59" w:rsidRPr="006E725C" w:rsidRDefault="007B5F59" w:rsidP="007B5F59">
            <w:pPr>
              <w:pStyle w:val="Marginlie"/>
              <w:rPr>
                <w:color w:val="0D0D0D" w:themeColor="text1" w:themeTint="F2"/>
                <w:sz w:val="20"/>
                <w:szCs w:val="20"/>
                <w:lang w:val="en-GB"/>
              </w:rPr>
            </w:pPr>
          </w:p>
          <w:p w14:paraId="03C0E551" w14:textId="77777777" w:rsidR="007B5F59" w:rsidRPr="006E725C" w:rsidRDefault="007B5F59" w:rsidP="007B5F59">
            <w:pPr>
              <w:pStyle w:val="Marginlie"/>
              <w:rPr>
                <w:color w:val="0D0D0D" w:themeColor="text1" w:themeTint="F2"/>
                <w:sz w:val="20"/>
                <w:szCs w:val="20"/>
                <w:lang w:val="en-GB"/>
              </w:rPr>
            </w:pPr>
          </w:p>
          <w:p w14:paraId="46F41E05" w14:textId="3867FDB9" w:rsidR="007B5F59" w:rsidRPr="006E725C" w:rsidRDefault="007B5F59" w:rsidP="007B5F59">
            <w:pPr>
              <w:pStyle w:val="Marginlie"/>
              <w:rPr>
                <w:color w:val="0D0D0D" w:themeColor="text1" w:themeTint="F2"/>
                <w:spacing w:val="-4"/>
                <w:lang w:val="en-GB"/>
              </w:rPr>
            </w:pPr>
            <w:r w:rsidRPr="006E725C">
              <w:rPr>
                <w:color w:val="0D0D0D" w:themeColor="text1" w:themeTint="F2"/>
                <w:spacing w:val="-5"/>
                <w:lang w:val="en-GB"/>
              </w:rPr>
              <w:t xml:space="preserve">Unfavourable outlook still concerned </w:t>
            </w:r>
            <w:r w:rsidR="00007D73">
              <w:rPr>
                <w:color w:val="0D0D0D" w:themeColor="text1" w:themeTint="F2"/>
                <w:spacing w:val="-5"/>
                <w:lang w:val="en-GB"/>
              </w:rPr>
              <w:t xml:space="preserve">mainly </w:t>
            </w:r>
            <w:r w:rsidRPr="006E725C">
              <w:rPr>
                <w:color w:val="0D0D0D" w:themeColor="text1" w:themeTint="F2"/>
                <w:spacing w:val="-5"/>
                <w:lang w:val="en-GB"/>
              </w:rPr>
              <w:t xml:space="preserve">the energy-intensive branches. </w:t>
            </w:r>
            <w:r w:rsidRPr="006E725C">
              <w:rPr>
                <w:color w:val="0D0D0D" w:themeColor="text1" w:themeTint="F2"/>
                <w:lang w:val="en-GB"/>
              </w:rPr>
              <w:t xml:space="preserve">Mild growth of demand prevailed in manufacturing of motor </w:t>
            </w:r>
            <w:r w:rsidRPr="006E725C">
              <w:rPr>
                <w:color w:val="0D0D0D" w:themeColor="text1" w:themeTint="F2"/>
                <w:lang w:val="en-GB"/>
              </w:rPr>
              <w:lastRenderedPageBreak/>
              <w:t xml:space="preserve">vehicles and electrical engineering. </w:t>
            </w:r>
          </w:p>
        </w:tc>
        <w:tc>
          <w:tcPr>
            <w:tcW w:w="229" w:type="dxa"/>
            <w:tcBorders>
              <w:top w:val="nil"/>
              <w:left w:val="nil"/>
              <w:bottom w:val="nil"/>
              <w:right w:val="nil"/>
            </w:tcBorders>
            <w:shd w:val="clear" w:color="auto" w:fill="auto"/>
            <w:tcMar>
              <w:left w:w="0" w:type="dxa"/>
            </w:tcMar>
          </w:tcPr>
          <w:p w14:paraId="1E306FC6"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433CBD1F" w14:textId="31DEFBB3" w:rsidR="007B5F59" w:rsidRPr="006E725C" w:rsidRDefault="007B5F59" w:rsidP="007B5F59">
            <w:pPr>
              <w:spacing w:after="180"/>
              <w:rPr>
                <w:color w:val="0D0D0D" w:themeColor="text1" w:themeTint="F2"/>
                <w:spacing w:val="-4"/>
                <w:lang w:val="en-GB"/>
              </w:rPr>
            </w:pPr>
            <w:r w:rsidRPr="006E725C">
              <w:rPr>
                <w:color w:val="0D0D0D" w:themeColor="text1" w:themeTint="F2"/>
                <w:spacing w:val="-5"/>
                <w:lang w:val="en-GB"/>
              </w:rPr>
              <w:t>The dynamics of the new industrial orders confirmed the persisting weak demand. The nominal value of orders in the monitored industrial branches</w:t>
            </w:r>
            <w:r w:rsidRPr="006E725C">
              <w:rPr>
                <w:rStyle w:val="Znakapoznpodarou"/>
                <w:color w:val="0D0D0D" w:themeColor="text1" w:themeTint="F2"/>
                <w:spacing w:val="-5"/>
                <w:lang w:val="en-GB"/>
              </w:rPr>
              <w:footnoteReference w:id="29"/>
            </w:r>
            <w:r w:rsidRPr="006E725C">
              <w:rPr>
                <w:color w:val="0D0D0D" w:themeColor="text1" w:themeTint="F2"/>
                <w:spacing w:val="-5"/>
                <w:lang w:val="en-GB"/>
              </w:rPr>
              <w:t xml:space="preserve"> was falling for a major part of the last year and in total decreased by 1.3% year-on-year. Non-domestic o</w:t>
            </w:r>
            <w:r w:rsidR="00007D73">
              <w:rPr>
                <w:color w:val="0D0D0D" w:themeColor="text1" w:themeTint="F2"/>
                <w:spacing w:val="-5"/>
                <w:lang w:val="en-GB"/>
              </w:rPr>
              <w:t xml:space="preserve">rders (in comparison to </w:t>
            </w:r>
            <w:r w:rsidRPr="006E725C">
              <w:rPr>
                <w:color w:val="0D0D0D" w:themeColor="text1" w:themeTint="F2"/>
                <w:spacing w:val="-5"/>
                <w:lang w:val="en-GB"/>
              </w:rPr>
              <w:t>domestic) indicated less favourable development for the second year in a row. The total orders dropped only by 1.0% in Q4 2023, the maj</w:t>
            </w:r>
            <w:r w:rsidR="00007D73">
              <w:rPr>
                <w:color w:val="0D0D0D" w:themeColor="text1" w:themeTint="F2"/>
                <w:spacing w:val="-5"/>
                <w:lang w:val="en-GB"/>
              </w:rPr>
              <w:t>ority of branches however indicated</w:t>
            </w:r>
            <w:r w:rsidRPr="006E725C">
              <w:rPr>
                <w:color w:val="0D0D0D" w:themeColor="text1" w:themeTint="F2"/>
                <w:spacing w:val="-5"/>
                <w:lang w:val="en-GB"/>
              </w:rPr>
              <w:t xml:space="preserve"> a lower demand – metallurgy (</w:t>
            </w:r>
            <w:r w:rsidRPr="006E725C">
              <w:rPr>
                <w:color w:val="0D0D0D" w:themeColor="text1" w:themeTint="F2"/>
                <w:spacing w:val="-2"/>
                <w:lang w:val="en-GB"/>
              </w:rPr>
              <w:t>−</w:t>
            </w:r>
            <w:r w:rsidRPr="006E725C">
              <w:rPr>
                <w:color w:val="0D0D0D" w:themeColor="text1" w:themeTint="F2"/>
                <w:spacing w:val="-5"/>
                <w:lang w:val="en-GB"/>
              </w:rPr>
              <w:t>21%) and chemical industry (</w:t>
            </w:r>
            <w:r w:rsidRPr="006E725C">
              <w:rPr>
                <w:color w:val="0D0D0D" w:themeColor="text1" w:themeTint="F2"/>
                <w:spacing w:val="-2"/>
                <w:lang w:val="en-GB"/>
              </w:rPr>
              <w:t>−</w:t>
            </w:r>
            <w:r w:rsidRPr="006E725C">
              <w:rPr>
                <w:color w:val="0D0D0D" w:themeColor="text1" w:themeTint="F2"/>
                <w:spacing w:val="-5"/>
                <w:lang w:val="en-GB"/>
              </w:rPr>
              <w:t>18%) the most, but also the electronic industry (</w:t>
            </w:r>
            <w:r w:rsidRPr="006E725C">
              <w:rPr>
                <w:color w:val="0D0D0D" w:themeColor="text1" w:themeTint="F2"/>
                <w:spacing w:val="-2"/>
                <w:lang w:val="en-GB"/>
              </w:rPr>
              <w:t>−</w:t>
            </w:r>
            <w:r w:rsidRPr="006E725C">
              <w:rPr>
                <w:color w:val="0D0D0D" w:themeColor="text1" w:themeTint="F2"/>
                <w:spacing w:val="-5"/>
                <w:lang w:val="en-GB"/>
              </w:rPr>
              <w:t>12%), although it belongs to the less energy-intensive industrial branches. Orders fell slower in machinery (</w:t>
            </w:r>
            <w:r w:rsidRPr="006E725C">
              <w:rPr>
                <w:color w:val="0D0D0D" w:themeColor="text1" w:themeTint="F2"/>
                <w:spacing w:val="-2"/>
                <w:lang w:val="en-GB"/>
              </w:rPr>
              <w:t>−</w:t>
            </w:r>
            <w:r w:rsidR="00007D73">
              <w:rPr>
                <w:color w:val="0D0D0D" w:themeColor="text1" w:themeTint="F2"/>
                <w:spacing w:val="-5"/>
                <w:lang w:val="en-GB"/>
              </w:rPr>
              <w:t>5%) and in fabricated metal products</w:t>
            </w:r>
            <w:r w:rsidRPr="006E725C">
              <w:rPr>
                <w:color w:val="0D0D0D" w:themeColor="text1" w:themeTint="F2"/>
                <w:spacing w:val="-5"/>
                <w:lang w:val="en-GB"/>
              </w:rPr>
              <w:t xml:space="preserve"> industry (</w:t>
            </w:r>
            <w:r w:rsidRPr="006E725C">
              <w:rPr>
                <w:color w:val="0D0D0D" w:themeColor="text1" w:themeTint="F2"/>
                <w:spacing w:val="-2"/>
                <w:lang w:val="en-GB"/>
              </w:rPr>
              <w:t>−</w:t>
            </w:r>
            <w:r w:rsidRPr="006E725C">
              <w:rPr>
                <w:color w:val="0D0D0D" w:themeColor="text1" w:themeTint="F2"/>
                <w:spacing w:val="-5"/>
                <w:lang w:val="en-GB"/>
              </w:rPr>
              <w:t xml:space="preserve">2%). </w:t>
            </w:r>
            <w:r w:rsidR="00007D73">
              <w:rPr>
                <w:color w:val="0D0D0D" w:themeColor="text1" w:themeTint="F2"/>
                <w:spacing w:val="-5"/>
                <w:lang w:val="en-GB"/>
              </w:rPr>
              <w:t>Contrary to it, o</w:t>
            </w:r>
            <w:r w:rsidRPr="006E725C">
              <w:rPr>
                <w:color w:val="0D0D0D" w:themeColor="text1" w:themeTint="F2"/>
                <w:spacing w:val="-5"/>
                <w:lang w:val="en-GB"/>
              </w:rPr>
              <w:t xml:space="preserve">rders grew throughout the whole year in manufacturing of motor vehicles, by 9% in Q4 (both internal and external demand was expanding). Mild growth of </w:t>
            </w:r>
            <w:r w:rsidR="00007D73">
              <w:rPr>
                <w:color w:val="0D0D0D" w:themeColor="text1" w:themeTint="F2"/>
                <w:spacing w:val="-5"/>
                <w:lang w:val="en-GB"/>
              </w:rPr>
              <w:lastRenderedPageBreak/>
              <w:t>the total demand also occurred</w:t>
            </w:r>
            <w:r w:rsidRPr="006E725C">
              <w:rPr>
                <w:color w:val="0D0D0D" w:themeColor="text1" w:themeTint="F2"/>
                <w:spacing w:val="-5"/>
                <w:lang w:val="en-GB"/>
              </w:rPr>
              <w:t xml:space="preserve"> the manufacturing of electrical appliances, among the small branches then </w:t>
            </w:r>
            <w:r w:rsidR="00007D73">
              <w:rPr>
                <w:color w:val="0D0D0D" w:themeColor="text1" w:themeTint="F2"/>
                <w:spacing w:val="-5"/>
                <w:lang w:val="en-GB"/>
              </w:rPr>
              <w:t xml:space="preserve">in </w:t>
            </w:r>
            <w:r w:rsidRPr="006E725C">
              <w:rPr>
                <w:color w:val="0D0D0D" w:themeColor="text1" w:themeTint="F2"/>
                <w:spacing w:val="-5"/>
                <w:lang w:val="en-GB"/>
              </w:rPr>
              <w:t xml:space="preserve">manufacturing of </w:t>
            </w:r>
            <w:r>
              <w:rPr>
                <w:color w:val="0D0D0D" w:themeColor="text1" w:themeTint="F2"/>
                <w:spacing w:val="-5"/>
                <w:lang w:val="en-GB"/>
              </w:rPr>
              <w:t>clothing</w:t>
            </w:r>
            <w:r w:rsidRPr="006E725C">
              <w:rPr>
                <w:color w:val="0D0D0D" w:themeColor="text1" w:themeTint="F2"/>
                <w:spacing w:val="-5"/>
                <w:lang w:val="en-GB"/>
              </w:rPr>
              <w:t xml:space="preserve">. </w:t>
            </w:r>
          </w:p>
        </w:tc>
      </w:tr>
      <w:tr w:rsidR="007B5F59" w:rsidRPr="006E725C" w14:paraId="02C1A53A" w14:textId="77777777" w:rsidTr="00BA5125">
        <w:trPr>
          <w:trHeight w:val="134"/>
        </w:trPr>
        <w:tc>
          <w:tcPr>
            <w:tcW w:w="1814" w:type="dxa"/>
            <w:vMerge w:val="restart"/>
            <w:tcBorders>
              <w:top w:val="nil"/>
              <w:left w:val="nil"/>
              <w:bottom w:val="nil"/>
              <w:right w:val="nil"/>
            </w:tcBorders>
            <w:shd w:val="clear" w:color="auto" w:fill="auto"/>
            <w:tcMar>
              <w:left w:w="0" w:type="dxa"/>
            </w:tcMar>
          </w:tcPr>
          <w:p w14:paraId="253D6D06" w14:textId="77777777" w:rsidR="007B5F59" w:rsidRPr="006E725C" w:rsidRDefault="007B5F59" w:rsidP="007B5F59">
            <w:pPr>
              <w:pStyle w:val="Marginlie"/>
              <w:rPr>
                <w:lang w:val="en-GB"/>
              </w:rPr>
            </w:pPr>
          </w:p>
        </w:tc>
        <w:tc>
          <w:tcPr>
            <w:tcW w:w="229" w:type="dxa"/>
            <w:vMerge w:val="restart"/>
            <w:tcBorders>
              <w:top w:val="nil"/>
              <w:left w:val="nil"/>
              <w:bottom w:val="nil"/>
              <w:right w:val="nil"/>
            </w:tcBorders>
            <w:shd w:val="clear" w:color="auto" w:fill="auto"/>
            <w:tcMar>
              <w:left w:w="0" w:type="dxa"/>
            </w:tcMar>
          </w:tcPr>
          <w:p w14:paraId="408C3BF2"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5EE498AA" w14:textId="388870DE" w:rsidR="007B5F59" w:rsidRPr="006E725C" w:rsidRDefault="007B5F59" w:rsidP="007B5F59">
            <w:pPr>
              <w:spacing w:after="0"/>
              <w:rPr>
                <w:color w:val="0D0D0D" w:themeColor="text1" w:themeTint="F2"/>
                <w:spacing w:val="-5"/>
                <w:lang w:val="en-GB"/>
              </w:rPr>
            </w:pPr>
            <w:r w:rsidRPr="006E725C">
              <w:rPr>
                <w:b/>
                <w:spacing w:val="-2"/>
                <w:lang w:val="en-GB"/>
              </w:rPr>
              <w:t xml:space="preserve">Chart 5  </w:t>
            </w:r>
            <w:r w:rsidRPr="006E725C">
              <w:rPr>
                <w:b/>
                <w:lang w:val="en-GB"/>
              </w:rPr>
              <w:t xml:space="preserve">New orders in industry </w:t>
            </w:r>
            <w:r w:rsidRPr="006E725C">
              <w:rPr>
                <w:bCs/>
                <w:lang w:val="en-GB"/>
              </w:rPr>
              <w:t xml:space="preserve">(nominal, year-on-year change in %), </w:t>
            </w:r>
            <w:r w:rsidRPr="006E725C">
              <w:rPr>
                <w:b/>
                <w:lang w:val="en-GB"/>
              </w:rPr>
              <w:t>utilisation of production capacities in industry, selected growth barriers*</w:t>
            </w:r>
            <w:r w:rsidRPr="006E725C">
              <w:rPr>
                <w:lang w:val="en-GB"/>
              </w:rPr>
              <w:t xml:space="preserve"> (in %, right axis) </w:t>
            </w:r>
            <w:r w:rsidRPr="006E725C">
              <w:rPr>
                <w:b/>
                <w:bCs/>
                <w:lang w:val="en-GB"/>
              </w:rPr>
              <w:t>and balance of business confidence indicator in industry*</w:t>
            </w:r>
            <w:r w:rsidRPr="006E725C">
              <w:rPr>
                <w:lang w:val="en-GB"/>
              </w:rPr>
              <w:t xml:space="preserve"> (in p.p., right axis)</w:t>
            </w:r>
          </w:p>
        </w:tc>
      </w:tr>
      <w:tr w:rsidR="007B5F59" w:rsidRPr="006E725C" w14:paraId="3574061A" w14:textId="77777777" w:rsidTr="0010343F">
        <w:tblPrEx>
          <w:tblCellMar>
            <w:left w:w="70" w:type="dxa"/>
            <w:right w:w="70" w:type="dxa"/>
          </w:tblCellMar>
        </w:tblPrEx>
        <w:trPr>
          <w:trHeight w:val="133"/>
        </w:trPr>
        <w:tc>
          <w:tcPr>
            <w:tcW w:w="1814" w:type="dxa"/>
            <w:vMerge/>
            <w:tcBorders>
              <w:top w:val="nil"/>
              <w:left w:val="nil"/>
              <w:bottom w:val="nil"/>
              <w:right w:val="nil"/>
            </w:tcBorders>
            <w:shd w:val="clear" w:color="auto" w:fill="auto"/>
          </w:tcPr>
          <w:p w14:paraId="59EC5206" w14:textId="77777777" w:rsidR="007B5F59" w:rsidRPr="006E725C" w:rsidRDefault="007B5F59" w:rsidP="007B5F59">
            <w:pPr>
              <w:pStyle w:val="Marginlie"/>
              <w:rPr>
                <w:lang w:val="en-GB"/>
              </w:rPr>
            </w:pPr>
          </w:p>
        </w:tc>
        <w:tc>
          <w:tcPr>
            <w:tcW w:w="229" w:type="dxa"/>
            <w:vMerge/>
            <w:tcBorders>
              <w:top w:val="nil"/>
              <w:left w:val="nil"/>
              <w:bottom w:val="nil"/>
              <w:right w:val="nil"/>
            </w:tcBorders>
            <w:shd w:val="clear" w:color="auto" w:fill="auto"/>
          </w:tcPr>
          <w:p w14:paraId="5A13939C"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Pr>
          <w:p w14:paraId="3C12B9F0" w14:textId="5BFE8D6F" w:rsidR="007B5F59" w:rsidRPr="006E725C" w:rsidRDefault="0010343F" w:rsidP="007B5F59">
            <w:pPr>
              <w:spacing w:after="0"/>
              <w:rPr>
                <w:color w:val="0D0D0D" w:themeColor="text1" w:themeTint="F2"/>
                <w:spacing w:val="-5"/>
                <w:lang w:val="en-GB"/>
              </w:rPr>
            </w:pPr>
            <w:r>
              <w:rPr>
                <w:noProof/>
              </w:rPr>
              <w:drawing>
                <wp:inline distT="0" distB="0" distL="0" distR="0" wp14:anchorId="4F84C739" wp14:editId="0A320D3C">
                  <wp:extent cx="4734560" cy="3509645"/>
                  <wp:effectExtent l="0" t="0" r="889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7B5F59" w:rsidRPr="006E725C" w14:paraId="657AE2C8" w14:textId="77777777" w:rsidTr="00BA5125">
        <w:trPr>
          <w:trHeight w:val="133"/>
        </w:trPr>
        <w:tc>
          <w:tcPr>
            <w:tcW w:w="1814" w:type="dxa"/>
            <w:vMerge/>
            <w:tcBorders>
              <w:top w:val="nil"/>
              <w:left w:val="nil"/>
              <w:bottom w:val="nil"/>
              <w:right w:val="nil"/>
            </w:tcBorders>
            <w:shd w:val="clear" w:color="auto" w:fill="auto"/>
            <w:tcMar>
              <w:left w:w="0" w:type="dxa"/>
            </w:tcMar>
          </w:tcPr>
          <w:p w14:paraId="3F1AEC16" w14:textId="77777777" w:rsidR="007B5F59" w:rsidRPr="006E725C" w:rsidRDefault="007B5F59" w:rsidP="007B5F59">
            <w:pPr>
              <w:pStyle w:val="Marginlie"/>
              <w:rPr>
                <w:lang w:val="en-GB"/>
              </w:rPr>
            </w:pPr>
          </w:p>
        </w:tc>
        <w:tc>
          <w:tcPr>
            <w:tcW w:w="229" w:type="dxa"/>
            <w:vMerge/>
            <w:tcBorders>
              <w:top w:val="nil"/>
              <w:left w:val="nil"/>
              <w:bottom w:val="nil"/>
              <w:right w:val="nil"/>
            </w:tcBorders>
            <w:shd w:val="clear" w:color="auto" w:fill="auto"/>
            <w:tcMar>
              <w:left w:w="0" w:type="dxa"/>
            </w:tcMar>
          </w:tcPr>
          <w:p w14:paraId="06DFDD44" w14:textId="77777777" w:rsidR="007B5F59" w:rsidRPr="006E725C" w:rsidRDefault="007B5F59" w:rsidP="007B5F59">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0E867303" w14:textId="179B288D" w:rsidR="008054A3" w:rsidRDefault="007B5F59" w:rsidP="008054A3">
            <w:pPr>
              <w:spacing w:after="0" w:line="240" w:lineRule="auto"/>
              <w:rPr>
                <w:rFonts w:cs="Arial"/>
                <w:sz w:val="14"/>
                <w:szCs w:val="14"/>
                <w:lang w:val="en-GB"/>
              </w:rPr>
            </w:pPr>
            <w:r w:rsidRPr="006E725C">
              <w:rPr>
                <w:color w:val="0D0D0D" w:themeColor="text1" w:themeTint="F2"/>
                <w:spacing w:val="-5"/>
                <w:lang w:val="en-GB"/>
              </w:rPr>
              <w:t>*</w:t>
            </w:r>
            <w:r w:rsidRPr="006E725C">
              <w:rPr>
                <w:rFonts w:cs="Arial"/>
                <w:sz w:val="14"/>
                <w:szCs w:val="14"/>
                <w:lang w:val="en-GB"/>
              </w:rPr>
              <w:t>Both utilisation of production capacities and growth barriers express the level in the fi</w:t>
            </w:r>
            <w:r>
              <w:rPr>
                <w:rFonts w:cs="Arial"/>
                <w:sz w:val="14"/>
                <w:szCs w:val="14"/>
                <w:lang w:val="en-GB"/>
              </w:rPr>
              <w:t xml:space="preserve">rst month of the given quarter, </w:t>
            </w:r>
            <w:r w:rsidRPr="006E725C">
              <w:rPr>
                <w:rFonts w:cs="Arial"/>
                <w:sz w:val="14"/>
                <w:szCs w:val="14"/>
                <w:lang w:val="en-GB"/>
              </w:rPr>
              <w:t>business confidence balance relates to the second month in the quarter. Orders are adjusted for calendar effects; other indicators are seasonally adjusted. Businesses could have indicated more key growth barriers simult</w:t>
            </w:r>
            <w:r w:rsidR="008054A3">
              <w:rPr>
                <w:rFonts w:cs="Arial"/>
                <w:sz w:val="14"/>
                <w:szCs w:val="14"/>
                <w:lang w:val="en-GB"/>
              </w:rPr>
              <w:t>aneously.</w:t>
            </w:r>
          </w:p>
          <w:p w14:paraId="553821F0" w14:textId="3E9565C6" w:rsidR="007B5F59" w:rsidRPr="00512749" w:rsidRDefault="008054A3" w:rsidP="007B5F59">
            <w:pPr>
              <w:spacing w:after="200" w:line="240" w:lineRule="auto"/>
              <w:rPr>
                <w:rFonts w:cs="Arial"/>
                <w:sz w:val="14"/>
                <w:szCs w:val="14"/>
                <w:lang w:val="en-GB"/>
              </w:rPr>
            </w:pPr>
            <w:r w:rsidRPr="006E725C">
              <w:rPr>
                <w:rFonts w:cs="Arial"/>
                <w:sz w:val="14"/>
                <w:szCs w:val="14"/>
                <w:lang w:val="en-GB"/>
              </w:rPr>
              <w:t>Source: CZSO</w:t>
            </w:r>
            <w:r>
              <w:rPr>
                <w:rFonts w:cs="Arial"/>
                <w:sz w:val="14"/>
                <w:szCs w:val="14"/>
                <w:lang w:val="en-GB"/>
              </w:rPr>
              <w:t>, Eurostat</w:t>
            </w:r>
          </w:p>
        </w:tc>
      </w:tr>
      <w:tr w:rsidR="007B5F59" w:rsidRPr="006E725C" w14:paraId="602E8055" w14:textId="77777777" w:rsidTr="00BA5125">
        <w:trPr>
          <w:trHeight w:val="170"/>
        </w:trPr>
        <w:tc>
          <w:tcPr>
            <w:tcW w:w="1814" w:type="dxa"/>
            <w:tcBorders>
              <w:top w:val="nil"/>
              <w:left w:val="nil"/>
              <w:bottom w:val="nil"/>
              <w:right w:val="nil"/>
            </w:tcBorders>
            <w:shd w:val="clear" w:color="auto" w:fill="auto"/>
            <w:tcMar>
              <w:left w:w="0" w:type="dxa"/>
            </w:tcMar>
          </w:tcPr>
          <w:p w14:paraId="22564EB8" w14:textId="2EC8E5BB" w:rsidR="007B5F59" w:rsidRPr="006E725C" w:rsidRDefault="007B5F59" w:rsidP="007B5F59">
            <w:pPr>
              <w:pStyle w:val="Marginlie"/>
              <w:rPr>
                <w:color w:val="0D0D0D" w:themeColor="text1" w:themeTint="F2"/>
                <w:spacing w:val="-4"/>
                <w:lang w:val="en-GB"/>
              </w:rPr>
            </w:pPr>
            <w:r w:rsidRPr="006E725C">
              <w:rPr>
                <w:color w:val="0D0D0D" w:themeColor="text1" w:themeTint="F2"/>
                <w:spacing w:val="-4"/>
                <w:lang w:val="en-GB"/>
              </w:rPr>
              <w:t xml:space="preserve">Business confidence in industry remained in slightly negative band for the whole year 2023. It </w:t>
            </w:r>
            <w:r w:rsidR="0075016F">
              <w:rPr>
                <w:color w:val="0D0D0D" w:themeColor="text1" w:themeTint="F2"/>
                <w:spacing w:val="-4"/>
                <w:lang w:val="en-GB"/>
              </w:rPr>
              <w:t xml:space="preserve">even </w:t>
            </w:r>
            <w:r w:rsidRPr="006E725C">
              <w:rPr>
                <w:color w:val="0D0D0D" w:themeColor="text1" w:themeTint="F2"/>
                <w:spacing w:val="-4"/>
                <w:lang w:val="en-GB"/>
              </w:rPr>
              <w:t>deteriorat</w:t>
            </w:r>
            <w:r w:rsidR="002D2380">
              <w:rPr>
                <w:color w:val="0D0D0D" w:themeColor="text1" w:themeTint="F2"/>
                <w:spacing w:val="-4"/>
                <w:lang w:val="en-GB"/>
              </w:rPr>
              <w:t>ed at the beginning of 2024</w:t>
            </w:r>
            <w:r w:rsidRPr="006E725C">
              <w:rPr>
                <w:color w:val="0D0D0D" w:themeColor="text1" w:themeTint="F2"/>
                <w:spacing w:val="-4"/>
                <w:lang w:val="en-GB"/>
              </w:rPr>
              <w:t xml:space="preserve">. </w:t>
            </w:r>
          </w:p>
          <w:p w14:paraId="6416A60F" w14:textId="77777777" w:rsidR="007B5F59" w:rsidRPr="006E725C" w:rsidRDefault="007B5F59" w:rsidP="007B5F59">
            <w:pPr>
              <w:pStyle w:val="Marginlie"/>
              <w:rPr>
                <w:color w:val="0D0D0D" w:themeColor="text1" w:themeTint="F2"/>
                <w:spacing w:val="-4"/>
                <w:lang w:val="en-GB"/>
              </w:rPr>
            </w:pPr>
          </w:p>
          <w:p w14:paraId="53ED76A6" w14:textId="77777777" w:rsidR="007B5F59" w:rsidRPr="006E725C" w:rsidRDefault="007B5F59" w:rsidP="007B5F59">
            <w:pPr>
              <w:pStyle w:val="Marginlie"/>
              <w:rPr>
                <w:color w:val="0D0D0D" w:themeColor="text1" w:themeTint="F2"/>
                <w:spacing w:val="-4"/>
                <w:lang w:val="en-GB"/>
              </w:rPr>
            </w:pPr>
          </w:p>
          <w:p w14:paraId="57ED990B" w14:textId="77777777" w:rsidR="007B5F59" w:rsidRPr="006E725C" w:rsidRDefault="007B5F59" w:rsidP="007B5F59">
            <w:pPr>
              <w:pStyle w:val="Marginlie"/>
              <w:rPr>
                <w:color w:val="0D0D0D" w:themeColor="text1" w:themeTint="F2"/>
                <w:spacing w:val="-4"/>
                <w:lang w:val="en-GB"/>
              </w:rPr>
            </w:pPr>
          </w:p>
          <w:p w14:paraId="51151390" w14:textId="68E99441" w:rsidR="007B5F59" w:rsidRPr="006E725C" w:rsidRDefault="007B5F59" w:rsidP="007B5F59">
            <w:pPr>
              <w:pStyle w:val="Marginlie"/>
              <w:rPr>
                <w:color w:val="0D0D0D" w:themeColor="text1" w:themeTint="F2"/>
                <w:spacing w:val="-4"/>
                <w:lang w:val="en-GB"/>
              </w:rPr>
            </w:pPr>
            <w:r w:rsidRPr="006E725C">
              <w:rPr>
                <w:color w:val="0D0D0D" w:themeColor="text1" w:themeTint="F2"/>
                <w:spacing w:val="-4"/>
                <w:lang w:val="en-GB"/>
              </w:rPr>
              <w:t xml:space="preserve">Current assessment of the present demand is the worst in the last three and a half years. </w:t>
            </w:r>
          </w:p>
        </w:tc>
        <w:tc>
          <w:tcPr>
            <w:tcW w:w="229" w:type="dxa"/>
            <w:tcBorders>
              <w:top w:val="nil"/>
              <w:left w:val="nil"/>
              <w:bottom w:val="nil"/>
              <w:right w:val="nil"/>
            </w:tcBorders>
            <w:shd w:val="clear" w:color="auto" w:fill="auto"/>
            <w:tcMar>
              <w:left w:w="0" w:type="dxa"/>
            </w:tcMar>
          </w:tcPr>
          <w:p w14:paraId="309C499D" w14:textId="77777777" w:rsidR="007B5F59" w:rsidRPr="006E725C" w:rsidRDefault="007B5F59" w:rsidP="007B5F59">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76C0DEC1" w14:textId="79110125" w:rsidR="007B5F59" w:rsidRPr="006E725C" w:rsidRDefault="007B5F59" w:rsidP="007B5F59">
            <w:pPr>
              <w:spacing w:after="200"/>
              <w:rPr>
                <w:color w:val="0D0D0D" w:themeColor="text1" w:themeTint="F2"/>
                <w:spacing w:val="-3"/>
                <w:lang w:val="en-GB"/>
              </w:rPr>
            </w:pPr>
            <w:r w:rsidRPr="006E725C">
              <w:rPr>
                <w:color w:val="0D0D0D" w:themeColor="text1" w:themeTint="F2"/>
                <w:spacing w:val="-3"/>
                <w:lang w:val="en-GB"/>
              </w:rPr>
              <w:t>Business confidence in industry remained in the mildly negative band for the whole last year. It was falling due to the deteriorating economic outlooks in the key export territories mainly in H1 2023. It hit the three-year minimum in Septembe</w:t>
            </w:r>
            <w:r w:rsidR="002D2380">
              <w:rPr>
                <w:color w:val="0D0D0D" w:themeColor="text1" w:themeTint="F2"/>
                <w:spacing w:val="-3"/>
                <w:lang w:val="en-GB"/>
              </w:rPr>
              <w:t>r. More favourable development (</w:t>
            </w:r>
            <w:r w:rsidRPr="006E725C">
              <w:rPr>
                <w:color w:val="0D0D0D" w:themeColor="text1" w:themeTint="F2"/>
                <w:spacing w:val="-3"/>
                <w:lang w:val="en-GB"/>
              </w:rPr>
              <w:t>supported by the strengthening of optimism of motor vehicle manufacturers</w:t>
            </w:r>
            <w:r w:rsidR="002D2380">
              <w:rPr>
                <w:color w:val="0D0D0D" w:themeColor="text1" w:themeTint="F2"/>
                <w:spacing w:val="-3"/>
                <w:lang w:val="en-GB"/>
              </w:rPr>
              <w:t>)</w:t>
            </w:r>
            <w:r w:rsidRPr="006E725C">
              <w:rPr>
                <w:color w:val="0D0D0D" w:themeColor="text1" w:themeTint="F2"/>
                <w:spacing w:val="-3"/>
                <w:lang w:val="en-GB"/>
              </w:rPr>
              <w:t xml:space="preserve"> evident in Q4 </w:t>
            </w:r>
            <w:r w:rsidR="002D2380">
              <w:rPr>
                <w:color w:val="0D0D0D" w:themeColor="text1" w:themeTint="F2"/>
                <w:spacing w:val="-3"/>
                <w:lang w:val="en-GB"/>
              </w:rPr>
              <w:t>2023 ceased with the arrival of 2024. G</w:t>
            </w:r>
            <w:r w:rsidRPr="006E725C">
              <w:rPr>
                <w:color w:val="0D0D0D" w:themeColor="text1" w:themeTint="F2"/>
                <w:spacing w:val="-3"/>
                <w:lang w:val="en-GB"/>
              </w:rPr>
              <w:t xml:space="preserve">rowing pessimism </w:t>
            </w:r>
            <w:r w:rsidR="002D2380">
              <w:rPr>
                <w:color w:val="0D0D0D" w:themeColor="text1" w:themeTint="F2"/>
                <w:spacing w:val="-3"/>
                <w:lang w:val="en-GB"/>
              </w:rPr>
              <w:t xml:space="preserve">at the beginning of this year </w:t>
            </w:r>
            <w:r w:rsidRPr="006E725C">
              <w:rPr>
                <w:color w:val="0D0D0D" w:themeColor="text1" w:themeTint="F2"/>
                <w:spacing w:val="-3"/>
                <w:lang w:val="en-GB"/>
              </w:rPr>
              <w:t>is connected to the worse assessment of demand (mainly external), short-term expectations of own production, economic situation of businesses as well as the mild growth of inventories of finished products. Already nearly one half of businesses (the most in the last three and a half years) stated inadequate demand as one of the grow</w:t>
            </w:r>
            <w:r w:rsidR="0075016F">
              <w:rPr>
                <w:color w:val="0D0D0D" w:themeColor="text1" w:themeTint="F2"/>
                <w:spacing w:val="-3"/>
                <w:lang w:val="en-GB"/>
              </w:rPr>
              <w:t xml:space="preserve">th barriers </w:t>
            </w:r>
            <w:r w:rsidR="0075016F" w:rsidRPr="00A207DE">
              <w:rPr>
                <w:color w:val="0D0D0D" w:themeColor="text1" w:themeTint="F2"/>
                <w:spacing w:val="-5"/>
                <w:lang w:val="en-GB"/>
              </w:rPr>
              <w:t>in February 2024</w:t>
            </w:r>
            <w:r w:rsidRPr="00A207DE">
              <w:rPr>
                <w:rStyle w:val="Znakapoznpodarou"/>
                <w:color w:val="0D0D0D" w:themeColor="text1" w:themeTint="F2"/>
                <w:spacing w:val="-5"/>
                <w:lang w:val="en-GB"/>
              </w:rPr>
              <w:footnoteReference w:id="30"/>
            </w:r>
            <w:r w:rsidRPr="00A207DE">
              <w:rPr>
                <w:color w:val="0D0D0D" w:themeColor="text1" w:themeTint="F2"/>
                <w:spacing w:val="-5"/>
                <w:lang w:val="en-GB"/>
              </w:rPr>
              <w:t>. In contrast, the shortage of labour limited less than 15% of businesses</w:t>
            </w:r>
            <w:r w:rsidRPr="00A207DE">
              <w:rPr>
                <w:rStyle w:val="Znakapoznpodarou"/>
                <w:color w:val="0D0D0D" w:themeColor="text1" w:themeTint="F2"/>
                <w:spacing w:val="-5"/>
                <w:lang w:val="en-GB"/>
              </w:rPr>
              <w:footnoteReference w:id="31"/>
            </w:r>
            <w:r w:rsidRPr="00A207DE">
              <w:rPr>
                <w:color w:val="0D0D0D" w:themeColor="text1" w:themeTint="F2"/>
                <w:spacing w:val="-5"/>
                <w:lang w:val="en-GB"/>
              </w:rPr>
              <w:t>.</w:t>
            </w:r>
            <w:r w:rsidRPr="006E725C">
              <w:rPr>
                <w:color w:val="0D0D0D" w:themeColor="text1" w:themeTint="F2"/>
                <w:spacing w:val="-3"/>
                <w:lang w:val="en-GB"/>
              </w:rPr>
              <w:t xml:space="preserve"> Following the favourable development in H2 2023 the inaccessibility of material and equipment again becomes more acute currently, which restricts nearly one third of businesses</w:t>
            </w:r>
            <w:r w:rsidRPr="006E725C">
              <w:rPr>
                <w:rStyle w:val="Znakapoznpodarou"/>
                <w:color w:val="0D0D0D" w:themeColor="text1" w:themeTint="F2"/>
                <w:spacing w:val="-3"/>
                <w:lang w:val="en-GB"/>
              </w:rPr>
              <w:footnoteReference w:id="32"/>
            </w:r>
            <w:r w:rsidR="0075016F">
              <w:rPr>
                <w:color w:val="0D0D0D" w:themeColor="text1" w:themeTint="F2"/>
                <w:spacing w:val="-3"/>
                <w:lang w:val="en-GB"/>
              </w:rPr>
              <w:t>. That</w:t>
            </w:r>
            <w:r w:rsidRPr="006E725C">
              <w:rPr>
                <w:color w:val="0D0D0D" w:themeColor="text1" w:themeTint="F2"/>
                <w:spacing w:val="-3"/>
                <w:lang w:val="en-GB"/>
              </w:rPr>
              <w:t xml:space="preserve"> is however still less than </w:t>
            </w:r>
            <w:r w:rsidR="0075016F">
              <w:rPr>
                <w:color w:val="0D0D0D" w:themeColor="text1" w:themeTint="F2"/>
                <w:spacing w:val="-3"/>
                <w:lang w:val="en-GB"/>
              </w:rPr>
              <w:t>at the beginning of the year 2023</w:t>
            </w:r>
            <w:r w:rsidRPr="006E725C">
              <w:rPr>
                <w:color w:val="0D0D0D" w:themeColor="text1" w:themeTint="F2"/>
                <w:spacing w:val="-3"/>
                <w:lang w:val="en-GB"/>
              </w:rPr>
              <w:t xml:space="preserve">. </w:t>
            </w:r>
          </w:p>
        </w:tc>
      </w:tr>
      <w:tr w:rsidR="007B5F59" w:rsidRPr="006E725C" w14:paraId="3A608136" w14:textId="77777777" w:rsidTr="00BA5125">
        <w:trPr>
          <w:trHeight w:val="170"/>
        </w:trPr>
        <w:tc>
          <w:tcPr>
            <w:tcW w:w="1814" w:type="dxa"/>
            <w:tcBorders>
              <w:top w:val="nil"/>
              <w:left w:val="nil"/>
              <w:bottom w:val="nil"/>
              <w:right w:val="nil"/>
            </w:tcBorders>
            <w:shd w:val="clear" w:color="auto" w:fill="auto"/>
            <w:tcMar>
              <w:left w:w="0" w:type="dxa"/>
            </w:tcMar>
          </w:tcPr>
          <w:p w14:paraId="72FE1E35" w14:textId="7071C5B5" w:rsidR="007B5F59" w:rsidRPr="006E725C" w:rsidRDefault="00C654A5" w:rsidP="007B5F59">
            <w:pPr>
              <w:pStyle w:val="Marginlie"/>
              <w:rPr>
                <w:color w:val="0D0D0D" w:themeColor="text1" w:themeTint="F2"/>
                <w:spacing w:val="-4"/>
                <w:lang w:val="en-GB"/>
              </w:rPr>
            </w:pPr>
            <w:r>
              <w:rPr>
                <w:color w:val="0D0D0D" w:themeColor="text1" w:themeTint="F2"/>
                <w:spacing w:val="-4"/>
                <w:lang w:val="en-GB"/>
              </w:rPr>
              <w:t xml:space="preserve">Construction output was </w:t>
            </w:r>
            <w:r w:rsidR="007B5F59" w:rsidRPr="006E725C">
              <w:rPr>
                <w:color w:val="0D0D0D" w:themeColor="text1" w:themeTint="F2"/>
                <w:spacing w:val="-4"/>
                <w:lang w:val="en-GB"/>
              </w:rPr>
              <w:t xml:space="preserve">still affected by significant cost pressures as well as </w:t>
            </w:r>
            <w:r w:rsidR="007B5F59" w:rsidRPr="006E725C">
              <w:rPr>
                <w:color w:val="0D0D0D" w:themeColor="text1" w:themeTint="F2"/>
                <w:spacing w:val="-4"/>
                <w:lang w:val="en-GB"/>
              </w:rPr>
              <w:lastRenderedPageBreak/>
              <w:t xml:space="preserve">weakening private investment activity.  </w:t>
            </w:r>
          </w:p>
        </w:tc>
        <w:tc>
          <w:tcPr>
            <w:tcW w:w="229" w:type="dxa"/>
            <w:tcBorders>
              <w:top w:val="nil"/>
              <w:left w:val="nil"/>
              <w:bottom w:val="nil"/>
              <w:right w:val="nil"/>
            </w:tcBorders>
            <w:shd w:val="clear" w:color="auto" w:fill="auto"/>
            <w:tcMar>
              <w:left w:w="0" w:type="dxa"/>
            </w:tcMar>
          </w:tcPr>
          <w:p w14:paraId="19D9D596" w14:textId="77777777" w:rsidR="007B5F59" w:rsidRPr="006E725C" w:rsidRDefault="007B5F59" w:rsidP="007B5F59">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54E3988F" w14:textId="074A3039" w:rsidR="007B5F59" w:rsidRPr="006E725C" w:rsidRDefault="007B5F59" w:rsidP="007B5F59">
            <w:pPr>
              <w:spacing w:after="200"/>
              <w:rPr>
                <w:color w:val="0D0D0D" w:themeColor="text1" w:themeTint="F2"/>
                <w:spacing w:val="-6"/>
                <w:lang w:val="en-GB"/>
              </w:rPr>
            </w:pPr>
            <w:r w:rsidRPr="006E725C">
              <w:rPr>
                <w:color w:val="0D0D0D" w:themeColor="text1" w:themeTint="F2"/>
                <w:spacing w:val="-6"/>
                <w:lang w:val="en-GB"/>
              </w:rPr>
              <w:t xml:space="preserve">Persisting cost pressures as well as weak demand activity in the private sphere affected construction last year. Even though the year-on-year growth of prices of building materials slowed down (the prices went even slightly down in September after more than three years), </w:t>
            </w:r>
            <w:r w:rsidRPr="006E725C">
              <w:rPr>
                <w:color w:val="0D0D0D" w:themeColor="text1" w:themeTint="F2"/>
                <w:spacing w:val="-6"/>
                <w:lang w:val="en-GB"/>
              </w:rPr>
              <w:lastRenderedPageBreak/>
              <w:t>brisk growth of labour costs influenced by chronic shortage of (especially qualified) labour force prevented more pronounced decrease of both realised and expected prices of construction output</w:t>
            </w:r>
            <w:r w:rsidRPr="006E725C">
              <w:rPr>
                <w:rStyle w:val="Znakapoznpodarou"/>
                <w:color w:val="0D0D0D" w:themeColor="text1" w:themeTint="F2"/>
                <w:spacing w:val="-6"/>
                <w:lang w:val="en-GB"/>
              </w:rPr>
              <w:footnoteReference w:id="33"/>
            </w:r>
            <w:r w:rsidRPr="006E725C">
              <w:rPr>
                <w:color w:val="0D0D0D" w:themeColor="text1" w:themeTint="F2"/>
                <w:spacing w:val="-4"/>
                <w:lang w:val="en-GB"/>
              </w:rPr>
              <w:t>. Deteriorated financial situation of households together with decreased accessibility of mortgages</w:t>
            </w:r>
            <w:r w:rsidRPr="006E725C">
              <w:rPr>
                <w:rStyle w:val="Znakapoznpodarou"/>
                <w:rFonts w:eastAsia="MS Gothic"/>
                <w:szCs w:val="20"/>
                <w:lang w:val="en-GB"/>
              </w:rPr>
              <w:footnoteReference w:id="34"/>
            </w:r>
            <w:r w:rsidRPr="006E725C">
              <w:rPr>
                <w:rStyle w:val="normaltextrun"/>
                <w:rFonts w:eastAsia="MS Gothic" w:cs="Arial"/>
                <w:szCs w:val="20"/>
                <w:lang w:val="en-GB"/>
              </w:rPr>
              <w:t xml:space="preserve"> essentially cooled down the last year’s boom of the real estate market. Public investment</w:t>
            </w:r>
            <w:r w:rsidRPr="006E725C">
              <w:rPr>
                <w:rStyle w:val="Znakapoznpodarou"/>
                <w:rFonts w:eastAsia="MS Gothic"/>
                <w:szCs w:val="20"/>
                <w:lang w:val="en-GB"/>
              </w:rPr>
              <w:footnoteReference w:id="35"/>
            </w:r>
            <w:r w:rsidRPr="006E725C">
              <w:rPr>
                <w:rStyle w:val="normaltextrun"/>
                <w:rFonts w:eastAsia="MS Gothic" w:cs="Arial"/>
                <w:szCs w:val="20"/>
                <w:lang w:val="en-GB"/>
              </w:rPr>
              <w:t>, i.e. strengthening inflow of funds from the EU budget designed on the construction as well as upgrading of the transport infrastructure or reduction of the energy-intensity in the area of housing on the other hand worked against the deeper downturn of the construction output.</w:t>
            </w:r>
          </w:p>
        </w:tc>
      </w:tr>
      <w:tr w:rsidR="007B5F59" w:rsidRPr="006E725C" w14:paraId="4B6D923C" w14:textId="77777777" w:rsidTr="00BA5125">
        <w:trPr>
          <w:trHeight w:val="170"/>
        </w:trPr>
        <w:tc>
          <w:tcPr>
            <w:tcW w:w="1814" w:type="dxa"/>
            <w:tcBorders>
              <w:top w:val="nil"/>
              <w:left w:val="nil"/>
              <w:bottom w:val="nil"/>
              <w:right w:val="nil"/>
            </w:tcBorders>
            <w:shd w:val="clear" w:color="auto" w:fill="auto"/>
            <w:tcMar>
              <w:left w:w="0" w:type="dxa"/>
            </w:tcMar>
          </w:tcPr>
          <w:p w14:paraId="2349D799" w14:textId="5C2CBB3D" w:rsidR="007B5F59" w:rsidRPr="006E725C" w:rsidRDefault="007B5F59" w:rsidP="007B5F59">
            <w:pPr>
              <w:pStyle w:val="Marginlie"/>
              <w:rPr>
                <w:color w:val="0D0D0D" w:themeColor="text1" w:themeTint="F2"/>
                <w:spacing w:val="-4"/>
                <w:lang w:val="en-GB"/>
              </w:rPr>
            </w:pPr>
            <w:r w:rsidRPr="006E725C">
              <w:rPr>
                <w:color w:val="0D0D0D" w:themeColor="text1" w:themeTint="F2"/>
                <w:spacing w:val="-4"/>
                <w:lang w:val="en-GB"/>
              </w:rPr>
              <w:lastRenderedPageBreak/>
              <w:t>Construction output lowered last year after mild recovery in years 2021 and 2022</w:t>
            </w:r>
            <w:r>
              <w:rPr>
                <w:color w:val="0D0D0D" w:themeColor="text1" w:themeTint="F2"/>
                <w:spacing w:val="-4"/>
                <w:lang w:val="en-GB"/>
              </w:rPr>
              <w:t>,</w:t>
            </w:r>
            <w:r w:rsidRPr="006E725C">
              <w:rPr>
                <w:color w:val="0D0D0D" w:themeColor="text1" w:themeTint="F2"/>
                <w:spacing w:val="-4"/>
                <w:lang w:val="en-GB"/>
              </w:rPr>
              <w:t xml:space="preserve"> both building construction and civil engineering construction decreased. </w:t>
            </w:r>
          </w:p>
        </w:tc>
        <w:tc>
          <w:tcPr>
            <w:tcW w:w="229" w:type="dxa"/>
            <w:tcBorders>
              <w:top w:val="nil"/>
              <w:left w:val="nil"/>
              <w:bottom w:val="nil"/>
              <w:right w:val="nil"/>
            </w:tcBorders>
            <w:shd w:val="clear" w:color="auto" w:fill="auto"/>
            <w:tcMar>
              <w:left w:w="0" w:type="dxa"/>
            </w:tcMar>
          </w:tcPr>
          <w:p w14:paraId="62E0E065" w14:textId="77777777" w:rsidR="007B5F59" w:rsidRPr="006E725C" w:rsidRDefault="007B5F59" w:rsidP="007B5F59">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680D7E65" w14:textId="1DDA5475" w:rsidR="007B5F59" w:rsidRPr="006E725C" w:rsidRDefault="007B5F59" w:rsidP="007B5F59">
            <w:pPr>
              <w:spacing w:after="0"/>
              <w:rPr>
                <w:color w:val="0D0D0D" w:themeColor="text1" w:themeTint="F2"/>
                <w:spacing w:val="-6"/>
                <w:lang w:val="en-GB"/>
              </w:rPr>
            </w:pPr>
            <w:r w:rsidRPr="006E725C">
              <w:rPr>
                <w:color w:val="0D0D0D" w:themeColor="text1" w:themeTint="F2"/>
                <w:spacing w:val="-6"/>
                <w:lang w:val="en-GB"/>
              </w:rPr>
              <w:t>Construction output</w:t>
            </w:r>
            <w:r w:rsidRPr="006E725C">
              <w:rPr>
                <w:rStyle w:val="Znakapoznpodarou"/>
                <w:color w:val="0D0D0D" w:themeColor="text1" w:themeTint="F2"/>
                <w:spacing w:val="-6"/>
                <w:lang w:val="en-GB"/>
              </w:rPr>
              <w:footnoteReference w:id="36"/>
            </w:r>
            <w:r w:rsidRPr="006E725C">
              <w:rPr>
                <w:color w:val="0D0D0D" w:themeColor="text1" w:themeTint="F2"/>
                <w:spacing w:val="-6"/>
                <w:lang w:val="en-GB"/>
              </w:rPr>
              <w:t xml:space="preserve"> increased by 1.8% quarter-on-quarter at the beginning of year 2023 (partially thanks to very mild winter, which mainly assisted the building construction), however it decreased more significantly in the subsequent quarter (by 2.8%). The downward trend of production continued in H2, although at slower pace. Thus, the output of the whole branch lagged behind the peak of the last expansion (Q3 2019) by nearly 6% towards the end of the year (in that building construction by 8.3%). In comparison to the same period of the preceding year, the construction output fell in all last year’s quarters and by 2.4% then for the whole year 2023, with contribution mainly from the building construction (</w:t>
            </w:r>
            <w:r w:rsidRPr="006E725C">
              <w:rPr>
                <w:color w:val="0D0D0D" w:themeColor="text1" w:themeTint="F2"/>
                <w:spacing w:val="-2"/>
                <w:lang w:val="en-GB"/>
              </w:rPr>
              <w:t>−</w:t>
            </w:r>
            <w:r w:rsidRPr="006E725C">
              <w:rPr>
                <w:color w:val="0D0D0D" w:themeColor="text1" w:themeTint="F2"/>
                <w:spacing w:val="-6"/>
                <w:lang w:val="en-GB"/>
              </w:rPr>
              <w:t>0.9 p.p.).</w:t>
            </w:r>
          </w:p>
          <w:p w14:paraId="68B6E49F" w14:textId="77777777" w:rsidR="007B5F59" w:rsidRPr="006E725C" w:rsidRDefault="007B5F59" w:rsidP="007B5F59">
            <w:pPr>
              <w:spacing w:after="0"/>
              <w:rPr>
                <w:color w:val="0D0D0D" w:themeColor="text1" w:themeTint="F2"/>
                <w:spacing w:val="-6"/>
                <w:lang w:val="en-GB"/>
              </w:rPr>
            </w:pPr>
          </w:p>
        </w:tc>
      </w:tr>
      <w:tr w:rsidR="007B5F59" w:rsidRPr="006E725C" w14:paraId="185C7D66" w14:textId="77777777" w:rsidTr="00BA5125">
        <w:trPr>
          <w:trHeight w:val="170"/>
        </w:trPr>
        <w:tc>
          <w:tcPr>
            <w:tcW w:w="1814" w:type="dxa"/>
            <w:tcBorders>
              <w:top w:val="nil"/>
              <w:left w:val="nil"/>
              <w:bottom w:val="nil"/>
              <w:right w:val="nil"/>
            </w:tcBorders>
            <w:shd w:val="clear" w:color="auto" w:fill="auto"/>
            <w:tcMar>
              <w:left w:w="0" w:type="dxa"/>
            </w:tcMar>
          </w:tcPr>
          <w:p w14:paraId="458FE5E8" w14:textId="1974202A" w:rsidR="007B5F59" w:rsidRPr="006E725C" w:rsidRDefault="007B5F59" w:rsidP="007B5F59">
            <w:pPr>
              <w:pStyle w:val="Marginlie"/>
              <w:rPr>
                <w:color w:val="0D0D0D" w:themeColor="text1" w:themeTint="F2"/>
                <w:spacing w:val="-4"/>
                <w:lang w:val="en-GB"/>
              </w:rPr>
            </w:pPr>
            <w:r w:rsidRPr="006E725C">
              <w:rPr>
                <w:color w:val="0D0D0D" w:themeColor="text1" w:themeTint="F2"/>
                <w:spacing w:val="-4"/>
                <w:lang w:val="en-GB"/>
              </w:rPr>
              <w:t xml:space="preserve">Decrease of demand was distinctly imprinted in the started residential construction, where the number of dwellings in the family houses considerably slumped. </w:t>
            </w:r>
          </w:p>
          <w:p w14:paraId="3C73D484" w14:textId="77777777" w:rsidR="007B5F59" w:rsidRPr="006E725C" w:rsidRDefault="007B5F59" w:rsidP="007B5F59">
            <w:pPr>
              <w:pStyle w:val="Marginlie"/>
              <w:rPr>
                <w:color w:val="0D0D0D" w:themeColor="text1" w:themeTint="F2"/>
                <w:spacing w:val="-4"/>
                <w:lang w:val="en-GB"/>
              </w:rPr>
            </w:pPr>
          </w:p>
          <w:p w14:paraId="42ACA09F" w14:textId="77777777" w:rsidR="007B5F59" w:rsidRPr="006E725C" w:rsidRDefault="007B5F59" w:rsidP="007B5F59">
            <w:pPr>
              <w:pStyle w:val="Marginlie"/>
              <w:rPr>
                <w:color w:val="0D0D0D" w:themeColor="text1" w:themeTint="F2"/>
                <w:spacing w:val="-4"/>
                <w:lang w:val="en-GB"/>
              </w:rPr>
            </w:pPr>
          </w:p>
          <w:p w14:paraId="739AD757" w14:textId="634CF0E0" w:rsidR="007B5F59" w:rsidRPr="006E725C" w:rsidRDefault="007B5F59" w:rsidP="007B5F59">
            <w:pPr>
              <w:pStyle w:val="Marginlie"/>
              <w:rPr>
                <w:color w:val="0D0D0D" w:themeColor="text1" w:themeTint="F2"/>
                <w:spacing w:val="-4"/>
                <w:lang w:val="en-GB"/>
              </w:rPr>
            </w:pPr>
            <w:r w:rsidRPr="006E725C">
              <w:rPr>
                <w:color w:val="0D0D0D" w:themeColor="text1" w:themeTint="F2"/>
                <w:spacing w:val="-4"/>
                <w:lang w:val="en-GB"/>
              </w:rPr>
              <w:t xml:space="preserve">Number of completed dwellings in residential buildings still competed with the extent of construction from the expansion years of the zero decade. </w:t>
            </w:r>
          </w:p>
          <w:p w14:paraId="16440DCF" w14:textId="77777777" w:rsidR="007B5F59" w:rsidRPr="006E725C" w:rsidRDefault="007B5F59" w:rsidP="007B5F59">
            <w:pPr>
              <w:pStyle w:val="Marginlie"/>
              <w:rPr>
                <w:color w:val="0D0D0D" w:themeColor="text1" w:themeTint="F2"/>
                <w:spacing w:val="-4"/>
                <w:lang w:val="en-GB"/>
              </w:rPr>
            </w:pPr>
          </w:p>
        </w:tc>
        <w:tc>
          <w:tcPr>
            <w:tcW w:w="229" w:type="dxa"/>
            <w:tcBorders>
              <w:top w:val="nil"/>
              <w:left w:val="nil"/>
              <w:bottom w:val="nil"/>
              <w:right w:val="nil"/>
            </w:tcBorders>
            <w:shd w:val="clear" w:color="auto" w:fill="auto"/>
            <w:tcMar>
              <w:left w:w="0" w:type="dxa"/>
            </w:tcMar>
          </w:tcPr>
          <w:p w14:paraId="4BD27293" w14:textId="77777777" w:rsidR="007B5F59" w:rsidRPr="006E725C" w:rsidRDefault="007B5F59" w:rsidP="007B5F59">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638249F7" w14:textId="294CB76A" w:rsidR="007B5F59" w:rsidRPr="006E725C" w:rsidRDefault="007B5F59" w:rsidP="007B5F59">
            <w:pPr>
              <w:spacing w:after="200"/>
              <w:rPr>
                <w:rFonts w:eastAsia="MS Gothic" w:cs="Arial"/>
                <w:spacing w:val="-2"/>
                <w:szCs w:val="20"/>
                <w:lang w:val="en-GB"/>
              </w:rPr>
            </w:pPr>
            <w:r w:rsidRPr="006E725C">
              <w:rPr>
                <w:lang w:val="en-GB"/>
              </w:rPr>
              <w:t>“Freezing” of the real estate market was still more distinctly reflected in the low intensity of started construction, mainly of family houses. Decrease of construction commenced in year 2022 deepened last year (to 15.5% year-on-year). Construction of family houses decreased the most</w:t>
            </w:r>
            <w:r w:rsidRPr="006E725C">
              <w:rPr>
                <w:color w:val="0D0D0D" w:themeColor="text1" w:themeTint="F2"/>
                <w:spacing w:val="-6"/>
                <w:lang w:val="en-GB"/>
              </w:rPr>
              <w:t xml:space="preserve">, the number of started dwellings was due to high financial costs as well as shortage of labour </w:t>
            </w:r>
            <w:r w:rsidRPr="006E725C">
              <w:rPr>
                <w:rStyle w:val="normaltextrun"/>
                <w:rFonts w:eastAsia="MS Gothic" w:cs="Arial"/>
                <w:szCs w:val="20"/>
                <w:lang w:val="en-GB"/>
              </w:rPr>
              <w:t xml:space="preserve">(mainly in smaller building companies) the lowest in the last eight years </w:t>
            </w:r>
            <w:r w:rsidRPr="006E725C">
              <w:rPr>
                <w:color w:val="0D0D0D" w:themeColor="text1" w:themeTint="F2"/>
                <w:spacing w:val="-6"/>
                <w:lang w:val="en-GB"/>
              </w:rPr>
              <w:t>(14.6 thousand), decrease however occurred also in all other construction segments (apart from reconstructions of existing residential houses).</w:t>
            </w:r>
            <w:r w:rsidRPr="006E725C">
              <w:rPr>
                <w:rStyle w:val="normaltextrun"/>
                <w:rFonts w:eastAsia="MS Gothic" w:cs="Arial"/>
                <w:szCs w:val="20"/>
                <w:lang w:val="en-GB"/>
              </w:rPr>
              <w:t xml:space="preserve"> Number of completed dwellings fell only slightly (by 3.4%) due to large number of unfinished works from the previous years, again contributed by weaker construction of family houses. On the contrary, the number of dwellings in the category of residential buildings increased year-on-year for the third time in a row and arrived at </w:t>
            </w:r>
            <w:r w:rsidRPr="006E725C">
              <w:rPr>
                <w:rStyle w:val="normaltextrun"/>
                <w:rFonts w:eastAsia="MS Gothic" w:cs="Arial"/>
                <w:spacing w:val="-2"/>
                <w:szCs w:val="20"/>
                <w:lang w:val="en-GB"/>
              </w:rPr>
              <w:t xml:space="preserve">14.2 thousand (larger construction was in the era of independent CR achieved only in year 2007, specifically 18.2 thousand). More than one third of the total number of all completed dwellings in the CR is in Prague and the Central Bohemia in the long-term. </w:t>
            </w:r>
          </w:p>
        </w:tc>
      </w:tr>
      <w:tr w:rsidR="0010343F" w:rsidRPr="006E725C" w14:paraId="7A01587C" w14:textId="77777777" w:rsidTr="00BA5125">
        <w:trPr>
          <w:trHeight w:val="170"/>
        </w:trPr>
        <w:tc>
          <w:tcPr>
            <w:tcW w:w="1814" w:type="dxa"/>
            <w:tcBorders>
              <w:top w:val="nil"/>
              <w:left w:val="nil"/>
              <w:bottom w:val="nil"/>
              <w:right w:val="nil"/>
            </w:tcBorders>
            <w:shd w:val="clear" w:color="auto" w:fill="auto"/>
            <w:tcMar>
              <w:left w:w="0" w:type="dxa"/>
            </w:tcMar>
          </w:tcPr>
          <w:p w14:paraId="39BB8BAA" w14:textId="77777777" w:rsidR="0010343F" w:rsidRPr="006E725C" w:rsidRDefault="0010343F" w:rsidP="0010343F">
            <w:pPr>
              <w:pStyle w:val="Marginlie"/>
              <w:rPr>
                <w:rFonts w:cs="Arial"/>
                <w:color w:val="0D0D0D" w:themeColor="text1" w:themeTint="F2"/>
                <w:spacing w:val="-4"/>
                <w:lang w:val="en-GB"/>
              </w:rPr>
            </w:pPr>
            <w:r w:rsidRPr="006E725C">
              <w:rPr>
                <w:rFonts w:cs="Arial"/>
                <w:color w:val="0D0D0D" w:themeColor="text1" w:themeTint="F2"/>
                <w:spacing w:val="-4"/>
                <w:lang w:val="en-GB"/>
              </w:rPr>
              <w:t>The approximate value of one granted building permit grew more notably in Q4. The volume of orders also increased more slowly, however the private demand still slackened.</w:t>
            </w:r>
          </w:p>
          <w:p w14:paraId="6AE9C110" w14:textId="77777777" w:rsidR="0010343F" w:rsidRPr="006E725C" w:rsidRDefault="0010343F" w:rsidP="0010343F">
            <w:pPr>
              <w:pStyle w:val="Marginlie"/>
              <w:rPr>
                <w:rFonts w:cs="Arial"/>
                <w:color w:val="0D0D0D" w:themeColor="text1" w:themeTint="F2"/>
                <w:spacing w:val="-4"/>
                <w:lang w:val="en-GB"/>
              </w:rPr>
            </w:pPr>
          </w:p>
          <w:p w14:paraId="24A06785" w14:textId="77777777" w:rsidR="0010343F" w:rsidRPr="006E725C" w:rsidRDefault="0010343F" w:rsidP="0010343F">
            <w:pPr>
              <w:pStyle w:val="Marginlie"/>
              <w:rPr>
                <w:rFonts w:cs="Arial"/>
                <w:color w:val="0D0D0D" w:themeColor="text1" w:themeTint="F2"/>
                <w:spacing w:val="-4"/>
                <w:lang w:val="en-GB"/>
              </w:rPr>
            </w:pPr>
          </w:p>
          <w:p w14:paraId="38B01197" w14:textId="77777777" w:rsidR="0010343F" w:rsidRPr="006E725C" w:rsidRDefault="0010343F" w:rsidP="0010343F">
            <w:pPr>
              <w:pStyle w:val="Marginlie"/>
              <w:rPr>
                <w:rFonts w:cs="Arial"/>
                <w:color w:val="0D0D0D" w:themeColor="text1" w:themeTint="F2"/>
                <w:spacing w:val="-4"/>
                <w:lang w:val="en-GB"/>
              </w:rPr>
            </w:pPr>
          </w:p>
          <w:p w14:paraId="559F9124" w14:textId="77777777" w:rsidR="0010343F" w:rsidRPr="006E725C" w:rsidRDefault="0010343F" w:rsidP="0010343F">
            <w:pPr>
              <w:pStyle w:val="Marginlie"/>
              <w:rPr>
                <w:rFonts w:cs="Arial"/>
                <w:color w:val="0D0D0D" w:themeColor="text1" w:themeTint="F2"/>
                <w:spacing w:val="-4"/>
                <w:lang w:val="en-GB"/>
              </w:rPr>
            </w:pPr>
          </w:p>
          <w:p w14:paraId="658FF043" w14:textId="77777777" w:rsidR="0010343F" w:rsidRPr="006E725C" w:rsidRDefault="0010343F" w:rsidP="0010343F">
            <w:pPr>
              <w:pStyle w:val="Marginlie"/>
              <w:rPr>
                <w:rFonts w:cs="Arial"/>
                <w:color w:val="0D0D0D" w:themeColor="text1" w:themeTint="F2"/>
                <w:spacing w:val="-4"/>
                <w:lang w:val="en-GB"/>
              </w:rPr>
            </w:pPr>
            <w:r w:rsidRPr="006E725C">
              <w:rPr>
                <w:spacing w:val="-4"/>
                <w:lang w:val="en-GB"/>
              </w:rPr>
              <w:t xml:space="preserve">Pessimism of businesses in construction lowered at the beginning of this year. </w:t>
            </w:r>
          </w:p>
          <w:p w14:paraId="61258638" w14:textId="77777777" w:rsidR="0010343F" w:rsidRPr="006E725C" w:rsidRDefault="0010343F" w:rsidP="0010343F">
            <w:pPr>
              <w:pStyle w:val="Marginlie"/>
              <w:rPr>
                <w:color w:val="0D0D0D" w:themeColor="text1" w:themeTint="F2"/>
                <w:spacing w:val="-4"/>
                <w:lang w:val="en-GB"/>
              </w:rPr>
            </w:pPr>
          </w:p>
        </w:tc>
        <w:tc>
          <w:tcPr>
            <w:tcW w:w="229" w:type="dxa"/>
            <w:tcBorders>
              <w:top w:val="nil"/>
              <w:left w:val="nil"/>
              <w:bottom w:val="nil"/>
              <w:right w:val="nil"/>
            </w:tcBorders>
            <w:shd w:val="clear" w:color="auto" w:fill="auto"/>
            <w:tcMar>
              <w:left w:w="0" w:type="dxa"/>
            </w:tcMar>
          </w:tcPr>
          <w:p w14:paraId="779AEC7B" w14:textId="77777777" w:rsidR="0010343F" w:rsidRPr="006E725C" w:rsidRDefault="0010343F" w:rsidP="0010343F">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0D6F183B" w14:textId="16ACB418" w:rsidR="0010343F" w:rsidRPr="006E725C" w:rsidRDefault="0010343F" w:rsidP="0010343F">
            <w:pPr>
              <w:spacing w:after="200"/>
              <w:rPr>
                <w:lang w:val="en-GB"/>
              </w:rPr>
            </w:pPr>
            <w:r w:rsidRPr="006E725C">
              <w:rPr>
                <w:color w:val="0D0D0D" w:themeColor="text1" w:themeTint="F2"/>
                <w:spacing w:val="-6"/>
                <w:lang w:val="en-GB"/>
              </w:rPr>
              <w:t xml:space="preserve">Some leading indicators can evoke a mild optimism in construction. The </w:t>
            </w:r>
            <w:r w:rsidRPr="006E725C">
              <w:rPr>
                <w:rFonts w:cs="Arial"/>
                <w:szCs w:val="20"/>
                <w:lang w:val="en-GB"/>
              </w:rPr>
              <w:t>approximate value of one granted building</w:t>
            </w:r>
            <w:r w:rsidRPr="006E725C">
              <w:rPr>
                <w:spacing w:val="-4"/>
                <w:lang w:val="en-GB"/>
              </w:rPr>
              <w:t xml:space="preserve"> </w:t>
            </w:r>
            <w:r w:rsidRPr="006E725C">
              <w:rPr>
                <w:rFonts w:cs="Arial"/>
                <w:szCs w:val="20"/>
                <w:lang w:val="en-GB"/>
              </w:rPr>
              <w:t>permit increased by 35% year-on-year in Q</w:t>
            </w:r>
            <w:r w:rsidRPr="006E725C">
              <w:rPr>
                <w:color w:val="0D0D0D" w:themeColor="text1" w:themeTint="F2"/>
                <w:spacing w:val="-6"/>
                <w:lang w:val="en-GB"/>
              </w:rPr>
              <w:t xml:space="preserve">4, by 62% in December itself – i.e., to 84 </w:t>
            </w:r>
            <w:r>
              <w:rPr>
                <w:color w:val="0D0D0D" w:themeColor="text1" w:themeTint="F2"/>
                <w:spacing w:val="-6"/>
                <w:lang w:val="en-GB"/>
              </w:rPr>
              <w:t xml:space="preserve">CZK </w:t>
            </w:r>
            <w:proofErr w:type="spellStart"/>
            <w:r>
              <w:rPr>
                <w:color w:val="0D0D0D" w:themeColor="text1" w:themeTint="F2"/>
                <w:spacing w:val="-6"/>
                <w:lang w:val="en-GB"/>
              </w:rPr>
              <w:t>bn</w:t>
            </w:r>
            <w:proofErr w:type="spellEnd"/>
            <w:r w:rsidRPr="006E725C">
              <w:rPr>
                <w:color w:val="0D0D0D" w:themeColor="text1" w:themeTint="F2"/>
                <w:spacing w:val="-6"/>
                <w:lang w:val="en-GB"/>
              </w:rPr>
              <w:t xml:space="preserve"> (the second largest value in history – behind July 2021, when the construction of the underground line D was permitted in Prague). The December growth had nearly an across-the-board character, after deduction of large structures (above 1 </w:t>
            </w:r>
            <w:r>
              <w:rPr>
                <w:color w:val="0D0D0D" w:themeColor="text1" w:themeTint="F2"/>
                <w:spacing w:val="-6"/>
                <w:lang w:val="en-GB"/>
              </w:rPr>
              <w:t xml:space="preserve">CZK </w:t>
            </w:r>
            <w:proofErr w:type="spellStart"/>
            <w:r>
              <w:rPr>
                <w:color w:val="0D0D0D" w:themeColor="text1" w:themeTint="F2"/>
                <w:spacing w:val="-6"/>
                <w:lang w:val="en-GB"/>
              </w:rPr>
              <w:t>bn</w:t>
            </w:r>
            <w:proofErr w:type="spellEnd"/>
            <w:r w:rsidRPr="006E725C">
              <w:rPr>
                <w:color w:val="0D0D0D" w:themeColor="text1" w:themeTint="F2"/>
                <w:spacing w:val="-6"/>
                <w:lang w:val="en-GB"/>
              </w:rPr>
              <w:t xml:space="preserve">) it was 20% in nominal terms (17% in real terms). Value of new orders was by 9.3% higher year-on-year in Q4 (it grew for the second quarter in a row), it reflected the revival of building construction. Total stock of work (balance of orders to be realised) was by even 7% higher year-on-year at the end of December, but only thanks to higher demand from public contracting authority for now. According to the business cycle survey (January 2024), construction businesses also anticipate a mild growth of demand, construction activity as well </w:t>
            </w:r>
            <w:r w:rsidRPr="006E725C">
              <w:rPr>
                <w:color w:val="0D0D0D" w:themeColor="text1" w:themeTint="F2"/>
                <w:spacing w:val="-6"/>
                <w:lang w:val="en-GB"/>
              </w:rPr>
              <w:lastRenderedPageBreak/>
              <w:t>as employment. Their confidence balance was the highest this year in F</w:t>
            </w:r>
            <w:r w:rsidR="002D2380">
              <w:rPr>
                <w:color w:val="0D0D0D" w:themeColor="text1" w:themeTint="F2"/>
                <w:spacing w:val="-6"/>
                <w:lang w:val="en-GB"/>
              </w:rPr>
              <w:t>ebruary in the last 15 months.</w:t>
            </w:r>
          </w:p>
        </w:tc>
      </w:tr>
      <w:tr w:rsidR="0010343F" w:rsidRPr="006E725C" w14:paraId="3F96B3FE" w14:textId="77777777" w:rsidTr="00BA5125">
        <w:trPr>
          <w:trHeight w:val="170"/>
        </w:trPr>
        <w:tc>
          <w:tcPr>
            <w:tcW w:w="1814" w:type="dxa"/>
            <w:vMerge w:val="restart"/>
            <w:tcBorders>
              <w:top w:val="nil"/>
              <w:left w:val="nil"/>
              <w:bottom w:val="nil"/>
              <w:right w:val="nil"/>
            </w:tcBorders>
            <w:shd w:val="clear" w:color="auto" w:fill="auto"/>
            <w:tcMar>
              <w:left w:w="0" w:type="dxa"/>
            </w:tcMar>
          </w:tcPr>
          <w:p w14:paraId="2F435E6A" w14:textId="77777777" w:rsidR="0010343F" w:rsidRPr="006E725C" w:rsidRDefault="0010343F" w:rsidP="0010343F">
            <w:pPr>
              <w:pStyle w:val="Marginlie"/>
              <w:rPr>
                <w:lang w:val="en-GB"/>
              </w:rPr>
            </w:pPr>
          </w:p>
        </w:tc>
        <w:tc>
          <w:tcPr>
            <w:tcW w:w="229" w:type="dxa"/>
            <w:vMerge w:val="restart"/>
            <w:tcBorders>
              <w:top w:val="nil"/>
              <w:left w:val="nil"/>
              <w:bottom w:val="nil"/>
              <w:right w:val="nil"/>
            </w:tcBorders>
            <w:shd w:val="clear" w:color="auto" w:fill="auto"/>
            <w:tcMar>
              <w:left w:w="0" w:type="dxa"/>
            </w:tcMar>
          </w:tcPr>
          <w:p w14:paraId="4689D05D"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300B610B" w14:textId="5500236D" w:rsidR="0010343F" w:rsidRPr="006E725C" w:rsidRDefault="0010343F" w:rsidP="0010343F">
            <w:pPr>
              <w:spacing w:after="20"/>
              <w:rPr>
                <w:rFonts w:cs="Arial"/>
                <w:bCs/>
                <w:lang w:val="en-GB"/>
              </w:rPr>
            </w:pPr>
            <w:r w:rsidRPr="006E725C">
              <w:rPr>
                <w:b/>
                <w:spacing w:val="-5"/>
                <w:lang w:val="en-GB"/>
              </w:rPr>
              <w:t xml:space="preserve">Chart 6 </w:t>
            </w:r>
            <w:r w:rsidRPr="006E725C">
              <w:rPr>
                <w:b/>
                <w:spacing w:val="-4"/>
                <w:lang w:val="en-GB"/>
              </w:rPr>
              <w:t xml:space="preserve">Contributions of sub-branches to year-on-year change of the total construction output </w:t>
            </w:r>
            <w:r w:rsidRPr="006E725C">
              <w:rPr>
                <w:spacing w:val="-4"/>
                <w:lang w:val="en-GB"/>
              </w:rPr>
              <w:t>(real, in p.p.)</w:t>
            </w:r>
            <w:r w:rsidRPr="006E725C">
              <w:rPr>
                <w:b/>
                <w:bCs/>
                <w:spacing w:val="-4"/>
                <w:lang w:val="en-GB"/>
              </w:rPr>
              <w:t>, new construction orders</w:t>
            </w:r>
            <w:r w:rsidRPr="006E725C">
              <w:rPr>
                <w:b/>
                <w:spacing w:val="-4"/>
                <w:lang w:val="en-GB"/>
              </w:rPr>
              <w:t xml:space="preserve"> </w:t>
            </w:r>
            <w:r w:rsidR="004D4452">
              <w:rPr>
                <w:bCs/>
                <w:spacing w:val="-4"/>
                <w:lang w:val="en-GB"/>
              </w:rPr>
              <w:t>(nominal, year-on-year in</w:t>
            </w:r>
            <w:r w:rsidR="004D4452" w:rsidRPr="006E725C">
              <w:rPr>
                <w:spacing w:val="-4"/>
                <w:lang w:val="en-GB"/>
              </w:rPr>
              <w:t> </w:t>
            </w:r>
            <w:r w:rsidRPr="006E725C">
              <w:rPr>
                <w:bCs/>
                <w:spacing w:val="-4"/>
                <w:lang w:val="en-GB"/>
              </w:rPr>
              <w:t>%)</w:t>
            </w:r>
            <w:r w:rsidRPr="006E725C">
              <w:rPr>
                <w:b/>
                <w:spacing w:val="-4"/>
                <w:lang w:val="en-GB"/>
              </w:rPr>
              <w:t>, balance of business confidence indicator in construction*</w:t>
            </w:r>
            <w:r w:rsidRPr="006E725C">
              <w:rPr>
                <w:spacing w:val="-4"/>
                <w:lang w:val="en-GB"/>
              </w:rPr>
              <w:t xml:space="preserve"> (in p.p., right axis) </w:t>
            </w:r>
            <w:r w:rsidRPr="006E725C">
              <w:rPr>
                <w:b/>
                <w:spacing w:val="-4"/>
                <w:lang w:val="en-GB"/>
              </w:rPr>
              <w:t>and selected barriers to growth</w:t>
            </w:r>
            <w:r w:rsidRPr="006E725C">
              <w:rPr>
                <w:spacing w:val="-4"/>
                <w:lang w:val="en-GB"/>
              </w:rPr>
              <w:t>*</w:t>
            </w:r>
            <w:r w:rsidR="004D4452">
              <w:rPr>
                <w:spacing w:val="-4"/>
                <w:lang w:val="en-GB"/>
              </w:rPr>
              <w:t xml:space="preserve"> (in %, right axis)</w:t>
            </w:r>
          </w:p>
        </w:tc>
      </w:tr>
      <w:tr w:rsidR="0010343F" w:rsidRPr="006E725C" w14:paraId="37FB4DDE" w14:textId="77777777" w:rsidTr="00480E30">
        <w:tblPrEx>
          <w:tblCellMar>
            <w:left w:w="70" w:type="dxa"/>
            <w:right w:w="70" w:type="dxa"/>
          </w:tblCellMar>
        </w:tblPrEx>
        <w:trPr>
          <w:trHeight w:val="170"/>
        </w:trPr>
        <w:tc>
          <w:tcPr>
            <w:tcW w:w="1814" w:type="dxa"/>
            <w:vMerge/>
            <w:tcBorders>
              <w:top w:val="nil"/>
              <w:left w:val="nil"/>
              <w:bottom w:val="nil"/>
              <w:right w:val="nil"/>
            </w:tcBorders>
            <w:shd w:val="clear" w:color="auto" w:fill="auto"/>
          </w:tcPr>
          <w:p w14:paraId="1383FEAD" w14:textId="77777777" w:rsidR="0010343F" w:rsidRPr="006E725C" w:rsidRDefault="0010343F" w:rsidP="0010343F">
            <w:pPr>
              <w:pStyle w:val="Marginlie"/>
              <w:rPr>
                <w:lang w:val="en-GB"/>
              </w:rPr>
            </w:pPr>
          </w:p>
        </w:tc>
        <w:tc>
          <w:tcPr>
            <w:tcW w:w="229" w:type="dxa"/>
            <w:vMerge/>
            <w:tcBorders>
              <w:top w:val="nil"/>
              <w:left w:val="nil"/>
              <w:bottom w:val="nil"/>
              <w:right w:val="nil"/>
            </w:tcBorders>
            <w:shd w:val="clear" w:color="auto" w:fill="auto"/>
          </w:tcPr>
          <w:p w14:paraId="49CDFFCC"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Pr>
          <w:p w14:paraId="7EDB23DA" w14:textId="1EE55509" w:rsidR="0010343F" w:rsidRPr="006E725C" w:rsidRDefault="00480E30" w:rsidP="0010343F">
            <w:pPr>
              <w:spacing w:after="0"/>
              <w:rPr>
                <w:spacing w:val="-6"/>
                <w:lang w:val="en-GB"/>
              </w:rPr>
            </w:pPr>
            <w:r>
              <w:rPr>
                <w:noProof/>
              </w:rPr>
              <w:drawing>
                <wp:inline distT="0" distB="0" distL="0" distR="0" wp14:anchorId="5EFC0280" wp14:editId="371CF2D2">
                  <wp:extent cx="4734560" cy="3453130"/>
                  <wp:effectExtent l="0" t="0" r="889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0343F" w:rsidRPr="006E725C" w14:paraId="56811CDE" w14:textId="77777777" w:rsidTr="00BA5125">
        <w:trPr>
          <w:trHeight w:val="170"/>
        </w:trPr>
        <w:tc>
          <w:tcPr>
            <w:tcW w:w="1814" w:type="dxa"/>
            <w:vMerge/>
            <w:tcBorders>
              <w:top w:val="nil"/>
              <w:left w:val="nil"/>
              <w:bottom w:val="nil"/>
              <w:right w:val="nil"/>
            </w:tcBorders>
            <w:shd w:val="clear" w:color="auto" w:fill="auto"/>
            <w:tcMar>
              <w:left w:w="0" w:type="dxa"/>
            </w:tcMar>
          </w:tcPr>
          <w:p w14:paraId="3EE7183D" w14:textId="77777777" w:rsidR="0010343F" w:rsidRPr="006E725C" w:rsidRDefault="0010343F" w:rsidP="0010343F">
            <w:pPr>
              <w:pStyle w:val="Marginlie"/>
              <w:rPr>
                <w:lang w:val="en-GB"/>
              </w:rPr>
            </w:pPr>
          </w:p>
        </w:tc>
        <w:tc>
          <w:tcPr>
            <w:tcW w:w="229" w:type="dxa"/>
            <w:vMerge/>
            <w:tcBorders>
              <w:top w:val="nil"/>
              <w:left w:val="nil"/>
              <w:bottom w:val="nil"/>
              <w:right w:val="nil"/>
            </w:tcBorders>
            <w:shd w:val="clear" w:color="auto" w:fill="auto"/>
            <w:tcMar>
              <w:left w:w="0" w:type="dxa"/>
            </w:tcMar>
          </w:tcPr>
          <w:p w14:paraId="4299A6CA"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4D923758" w14:textId="77777777" w:rsidR="0010343F" w:rsidRPr="006E725C" w:rsidRDefault="0010343F" w:rsidP="0010343F">
            <w:pPr>
              <w:spacing w:after="0"/>
              <w:rPr>
                <w:rFonts w:cs="Arial"/>
                <w:sz w:val="14"/>
                <w:szCs w:val="14"/>
                <w:lang w:val="en-GB"/>
              </w:rPr>
            </w:pPr>
            <w:r w:rsidRPr="006E725C">
              <w:rPr>
                <w:rFonts w:cs="Arial"/>
                <w:sz w:val="14"/>
                <w:szCs w:val="14"/>
                <w:lang w:val="en-GB"/>
              </w:rPr>
              <w:t xml:space="preserve">Note: </w:t>
            </w:r>
            <w:r w:rsidRPr="006E725C">
              <w:rPr>
                <w:rFonts w:cs="Arial"/>
                <w:spacing w:val="-7"/>
                <w:sz w:val="14"/>
                <w:szCs w:val="14"/>
                <w:lang w:val="en-GB"/>
              </w:rPr>
              <w:t>Data related to construction output are adjusted for calendar effects.</w:t>
            </w:r>
          </w:p>
          <w:p w14:paraId="14840793" w14:textId="77777777" w:rsidR="0010343F" w:rsidRDefault="0010343F" w:rsidP="0010343F">
            <w:pPr>
              <w:spacing w:after="0"/>
              <w:rPr>
                <w:rFonts w:cs="Arial"/>
                <w:sz w:val="14"/>
                <w:szCs w:val="14"/>
                <w:lang w:val="en-GB"/>
              </w:rPr>
            </w:pPr>
            <w:r w:rsidRPr="006E725C">
              <w:rPr>
                <w:rFonts w:cs="Arial"/>
                <w:sz w:val="14"/>
                <w:szCs w:val="14"/>
                <w:lang w:val="en-GB"/>
              </w:rPr>
              <w:t>* Balance of business confidence as well as barriers to growth are seasonally adjusted and express the level in the second month of the given quarter. Businesses could have indicated more main barriers simultaneously.</w:t>
            </w:r>
          </w:p>
          <w:p w14:paraId="0DFF4BAB" w14:textId="77777777" w:rsidR="0010343F" w:rsidRDefault="0010343F" w:rsidP="0010343F">
            <w:pPr>
              <w:spacing w:after="0"/>
              <w:rPr>
                <w:rFonts w:cs="Arial"/>
                <w:sz w:val="14"/>
                <w:szCs w:val="14"/>
                <w:lang w:val="en-GB"/>
              </w:rPr>
            </w:pPr>
            <w:r>
              <w:rPr>
                <w:rFonts w:cs="Arial"/>
                <w:sz w:val="14"/>
                <w:szCs w:val="14"/>
                <w:lang w:val="en-GB"/>
              </w:rPr>
              <w:t>Source: CZSO, Eurostat</w:t>
            </w:r>
          </w:p>
          <w:p w14:paraId="1DDA3071" w14:textId="2C67323E" w:rsidR="0010343F" w:rsidRPr="0010343F" w:rsidRDefault="0010343F" w:rsidP="0010343F">
            <w:pPr>
              <w:spacing w:after="0"/>
              <w:rPr>
                <w:rFonts w:cs="Arial"/>
                <w:sz w:val="14"/>
                <w:szCs w:val="14"/>
                <w:lang w:val="en-GB"/>
              </w:rPr>
            </w:pPr>
          </w:p>
        </w:tc>
      </w:tr>
      <w:tr w:rsidR="0010343F" w:rsidRPr="006E725C" w14:paraId="639218E8" w14:textId="77777777" w:rsidTr="00BA5125">
        <w:trPr>
          <w:trHeight w:val="170"/>
        </w:trPr>
        <w:tc>
          <w:tcPr>
            <w:tcW w:w="1814" w:type="dxa"/>
            <w:tcBorders>
              <w:top w:val="nil"/>
              <w:left w:val="nil"/>
              <w:bottom w:val="nil"/>
              <w:right w:val="nil"/>
            </w:tcBorders>
            <w:shd w:val="clear" w:color="auto" w:fill="auto"/>
            <w:tcMar>
              <w:left w:w="0" w:type="dxa"/>
            </w:tcMar>
          </w:tcPr>
          <w:p w14:paraId="65944B4D" w14:textId="675951EF" w:rsidR="0010343F" w:rsidRPr="006E725C" w:rsidRDefault="0010343F" w:rsidP="0010343F">
            <w:pPr>
              <w:pStyle w:val="Marginlie"/>
              <w:rPr>
                <w:color w:val="0D0D0D" w:themeColor="text1" w:themeTint="F2"/>
                <w:spacing w:val="-4"/>
                <w:lang w:val="en-GB"/>
              </w:rPr>
            </w:pPr>
            <w:r w:rsidRPr="006E725C">
              <w:rPr>
                <w:color w:val="0D0D0D" w:themeColor="text1" w:themeTint="F2"/>
                <w:spacing w:val="-4"/>
                <w:lang w:val="en-GB"/>
              </w:rPr>
              <w:t>Quarter-on-quarter decrease of sales in services prevailed for the most part of the year. The size of sales again dropped below the pre-crisis level.</w:t>
            </w:r>
          </w:p>
        </w:tc>
        <w:tc>
          <w:tcPr>
            <w:tcW w:w="229" w:type="dxa"/>
            <w:tcBorders>
              <w:top w:val="nil"/>
              <w:left w:val="nil"/>
              <w:bottom w:val="nil"/>
              <w:right w:val="nil"/>
            </w:tcBorders>
            <w:shd w:val="clear" w:color="auto" w:fill="auto"/>
            <w:tcMar>
              <w:left w:w="0" w:type="dxa"/>
            </w:tcMar>
          </w:tcPr>
          <w:p w14:paraId="0519C788" w14:textId="77777777" w:rsidR="0010343F" w:rsidRPr="006E725C" w:rsidRDefault="0010343F" w:rsidP="0010343F">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49086EDE" w14:textId="2379922F" w:rsidR="0010343F" w:rsidRPr="006E725C" w:rsidRDefault="0010343F" w:rsidP="0010343F">
            <w:pPr>
              <w:rPr>
                <w:lang w:val="en-GB"/>
              </w:rPr>
            </w:pPr>
            <w:r w:rsidRPr="006E725C">
              <w:rPr>
                <w:color w:val="0D0D0D" w:themeColor="text1" w:themeTint="F2"/>
                <w:spacing w:val="-4"/>
                <w:lang w:val="en-GB"/>
              </w:rPr>
              <w:t xml:space="preserve">Demand for services was subdued throughout the whole last year. Although the potential of its revival after subsiding of the pandemics has not got completely exhausted in some segment of services </w:t>
            </w:r>
            <w:r w:rsidRPr="006E725C">
              <w:rPr>
                <w:rFonts w:cs="Arial"/>
                <w:color w:val="0D0D0D" w:themeColor="text1" w:themeTint="F2"/>
                <w:spacing w:val="-4"/>
                <w:lang w:val="en-GB"/>
              </w:rPr>
              <w:t>(e.g. in tourism) yet, more significant factor was, that for a number of areas the tendency of domestic households to restrict “non-essential” expenditures became evident. Impacts of the high growth of prices as well as the economic stagnation also hit the business sphere, which led to the heightened need for production cost optimisation (e.g., at administrative and support service activities). Sales in services</w:t>
            </w:r>
            <w:r w:rsidRPr="006E725C">
              <w:rPr>
                <w:color w:val="0D0D0D" w:themeColor="text1" w:themeTint="F2"/>
                <w:spacing w:val="-4"/>
                <w:vertAlign w:val="superscript"/>
                <w:lang w:val="en-GB"/>
              </w:rPr>
              <w:footnoteReference w:id="37"/>
            </w:r>
            <w:r w:rsidRPr="006E725C">
              <w:rPr>
                <w:rFonts w:cs="Arial"/>
                <w:color w:val="0D0D0D" w:themeColor="text1" w:themeTint="F2"/>
                <w:spacing w:val="-4"/>
                <w:lang w:val="en-GB"/>
              </w:rPr>
              <w:t xml:space="preserve"> grew by 0.3% quarter-on-quarter at the beginning of the last year, subsequently they decreased by further 1.5% in both Q2 and Q3, i.e. 1.1%. Transporting and storage had a major effect on the decrease of sales, which started already in Q4 2022 and ended in Q4 2023. Demand was however also shrinking in the majority of other services activities. Stabilisation manifested at the end of year 2023, when the quarter-on-quarter fall halted (+0.4%), nevertheless in the transportation and storage alone, the demand further weakened. Total sales in services slightly lagged behind their peak from the period of the pre-pandemic expansion (Q2 2019) for the most part of the last year, by near 1% in Q4</w:t>
            </w:r>
            <w:r w:rsidRPr="006E725C">
              <w:rPr>
                <w:rStyle w:val="Znakapoznpodarou"/>
                <w:color w:val="0D0D0D" w:themeColor="text1" w:themeTint="F2"/>
                <w:spacing w:val="-4"/>
                <w:lang w:val="en-GB"/>
              </w:rPr>
              <w:footnoteReference w:id="38"/>
            </w:r>
            <w:r w:rsidRPr="006E725C">
              <w:rPr>
                <w:rFonts w:cs="Arial"/>
                <w:color w:val="0D0D0D" w:themeColor="text1" w:themeTint="F2"/>
                <w:spacing w:val="-4"/>
                <w:lang w:val="en-GB"/>
              </w:rPr>
              <w:t>.</w:t>
            </w:r>
          </w:p>
        </w:tc>
      </w:tr>
      <w:tr w:rsidR="0010343F" w:rsidRPr="006E725C" w14:paraId="302BD928" w14:textId="77777777" w:rsidTr="00BA5125">
        <w:trPr>
          <w:trHeight w:val="170"/>
        </w:trPr>
        <w:tc>
          <w:tcPr>
            <w:tcW w:w="1814" w:type="dxa"/>
            <w:tcBorders>
              <w:top w:val="nil"/>
              <w:left w:val="nil"/>
              <w:bottom w:val="nil"/>
              <w:right w:val="nil"/>
            </w:tcBorders>
            <w:shd w:val="clear" w:color="auto" w:fill="auto"/>
            <w:tcMar>
              <w:left w:w="0" w:type="dxa"/>
            </w:tcMar>
          </w:tcPr>
          <w:p w14:paraId="76D26973" w14:textId="740C8B12" w:rsidR="0010343F" w:rsidRPr="006E725C" w:rsidRDefault="0010343F" w:rsidP="0010343F">
            <w:pPr>
              <w:pStyle w:val="Marginlie"/>
              <w:rPr>
                <w:lang w:val="en-GB"/>
              </w:rPr>
            </w:pPr>
            <w:r w:rsidRPr="006E725C">
              <w:rPr>
                <w:lang w:val="en-GB"/>
              </w:rPr>
              <w:t xml:space="preserve">Transportation and storage mainly stood behind the year-round </w:t>
            </w:r>
            <w:r w:rsidRPr="006E725C">
              <w:rPr>
                <w:lang w:val="en-GB"/>
              </w:rPr>
              <w:lastRenderedPageBreak/>
              <w:t xml:space="preserve">decrease of sales in services.  </w:t>
            </w:r>
          </w:p>
          <w:p w14:paraId="01245392" w14:textId="77777777" w:rsidR="0010343F" w:rsidRPr="006E725C" w:rsidRDefault="0010343F" w:rsidP="0010343F">
            <w:pPr>
              <w:pStyle w:val="Marginlie"/>
              <w:rPr>
                <w:lang w:val="en-GB"/>
              </w:rPr>
            </w:pPr>
          </w:p>
          <w:p w14:paraId="69A6C601" w14:textId="77777777" w:rsidR="0010343F" w:rsidRPr="006E725C" w:rsidRDefault="0010343F" w:rsidP="0010343F">
            <w:pPr>
              <w:pStyle w:val="Marginlie"/>
              <w:rPr>
                <w:lang w:val="en-GB"/>
              </w:rPr>
            </w:pPr>
          </w:p>
          <w:p w14:paraId="3E06F685" w14:textId="77777777" w:rsidR="0010343F" w:rsidRPr="006E725C" w:rsidRDefault="0010343F" w:rsidP="0010343F">
            <w:pPr>
              <w:pStyle w:val="Marginlie"/>
              <w:rPr>
                <w:lang w:val="en-GB"/>
              </w:rPr>
            </w:pPr>
          </w:p>
          <w:p w14:paraId="2C2C2FAC" w14:textId="77777777" w:rsidR="0010343F" w:rsidRPr="006E725C" w:rsidRDefault="0010343F" w:rsidP="0010343F">
            <w:pPr>
              <w:pStyle w:val="Marginlie"/>
              <w:rPr>
                <w:lang w:val="en-GB"/>
              </w:rPr>
            </w:pPr>
          </w:p>
          <w:p w14:paraId="362DADC8" w14:textId="77777777" w:rsidR="0010343F" w:rsidRPr="006E725C" w:rsidRDefault="0010343F" w:rsidP="0010343F">
            <w:pPr>
              <w:pStyle w:val="Marginlie"/>
              <w:rPr>
                <w:lang w:val="en-GB"/>
              </w:rPr>
            </w:pPr>
          </w:p>
          <w:p w14:paraId="11709266" w14:textId="0132314E" w:rsidR="0010343F" w:rsidRPr="006E725C" w:rsidRDefault="0010343F" w:rsidP="0010343F">
            <w:pPr>
              <w:pStyle w:val="Marginlie"/>
              <w:rPr>
                <w:lang w:val="en-GB"/>
              </w:rPr>
            </w:pPr>
            <w:r w:rsidRPr="006E725C">
              <w:rPr>
                <w:lang w:val="en-GB"/>
              </w:rPr>
              <w:t xml:space="preserve">Transport works of passenger transport grew; it fell in the freight transport. </w:t>
            </w:r>
          </w:p>
        </w:tc>
        <w:tc>
          <w:tcPr>
            <w:tcW w:w="229" w:type="dxa"/>
            <w:tcBorders>
              <w:top w:val="nil"/>
              <w:left w:val="nil"/>
              <w:bottom w:val="nil"/>
              <w:right w:val="nil"/>
            </w:tcBorders>
            <w:shd w:val="clear" w:color="auto" w:fill="auto"/>
            <w:tcMar>
              <w:left w:w="0" w:type="dxa"/>
            </w:tcMar>
          </w:tcPr>
          <w:p w14:paraId="26AD0422"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56846537" w14:textId="07EC9841" w:rsidR="0010343F" w:rsidRPr="006E725C" w:rsidRDefault="0010343F" w:rsidP="0010343F">
            <w:pPr>
              <w:rPr>
                <w:lang w:val="en-GB"/>
              </w:rPr>
            </w:pPr>
            <w:r w:rsidRPr="006E725C">
              <w:rPr>
                <w:rFonts w:cs="Arial"/>
                <w:color w:val="0D0D0D" w:themeColor="text1" w:themeTint="F2"/>
                <w:spacing w:val="-4"/>
                <w:lang w:val="en-GB"/>
              </w:rPr>
              <w:t xml:space="preserve">Sales in services decreased (following the swift growth in the two preceding years) by 1.6% in year 2023 </w:t>
            </w:r>
            <w:r w:rsidRPr="006E725C">
              <w:rPr>
                <w:rFonts w:cs="Arial"/>
                <w:color w:val="0D0D0D" w:themeColor="text1" w:themeTint="F2"/>
                <w:spacing w:val="-6"/>
                <w:lang w:val="en-GB"/>
              </w:rPr>
              <w:t xml:space="preserve">(they were falling since Q2 2023 year-on-year). The weak demand in the key </w:t>
            </w:r>
            <w:r w:rsidRPr="006E725C">
              <w:rPr>
                <w:rFonts w:cs="Arial"/>
                <w:color w:val="0D0D0D" w:themeColor="text1" w:themeTint="F2"/>
                <w:spacing w:val="-6"/>
                <w:lang w:val="en-GB"/>
              </w:rPr>
              <w:lastRenderedPageBreak/>
              <w:t xml:space="preserve">transportation and storage played an essential role in this result (year-round decrease of 8.4%, contribution to the development of services </w:t>
            </w:r>
            <w:r w:rsidRPr="006E725C">
              <w:rPr>
                <w:color w:val="0D0D0D" w:themeColor="text1" w:themeTint="F2"/>
                <w:spacing w:val="-6"/>
                <w:lang w:val="en-GB"/>
              </w:rPr>
              <w:t>−</w:t>
            </w:r>
            <w:r w:rsidRPr="006E725C">
              <w:rPr>
                <w:rFonts w:cs="Arial"/>
                <w:color w:val="0D0D0D" w:themeColor="text1" w:themeTint="F2"/>
                <w:spacing w:val="-6"/>
                <w:lang w:val="en-GB"/>
              </w:rPr>
              <w:t>2.6 p.p.). In that in storage (incl. the sub activities in transportation</w:t>
            </w:r>
            <w:r w:rsidRPr="006E725C">
              <w:rPr>
                <w:color w:val="0D0D0D" w:themeColor="text1" w:themeTint="F2"/>
                <w:spacing w:val="-6"/>
                <w:lang w:val="en-GB"/>
              </w:rPr>
              <w:t xml:space="preserve">), the sales slumped by record </w:t>
            </w:r>
            <w:r w:rsidRPr="006E725C">
              <w:rPr>
                <w:rFonts w:cs="Arial"/>
                <w:color w:val="0D0D0D" w:themeColor="text1" w:themeTint="F2"/>
                <w:spacing w:val="-6"/>
                <w:lang w:val="en-GB"/>
              </w:rPr>
              <w:t>11.4%</w:t>
            </w:r>
            <w:r w:rsidRPr="006E725C">
              <w:rPr>
                <w:rStyle w:val="Znakapoznpodarou"/>
                <w:color w:val="0D0D0D" w:themeColor="text1" w:themeTint="F2"/>
                <w:spacing w:val="-6"/>
                <w:lang w:val="en-GB"/>
              </w:rPr>
              <w:footnoteReference w:id="39"/>
            </w:r>
            <w:r w:rsidRPr="006E725C">
              <w:rPr>
                <w:rFonts w:cs="Arial"/>
                <w:color w:val="0D0D0D" w:themeColor="text1" w:themeTint="F2"/>
                <w:spacing w:val="-6"/>
                <w:lang w:val="en-GB"/>
              </w:rPr>
              <w:t>. Deep decrease also occurred in the land transport and transport via pipelines (</w:t>
            </w:r>
            <w:r w:rsidRPr="006E725C">
              <w:rPr>
                <w:color w:val="0D0D0D" w:themeColor="text1" w:themeTint="F2"/>
                <w:spacing w:val="-6"/>
                <w:lang w:val="en-GB"/>
              </w:rPr>
              <w:t>−</w:t>
            </w:r>
            <w:r w:rsidRPr="006E725C">
              <w:rPr>
                <w:rFonts w:cs="Arial"/>
                <w:color w:val="0D0D0D" w:themeColor="text1" w:themeTint="F2"/>
                <w:spacing w:val="-6"/>
                <w:lang w:val="en-GB"/>
              </w:rPr>
              <w:t>8.0%). Recession in industry, construction as well as trade accompanied by the fall of the international trade turnover</w:t>
            </w:r>
            <w:r w:rsidRPr="006E725C">
              <w:rPr>
                <w:rStyle w:val="Znakapoznpodarou"/>
                <w:color w:val="0D0D0D" w:themeColor="text1" w:themeTint="F2"/>
                <w:spacing w:val="-4"/>
                <w:lang w:val="en-GB"/>
              </w:rPr>
              <w:footnoteReference w:id="40"/>
            </w:r>
            <w:r w:rsidRPr="006E725C">
              <w:rPr>
                <w:rFonts w:cs="Arial"/>
                <w:color w:val="0D0D0D" w:themeColor="text1" w:themeTint="F2"/>
                <w:spacing w:val="-4"/>
                <w:lang w:val="en-GB"/>
              </w:rPr>
              <w:t xml:space="preserve"> was reflected in lower transport work of both land and rail freight transport</w:t>
            </w:r>
            <w:r w:rsidRPr="006E725C">
              <w:rPr>
                <w:rStyle w:val="Znakapoznpodarou"/>
                <w:color w:val="0D0D0D" w:themeColor="text1" w:themeTint="F2"/>
                <w:spacing w:val="-4"/>
                <w:lang w:val="en-GB"/>
              </w:rPr>
              <w:footnoteReference w:id="41"/>
            </w:r>
            <w:r w:rsidRPr="006E725C">
              <w:rPr>
                <w:rFonts w:cs="Arial"/>
                <w:color w:val="0D0D0D" w:themeColor="text1" w:themeTint="F2"/>
                <w:spacing w:val="-4"/>
                <w:lang w:val="en-GB"/>
              </w:rPr>
              <w:t>.</w:t>
            </w:r>
            <w:r w:rsidRPr="006E725C">
              <w:rPr>
                <w:rFonts w:cs="Arial"/>
                <w:color w:val="0D0D0D" w:themeColor="text1" w:themeTint="F2"/>
                <w:spacing w:val="-6"/>
                <w:lang w:val="en-GB"/>
              </w:rPr>
              <w:t xml:space="preserve"> The mild growth of the transport works of the passenger rail transport, associated with the more pronounced strengthening of the cross-border transport, but also the development of the regional transport (upgrade of railways, including new areas into the integrated transport system) had on the contrary a positive effect on the sales in land transport. Transport works of the regular public bus transportation also increased year-on-year (the same as in other types of passenger transport they however stayed behind the “pre-</w:t>
            </w:r>
            <w:proofErr w:type="spellStart"/>
            <w:r w:rsidRPr="006E725C">
              <w:rPr>
                <w:rFonts w:cs="Arial"/>
                <w:color w:val="0D0D0D" w:themeColor="text1" w:themeTint="F2"/>
                <w:spacing w:val="-6"/>
                <w:lang w:val="en-GB"/>
              </w:rPr>
              <w:t>covid</w:t>
            </w:r>
            <w:proofErr w:type="spellEnd"/>
            <w:r w:rsidRPr="006E725C">
              <w:rPr>
                <w:rFonts w:cs="Arial"/>
                <w:color w:val="0D0D0D" w:themeColor="text1" w:themeTint="F2"/>
                <w:spacing w:val="-6"/>
                <w:lang w:val="en-GB"/>
              </w:rPr>
              <w:t>” level). Ongoing recovery of the arrival tourism supported the sales in air transportation (+5.1%). Sales in the water transportation also slightly increased. On the contrary, the postal and courier activities earned by 3.3% less year-on-year. The output lowered here partially also due to the weaker demand for sales via internet for the second time in a year</w:t>
            </w:r>
            <w:r w:rsidRPr="006E725C">
              <w:rPr>
                <w:rFonts w:cs="Arial"/>
                <w:color w:val="0D0D0D" w:themeColor="text1" w:themeTint="F2"/>
                <w:spacing w:val="-7"/>
                <w:lang w:val="en-GB"/>
              </w:rPr>
              <w:t>, it was however by nearly one eighth higher compared to year 2019.</w:t>
            </w:r>
          </w:p>
        </w:tc>
      </w:tr>
      <w:tr w:rsidR="0010343F" w:rsidRPr="006E725C" w14:paraId="15301107" w14:textId="77777777" w:rsidTr="00BA5125">
        <w:trPr>
          <w:trHeight w:val="170"/>
        </w:trPr>
        <w:tc>
          <w:tcPr>
            <w:tcW w:w="1814" w:type="dxa"/>
            <w:tcBorders>
              <w:top w:val="nil"/>
              <w:left w:val="nil"/>
              <w:bottom w:val="nil"/>
              <w:right w:val="nil"/>
            </w:tcBorders>
            <w:shd w:val="clear" w:color="auto" w:fill="auto"/>
            <w:tcMar>
              <w:left w:w="0" w:type="dxa"/>
            </w:tcMar>
          </w:tcPr>
          <w:p w14:paraId="1D3695C5" w14:textId="2ED39461" w:rsidR="0010343F" w:rsidRPr="006E725C" w:rsidRDefault="0010343F" w:rsidP="0010343F">
            <w:pPr>
              <w:pStyle w:val="Marginlie"/>
              <w:rPr>
                <w:color w:val="0D0D0D" w:themeColor="text1" w:themeTint="F2"/>
                <w:lang w:val="en-GB"/>
              </w:rPr>
            </w:pPr>
            <w:r w:rsidRPr="006E725C">
              <w:rPr>
                <w:color w:val="0D0D0D" w:themeColor="text1" w:themeTint="F2"/>
                <w:lang w:val="en-GB"/>
              </w:rPr>
              <w:lastRenderedPageBreak/>
              <w:t xml:space="preserve">Slump of sales of employment placement agencies continued, the cyclical downturn also occurred in the majority of other business services. </w:t>
            </w:r>
          </w:p>
          <w:p w14:paraId="521C6FEC" w14:textId="77777777" w:rsidR="0010343F" w:rsidRPr="006E725C" w:rsidRDefault="0010343F" w:rsidP="0010343F">
            <w:pPr>
              <w:pStyle w:val="Marginlie"/>
              <w:rPr>
                <w:lang w:val="en-GB"/>
              </w:rPr>
            </w:pPr>
            <w:r w:rsidRPr="006E725C">
              <w:rPr>
                <w:lang w:val="en-GB"/>
              </w:rPr>
              <w:t xml:space="preserve"> </w:t>
            </w:r>
          </w:p>
        </w:tc>
        <w:tc>
          <w:tcPr>
            <w:tcW w:w="229" w:type="dxa"/>
            <w:tcBorders>
              <w:top w:val="nil"/>
              <w:left w:val="nil"/>
              <w:bottom w:val="nil"/>
              <w:right w:val="nil"/>
            </w:tcBorders>
            <w:shd w:val="clear" w:color="auto" w:fill="auto"/>
            <w:tcMar>
              <w:left w:w="0" w:type="dxa"/>
            </w:tcMar>
          </w:tcPr>
          <w:p w14:paraId="27FE83E8"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6A172695" w14:textId="174CB38A" w:rsidR="0010343F" w:rsidRPr="006E725C" w:rsidRDefault="0010343F" w:rsidP="0010343F">
            <w:pPr>
              <w:spacing w:after="200"/>
              <w:rPr>
                <w:color w:val="0D0D0D" w:themeColor="text1" w:themeTint="F2"/>
                <w:spacing w:val="-4"/>
                <w:lang w:val="en-GB"/>
              </w:rPr>
            </w:pPr>
            <w:r w:rsidRPr="006E725C">
              <w:rPr>
                <w:color w:val="0D0D0D" w:themeColor="text1" w:themeTint="F2"/>
                <w:spacing w:val="-4"/>
                <w:lang w:val="en-GB"/>
              </w:rPr>
              <w:t xml:space="preserve">Sales very mildly grew in the administrative and support service activities for the last year (+0.8%). Travel agencies whose sales expanded by even 16% (and for the first time without difficulty overtook the level from year 2019) for the last year, played a key role here and thus offset the falling sales in other sub-branches </w:t>
            </w:r>
            <w:r w:rsidRPr="006E725C">
              <w:rPr>
                <w:rFonts w:cs="Arial"/>
                <w:color w:val="0D0D0D" w:themeColor="text1" w:themeTint="F2"/>
                <w:spacing w:val="-2"/>
                <w:lang w:val="en-GB"/>
              </w:rPr>
              <w:t xml:space="preserve">(primarily tied to the demand on the part of businesses). There mainly the lower output of the employment placement agencies was evident </w:t>
            </w:r>
            <w:r w:rsidRPr="006E725C">
              <w:rPr>
                <w:color w:val="0D0D0D" w:themeColor="text1" w:themeTint="F2"/>
                <w:spacing w:val="-4"/>
                <w:lang w:val="en-GB"/>
              </w:rPr>
              <w:t>(</w:t>
            </w:r>
            <w:r w:rsidRPr="006E725C">
              <w:rPr>
                <w:color w:val="0D0D0D" w:themeColor="text1" w:themeTint="F2"/>
                <w:spacing w:val="-6"/>
                <w:lang w:val="en-GB"/>
              </w:rPr>
              <w:t>−</w:t>
            </w:r>
            <w:r w:rsidRPr="006E725C">
              <w:rPr>
                <w:color w:val="0D0D0D" w:themeColor="text1" w:themeTint="F2"/>
                <w:spacing w:val="-4"/>
                <w:lang w:val="en-GB"/>
              </w:rPr>
              <w:t xml:space="preserve">13.8%, </w:t>
            </w:r>
            <w:r w:rsidRPr="006E725C">
              <w:rPr>
                <w:color w:val="0D0D0D" w:themeColor="text1" w:themeTint="F2"/>
                <w:spacing w:val="-2"/>
                <w:lang w:val="en-GB"/>
              </w:rPr>
              <w:t>−22.4% for two years)</w:t>
            </w:r>
            <w:r w:rsidRPr="006E725C">
              <w:rPr>
                <w:rStyle w:val="Znakapoznpodarou"/>
                <w:color w:val="0D0D0D" w:themeColor="text1" w:themeTint="F2"/>
                <w:spacing w:val="-2"/>
                <w:lang w:val="en-GB"/>
              </w:rPr>
              <w:footnoteReference w:id="42"/>
            </w:r>
            <w:r w:rsidRPr="006E725C">
              <w:rPr>
                <w:color w:val="0D0D0D" w:themeColor="text1" w:themeTint="F2"/>
                <w:spacing w:val="-2"/>
                <w:lang w:val="en-GB"/>
              </w:rPr>
              <w:t xml:space="preserve">. Milder cyclical downturn of demand then occurred in the area of rental and leasing activities </w:t>
            </w:r>
            <w:r w:rsidRPr="006E725C">
              <w:rPr>
                <w:color w:val="0D0D0D" w:themeColor="text1" w:themeTint="F2"/>
                <w:spacing w:val="-4"/>
                <w:lang w:val="en-GB"/>
              </w:rPr>
              <w:t>(</w:t>
            </w:r>
            <w:r w:rsidRPr="006E725C">
              <w:rPr>
                <w:color w:val="0D0D0D" w:themeColor="text1" w:themeTint="F2"/>
                <w:spacing w:val="-6"/>
                <w:lang w:val="en-GB"/>
              </w:rPr>
              <w:t>−</w:t>
            </w:r>
            <w:r w:rsidRPr="006E725C">
              <w:rPr>
                <w:color w:val="0D0D0D" w:themeColor="text1" w:themeTint="F2"/>
                <w:spacing w:val="-4"/>
                <w:lang w:val="en-GB"/>
              </w:rPr>
              <w:t xml:space="preserve">3.5%), where the sales shrank the most for machinery, equipment and trucks, but also goods for personal need and mainly for households. Pressure to reduce costs as well as the advancement of digitization resulted in weaker demand for cleaning activities or for security and investigation activities. </w:t>
            </w:r>
          </w:p>
        </w:tc>
      </w:tr>
      <w:tr w:rsidR="0010343F" w:rsidRPr="006E725C" w14:paraId="3C73F299" w14:textId="77777777" w:rsidTr="00BA5125">
        <w:trPr>
          <w:trHeight w:val="170"/>
        </w:trPr>
        <w:tc>
          <w:tcPr>
            <w:tcW w:w="1814" w:type="dxa"/>
            <w:tcBorders>
              <w:top w:val="nil"/>
              <w:left w:val="nil"/>
              <w:bottom w:val="nil"/>
              <w:right w:val="nil"/>
            </w:tcBorders>
            <w:shd w:val="clear" w:color="auto" w:fill="auto"/>
            <w:tcMar>
              <w:left w:w="0" w:type="dxa"/>
            </w:tcMar>
          </w:tcPr>
          <w:p w14:paraId="7009E66C" w14:textId="4D52021A" w:rsidR="0010343F" w:rsidRPr="006E725C" w:rsidRDefault="0010343F" w:rsidP="0010343F">
            <w:pPr>
              <w:pStyle w:val="Marginlie"/>
              <w:rPr>
                <w:lang w:val="en-GB"/>
              </w:rPr>
            </w:pPr>
            <w:r w:rsidRPr="006E725C">
              <w:rPr>
                <w:lang w:val="en-GB"/>
              </w:rPr>
              <w:t>Sales further grew in accommodation last year; the yearly demand in the domestic tourism still has not fully attained the level from year 2019.</w:t>
            </w:r>
          </w:p>
        </w:tc>
        <w:tc>
          <w:tcPr>
            <w:tcW w:w="229" w:type="dxa"/>
            <w:tcBorders>
              <w:top w:val="nil"/>
              <w:left w:val="nil"/>
              <w:bottom w:val="nil"/>
              <w:right w:val="nil"/>
            </w:tcBorders>
            <w:shd w:val="clear" w:color="auto" w:fill="auto"/>
            <w:tcMar>
              <w:left w:w="0" w:type="dxa"/>
            </w:tcMar>
          </w:tcPr>
          <w:p w14:paraId="46D9B5DE"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2922F093" w14:textId="696EAE47" w:rsidR="0010343F" w:rsidRPr="006E725C" w:rsidRDefault="0010343F" w:rsidP="0010343F">
            <w:pPr>
              <w:spacing w:after="200"/>
              <w:rPr>
                <w:rFonts w:cs="Arial"/>
                <w:color w:val="0D0D0D" w:themeColor="text1" w:themeTint="F2"/>
                <w:szCs w:val="20"/>
                <w:lang w:val="en-GB"/>
              </w:rPr>
            </w:pPr>
            <w:r w:rsidRPr="006E725C">
              <w:rPr>
                <w:rFonts w:cs="Arial"/>
                <w:color w:val="0D0D0D" w:themeColor="text1" w:themeTint="F2"/>
                <w:szCs w:val="20"/>
                <w:lang w:val="en-GB"/>
              </w:rPr>
              <w:t xml:space="preserve">Developing tourism was also mirrored in the performance of accommodation, food service and restaurants, where the sales increased by 2.5% last year. Similarly, to year </w:t>
            </w:r>
            <w:r w:rsidRPr="006E725C">
              <w:rPr>
                <w:color w:val="0D0D0D" w:themeColor="text1" w:themeTint="F2"/>
                <w:spacing w:val="-6"/>
                <w:lang w:val="en-GB"/>
              </w:rPr>
              <w:t>2022, the demand for accommodation (+3.0%), where it benefited from the more frequent arrivals of foreign guests also grew faster last year. Mainly thanks to them, the total demand in domestic tourism dynamically grew for the second year in a row. The year-round number of all overnight stays in mass accommodation facilities in the CR however still has not fully restored the record level from year 2019 even last year (by 1.8%, in that for non-residents it lagged by even 14%)</w:t>
            </w:r>
            <w:r w:rsidRPr="006E725C">
              <w:rPr>
                <w:rStyle w:val="Znakapoznpodarou"/>
                <w:color w:val="0D0D0D" w:themeColor="text1" w:themeTint="F2"/>
                <w:spacing w:val="-6"/>
                <w:lang w:val="en-GB"/>
              </w:rPr>
              <w:footnoteReference w:id="43"/>
            </w:r>
            <w:r w:rsidRPr="006E725C">
              <w:rPr>
                <w:color w:val="0D0D0D" w:themeColor="text1" w:themeTint="F2"/>
                <w:spacing w:val="-6"/>
                <w:lang w:val="en-GB"/>
              </w:rPr>
              <w:t xml:space="preserve">, partially also due to the shortening length of stays. </w:t>
            </w:r>
            <w:r w:rsidRPr="006E725C">
              <w:rPr>
                <w:color w:val="0D0D0D" w:themeColor="text1" w:themeTint="F2"/>
                <w:spacing w:val="-4"/>
                <w:lang w:val="en-GB"/>
              </w:rPr>
              <w:t>Segment food service and restaurants was more affected by the still weakening purchasing power of domestic households and sales strengthened only by 2.3% year-on-year here last year.</w:t>
            </w:r>
          </w:p>
        </w:tc>
      </w:tr>
      <w:tr w:rsidR="0010343F" w:rsidRPr="006E725C" w14:paraId="2DCE3E66" w14:textId="77777777" w:rsidTr="00BA5125">
        <w:trPr>
          <w:trHeight w:val="170"/>
        </w:trPr>
        <w:tc>
          <w:tcPr>
            <w:tcW w:w="1814" w:type="dxa"/>
            <w:tcBorders>
              <w:top w:val="nil"/>
              <w:left w:val="nil"/>
              <w:bottom w:val="nil"/>
              <w:right w:val="nil"/>
            </w:tcBorders>
            <w:shd w:val="clear" w:color="auto" w:fill="auto"/>
            <w:tcMar>
              <w:left w:w="0" w:type="dxa"/>
            </w:tcMar>
          </w:tcPr>
          <w:p w14:paraId="472E9E17" w14:textId="77777777" w:rsidR="0010343F" w:rsidRPr="006E725C" w:rsidRDefault="0010343F" w:rsidP="0010343F">
            <w:pPr>
              <w:pStyle w:val="Marginlie"/>
              <w:rPr>
                <w:lang w:val="en-GB"/>
              </w:rPr>
            </w:pPr>
          </w:p>
        </w:tc>
        <w:tc>
          <w:tcPr>
            <w:tcW w:w="229" w:type="dxa"/>
            <w:tcBorders>
              <w:top w:val="nil"/>
              <w:left w:val="nil"/>
              <w:bottom w:val="nil"/>
              <w:right w:val="nil"/>
            </w:tcBorders>
            <w:shd w:val="clear" w:color="auto" w:fill="auto"/>
            <w:tcMar>
              <w:left w:w="0" w:type="dxa"/>
            </w:tcMar>
          </w:tcPr>
          <w:p w14:paraId="6273AF45"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0B17DEE2" w14:textId="56987243" w:rsidR="0010343F" w:rsidRPr="008054A3" w:rsidRDefault="0010343F" w:rsidP="0010343F">
            <w:pPr>
              <w:spacing w:after="40"/>
              <w:rPr>
                <w:b/>
                <w:spacing w:val="-2"/>
                <w:lang w:val="en-GB"/>
              </w:rPr>
            </w:pPr>
            <w:r w:rsidRPr="008054A3">
              <w:rPr>
                <w:b/>
                <w:spacing w:val="-2"/>
                <w:lang w:val="en-GB"/>
              </w:rPr>
              <w:t>Chart 7 Contributions of branches to year-on-year change of sales in services</w:t>
            </w:r>
            <w:r w:rsidRPr="008054A3">
              <w:rPr>
                <w:b/>
                <w:bCs/>
                <w:spacing w:val="-2"/>
                <w:lang w:val="en-GB"/>
              </w:rPr>
              <w:t>*</w:t>
            </w:r>
            <w:r w:rsidRPr="008054A3">
              <w:rPr>
                <w:b/>
                <w:spacing w:val="-2"/>
                <w:lang w:val="en-GB"/>
              </w:rPr>
              <w:br/>
            </w:r>
            <w:r w:rsidRPr="008054A3">
              <w:rPr>
                <w:spacing w:val="-2"/>
                <w:lang w:val="en-GB"/>
              </w:rPr>
              <w:t>(real, in p. p),</w:t>
            </w:r>
            <w:r w:rsidRPr="008054A3">
              <w:rPr>
                <w:b/>
                <w:spacing w:val="-2"/>
                <w:lang w:val="en-GB"/>
              </w:rPr>
              <w:t xml:space="preserve"> total sales in services</w:t>
            </w:r>
            <w:r w:rsidRPr="008054A3">
              <w:rPr>
                <w:b/>
                <w:bCs/>
                <w:spacing w:val="-2"/>
                <w:lang w:val="en-GB"/>
              </w:rPr>
              <w:t xml:space="preserve">* </w:t>
            </w:r>
            <w:r w:rsidRPr="008054A3">
              <w:rPr>
                <w:spacing w:val="-2"/>
                <w:lang w:val="en-GB"/>
              </w:rPr>
              <w:t>(2021=100, right axis),</w:t>
            </w:r>
            <w:r w:rsidRPr="008054A3">
              <w:rPr>
                <w:b/>
                <w:spacing w:val="-2"/>
                <w:lang w:val="en-GB"/>
              </w:rPr>
              <w:t xml:space="preserve"> balance of business confidence indicator in services</w:t>
            </w:r>
            <w:r w:rsidRPr="008054A3">
              <w:rPr>
                <w:b/>
                <w:bCs/>
                <w:spacing w:val="-2"/>
                <w:lang w:val="en-GB"/>
              </w:rPr>
              <w:t>**</w:t>
            </w:r>
            <w:r w:rsidRPr="008054A3">
              <w:rPr>
                <w:b/>
                <w:spacing w:val="-2"/>
                <w:lang w:val="en-GB"/>
              </w:rPr>
              <w:t xml:space="preserve"> </w:t>
            </w:r>
            <w:r w:rsidRPr="008054A3">
              <w:rPr>
                <w:spacing w:val="-2"/>
                <w:lang w:val="en-GB"/>
              </w:rPr>
              <w:t>(in p. p., right axis)</w:t>
            </w:r>
            <w:r w:rsidRPr="008054A3">
              <w:rPr>
                <w:b/>
                <w:bCs/>
                <w:spacing w:val="-2"/>
                <w:lang w:val="en-GB"/>
              </w:rPr>
              <w:t xml:space="preserve">, </w:t>
            </w:r>
            <w:r w:rsidRPr="008054A3">
              <w:rPr>
                <w:b/>
                <w:spacing w:val="-2"/>
                <w:lang w:val="en-GB"/>
              </w:rPr>
              <w:t>barriers to growth</w:t>
            </w:r>
            <w:r w:rsidRPr="008054A3">
              <w:rPr>
                <w:b/>
                <w:bCs/>
                <w:spacing w:val="-2"/>
                <w:lang w:val="en-GB"/>
              </w:rPr>
              <w:t>**</w:t>
            </w:r>
            <w:r w:rsidRPr="008054A3">
              <w:rPr>
                <w:b/>
                <w:spacing w:val="-2"/>
                <w:lang w:val="en-GB"/>
              </w:rPr>
              <w:t xml:space="preserve"> </w:t>
            </w:r>
            <w:r w:rsidRPr="008054A3">
              <w:rPr>
                <w:spacing w:val="-2"/>
                <w:lang w:val="en-GB"/>
              </w:rPr>
              <w:t xml:space="preserve">(in %, right axis) </w:t>
            </w:r>
          </w:p>
        </w:tc>
      </w:tr>
      <w:tr w:rsidR="0010343F" w:rsidRPr="006E725C" w14:paraId="75B8C91A" w14:textId="77777777" w:rsidTr="008054A3">
        <w:tblPrEx>
          <w:tblCellMar>
            <w:left w:w="70" w:type="dxa"/>
            <w:right w:w="70" w:type="dxa"/>
          </w:tblCellMar>
        </w:tblPrEx>
        <w:trPr>
          <w:trHeight w:val="170"/>
        </w:trPr>
        <w:tc>
          <w:tcPr>
            <w:tcW w:w="1814" w:type="dxa"/>
            <w:tcBorders>
              <w:top w:val="nil"/>
              <w:left w:val="nil"/>
              <w:bottom w:val="nil"/>
              <w:right w:val="nil"/>
            </w:tcBorders>
            <w:shd w:val="clear" w:color="auto" w:fill="auto"/>
          </w:tcPr>
          <w:p w14:paraId="5C3C8EAB" w14:textId="77777777" w:rsidR="0010343F" w:rsidRPr="006E725C" w:rsidRDefault="0010343F" w:rsidP="0010343F">
            <w:pPr>
              <w:pStyle w:val="Marginlie"/>
              <w:rPr>
                <w:lang w:val="en-GB"/>
              </w:rPr>
            </w:pPr>
          </w:p>
        </w:tc>
        <w:tc>
          <w:tcPr>
            <w:tcW w:w="229" w:type="dxa"/>
            <w:tcBorders>
              <w:top w:val="nil"/>
              <w:left w:val="nil"/>
              <w:bottom w:val="nil"/>
              <w:right w:val="nil"/>
            </w:tcBorders>
            <w:shd w:val="clear" w:color="auto" w:fill="auto"/>
          </w:tcPr>
          <w:p w14:paraId="1A3A1821"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Pr>
          <w:p w14:paraId="41BC73F1" w14:textId="1A69E25D" w:rsidR="0010343F" w:rsidRPr="006E725C" w:rsidRDefault="008054A3" w:rsidP="0010343F">
            <w:pPr>
              <w:spacing w:after="0"/>
              <w:rPr>
                <w:rFonts w:cs="Arial"/>
                <w:sz w:val="14"/>
                <w:szCs w:val="14"/>
                <w:lang w:val="en-GB"/>
              </w:rPr>
            </w:pPr>
            <w:r>
              <w:rPr>
                <w:noProof/>
              </w:rPr>
              <w:drawing>
                <wp:inline distT="0" distB="0" distL="0" distR="0" wp14:anchorId="6B1DC474" wp14:editId="269ACD1E">
                  <wp:extent cx="4734560" cy="3453130"/>
                  <wp:effectExtent l="0" t="0" r="889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10343F" w:rsidRPr="006E725C" w14:paraId="26BDED57" w14:textId="77777777" w:rsidTr="00BA5125">
        <w:trPr>
          <w:trHeight w:val="170"/>
        </w:trPr>
        <w:tc>
          <w:tcPr>
            <w:tcW w:w="1814" w:type="dxa"/>
            <w:tcBorders>
              <w:top w:val="nil"/>
              <w:left w:val="nil"/>
              <w:bottom w:val="nil"/>
              <w:right w:val="nil"/>
            </w:tcBorders>
            <w:shd w:val="clear" w:color="auto" w:fill="auto"/>
            <w:tcMar>
              <w:left w:w="0" w:type="dxa"/>
            </w:tcMar>
          </w:tcPr>
          <w:p w14:paraId="4D07E182" w14:textId="77777777" w:rsidR="0010343F" w:rsidRPr="006E725C" w:rsidRDefault="0010343F" w:rsidP="0010343F">
            <w:pPr>
              <w:pStyle w:val="Marginlie"/>
              <w:rPr>
                <w:lang w:val="en-GB"/>
              </w:rPr>
            </w:pPr>
          </w:p>
        </w:tc>
        <w:tc>
          <w:tcPr>
            <w:tcW w:w="229" w:type="dxa"/>
            <w:tcBorders>
              <w:top w:val="nil"/>
              <w:left w:val="nil"/>
              <w:bottom w:val="nil"/>
              <w:right w:val="nil"/>
            </w:tcBorders>
            <w:shd w:val="clear" w:color="auto" w:fill="auto"/>
            <w:tcMar>
              <w:left w:w="0" w:type="dxa"/>
            </w:tcMar>
          </w:tcPr>
          <w:p w14:paraId="426303D4"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62BFC611" w14:textId="676B129B" w:rsidR="0010343F" w:rsidRPr="008054A3" w:rsidRDefault="006A5F27" w:rsidP="0010343F">
            <w:pPr>
              <w:spacing w:after="0" w:line="240" w:lineRule="auto"/>
              <w:rPr>
                <w:rFonts w:cs="Arial"/>
                <w:spacing w:val="-6"/>
                <w:sz w:val="14"/>
                <w:szCs w:val="14"/>
                <w:lang w:val="en-GB"/>
              </w:rPr>
            </w:pPr>
            <w:r>
              <w:rPr>
                <w:rFonts w:cs="Arial"/>
                <w:spacing w:val="-6"/>
                <w:sz w:val="14"/>
                <w:szCs w:val="14"/>
                <w:lang w:val="en-GB"/>
              </w:rPr>
              <w:t>Note: A</w:t>
            </w:r>
            <w:r w:rsidR="0010343F" w:rsidRPr="008054A3">
              <w:rPr>
                <w:rFonts w:cs="Arial"/>
                <w:spacing w:val="-6"/>
                <w:sz w:val="14"/>
                <w:szCs w:val="14"/>
                <w:lang w:val="en-GB"/>
              </w:rPr>
              <w:t xml:space="preserve">ll data are seasonally adjusted, only contributions of sub-branches to the growth of sales are adjusted solely for calendar effects. </w:t>
            </w:r>
          </w:p>
          <w:p w14:paraId="721E5B35" w14:textId="77777777" w:rsidR="0010343F" w:rsidRPr="006E725C" w:rsidRDefault="0010343F" w:rsidP="0010343F">
            <w:pPr>
              <w:spacing w:after="0" w:line="240" w:lineRule="auto"/>
              <w:rPr>
                <w:rFonts w:cs="Arial"/>
                <w:sz w:val="14"/>
                <w:szCs w:val="14"/>
                <w:lang w:val="en-GB"/>
              </w:rPr>
            </w:pPr>
            <w:r w:rsidRPr="006E725C">
              <w:rPr>
                <w:rFonts w:cs="Arial"/>
                <w:sz w:val="14"/>
                <w:szCs w:val="14"/>
                <w:lang w:val="en-GB"/>
              </w:rPr>
              <w:t xml:space="preserve">*Without branches trade, </w:t>
            </w:r>
            <w:r w:rsidRPr="006E725C">
              <w:rPr>
                <w:color w:val="0D0D0D" w:themeColor="text1" w:themeTint="F2"/>
                <w:sz w:val="14"/>
                <w:szCs w:val="14"/>
                <w:lang w:val="en-GB"/>
              </w:rPr>
              <w:t xml:space="preserve">financial activities, insurance activities, science, research and public services. </w:t>
            </w:r>
          </w:p>
          <w:p w14:paraId="1CCD73D9" w14:textId="77777777" w:rsidR="008054A3" w:rsidRDefault="0010343F" w:rsidP="008054A3">
            <w:pPr>
              <w:spacing w:after="0" w:line="240" w:lineRule="auto"/>
              <w:rPr>
                <w:rFonts w:cs="Arial"/>
                <w:sz w:val="14"/>
                <w:szCs w:val="14"/>
                <w:lang w:val="en-GB"/>
              </w:rPr>
            </w:pPr>
            <w:proofErr w:type="gramStart"/>
            <w:r w:rsidRPr="006E725C">
              <w:rPr>
                <w:rFonts w:cs="Arial"/>
                <w:sz w:val="14"/>
                <w:szCs w:val="14"/>
                <w:lang w:val="en-GB"/>
              </w:rPr>
              <w:t>.*</w:t>
            </w:r>
            <w:proofErr w:type="gramEnd"/>
            <w:r w:rsidRPr="006E725C">
              <w:rPr>
                <w:rFonts w:cs="Arial"/>
                <w:sz w:val="14"/>
                <w:szCs w:val="14"/>
                <w:lang w:val="en-GB"/>
              </w:rPr>
              <w:t>*Also involves the financial sector. Balance of business confidence as well as the barrier to growth express the level in the first and in the second month of the given quarter (growth barriers and balance of confidence, respectively</w:t>
            </w:r>
            <w:r w:rsidRPr="006E725C">
              <w:rPr>
                <w:rFonts w:cs="Arial"/>
                <w:spacing w:val="-2"/>
                <w:sz w:val="14"/>
                <w:szCs w:val="14"/>
                <w:lang w:val="en-GB"/>
              </w:rPr>
              <w:t>). Businesses could have indicated more key barriers simultaneously</w:t>
            </w:r>
            <w:r w:rsidR="008054A3">
              <w:rPr>
                <w:rFonts w:cs="Arial"/>
                <w:sz w:val="14"/>
                <w:szCs w:val="14"/>
                <w:lang w:val="en-GB"/>
              </w:rPr>
              <w:t xml:space="preserve">. </w:t>
            </w:r>
          </w:p>
          <w:p w14:paraId="4599577B" w14:textId="6A74C599" w:rsidR="0010343F" w:rsidRPr="006E725C" w:rsidRDefault="008054A3" w:rsidP="008054A3">
            <w:pPr>
              <w:spacing w:after="200" w:line="240" w:lineRule="auto"/>
              <w:rPr>
                <w:rFonts w:cs="Arial"/>
                <w:sz w:val="14"/>
                <w:szCs w:val="14"/>
                <w:lang w:val="en-GB"/>
              </w:rPr>
            </w:pPr>
            <w:r>
              <w:rPr>
                <w:rFonts w:cs="Arial"/>
                <w:sz w:val="14"/>
                <w:szCs w:val="14"/>
                <w:lang w:val="en-GB"/>
              </w:rPr>
              <w:t>Source: CZSO, Eurostat</w:t>
            </w:r>
          </w:p>
        </w:tc>
      </w:tr>
      <w:tr w:rsidR="0010343F" w:rsidRPr="006E725C" w14:paraId="4FF42E6F" w14:textId="77777777" w:rsidTr="00BA5125">
        <w:trPr>
          <w:trHeight w:val="170"/>
        </w:trPr>
        <w:tc>
          <w:tcPr>
            <w:tcW w:w="1814" w:type="dxa"/>
            <w:tcBorders>
              <w:top w:val="nil"/>
              <w:left w:val="nil"/>
              <w:bottom w:val="nil"/>
              <w:right w:val="nil"/>
            </w:tcBorders>
            <w:shd w:val="clear" w:color="auto" w:fill="auto"/>
            <w:tcMar>
              <w:left w:w="0" w:type="dxa"/>
            </w:tcMar>
          </w:tcPr>
          <w:p w14:paraId="5F46EC69" w14:textId="51FC5A0C" w:rsidR="0010343F" w:rsidRPr="006E725C" w:rsidRDefault="0010343F" w:rsidP="0010343F">
            <w:pPr>
              <w:pStyle w:val="Marginlie"/>
              <w:rPr>
                <w:color w:val="0D0D0D" w:themeColor="text1" w:themeTint="F2"/>
                <w:spacing w:val="-6"/>
                <w:lang w:val="en-GB"/>
              </w:rPr>
            </w:pPr>
            <w:r w:rsidRPr="006E725C">
              <w:rPr>
                <w:color w:val="0D0D0D" w:themeColor="text1" w:themeTint="F2"/>
                <w:spacing w:val="-6"/>
                <w:lang w:val="en-GB"/>
              </w:rPr>
              <w:t xml:space="preserve">Mainly architectural and engineering services still drove the rising demand for professional, technical and scientific activities. </w:t>
            </w:r>
          </w:p>
        </w:tc>
        <w:tc>
          <w:tcPr>
            <w:tcW w:w="229" w:type="dxa"/>
            <w:tcBorders>
              <w:top w:val="nil"/>
              <w:left w:val="nil"/>
              <w:bottom w:val="nil"/>
              <w:right w:val="nil"/>
            </w:tcBorders>
            <w:shd w:val="clear" w:color="auto" w:fill="auto"/>
            <w:tcMar>
              <w:left w:w="0" w:type="dxa"/>
            </w:tcMar>
          </w:tcPr>
          <w:p w14:paraId="3EE84EC3" w14:textId="77777777" w:rsidR="0010343F" w:rsidRPr="006E725C" w:rsidRDefault="0010343F" w:rsidP="0010343F">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712267C7" w14:textId="64721252" w:rsidR="0010343F" w:rsidRPr="006E725C" w:rsidRDefault="0010343F" w:rsidP="0010343F">
            <w:pPr>
              <w:spacing w:after="200"/>
              <w:rPr>
                <w:rFonts w:cs="Arial"/>
                <w:color w:val="0D0D0D" w:themeColor="text1" w:themeTint="F2"/>
                <w:spacing w:val="-4"/>
                <w:lang w:val="en-GB"/>
              </w:rPr>
            </w:pPr>
            <w:r w:rsidRPr="006E725C">
              <w:rPr>
                <w:rFonts w:cs="Arial"/>
                <w:color w:val="0D0D0D" w:themeColor="text1" w:themeTint="F2"/>
                <w:spacing w:val="-4"/>
                <w:lang w:val="en-GB"/>
              </w:rPr>
              <w:t xml:space="preserve">Even though the year-on-year growth of sales in professional, scientific and technical activities slowed down last year for the second year </w:t>
            </w:r>
            <w:r w:rsidRPr="006E725C">
              <w:rPr>
                <w:color w:val="0D0D0D" w:themeColor="text1" w:themeTint="F2"/>
                <w:spacing w:val="-4"/>
                <w:lang w:val="en-GB"/>
              </w:rPr>
              <w:t>(to 3.1%), it worked the most against the decrease of total sales in services among all branches (+0.7 p.p.). Despite difficulties in construction, the architectural and engineering activities contributed the most to the growth of sales of the whole branch (with growth of 2.8%). Other more sophisticated services for businesses also registered a moderate growth of sales (legal and accounting activities, activities of head offices and management consultancy activities). Following weaker year 2022, demand in the area of advertising slightly revived last year (+4%), in contrast the decrease in the area of market research and public opinion polling continued (−4%). Other professional, scientific and technical activities</w:t>
            </w:r>
            <w:r w:rsidRPr="006E725C">
              <w:rPr>
                <w:rStyle w:val="Znakapoznpodarou"/>
                <w:spacing w:val="-4"/>
                <w:lang w:val="en-GB"/>
              </w:rPr>
              <w:footnoteReference w:id="44"/>
            </w:r>
            <w:r w:rsidRPr="006E725C">
              <w:rPr>
                <w:spacing w:val="-4"/>
                <w:lang w:val="en-GB"/>
              </w:rPr>
              <w:t xml:space="preserve"> (</w:t>
            </w:r>
            <w:r w:rsidRPr="006E725C">
              <w:rPr>
                <w:color w:val="0D0D0D" w:themeColor="text1" w:themeTint="F2"/>
                <w:spacing w:val="-4"/>
                <w:lang w:val="en-GB"/>
              </w:rPr>
              <w:t>+1.</w:t>
            </w:r>
            <w:r w:rsidRPr="006E725C">
              <w:rPr>
                <w:spacing w:val="-4"/>
                <w:lang w:val="en-GB"/>
              </w:rPr>
              <w:t xml:space="preserve">5%) recorded a very mild growth of sales last year, nevertheless they lagged behind the year 2019 by 5.8%. </w:t>
            </w:r>
          </w:p>
        </w:tc>
      </w:tr>
      <w:tr w:rsidR="0010343F" w:rsidRPr="006E725C" w14:paraId="7FEB4E1E" w14:textId="77777777" w:rsidTr="00BA5125">
        <w:trPr>
          <w:trHeight w:val="170"/>
        </w:trPr>
        <w:tc>
          <w:tcPr>
            <w:tcW w:w="1814" w:type="dxa"/>
            <w:tcBorders>
              <w:top w:val="nil"/>
              <w:left w:val="nil"/>
              <w:bottom w:val="nil"/>
              <w:right w:val="nil"/>
            </w:tcBorders>
            <w:shd w:val="clear" w:color="auto" w:fill="auto"/>
            <w:tcMar>
              <w:left w:w="0" w:type="dxa"/>
            </w:tcMar>
          </w:tcPr>
          <w:p w14:paraId="65A63CF3" w14:textId="1C9988BB" w:rsidR="0010343F" w:rsidRPr="006E725C" w:rsidRDefault="0010343F" w:rsidP="0010343F">
            <w:pPr>
              <w:pStyle w:val="Marginlie"/>
              <w:rPr>
                <w:color w:val="0D0D0D" w:themeColor="text1" w:themeTint="F2"/>
                <w:lang w:val="en-GB"/>
              </w:rPr>
            </w:pPr>
            <w:r w:rsidRPr="006E725C">
              <w:rPr>
                <w:color w:val="0D0D0D" w:themeColor="text1" w:themeTint="F2"/>
                <w:spacing w:val="-6"/>
                <w:lang w:val="en-GB"/>
              </w:rPr>
              <w:t xml:space="preserve">Sales growth in the long time prospering information and communication halted. </w:t>
            </w:r>
          </w:p>
          <w:p w14:paraId="357D344F" w14:textId="77777777" w:rsidR="0010343F" w:rsidRPr="006E725C" w:rsidRDefault="0010343F" w:rsidP="0010343F">
            <w:pPr>
              <w:pStyle w:val="Marginlie"/>
              <w:rPr>
                <w:color w:val="0D0D0D" w:themeColor="text1" w:themeTint="F2"/>
                <w:lang w:val="en-GB"/>
              </w:rPr>
            </w:pPr>
          </w:p>
        </w:tc>
        <w:tc>
          <w:tcPr>
            <w:tcW w:w="229" w:type="dxa"/>
            <w:tcBorders>
              <w:top w:val="nil"/>
              <w:left w:val="nil"/>
              <w:bottom w:val="nil"/>
              <w:right w:val="nil"/>
            </w:tcBorders>
            <w:shd w:val="clear" w:color="auto" w:fill="auto"/>
            <w:tcMar>
              <w:left w:w="0" w:type="dxa"/>
            </w:tcMar>
          </w:tcPr>
          <w:p w14:paraId="1F4C821C" w14:textId="77777777" w:rsidR="0010343F" w:rsidRPr="006E725C" w:rsidRDefault="0010343F" w:rsidP="0010343F">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5528239E" w14:textId="59AD84D7" w:rsidR="0010343F" w:rsidRPr="006E725C" w:rsidRDefault="0010343F" w:rsidP="0010343F">
            <w:pPr>
              <w:spacing w:after="200"/>
              <w:rPr>
                <w:rFonts w:cs="Arial"/>
                <w:color w:val="0D0D0D" w:themeColor="text1" w:themeTint="F2"/>
                <w:spacing w:val="-6"/>
                <w:lang w:val="en-GB"/>
              </w:rPr>
            </w:pPr>
            <w:r w:rsidRPr="006E725C">
              <w:rPr>
                <w:rFonts w:cs="Arial"/>
                <w:color w:val="0D0D0D" w:themeColor="text1" w:themeTint="F2"/>
                <w:spacing w:val="-6"/>
                <w:lang w:val="en-GB"/>
              </w:rPr>
              <w:t>Sales lowered by 1.2% year-on-year in the traditionally dynamic information and communication last year (the most since year 2</w:t>
            </w:r>
            <w:r w:rsidRPr="006E725C">
              <w:rPr>
                <w:rFonts w:cs="Arial"/>
                <w:color w:val="0D0D0D" w:themeColor="text1" w:themeTint="F2"/>
                <w:spacing w:val="-2"/>
                <w:lang w:val="en-GB"/>
              </w:rPr>
              <w:t>009). Especially lower sales for publishing activities contributed to the growth (</w:t>
            </w:r>
            <w:r w:rsidRPr="006E725C">
              <w:rPr>
                <w:color w:val="0D0D0D" w:themeColor="text1" w:themeTint="F2"/>
                <w:spacing w:val="-2"/>
                <w:lang w:val="en-GB"/>
              </w:rPr>
              <w:t>−</w:t>
            </w:r>
            <w:r w:rsidRPr="006E725C">
              <w:rPr>
                <w:rFonts w:cs="Arial"/>
                <w:color w:val="0D0D0D" w:themeColor="text1" w:themeTint="F2"/>
                <w:spacing w:val="-2"/>
                <w:lang w:val="en-GB"/>
              </w:rPr>
              <w:t>5.0%),</w:t>
            </w:r>
            <w:r w:rsidRPr="006E725C">
              <w:rPr>
                <w:rFonts w:cs="Arial"/>
                <w:color w:val="0D0D0D" w:themeColor="text1" w:themeTint="F2"/>
                <w:spacing w:val="-6"/>
                <w:lang w:val="en-GB"/>
              </w:rPr>
              <w:t xml:space="preserve"> however the performance of the so-called motion picture and music industries dropped the most (</w:t>
            </w:r>
            <w:r w:rsidRPr="006E725C">
              <w:rPr>
                <w:color w:val="0D0D0D" w:themeColor="text1" w:themeTint="F2"/>
                <w:spacing w:val="-2"/>
                <w:lang w:val="en-GB"/>
              </w:rPr>
              <w:t>−</w:t>
            </w:r>
            <w:r w:rsidRPr="006E725C">
              <w:rPr>
                <w:rFonts w:cs="Arial"/>
                <w:color w:val="0D0D0D" w:themeColor="text1" w:themeTint="F2"/>
                <w:spacing w:val="-6"/>
                <w:lang w:val="en-GB"/>
              </w:rPr>
              <w:t>9.4%)</w:t>
            </w:r>
            <w:r w:rsidRPr="006E725C">
              <w:rPr>
                <w:rStyle w:val="Znakapoznpodarou"/>
                <w:color w:val="0D0D0D" w:themeColor="text1" w:themeTint="F2"/>
                <w:spacing w:val="-8"/>
                <w:lang w:val="en-GB"/>
              </w:rPr>
              <w:footnoteReference w:id="45"/>
            </w:r>
            <w:r w:rsidRPr="006E725C">
              <w:rPr>
                <w:rFonts w:cs="Arial"/>
                <w:color w:val="0D0D0D" w:themeColor="text1" w:themeTint="F2"/>
                <w:spacing w:val="-6"/>
                <w:lang w:val="en-GB"/>
              </w:rPr>
              <w:t xml:space="preserve">. Sales in the IT area </w:t>
            </w:r>
            <w:r w:rsidRPr="006E725C">
              <w:rPr>
                <w:color w:val="0D0D0D" w:themeColor="text1" w:themeTint="F2"/>
                <w:spacing w:val="-6"/>
                <w:lang w:val="en-GB"/>
              </w:rPr>
              <w:t>(including e.g. programming or computer facilities management activities) unusually decreased for the last year, specifically by 0.1%, and mainly then in information and communication</w:t>
            </w:r>
            <w:r w:rsidRPr="006E725C">
              <w:rPr>
                <w:rStyle w:val="Znakapoznpodarou"/>
                <w:color w:val="0D0D0D" w:themeColor="text1" w:themeTint="F2"/>
                <w:spacing w:val="-4"/>
                <w:lang w:val="en-GB"/>
              </w:rPr>
              <w:footnoteReference w:id="46"/>
            </w:r>
            <w:r w:rsidRPr="006E725C">
              <w:rPr>
                <w:color w:val="0D0D0D" w:themeColor="text1" w:themeTint="F2"/>
                <w:spacing w:val="-4"/>
                <w:lang w:val="en-GB"/>
              </w:rPr>
              <w:t xml:space="preserve"> (by 6.8%). Sales grew by mere 1% in the long-time growing </w:t>
            </w:r>
            <w:r w:rsidRPr="006E725C">
              <w:rPr>
                <w:color w:val="0D0D0D" w:themeColor="text1" w:themeTint="F2"/>
                <w:spacing w:val="-4"/>
                <w:lang w:val="en-GB"/>
              </w:rPr>
              <w:lastRenderedPageBreak/>
              <w:t>telecommunications, which was the least in the last nine years. After weaker year 2022 sales recovered in programming and broadcasting activities (+4.9%) last year and were by more than one tenth higher against year 2019.</w:t>
            </w:r>
          </w:p>
        </w:tc>
      </w:tr>
      <w:tr w:rsidR="0010343F" w:rsidRPr="006E725C" w14:paraId="09C73C3F" w14:textId="77777777" w:rsidTr="00BA5125">
        <w:trPr>
          <w:trHeight w:val="170"/>
        </w:trPr>
        <w:tc>
          <w:tcPr>
            <w:tcW w:w="1814" w:type="dxa"/>
            <w:tcBorders>
              <w:top w:val="nil"/>
              <w:left w:val="nil"/>
              <w:bottom w:val="nil"/>
              <w:right w:val="nil"/>
            </w:tcBorders>
            <w:shd w:val="clear" w:color="auto" w:fill="auto"/>
            <w:tcMar>
              <w:left w:w="0" w:type="dxa"/>
            </w:tcMar>
          </w:tcPr>
          <w:p w14:paraId="0120E06B" w14:textId="73DE20B5" w:rsidR="0010343F" w:rsidRPr="006E725C" w:rsidRDefault="0010343F" w:rsidP="0010343F">
            <w:pPr>
              <w:pStyle w:val="Marginlie"/>
              <w:rPr>
                <w:lang w:val="en-GB"/>
              </w:rPr>
            </w:pPr>
            <w:r w:rsidRPr="006E725C">
              <w:rPr>
                <w:lang w:val="en-GB"/>
              </w:rPr>
              <w:lastRenderedPageBreak/>
              <w:t xml:space="preserve">Slump of the retail sales culminated in the half of the last year. Subsequently the sales already slightly grew quarter-on-quarter. </w:t>
            </w:r>
          </w:p>
          <w:p w14:paraId="654E24BD" w14:textId="77777777" w:rsidR="0010343F" w:rsidRPr="006E725C" w:rsidRDefault="0010343F" w:rsidP="0010343F">
            <w:pPr>
              <w:pStyle w:val="Marginlie"/>
              <w:rPr>
                <w:lang w:val="en-GB"/>
              </w:rPr>
            </w:pPr>
          </w:p>
          <w:p w14:paraId="01E44586" w14:textId="77777777" w:rsidR="0010343F" w:rsidRPr="006E725C" w:rsidRDefault="0010343F" w:rsidP="0010343F">
            <w:pPr>
              <w:pStyle w:val="Marginlie"/>
              <w:rPr>
                <w:lang w:val="en-GB"/>
              </w:rPr>
            </w:pPr>
          </w:p>
          <w:p w14:paraId="2D4BE2F9" w14:textId="247B38FB" w:rsidR="0010343F" w:rsidRPr="006E725C" w:rsidRDefault="0010343F" w:rsidP="0010343F">
            <w:pPr>
              <w:pStyle w:val="Marginlie"/>
              <w:rPr>
                <w:lang w:val="en-GB"/>
              </w:rPr>
            </w:pPr>
            <w:r w:rsidRPr="006E725C">
              <w:rPr>
                <w:lang w:val="en-GB"/>
              </w:rPr>
              <w:t xml:space="preserve">Household consumption remained subdued and their confidence in the economy low. </w:t>
            </w:r>
          </w:p>
        </w:tc>
        <w:tc>
          <w:tcPr>
            <w:tcW w:w="229" w:type="dxa"/>
            <w:tcBorders>
              <w:top w:val="nil"/>
              <w:left w:val="nil"/>
              <w:bottom w:val="nil"/>
              <w:right w:val="nil"/>
            </w:tcBorders>
            <w:shd w:val="clear" w:color="auto" w:fill="auto"/>
            <w:tcMar>
              <w:left w:w="0" w:type="dxa"/>
            </w:tcMar>
          </w:tcPr>
          <w:p w14:paraId="534F3443"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2094DBF6" w14:textId="2E9AEACC" w:rsidR="0010343F" w:rsidRPr="006E725C" w:rsidRDefault="0010343F" w:rsidP="0010343F">
            <w:pPr>
              <w:spacing w:after="200"/>
              <w:rPr>
                <w:rFonts w:cs="Arial"/>
                <w:color w:val="0D0D0D" w:themeColor="text1" w:themeTint="F2"/>
                <w:szCs w:val="20"/>
                <w:lang w:val="en-GB"/>
              </w:rPr>
            </w:pPr>
            <w:r w:rsidRPr="006E725C">
              <w:rPr>
                <w:rFonts w:cs="Arial"/>
                <w:color w:val="0D0D0D" w:themeColor="text1" w:themeTint="F2"/>
                <w:szCs w:val="20"/>
                <w:lang w:val="en-GB"/>
              </w:rPr>
              <w:t>Retail faced a subdued demand throughout the whole last year, which stemmed from the continuing year-on-year decrease of real household income as well as weak consumer confidence in the economy</w:t>
            </w:r>
            <w:r w:rsidRPr="006E725C">
              <w:rPr>
                <w:rStyle w:val="Znakapoznpodarou"/>
                <w:color w:val="0D0D0D" w:themeColor="text1" w:themeTint="F2"/>
                <w:szCs w:val="20"/>
                <w:lang w:val="en-GB"/>
              </w:rPr>
              <w:footnoteReference w:id="47"/>
            </w:r>
            <w:r w:rsidRPr="006E725C">
              <w:rPr>
                <w:rFonts w:cs="Arial"/>
                <w:color w:val="0D0D0D" w:themeColor="text1" w:themeTint="F2"/>
                <w:szCs w:val="20"/>
                <w:lang w:val="en-GB"/>
              </w:rPr>
              <w:t xml:space="preserve">. Rising number of consumers </w:t>
            </w:r>
            <w:r w:rsidRPr="006E725C">
              <w:rPr>
                <w:rFonts w:cs="Arial"/>
                <w:color w:val="0D0D0D" w:themeColor="text1" w:themeTint="F2"/>
                <w:spacing w:val="-6"/>
                <w:szCs w:val="20"/>
                <w:lang w:val="en-GB"/>
              </w:rPr>
              <w:t>(due to the arrival of refugees from Ukraine as well as gradual recovery of tourism</w:t>
            </w:r>
            <w:r w:rsidRPr="006E725C">
              <w:rPr>
                <w:rFonts w:cs="Arial"/>
                <w:color w:val="0D0D0D" w:themeColor="text1" w:themeTint="F2"/>
                <w:szCs w:val="20"/>
                <w:lang w:val="en-GB"/>
              </w:rPr>
              <w:t>) had a partial positive effect; on the contrary, the more frequent purchases of the domestic households abroad influenced it negatively</w:t>
            </w:r>
            <w:r w:rsidRPr="006E725C">
              <w:rPr>
                <w:rStyle w:val="Znakapoznpodarou"/>
                <w:color w:val="0D0D0D" w:themeColor="text1" w:themeTint="F2"/>
                <w:szCs w:val="20"/>
                <w:lang w:val="en-GB"/>
              </w:rPr>
              <w:footnoteReference w:id="48"/>
            </w:r>
            <w:r w:rsidRPr="006E725C">
              <w:rPr>
                <w:rFonts w:cs="Arial"/>
                <w:color w:val="0D0D0D" w:themeColor="text1" w:themeTint="F2"/>
                <w:szCs w:val="20"/>
                <w:lang w:val="en-GB"/>
              </w:rPr>
              <w:t>. Retail sales</w:t>
            </w:r>
            <w:r w:rsidRPr="006E725C">
              <w:rPr>
                <w:rStyle w:val="Znakapoznpodarou"/>
                <w:color w:val="0D0D0D" w:themeColor="text1" w:themeTint="F2"/>
                <w:lang w:val="en-GB"/>
              </w:rPr>
              <w:footnoteReference w:id="49"/>
            </w:r>
            <w:r w:rsidRPr="006E725C">
              <w:rPr>
                <w:rFonts w:cs="Arial"/>
                <w:color w:val="0D0D0D" w:themeColor="text1" w:themeTint="F2"/>
                <w:szCs w:val="20"/>
                <w:lang w:val="en-GB"/>
              </w:rPr>
              <w:t xml:space="preserve"> decreased by 0.4% quarter-on-quarter in Q2 2023 and thus continued in the decrease for the seventh time in a row (they largely copied the trend of total final consumption expenditure of households). Length as well as depth of the sales slump</w:t>
            </w:r>
            <w:r w:rsidRPr="006E725C">
              <w:rPr>
                <w:rStyle w:val="Znakapoznpodarou"/>
                <w:color w:val="0D0D0D" w:themeColor="text1" w:themeTint="F2"/>
                <w:szCs w:val="20"/>
                <w:lang w:val="en-GB"/>
              </w:rPr>
              <w:footnoteReference w:id="50"/>
            </w:r>
            <w:r w:rsidRPr="006E725C">
              <w:rPr>
                <w:rFonts w:cs="Arial"/>
                <w:color w:val="0D0D0D" w:themeColor="text1" w:themeTint="F2"/>
                <w:szCs w:val="20"/>
                <w:lang w:val="en-GB"/>
              </w:rPr>
              <w:t xml:space="preserve"> were unprecedented in the comparable time series (after year 2000). The quarter-on-quarter fall of sales did not continue in Q2 anymore, consumers partially adjusted to the raised price level of goods, their total demand however remained weak (also as a result of persisting enhanced household saving rate). Retail sales were in real terms approximately at the level of Q4 2018 at the end of the last year (in that for food even at the level of year 2014).</w:t>
            </w:r>
          </w:p>
        </w:tc>
      </w:tr>
      <w:tr w:rsidR="0010343F" w:rsidRPr="006E725C" w14:paraId="524C1D83" w14:textId="77777777" w:rsidTr="00BA5125">
        <w:trPr>
          <w:trHeight w:val="170"/>
        </w:trPr>
        <w:tc>
          <w:tcPr>
            <w:tcW w:w="1814" w:type="dxa"/>
            <w:tcBorders>
              <w:top w:val="nil"/>
              <w:left w:val="nil"/>
              <w:bottom w:val="nil"/>
              <w:right w:val="nil"/>
            </w:tcBorders>
            <w:shd w:val="clear" w:color="auto" w:fill="auto"/>
            <w:tcMar>
              <w:left w:w="0" w:type="dxa"/>
            </w:tcMar>
          </w:tcPr>
          <w:p w14:paraId="3B5EE220" w14:textId="6BB02C39" w:rsidR="0010343F" w:rsidRPr="006E725C" w:rsidRDefault="0010343F" w:rsidP="0010343F">
            <w:pPr>
              <w:pStyle w:val="Marginlie"/>
              <w:rPr>
                <w:lang w:val="en-GB"/>
              </w:rPr>
            </w:pPr>
            <w:r w:rsidRPr="006E725C">
              <w:rPr>
                <w:lang w:val="en-GB"/>
              </w:rPr>
              <w:t>Demand for food and non-food products displayed a record decline for the whole last year.</w:t>
            </w:r>
          </w:p>
          <w:p w14:paraId="4215CA07" w14:textId="77777777" w:rsidR="0010343F" w:rsidRPr="006E725C" w:rsidRDefault="0010343F" w:rsidP="0010343F">
            <w:pPr>
              <w:pStyle w:val="Marginlie"/>
              <w:rPr>
                <w:lang w:val="en-GB"/>
              </w:rPr>
            </w:pPr>
          </w:p>
        </w:tc>
        <w:tc>
          <w:tcPr>
            <w:tcW w:w="229" w:type="dxa"/>
            <w:tcBorders>
              <w:top w:val="nil"/>
              <w:left w:val="nil"/>
              <w:bottom w:val="nil"/>
              <w:right w:val="nil"/>
            </w:tcBorders>
            <w:shd w:val="clear" w:color="auto" w:fill="auto"/>
            <w:tcMar>
              <w:left w:w="0" w:type="dxa"/>
            </w:tcMar>
          </w:tcPr>
          <w:p w14:paraId="58F457AB"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30D40EE4" w14:textId="35C3C838" w:rsidR="0010343F" w:rsidRPr="006E725C" w:rsidRDefault="0010343F" w:rsidP="0010343F">
            <w:pPr>
              <w:spacing w:after="200"/>
              <w:rPr>
                <w:rFonts w:cs="Arial"/>
                <w:color w:val="0D0D0D" w:themeColor="text1" w:themeTint="F2"/>
                <w:spacing w:val="-4"/>
                <w:szCs w:val="20"/>
                <w:lang w:val="en-GB"/>
              </w:rPr>
            </w:pPr>
            <w:r w:rsidRPr="006E725C">
              <w:rPr>
                <w:rFonts w:cs="Arial"/>
                <w:color w:val="0D0D0D" w:themeColor="text1" w:themeTint="F2"/>
                <w:spacing w:val="-4"/>
                <w:szCs w:val="20"/>
                <w:lang w:val="en-GB"/>
              </w:rPr>
              <w:t>Retail sales decreased by 4.2% year-on-year for the whole last year and thus negligibly deepened the fall from the previous year. Non-food goods, where the sales shrank by unparalle</w:t>
            </w:r>
            <w:r>
              <w:rPr>
                <w:rFonts w:cs="Arial"/>
                <w:color w:val="0D0D0D" w:themeColor="text1" w:themeTint="F2"/>
                <w:spacing w:val="-4"/>
                <w:szCs w:val="20"/>
                <w:lang w:val="en-GB"/>
              </w:rPr>
              <w:t>le</w:t>
            </w:r>
            <w:r w:rsidRPr="006E725C">
              <w:rPr>
                <w:rFonts w:cs="Arial"/>
                <w:color w:val="0D0D0D" w:themeColor="text1" w:themeTint="F2"/>
                <w:spacing w:val="-4"/>
                <w:szCs w:val="20"/>
                <w:lang w:val="en-GB"/>
              </w:rPr>
              <w:t xml:space="preserve">d 5.1% the most participated on the demand downturn (contribution to the decrease of entire retail </w:t>
            </w:r>
            <w:r w:rsidRPr="006E725C">
              <w:rPr>
                <w:color w:val="0D0D0D" w:themeColor="text1" w:themeTint="F2"/>
                <w:spacing w:val="-4"/>
                <w:lang w:val="en-GB"/>
              </w:rPr>
              <w:t>−</w:t>
            </w:r>
            <w:r w:rsidRPr="006E725C">
              <w:rPr>
                <w:rFonts w:cs="Arial"/>
                <w:color w:val="0D0D0D" w:themeColor="text1" w:themeTint="F2"/>
                <w:spacing w:val="-4"/>
                <w:szCs w:val="20"/>
                <w:lang w:val="en-GB"/>
              </w:rPr>
              <w:t>2.6 p.p.). Sellers of food also experienced comparable and also deepest fall in the contemporary history (</w:t>
            </w:r>
            <w:r w:rsidRPr="006E725C">
              <w:rPr>
                <w:color w:val="0D0D0D" w:themeColor="text1" w:themeTint="F2"/>
                <w:spacing w:val="-4"/>
                <w:lang w:val="en-GB"/>
              </w:rPr>
              <w:t>−</w:t>
            </w:r>
            <w:r w:rsidRPr="006E725C">
              <w:rPr>
                <w:rFonts w:cs="Arial"/>
                <w:color w:val="0D0D0D" w:themeColor="text1" w:themeTint="F2"/>
                <w:spacing w:val="-4"/>
                <w:szCs w:val="20"/>
                <w:lang w:val="en-GB"/>
              </w:rPr>
              <w:t>5.8%). Among more significant retail segments, only sales for fuels were rising (+5.4%, contribution +0.6 p.p.).</w:t>
            </w:r>
          </w:p>
        </w:tc>
      </w:tr>
      <w:tr w:rsidR="0010343F" w:rsidRPr="006E725C" w14:paraId="185BFC0E" w14:textId="77777777" w:rsidTr="00BA5125">
        <w:trPr>
          <w:trHeight w:val="170"/>
        </w:trPr>
        <w:tc>
          <w:tcPr>
            <w:tcW w:w="1814" w:type="dxa"/>
            <w:tcBorders>
              <w:top w:val="nil"/>
              <w:left w:val="nil"/>
              <w:bottom w:val="nil"/>
              <w:right w:val="nil"/>
            </w:tcBorders>
            <w:shd w:val="clear" w:color="auto" w:fill="auto"/>
            <w:tcMar>
              <w:left w:w="0" w:type="dxa"/>
            </w:tcMar>
          </w:tcPr>
          <w:p w14:paraId="4D151EE1" w14:textId="3870F088" w:rsidR="0010343F" w:rsidRPr="006E725C" w:rsidRDefault="0010343F" w:rsidP="0010343F">
            <w:pPr>
              <w:pStyle w:val="Marginlie"/>
              <w:rPr>
                <w:spacing w:val="-4"/>
                <w:lang w:val="en-GB"/>
              </w:rPr>
            </w:pPr>
            <w:r w:rsidRPr="006E725C">
              <w:rPr>
                <w:spacing w:val="-4"/>
                <w:lang w:val="en-GB"/>
              </w:rPr>
              <w:t>Year-on-year decrease of retail sales nearly stopped in Q4.</w:t>
            </w:r>
            <w:r w:rsidRPr="006E725C">
              <w:rPr>
                <w:lang w:val="en-GB"/>
              </w:rPr>
              <w:t> Higher demand of non-food goods, especially within the sale via internet, had a favourable effect.</w:t>
            </w:r>
          </w:p>
          <w:p w14:paraId="3E4E73FB" w14:textId="77777777" w:rsidR="0010343F" w:rsidRPr="006E725C" w:rsidRDefault="0010343F" w:rsidP="0010343F">
            <w:pPr>
              <w:pStyle w:val="Marginlie"/>
              <w:rPr>
                <w:spacing w:val="-4"/>
                <w:lang w:val="en-GB"/>
              </w:rPr>
            </w:pPr>
          </w:p>
          <w:p w14:paraId="62C440A5" w14:textId="77777777" w:rsidR="0010343F" w:rsidRPr="006E725C" w:rsidRDefault="0010343F" w:rsidP="0010343F">
            <w:pPr>
              <w:pStyle w:val="Marginlie"/>
              <w:rPr>
                <w:spacing w:val="-4"/>
                <w:lang w:val="en-GB"/>
              </w:rPr>
            </w:pPr>
          </w:p>
          <w:p w14:paraId="1DF0D954" w14:textId="77777777" w:rsidR="0010343F" w:rsidRPr="006E725C" w:rsidRDefault="0010343F" w:rsidP="0010343F">
            <w:pPr>
              <w:pStyle w:val="Marginlie"/>
              <w:rPr>
                <w:spacing w:val="-4"/>
                <w:lang w:val="en-GB"/>
              </w:rPr>
            </w:pPr>
          </w:p>
          <w:p w14:paraId="3BCE27C2" w14:textId="77777777" w:rsidR="0010343F" w:rsidRPr="006E725C" w:rsidRDefault="0010343F" w:rsidP="0010343F">
            <w:pPr>
              <w:pStyle w:val="Marginlie"/>
              <w:rPr>
                <w:spacing w:val="-4"/>
                <w:lang w:val="en-GB"/>
              </w:rPr>
            </w:pPr>
          </w:p>
          <w:p w14:paraId="6ED818D0" w14:textId="53B6F421" w:rsidR="0010343F" w:rsidRPr="006E725C" w:rsidRDefault="0010343F" w:rsidP="0010343F">
            <w:pPr>
              <w:pStyle w:val="Marginlie"/>
              <w:rPr>
                <w:spacing w:val="-4"/>
                <w:lang w:val="en-GB"/>
              </w:rPr>
            </w:pPr>
            <w:r w:rsidRPr="006E725C">
              <w:rPr>
                <w:spacing w:val="-4"/>
                <w:lang w:val="en-GB"/>
              </w:rPr>
              <w:t xml:space="preserve">Decrease of sales for food continued for the eight quarter in a row. </w:t>
            </w:r>
          </w:p>
        </w:tc>
        <w:tc>
          <w:tcPr>
            <w:tcW w:w="229" w:type="dxa"/>
            <w:tcBorders>
              <w:top w:val="nil"/>
              <w:left w:val="nil"/>
              <w:bottom w:val="nil"/>
              <w:right w:val="nil"/>
            </w:tcBorders>
            <w:shd w:val="clear" w:color="auto" w:fill="auto"/>
            <w:tcMar>
              <w:left w:w="0" w:type="dxa"/>
            </w:tcMar>
          </w:tcPr>
          <w:p w14:paraId="733CCD82"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7EA4EE6E" w14:textId="58D0287B" w:rsidR="0010343F" w:rsidRPr="006E725C" w:rsidRDefault="0010343F" w:rsidP="0010343F">
            <w:pPr>
              <w:spacing w:after="200"/>
              <w:rPr>
                <w:rFonts w:cs="Arial"/>
                <w:color w:val="0D0D0D" w:themeColor="text1" w:themeTint="F2"/>
                <w:spacing w:val="-3"/>
                <w:szCs w:val="20"/>
                <w:lang w:val="en-GB"/>
              </w:rPr>
            </w:pPr>
            <w:r w:rsidRPr="006E725C">
              <w:rPr>
                <w:rFonts w:cs="Arial"/>
                <w:color w:val="0D0D0D" w:themeColor="text1" w:themeTint="F2"/>
                <w:spacing w:val="-3"/>
                <w:szCs w:val="20"/>
                <w:lang w:val="en-GB"/>
              </w:rPr>
              <w:t xml:space="preserve">Q4 2023, when the retail sales in fact stagnated year-on-year </w:t>
            </w:r>
            <w:r w:rsidRPr="006E725C">
              <w:rPr>
                <w:rFonts w:cs="Arial"/>
                <w:color w:val="0D0D0D" w:themeColor="text1" w:themeTint="F2"/>
                <w:spacing w:val="-2"/>
                <w:szCs w:val="20"/>
                <w:lang w:val="en-GB"/>
              </w:rPr>
              <w:t>(</w:t>
            </w:r>
            <w:r w:rsidRPr="006E725C">
              <w:rPr>
                <w:color w:val="0D0D0D" w:themeColor="text1" w:themeTint="F2"/>
                <w:spacing w:val="-4"/>
                <w:lang w:val="en-GB"/>
              </w:rPr>
              <w:t>−</w:t>
            </w:r>
            <w:r w:rsidRPr="006E725C">
              <w:rPr>
                <w:rFonts w:cs="Arial"/>
                <w:color w:val="0D0D0D" w:themeColor="text1" w:themeTint="F2"/>
                <w:spacing w:val="-2"/>
                <w:szCs w:val="20"/>
                <w:lang w:val="en-GB"/>
              </w:rPr>
              <w:t>0.1%), provides more optimistic view. Growth for non-food goods was a positive factor (+0.8%),</w:t>
            </w:r>
            <w:r w:rsidRPr="006E725C">
              <w:rPr>
                <w:rFonts w:cs="Arial"/>
                <w:color w:val="0D0D0D" w:themeColor="text1" w:themeTint="F2"/>
                <w:spacing w:val="-3"/>
                <w:szCs w:val="20"/>
                <w:lang w:val="en-GB"/>
              </w:rPr>
              <w:t xml:space="preserve"> appearing for the first time in the last seven quarters. It was driven by more distinct revival of sales via internet (+6.4%)</w:t>
            </w:r>
            <w:r w:rsidRPr="006E725C">
              <w:rPr>
                <w:rStyle w:val="Znakapoznpodarou"/>
                <w:color w:val="0D0D0D" w:themeColor="text1" w:themeTint="F2"/>
                <w:spacing w:val="-3"/>
                <w:szCs w:val="20"/>
                <w:lang w:val="en-GB"/>
              </w:rPr>
              <w:footnoteReference w:id="51"/>
            </w:r>
            <w:r w:rsidRPr="006E725C">
              <w:rPr>
                <w:rFonts w:cs="Arial"/>
                <w:color w:val="0D0D0D" w:themeColor="text1" w:themeTint="F2"/>
                <w:spacing w:val="-3"/>
                <w:szCs w:val="20"/>
                <w:lang w:val="en-GB"/>
              </w:rPr>
              <w:t>. Within specialised stores</w:t>
            </w:r>
            <w:r w:rsidRPr="006E725C">
              <w:rPr>
                <w:rStyle w:val="Znakapoznpodarou"/>
                <w:color w:val="0D0D0D" w:themeColor="text1" w:themeTint="F2"/>
                <w:spacing w:val="-3"/>
                <w:szCs w:val="20"/>
                <w:lang w:val="en-GB"/>
              </w:rPr>
              <w:footnoteReference w:id="52"/>
            </w:r>
            <w:r w:rsidRPr="006E725C">
              <w:rPr>
                <w:rFonts w:cs="Arial"/>
                <w:color w:val="0D0D0D" w:themeColor="text1" w:themeTint="F2"/>
                <w:spacing w:val="-3"/>
                <w:szCs w:val="20"/>
                <w:lang w:val="en-GB"/>
              </w:rPr>
              <w:t>, demand for cosmetic and toilet articles (+10.0%) and for pharmaceutical and medical products (+5.1%)</w:t>
            </w:r>
            <w:r w:rsidRPr="006E725C">
              <w:rPr>
                <w:rStyle w:val="Znakapoznpodarou"/>
                <w:color w:val="0D0D0D" w:themeColor="text1" w:themeTint="F2"/>
                <w:spacing w:val="-3"/>
                <w:szCs w:val="20"/>
                <w:lang w:val="en-GB"/>
              </w:rPr>
              <w:footnoteReference w:id="53"/>
            </w:r>
            <w:r w:rsidRPr="006E725C">
              <w:rPr>
                <w:rFonts w:cs="Arial"/>
                <w:color w:val="0D0D0D" w:themeColor="text1" w:themeTint="F2"/>
                <w:spacing w:val="-3"/>
                <w:szCs w:val="20"/>
                <w:lang w:val="en-GB"/>
              </w:rPr>
              <w:t xml:space="preserve"> grew the most. Mild growth of sales also manifested in stores with computer and communication equipment (+1.9%), demand increased here year-on-year for the first time in the last seven quarters. On the contrary, people still postpone purchases of a number of “non-essential</w:t>
            </w:r>
            <w:r>
              <w:rPr>
                <w:rFonts w:cs="Arial"/>
                <w:color w:val="0D0D0D" w:themeColor="text1" w:themeTint="F2"/>
                <w:spacing w:val="-3"/>
                <w:szCs w:val="20"/>
                <w:lang w:val="en-GB"/>
              </w:rPr>
              <w:t>”</w:t>
            </w:r>
            <w:r w:rsidRPr="006E725C">
              <w:rPr>
                <w:rFonts w:cs="Arial"/>
                <w:color w:val="0D0D0D" w:themeColor="text1" w:themeTint="F2"/>
                <w:spacing w:val="-3"/>
                <w:szCs w:val="20"/>
                <w:lang w:val="en-GB"/>
              </w:rPr>
              <w:t xml:space="preserve"> goods. Sellers of goods mostly for households </w:t>
            </w:r>
            <w:r w:rsidRPr="006E725C">
              <w:rPr>
                <w:rStyle w:val="normaltextrun"/>
                <w:rFonts w:eastAsia="MS Gothic" w:cs="Arial"/>
                <w:szCs w:val="20"/>
                <w:lang w:val="en-GB"/>
              </w:rPr>
              <w:t>(containing mainly metal hardware, building materials, paints, glass, DIY supplies, electro supplies, furniture and lighti</w:t>
            </w:r>
            <w:r w:rsidRPr="006E725C">
              <w:rPr>
                <w:rStyle w:val="normaltextrun"/>
                <w:rFonts w:eastAsia="MS Gothic"/>
                <w:lang w:val="en-GB"/>
              </w:rPr>
              <w:t>ng equipment</w:t>
            </w:r>
            <w:r w:rsidRPr="006E725C">
              <w:rPr>
                <w:rStyle w:val="normaltextrun"/>
                <w:rFonts w:eastAsia="MS Gothic" w:cs="Arial"/>
                <w:szCs w:val="20"/>
                <w:lang w:val="en-GB"/>
              </w:rPr>
              <w:t xml:space="preserve">) thus earned by 5.3% less year-on-year, </w:t>
            </w:r>
            <w:r>
              <w:rPr>
                <w:rStyle w:val="normaltextrun"/>
                <w:rFonts w:eastAsia="MS Gothic" w:cs="Arial"/>
                <w:szCs w:val="20"/>
                <w:lang w:val="en-GB"/>
              </w:rPr>
              <w:t>clothing</w:t>
            </w:r>
            <w:r w:rsidRPr="006E725C">
              <w:rPr>
                <w:rStyle w:val="normaltextrun"/>
                <w:rFonts w:eastAsia="MS Gothic" w:cs="Arial"/>
                <w:szCs w:val="20"/>
                <w:lang w:val="en-GB"/>
              </w:rPr>
              <w:t xml:space="preserve">, footwear and leather goods recorded decrease of </w:t>
            </w:r>
            <w:r w:rsidRPr="006E725C">
              <w:rPr>
                <w:rFonts w:cs="Arial"/>
                <w:color w:val="0D0D0D" w:themeColor="text1" w:themeTint="F2"/>
                <w:spacing w:val="-3"/>
                <w:szCs w:val="20"/>
                <w:lang w:val="en-GB"/>
              </w:rPr>
              <w:t>4.7%</w:t>
            </w:r>
            <w:r w:rsidRPr="006E725C">
              <w:rPr>
                <w:rStyle w:val="Znakapoznpodarou"/>
                <w:color w:val="0D0D0D" w:themeColor="text1" w:themeTint="F2"/>
                <w:spacing w:val="-3"/>
                <w:szCs w:val="20"/>
                <w:lang w:val="en-GB"/>
              </w:rPr>
              <w:footnoteReference w:id="54"/>
            </w:r>
            <w:r w:rsidRPr="006E725C">
              <w:rPr>
                <w:rFonts w:cs="Arial"/>
                <w:color w:val="0D0D0D" w:themeColor="text1" w:themeTint="F2"/>
                <w:spacing w:val="-3"/>
                <w:szCs w:val="20"/>
                <w:lang w:val="en-GB"/>
              </w:rPr>
              <w:t xml:space="preserve">, for products for culture and recreation the decrease was 0.3%. Retail trade of food was by 2.2% lower year-on-year (decrease lasted already </w:t>
            </w:r>
            <w:r w:rsidRPr="006E725C">
              <w:rPr>
                <w:rFonts w:cs="Arial"/>
                <w:color w:val="0D0D0D" w:themeColor="text1" w:themeTint="F2"/>
                <w:spacing w:val="-3"/>
                <w:szCs w:val="20"/>
                <w:lang w:val="en-GB"/>
              </w:rPr>
              <w:lastRenderedPageBreak/>
              <w:t>two years). Demand was shrinking comparably for both large chains and small specialised stores (where the largest share among the range of products is held by the tobacco products). The same as for the whole last year, sales for automotive fuel (+2.0%) contributed positively to the retail development also in its Q4. More keenly priced automotive fuels likely partially stimulated their higher consumption, their price has been falling year-on-year since March 2023.</w:t>
            </w:r>
          </w:p>
        </w:tc>
      </w:tr>
      <w:tr w:rsidR="0010343F" w:rsidRPr="006E725C" w14:paraId="3A4F45E6" w14:textId="77777777" w:rsidTr="00BA5125">
        <w:trPr>
          <w:trHeight w:val="170"/>
        </w:trPr>
        <w:tc>
          <w:tcPr>
            <w:tcW w:w="1814" w:type="dxa"/>
            <w:tcBorders>
              <w:top w:val="nil"/>
              <w:left w:val="nil"/>
              <w:bottom w:val="nil"/>
              <w:right w:val="nil"/>
            </w:tcBorders>
            <w:shd w:val="clear" w:color="auto" w:fill="auto"/>
            <w:tcMar>
              <w:left w:w="0" w:type="dxa"/>
            </w:tcMar>
          </w:tcPr>
          <w:p w14:paraId="1BE175F0" w14:textId="6E1C0C75" w:rsidR="0010343F" w:rsidRPr="006E725C" w:rsidRDefault="0010343F" w:rsidP="0010343F">
            <w:pPr>
              <w:pStyle w:val="Marginlie"/>
              <w:rPr>
                <w:lang w:val="en-GB"/>
              </w:rPr>
            </w:pPr>
            <w:r w:rsidRPr="006E725C">
              <w:rPr>
                <w:lang w:val="en-GB"/>
              </w:rPr>
              <w:lastRenderedPageBreak/>
              <w:t xml:space="preserve">Growth of sales in the motorist segment of trade was mainly driven by higher demand for motor vehicles. </w:t>
            </w:r>
          </w:p>
        </w:tc>
        <w:tc>
          <w:tcPr>
            <w:tcW w:w="229" w:type="dxa"/>
            <w:tcBorders>
              <w:top w:val="nil"/>
              <w:left w:val="nil"/>
              <w:bottom w:val="nil"/>
              <w:right w:val="nil"/>
            </w:tcBorders>
            <w:shd w:val="clear" w:color="auto" w:fill="auto"/>
            <w:tcMar>
              <w:left w:w="0" w:type="dxa"/>
            </w:tcMar>
          </w:tcPr>
          <w:p w14:paraId="33762B4A"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57678B13" w14:textId="105B3625" w:rsidR="0010343F" w:rsidRPr="006E725C" w:rsidRDefault="0010343F" w:rsidP="0010343F">
            <w:pPr>
              <w:spacing w:after="200"/>
              <w:rPr>
                <w:rFonts w:cs="Arial"/>
                <w:color w:val="0D0D0D" w:themeColor="text1" w:themeTint="F2"/>
                <w:spacing w:val="-6"/>
                <w:szCs w:val="20"/>
                <w:lang w:val="en-GB"/>
              </w:rPr>
            </w:pPr>
            <w:r w:rsidRPr="006E725C">
              <w:rPr>
                <w:rFonts w:cs="Arial"/>
                <w:color w:val="0D0D0D" w:themeColor="text1" w:themeTint="F2"/>
                <w:szCs w:val="20"/>
                <w:lang w:val="en-GB"/>
              </w:rPr>
              <w:t>Especially higher demand for motor vehicles</w:t>
            </w:r>
            <w:r w:rsidRPr="006E725C">
              <w:rPr>
                <w:rFonts w:cs="Arial"/>
                <w:color w:val="0D0D0D" w:themeColor="text1" w:themeTint="F2"/>
                <w:spacing w:val="-6"/>
                <w:szCs w:val="20"/>
                <w:lang w:val="en-GB"/>
              </w:rPr>
              <w:t>, which was connected to the relatively favourable situation of the whole motor vehicle industry in the CR as well as the EU, participated on the year-on-year growth of sales in the motorist segment in Q4 by 7.4% (by 5.6% for the whole last year). Sales for trade with motor vehicle parts and accessories in contrast grew only slowly (they even lowered by 4.5% for the whole year 2023) and for trade, repair and maintenance of motorcycles dropped nearly by 7% (they were falling for the seventh quarter in a row). Sales were still by nearly one tenth lower in the whole motorist segment of trade last year against the end of year 2019 and lagged in all its sub-branches (the most in the trade with motor vehicle parts and accessories).</w:t>
            </w:r>
          </w:p>
        </w:tc>
      </w:tr>
      <w:tr w:rsidR="0010343F" w:rsidRPr="006E725C" w14:paraId="75C1AB12" w14:textId="77777777" w:rsidTr="00BA5125">
        <w:trPr>
          <w:trHeight w:val="170"/>
        </w:trPr>
        <w:tc>
          <w:tcPr>
            <w:tcW w:w="1814" w:type="dxa"/>
            <w:tcBorders>
              <w:top w:val="nil"/>
              <w:left w:val="nil"/>
              <w:bottom w:val="nil"/>
              <w:right w:val="nil"/>
            </w:tcBorders>
            <w:shd w:val="clear" w:color="auto" w:fill="auto"/>
            <w:tcMar>
              <w:left w:w="0" w:type="dxa"/>
            </w:tcMar>
          </w:tcPr>
          <w:p w14:paraId="0E3954E9" w14:textId="77777777" w:rsidR="0010343F" w:rsidRPr="006E725C" w:rsidRDefault="0010343F" w:rsidP="0010343F">
            <w:pPr>
              <w:pStyle w:val="Marginlie"/>
              <w:rPr>
                <w:color w:val="0D0D0D" w:themeColor="text1" w:themeTint="F2"/>
                <w:lang w:val="en-GB"/>
              </w:rPr>
            </w:pPr>
          </w:p>
        </w:tc>
        <w:tc>
          <w:tcPr>
            <w:tcW w:w="229" w:type="dxa"/>
            <w:tcBorders>
              <w:top w:val="nil"/>
              <w:left w:val="nil"/>
              <w:bottom w:val="nil"/>
              <w:right w:val="nil"/>
            </w:tcBorders>
            <w:shd w:val="clear" w:color="auto" w:fill="auto"/>
            <w:tcMar>
              <w:left w:w="0" w:type="dxa"/>
            </w:tcMar>
          </w:tcPr>
          <w:p w14:paraId="487B25A4" w14:textId="77777777" w:rsidR="0010343F" w:rsidRPr="006E725C" w:rsidRDefault="0010343F" w:rsidP="0010343F">
            <w:pPr>
              <w:pStyle w:val="Textpoznpodarou"/>
              <w:jc w:val="both"/>
              <w:rPr>
                <w:color w:val="0D0D0D" w:themeColor="text1" w:themeTint="F2"/>
                <w:spacing w:val="-4"/>
                <w:lang w:val="en-GB"/>
              </w:rPr>
            </w:pPr>
          </w:p>
        </w:tc>
        <w:tc>
          <w:tcPr>
            <w:tcW w:w="7596" w:type="dxa"/>
            <w:tcBorders>
              <w:top w:val="nil"/>
              <w:left w:val="nil"/>
              <w:bottom w:val="nil"/>
              <w:right w:val="nil"/>
            </w:tcBorders>
            <w:shd w:val="clear" w:color="auto" w:fill="auto"/>
            <w:tcMar>
              <w:left w:w="0" w:type="dxa"/>
            </w:tcMar>
          </w:tcPr>
          <w:p w14:paraId="375FEADB" w14:textId="3F1C9658" w:rsidR="0010343F" w:rsidRPr="006E725C" w:rsidRDefault="0010343F" w:rsidP="0010343F">
            <w:pPr>
              <w:spacing w:after="40"/>
              <w:rPr>
                <w:rFonts w:cs="Arial"/>
                <w:color w:val="0D0D0D" w:themeColor="text1" w:themeTint="F2"/>
                <w:spacing w:val="-4"/>
                <w:szCs w:val="20"/>
                <w:lang w:val="en-GB"/>
              </w:rPr>
            </w:pPr>
            <w:r w:rsidRPr="006E725C">
              <w:rPr>
                <w:b/>
                <w:lang w:val="en-GB"/>
              </w:rPr>
              <w:t xml:space="preserve">Chart 8 </w:t>
            </w:r>
            <w:r w:rsidRPr="006E725C">
              <w:rPr>
                <w:b/>
                <w:spacing w:val="-4"/>
                <w:lang w:val="en-GB"/>
              </w:rPr>
              <w:t>Contributions of sub-branches to year-on-year change of sales in retail trade</w:t>
            </w:r>
            <w:r w:rsidRPr="006E725C">
              <w:rPr>
                <w:rFonts w:cs="Arial"/>
                <w:b/>
                <w:bCs/>
                <w:color w:val="0D0D0D" w:themeColor="text1" w:themeTint="F2"/>
                <w:spacing w:val="-4"/>
                <w:lang w:val="en-GB"/>
              </w:rPr>
              <w:t xml:space="preserve">* </w:t>
            </w:r>
            <w:r w:rsidRPr="006E725C">
              <w:rPr>
                <w:rFonts w:cs="Arial"/>
                <w:color w:val="0D0D0D" w:themeColor="text1" w:themeTint="F2"/>
                <w:spacing w:val="-4"/>
                <w:lang w:val="en-GB"/>
              </w:rPr>
              <w:t xml:space="preserve">(real, in p.p.), </w:t>
            </w:r>
            <w:r w:rsidRPr="006E725C">
              <w:rPr>
                <w:rFonts w:cs="Arial"/>
                <w:b/>
                <w:bCs/>
                <w:color w:val="0D0D0D" w:themeColor="text1" w:themeTint="F2"/>
                <w:spacing w:val="-4"/>
                <w:szCs w:val="20"/>
                <w:lang w:val="en-GB"/>
              </w:rPr>
              <w:t xml:space="preserve">sales in retail trade and motorist segment of trade** </w:t>
            </w:r>
            <w:r w:rsidRPr="006E725C">
              <w:rPr>
                <w:rFonts w:cs="Arial"/>
                <w:color w:val="0D0D0D" w:themeColor="text1" w:themeTint="F2"/>
                <w:spacing w:val="-4"/>
                <w:szCs w:val="20"/>
                <w:lang w:val="en-GB"/>
              </w:rPr>
              <w:t>(real, level from year 2021=100, right axis),</w:t>
            </w:r>
            <w:r w:rsidRPr="006E725C">
              <w:rPr>
                <w:rFonts w:cs="Arial"/>
                <w:b/>
                <w:color w:val="0D0D0D" w:themeColor="text1" w:themeTint="F2"/>
                <w:spacing w:val="-4"/>
                <w:szCs w:val="20"/>
                <w:lang w:val="en-GB"/>
              </w:rPr>
              <w:t xml:space="preserve"> balance of business and consumer confidence indicator</w:t>
            </w:r>
            <w:r w:rsidRPr="006E725C">
              <w:rPr>
                <w:rFonts w:cs="Arial"/>
                <w:b/>
                <w:bCs/>
                <w:color w:val="0D0D0D" w:themeColor="text1" w:themeTint="F2"/>
                <w:spacing w:val="-4"/>
                <w:lang w:val="en-GB"/>
              </w:rPr>
              <w:t xml:space="preserve">*** </w:t>
            </w:r>
            <w:r w:rsidRPr="006E725C">
              <w:rPr>
                <w:rFonts w:cs="Arial"/>
                <w:color w:val="0D0D0D" w:themeColor="text1" w:themeTint="F2"/>
                <w:spacing w:val="-4"/>
                <w:lang w:val="en-GB"/>
              </w:rPr>
              <w:t>(in p. p, right axis.)</w:t>
            </w:r>
          </w:p>
        </w:tc>
      </w:tr>
      <w:tr w:rsidR="0010343F" w:rsidRPr="006E725C" w14:paraId="40C33E6C" w14:textId="77777777" w:rsidTr="006A5F27">
        <w:tblPrEx>
          <w:tblCellMar>
            <w:left w:w="70" w:type="dxa"/>
            <w:right w:w="70" w:type="dxa"/>
          </w:tblCellMar>
        </w:tblPrEx>
        <w:trPr>
          <w:trHeight w:val="170"/>
        </w:trPr>
        <w:tc>
          <w:tcPr>
            <w:tcW w:w="1814" w:type="dxa"/>
            <w:tcBorders>
              <w:top w:val="nil"/>
              <w:left w:val="nil"/>
              <w:bottom w:val="nil"/>
              <w:right w:val="nil"/>
            </w:tcBorders>
            <w:shd w:val="clear" w:color="auto" w:fill="auto"/>
          </w:tcPr>
          <w:p w14:paraId="21CCD7BD" w14:textId="77777777" w:rsidR="0010343F" w:rsidRPr="006E725C" w:rsidRDefault="0010343F" w:rsidP="0010343F">
            <w:pPr>
              <w:pStyle w:val="Marginlie"/>
              <w:rPr>
                <w:lang w:val="en-GB"/>
              </w:rPr>
            </w:pPr>
          </w:p>
        </w:tc>
        <w:tc>
          <w:tcPr>
            <w:tcW w:w="229" w:type="dxa"/>
            <w:tcBorders>
              <w:top w:val="nil"/>
              <w:left w:val="nil"/>
              <w:bottom w:val="nil"/>
              <w:right w:val="nil"/>
            </w:tcBorders>
            <w:shd w:val="clear" w:color="auto" w:fill="auto"/>
          </w:tcPr>
          <w:p w14:paraId="4A7D2D6C"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Pr>
          <w:p w14:paraId="3F44782D" w14:textId="7F267FE8" w:rsidR="0010343F" w:rsidRPr="006E725C" w:rsidRDefault="006A5F27" w:rsidP="0010343F">
            <w:pPr>
              <w:spacing w:after="0"/>
              <w:rPr>
                <w:rFonts w:cs="Arial"/>
                <w:sz w:val="14"/>
                <w:szCs w:val="14"/>
                <w:lang w:val="en-GB"/>
              </w:rPr>
            </w:pPr>
            <w:r>
              <w:rPr>
                <w:noProof/>
              </w:rPr>
              <w:drawing>
                <wp:inline distT="0" distB="0" distL="0" distR="0" wp14:anchorId="0305E098" wp14:editId="17C82E2D">
                  <wp:extent cx="4734560" cy="3547110"/>
                  <wp:effectExtent l="0" t="0" r="889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0343F" w:rsidRPr="006E725C" w14:paraId="55F879AB" w14:textId="77777777" w:rsidTr="00BA5125">
        <w:trPr>
          <w:trHeight w:val="170"/>
        </w:trPr>
        <w:tc>
          <w:tcPr>
            <w:tcW w:w="1814" w:type="dxa"/>
            <w:tcBorders>
              <w:top w:val="nil"/>
              <w:left w:val="nil"/>
              <w:bottom w:val="nil"/>
              <w:right w:val="nil"/>
            </w:tcBorders>
            <w:shd w:val="clear" w:color="auto" w:fill="auto"/>
            <w:tcMar>
              <w:left w:w="0" w:type="dxa"/>
            </w:tcMar>
          </w:tcPr>
          <w:p w14:paraId="1D3E9A8A" w14:textId="77777777" w:rsidR="0010343F" w:rsidRPr="006E725C" w:rsidRDefault="0010343F" w:rsidP="0010343F">
            <w:pPr>
              <w:pStyle w:val="Marginlie"/>
              <w:rPr>
                <w:lang w:val="en-GB"/>
              </w:rPr>
            </w:pPr>
          </w:p>
        </w:tc>
        <w:tc>
          <w:tcPr>
            <w:tcW w:w="229" w:type="dxa"/>
            <w:tcBorders>
              <w:top w:val="nil"/>
              <w:left w:val="nil"/>
              <w:bottom w:val="nil"/>
              <w:right w:val="nil"/>
            </w:tcBorders>
            <w:shd w:val="clear" w:color="auto" w:fill="auto"/>
            <w:tcMar>
              <w:left w:w="0" w:type="dxa"/>
            </w:tcMar>
          </w:tcPr>
          <w:p w14:paraId="05BB69CB" w14:textId="77777777" w:rsidR="0010343F" w:rsidRPr="006E725C" w:rsidRDefault="0010343F" w:rsidP="0010343F">
            <w:pPr>
              <w:pStyle w:val="Textpoznpodarou"/>
              <w:jc w:val="both"/>
              <w:rPr>
                <w:spacing w:val="-4"/>
                <w:lang w:val="en-GB"/>
              </w:rPr>
            </w:pPr>
          </w:p>
        </w:tc>
        <w:tc>
          <w:tcPr>
            <w:tcW w:w="7596" w:type="dxa"/>
            <w:tcBorders>
              <w:top w:val="nil"/>
              <w:left w:val="nil"/>
              <w:bottom w:val="nil"/>
              <w:right w:val="nil"/>
            </w:tcBorders>
            <w:shd w:val="clear" w:color="auto" w:fill="auto"/>
            <w:tcMar>
              <w:left w:w="0" w:type="dxa"/>
            </w:tcMar>
          </w:tcPr>
          <w:p w14:paraId="6CCAF57F" w14:textId="06A845C7" w:rsidR="006A5F27" w:rsidRPr="00D34E1C" w:rsidRDefault="006A5F27" w:rsidP="0010343F">
            <w:pPr>
              <w:spacing w:after="0" w:line="240" w:lineRule="auto"/>
              <w:rPr>
                <w:rFonts w:cs="Arial"/>
                <w:color w:val="0D0D0D" w:themeColor="text1" w:themeTint="F2"/>
                <w:spacing w:val="-6"/>
                <w:sz w:val="14"/>
                <w:szCs w:val="14"/>
                <w:lang w:val="en-GB"/>
              </w:rPr>
            </w:pPr>
            <w:r w:rsidRPr="00D34E1C">
              <w:rPr>
                <w:rFonts w:cs="Arial"/>
                <w:color w:val="0D0D0D" w:themeColor="text1" w:themeTint="F2"/>
                <w:spacing w:val="-6"/>
                <w:sz w:val="14"/>
                <w:szCs w:val="14"/>
                <w:lang w:val="en-GB"/>
              </w:rPr>
              <w:t xml:space="preserve">Note: </w:t>
            </w:r>
            <w:r w:rsidR="00D34E1C">
              <w:rPr>
                <w:rFonts w:cs="Arial"/>
                <w:color w:val="0D0D0D" w:themeColor="text1" w:themeTint="F2"/>
                <w:spacing w:val="-6"/>
                <w:sz w:val="14"/>
                <w:szCs w:val="14"/>
                <w:lang w:val="en-GB"/>
              </w:rPr>
              <w:t>Motorist</w:t>
            </w:r>
            <w:r w:rsidRPr="00D34E1C">
              <w:rPr>
                <w:rFonts w:cs="Arial"/>
                <w:color w:val="0D0D0D" w:themeColor="text1" w:themeTint="F2"/>
                <w:spacing w:val="-6"/>
                <w:sz w:val="14"/>
                <w:szCs w:val="14"/>
                <w:lang w:val="en-GB"/>
              </w:rPr>
              <w:t xml:space="preserve"> segment of trade include branch: </w:t>
            </w:r>
            <w:r w:rsidR="00D34E1C" w:rsidRPr="00D34E1C">
              <w:rPr>
                <w:rFonts w:cs="Arial"/>
                <w:color w:val="0D0D0D" w:themeColor="text1" w:themeTint="F2"/>
                <w:spacing w:val="-6"/>
                <w:sz w:val="14"/>
                <w:szCs w:val="14"/>
                <w:lang w:val="en-GB"/>
              </w:rPr>
              <w:t>Wholesale and retail trade</w:t>
            </w:r>
            <w:r w:rsidRPr="00D34E1C">
              <w:rPr>
                <w:rFonts w:cs="Arial"/>
                <w:color w:val="0D0D0D" w:themeColor="text1" w:themeTint="F2"/>
                <w:spacing w:val="-6"/>
                <w:sz w:val="14"/>
                <w:szCs w:val="14"/>
                <w:lang w:val="en-GB"/>
              </w:rPr>
              <w:t xml:space="preserve"> and repair of motor vehicles</w:t>
            </w:r>
            <w:r w:rsidR="00D34E1C">
              <w:rPr>
                <w:rFonts w:cs="Arial"/>
                <w:color w:val="0D0D0D" w:themeColor="text1" w:themeTint="F2"/>
                <w:spacing w:val="-6"/>
                <w:sz w:val="14"/>
                <w:szCs w:val="14"/>
                <w:lang w:val="en-GB"/>
              </w:rPr>
              <w:t xml:space="preserve"> (incl. </w:t>
            </w:r>
            <w:r w:rsidR="00D34E1C" w:rsidRPr="00D34E1C">
              <w:rPr>
                <w:rFonts w:cs="Arial"/>
                <w:color w:val="0D0D0D" w:themeColor="text1" w:themeTint="F2"/>
                <w:spacing w:val="-6"/>
                <w:sz w:val="14"/>
                <w:szCs w:val="14"/>
                <w:lang w:val="en-GB"/>
              </w:rPr>
              <w:t>motorcycles</w:t>
            </w:r>
            <w:r w:rsidR="00D34E1C">
              <w:rPr>
                <w:rFonts w:cs="Arial"/>
                <w:color w:val="0D0D0D" w:themeColor="text1" w:themeTint="F2"/>
                <w:spacing w:val="-6"/>
                <w:sz w:val="14"/>
                <w:szCs w:val="14"/>
                <w:lang w:val="en-GB"/>
              </w:rPr>
              <w:t>).</w:t>
            </w:r>
          </w:p>
          <w:p w14:paraId="6CF5429C" w14:textId="77C8C8C4" w:rsidR="008054A3" w:rsidRDefault="0010343F" w:rsidP="0010343F">
            <w:pPr>
              <w:spacing w:after="0" w:line="240" w:lineRule="auto"/>
              <w:rPr>
                <w:rFonts w:cs="Arial"/>
                <w:sz w:val="14"/>
                <w:szCs w:val="14"/>
                <w:lang w:val="en-GB"/>
              </w:rPr>
            </w:pPr>
            <w:r w:rsidRPr="00D34E1C">
              <w:rPr>
                <w:rFonts w:cs="Arial"/>
                <w:color w:val="0D0D0D" w:themeColor="text1" w:themeTint="F2"/>
                <w:spacing w:val="-6"/>
                <w:sz w:val="14"/>
                <w:szCs w:val="14"/>
                <w:lang w:val="en-GB"/>
              </w:rPr>
              <w:t>*</w:t>
            </w:r>
            <w:r w:rsidRPr="00D34E1C">
              <w:rPr>
                <w:rFonts w:cs="Arial"/>
                <w:sz w:val="14"/>
                <w:szCs w:val="14"/>
                <w:lang w:val="en-GB"/>
              </w:rPr>
              <w:t xml:space="preserve"> Sales</w:t>
            </w:r>
            <w:r w:rsidRPr="006E725C">
              <w:rPr>
                <w:rFonts w:cs="Arial"/>
                <w:sz w:val="14"/>
                <w:szCs w:val="14"/>
                <w:lang w:val="en-GB"/>
              </w:rPr>
              <w:t xml:space="preserve"> are ad</w:t>
            </w:r>
            <w:r w:rsidR="008054A3">
              <w:rPr>
                <w:rFonts w:cs="Arial"/>
                <w:sz w:val="14"/>
                <w:szCs w:val="14"/>
                <w:lang w:val="en-GB"/>
              </w:rPr>
              <w:t>justed for calendar effects.</w:t>
            </w:r>
          </w:p>
          <w:p w14:paraId="60CE4F94" w14:textId="713DDA86" w:rsidR="0010343F" w:rsidRPr="006E725C" w:rsidRDefault="0010343F" w:rsidP="0010343F">
            <w:pPr>
              <w:spacing w:after="0" w:line="240" w:lineRule="auto"/>
              <w:rPr>
                <w:rFonts w:cs="Arial"/>
                <w:sz w:val="14"/>
                <w:szCs w:val="14"/>
                <w:lang w:val="en-GB"/>
              </w:rPr>
            </w:pPr>
            <w:r w:rsidRPr="006E725C">
              <w:rPr>
                <w:rFonts w:cs="Arial"/>
                <w:sz w:val="14"/>
                <w:szCs w:val="14"/>
                <w:lang w:val="en-GB"/>
              </w:rPr>
              <w:t xml:space="preserve">** Sales are adjusted for both seasonal and calendar effects. </w:t>
            </w:r>
          </w:p>
          <w:p w14:paraId="1171CDFF" w14:textId="3917A5C3" w:rsidR="0010343F" w:rsidRPr="00465862" w:rsidRDefault="0010343F" w:rsidP="00934C3C">
            <w:pPr>
              <w:spacing w:after="0" w:line="240" w:lineRule="auto"/>
              <w:rPr>
                <w:rFonts w:cs="Arial"/>
                <w:color w:val="0D0D0D" w:themeColor="text1" w:themeTint="F2"/>
                <w:spacing w:val="-4"/>
                <w:sz w:val="14"/>
                <w:szCs w:val="14"/>
                <w:lang w:val="en-GB"/>
              </w:rPr>
            </w:pPr>
            <w:r w:rsidRPr="008054A3">
              <w:rPr>
                <w:rFonts w:cs="Arial"/>
                <w:color w:val="0D0D0D" w:themeColor="text1" w:themeTint="F2"/>
                <w:spacing w:val="-5"/>
                <w:sz w:val="14"/>
                <w:szCs w:val="14"/>
                <w:lang w:val="en-GB"/>
              </w:rPr>
              <w:t>*** Consumer confidence indicator balance is seasonally adjusted and expresses the position in the sec</w:t>
            </w:r>
            <w:r w:rsidR="008054A3" w:rsidRPr="008054A3">
              <w:rPr>
                <w:rFonts w:cs="Arial"/>
                <w:color w:val="0D0D0D" w:themeColor="text1" w:themeTint="F2"/>
                <w:spacing w:val="-5"/>
                <w:sz w:val="14"/>
                <w:szCs w:val="14"/>
                <w:lang w:val="en-GB"/>
              </w:rPr>
              <w:t>ond month of the given quarter</w:t>
            </w:r>
            <w:r w:rsidR="008054A3">
              <w:rPr>
                <w:rFonts w:cs="Arial"/>
                <w:color w:val="0D0D0D" w:themeColor="text1" w:themeTint="F2"/>
                <w:spacing w:val="-4"/>
                <w:sz w:val="14"/>
                <w:szCs w:val="14"/>
                <w:lang w:val="en-GB"/>
              </w:rPr>
              <w:t>.</w:t>
            </w:r>
            <w:r w:rsidRPr="006E725C">
              <w:rPr>
                <w:rFonts w:cs="Arial"/>
                <w:color w:val="0D0D0D" w:themeColor="text1" w:themeTint="F2"/>
                <w:spacing w:val="-4"/>
                <w:sz w:val="14"/>
                <w:szCs w:val="14"/>
                <w:lang w:val="en-GB"/>
              </w:rPr>
              <w:t xml:space="preserve">                                                                                                                                                         </w:t>
            </w:r>
            <w:r w:rsidR="00465862">
              <w:rPr>
                <w:rFonts w:cs="Arial"/>
                <w:color w:val="0D0D0D" w:themeColor="text1" w:themeTint="F2"/>
                <w:spacing w:val="-4"/>
                <w:sz w:val="14"/>
                <w:szCs w:val="14"/>
                <w:lang w:val="en-GB"/>
              </w:rPr>
              <w:t xml:space="preserve">                   Source: CZSO</w:t>
            </w:r>
          </w:p>
        </w:tc>
      </w:tr>
    </w:tbl>
    <w:p w14:paraId="3917BD46" w14:textId="77777777" w:rsidR="00BF5759" w:rsidRPr="00465862" w:rsidRDefault="00BF5759">
      <w:pPr>
        <w:spacing w:after="0" w:line="240" w:lineRule="auto"/>
        <w:jc w:val="left"/>
        <w:rPr>
          <w:rFonts w:eastAsia="MS Gothic"/>
          <w:b/>
          <w:bCs/>
          <w:color w:val="71818C"/>
          <w:szCs w:val="20"/>
          <w:lang w:val="en-GB"/>
        </w:rPr>
      </w:pPr>
      <w:bookmarkStart w:id="33" w:name="_Toc153531176"/>
      <w:r>
        <w:rPr>
          <w:lang w:val="en-GB"/>
        </w:rPr>
        <w:br w:type="page"/>
      </w:r>
    </w:p>
    <w:p w14:paraId="78C24AC4" w14:textId="40B9F5CE" w:rsidR="00EA1EBB" w:rsidRPr="006E725C" w:rsidRDefault="00EA1EBB" w:rsidP="00EA1EBB">
      <w:pPr>
        <w:pStyle w:val="Nadpis11"/>
        <w:rPr>
          <w:sz w:val="2"/>
          <w:szCs w:val="2"/>
          <w:lang w:val="en-GB"/>
        </w:rPr>
      </w:pPr>
      <w:bookmarkStart w:id="34" w:name="_Toc164682186"/>
      <w:r w:rsidRPr="006E725C">
        <w:rPr>
          <w:lang w:val="en-GB"/>
        </w:rPr>
        <w:lastRenderedPageBreak/>
        <w:t>4</w:t>
      </w:r>
      <w:bookmarkStart w:id="35" w:name="_Toc511215218"/>
      <w:bookmarkStart w:id="36" w:name="_Toc19090679"/>
      <w:bookmarkStart w:id="37" w:name="_Toc74643856"/>
      <w:bookmarkStart w:id="38" w:name="_Toc42852411"/>
      <w:bookmarkStart w:id="39" w:name="_Toc74643857"/>
      <w:bookmarkEnd w:id="35"/>
      <w:bookmarkEnd w:id="36"/>
      <w:r w:rsidRPr="006E725C">
        <w:rPr>
          <w:lang w:val="en-GB"/>
        </w:rPr>
        <w:t>. </w:t>
      </w:r>
      <w:r w:rsidR="00170CFD" w:rsidRPr="006E725C">
        <w:rPr>
          <w:lang w:val="en-GB"/>
        </w:rPr>
        <w:t>External Relations</w:t>
      </w:r>
      <w:bookmarkEnd w:id="33"/>
      <w:bookmarkEnd w:id="34"/>
    </w:p>
    <w:tbl>
      <w:tblPr>
        <w:tblW w:w="9639" w:type="dxa"/>
        <w:tblInd w:w="-15" w:type="dxa"/>
        <w:tblCellMar>
          <w:left w:w="0" w:type="dxa"/>
          <w:right w:w="0" w:type="dxa"/>
        </w:tblCellMar>
        <w:tblLook w:val="00A0" w:firstRow="1" w:lastRow="0" w:firstColumn="1" w:lastColumn="0" w:noHBand="0" w:noVBand="0"/>
      </w:tblPr>
      <w:tblGrid>
        <w:gridCol w:w="1748"/>
        <w:gridCol w:w="221"/>
        <w:gridCol w:w="7670"/>
      </w:tblGrid>
      <w:tr w:rsidR="00EA1EBB" w:rsidRPr="006E725C" w14:paraId="6BED2C85" w14:textId="77777777" w:rsidTr="00EA1EBB">
        <w:trPr>
          <w:trHeight w:val="145"/>
        </w:trPr>
        <w:tc>
          <w:tcPr>
            <w:tcW w:w="1748" w:type="dxa"/>
            <w:hideMark/>
          </w:tcPr>
          <w:p w14:paraId="50BB4168" w14:textId="250F9A88" w:rsidR="00EA1EBB" w:rsidRPr="006E725C" w:rsidRDefault="0009445D">
            <w:pPr>
              <w:pStyle w:val="Marginlie"/>
              <w:rPr>
                <w:lang w:val="en-GB" w:eastAsia="en-US"/>
              </w:rPr>
            </w:pPr>
            <w:r w:rsidRPr="006E725C">
              <w:rPr>
                <w:lang w:val="en-GB" w:eastAsia="en-US"/>
              </w:rPr>
              <w:t xml:space="preserve">Value of exports of goods grew only slightly last year. </w:t>
            </w:r>
          </w:p>
        </w:tc>
        <w:tc>
          <w:tcPr>
            <w:tcW w:w="221" w:type="dxa"/>
          </w:tcPr>
          <w:p w14:paraId="3AC90487" w14:textId="77777777" w:rsidR="00EA1EBB" w:rsidRPr="006E725C" w:rsidRDefault="00EA1EBB">
            <w:pPr>
              <w:pStyle w:val="Textpoznpodarou"/>
              <w:jc w:val="both"/>
              <w:rPr>
                <w:spacing w:val="-4"/>
                <w:lang w:val="en-GB" w:eastAsia="en-US"/>
              </w:rPr>
            </w:pPr>
          </w:p>
        </w:tc>
        <w:tc>
          <w:tcPr>
            <w:tcW w:w="7670" w:type="dxa"/>
            <w:hideMark/>
          </w:tcPr>
          <w:p w14:paraId="4CBF8F66" w14:textId="38CE27BB" w:rsidR="00EA1EBB" w:rsidRPr="006E725C" w:rsidRDefault="00170CFD">
            <w:pPr>
              <w:spacing w:after="180"/>
              <w:rPr>
                <w:spacing w:val="-4"/>
                <w:lang w:val="en-GB" w:eastAsia="en-US"/>
              </w:rPr>
            </w:pPr>
            <w:r w:rsidRPr="006E725C">
              <w:rPr>
                <w:spacing w:val="-4"/>
                <w:lang w:val="en-GB" w:eastAsia="en-US"/>
              </w:rPr>
              <w:t>Total value of exports of goods</w:t>
            </w:r>
            <w:r w:rsidR="00EA1EBB" w:rsidRPr="006E725C">
              <w:rPr>
                <w:rStyle w:val="Znakapoznpodarou"/>
                <w:spacing w:val="-4"/>
                <w:lang w:val="en-GB" w:eastAsia="en-US"/>
              </w:rPr>
              <w:footnoteReference w:id="55"/>
            </w:r>
            <w:r w:rsidR="00EA1EBB" w:rsidRPr="006E725C">
              <w:rPr>
                <w:spacing w:val="-4"/>
                <w:lang w:val="en-GB" w:eastAsia="en-US"/>
              </w:rPr>
              <w:t xml:space="preserve"> </w:t>
            </w:r>
            <w:r w:rsidR="009C29ED" w:rsidRPr="006E725C">
              <w:rPr>
                <w:spacing w:val="-4"/>
                <w:lang w:val="en-GB" w:eastAsia="en-US"/>
              </w:rPr>
              <w:t xml:space="preserve">attained </w:t>
            </w:r>
            <w:r w:rsidR="00EA1EBB" w:rsidRPr="006E725C">
              <w:rPr>
                <w:spacing w:val="-4"/>
                <w:lang w:val="en-GB" w:eastAsia="en-US"/>
              </w:rPr>
              <w:t>4</w:t>
            </w:r>
            <w:r w:rsidR="009C29ED" w:rsidRPr="006E725C">
              <w:rPr>
                <w:spacing w:val="-4"/>
                <w:lang w:val="en-GB" w:eastAsia="en-US"/>
              </w:rPr>
              <w:t> </w:t>
            </w:r>
            <w:r w:rsidR="00EA1EBB" w:rsidRPr="006E725C">
              <w:rPr>
                <w:spacing w:val="-4"/>
                <w:lang w:val="en-GB" w:eastAsia="en-US"/>
              </w:rPr>
              <w:t>452</w:t>
            </w:r>
            <w:r w:rsidR="009C29ED" w:rsidRPr="006E725C">
              <w:rPr>
                <w:spacing w:val="-4"/>
                <w:lang w:val="en-GB" w:eastAsia="en-US"/>
              </w:rPr>
              <w:t>.</w:t>
            </w:r>
            <w:r w:rsidR="00EA1EBB" w:rsidRPr="006E725C">
              <w:rPr>
                <w:spacing w:val="-4"/>
                <w:lang w:val="en-GB" w:eastAsia="en-US"/>
              </w:rPr>
              <w:t>7</w:t>
            </w:r>
            <w:r w:rsidR="009C29ED"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9C29ED" w:rsidRPr="006E725C">
              <w:rPr>
                <w:spacing w:val="-4"/>
                <w:lang w:val="en-GB" w:eastAsia="en-US"/>
              </w:rPr>
              <w:t xml:space="preserve"> in year 2023, which represented</w:t>
            </w:r>
            <w:r w:rsidR="000D71A4" w:rsidRPr="006E725C">
              <w:rPr>
                <w:spacing w:val="-4"/>
                <w:lang w:val="en-GB" w:eastAsia="en-US"/>
              </w:rPr>
              <w:t xml:space="preserve"> increase against year </w:t>
            </w:r>
            <w:r w:rsidR="00EA1EBB" w:rsidRPr="006E725C">
              <w:rPr>
                <w:spacing w:val="-4"/>
                <w:lang w:val="en-GB" w:eastAsia="en-US"/>
              </w:rPr>
              <w:t>2022</w:t>
            </w:r>
            <w:r w:rsidR="000D71A4" w:rsidRPr="006E725C">
              <w:rPr>
                <w:spacing w:val="-4"/>
                <w:lang w:val="en-GB" w:eastAsia="en-US"/>
              </w:rPr>
              <w:t xml:space="preserve"> of </w:t>
            </w:r>
            <w:r w:rsidR="00EA1EBB" w:rsidRPr="006E725C">
              <w:rPr>
                <w:spacing w:val="-4"/>
                <w:lang w:val="en-GB" w:eastAsia="en-US"/>
              </w:rPr>
              <w:t>45</w:t>
            </w:r>
            <w:r w:rsidR="000D71A4" w:rsidRPr="006E725C">
              <w:rPr>
                <w:spacing w:val="-4"/>
                <w:lang w:val="en-GB" w:eastAsia="en-US"/>
              </w:rPr>
              <w:t>.</w:t>
            </w:r>
            <w:r w:rsidR="00EA1EBB" w:rsidRPr="006E725C">
              <w:rPr>
                <w:spacing w:val="-4"/>
                <w:lang w:val="en-GB" w:eastAsia="en-US"/>
              </w:rPr>
              <w:t>4</w:t>
            </w:r>
            <w:r w:rsidR="000D71A4" w:rsidRPr="006E725C">
              <w:rPr>
                <w:spacing w:val="-4"/>
                <w:lang w:val="en-GB" w:eastAsia="en-US"/>
              </w:rPr>
              <w:t xml:space="preserve"> </w:t>
            </w:r>
            <w:proofErr w:type="spellStart"/>
            <w:r w:rsidR="000D71A4" w:rsidRPr="006E725C">
              <w:rPr>
                <w:spacing w:val="-4"/>
                <w:lang w:val="en-GB" w:eastAsia="en-US"/>
              </w:rPr>
              <w:t>bn</w:t>
            </w:r>
            <w:proofErr w:type="spellEnd"/>
            <w:r w:rsidR="000D71A4" w:rsidRPr="006E725C">
              <w:rPr>
                <w:spacing w:val="-4"/>
                <w:lang w:val="en-GB" w:eastAsia="en-US"/>
              </w:rPr>
              <w:t xml:space="preserve"> </w:t>
            </w:r>
            <w:r w:rsidR="00EA1EBB" w:rsidRPr="006E725C">
              <w:rPr>
                <w:spacing w:val="-4"/>
                <w:lang w:val="en-GB" w:eastAsia="en-US"/>
              </w:rPr>
              <w:t>(1</w:t>
            </w:r>
            <w:r w:rsidR="000D71A4" w:rsidRPr="006E725C">
              <w:rPr>
                <w:spacing w:val="-4"/>
                <w:lang w:val="en-GB" w:eastAsia="en-US"/>
              </w:rPr>
              <w:t>.</w:t>
            </w:r>
            <w:r w:rsidR="00EA1EBB" w:rsidRPr="006E725C">
              <w:rPr>
                <w:spacing w:val="-4"/>
                <w:lang w:val="en-GB" w:eastAsia="en-US"/>
              </w:rPr>
              <w:t xml:space="preserve">0%). </w:t>
            </w:r>
            <w:r w:rsidR="0050461B" w:rsidRPr="006E725C">
              <w:rPr>
                <w:spacing w:val="-4"/>
                <w:lang w:val="en-GB" w:eastAsia="en-US"/>
              </w:rPr>
              <w:t xml:space="preserve">Development in individual quarters however varied considerably and was affected by the comparative basis of year </w:t>
            </w:r>
            <w:r w:rsidR="00EA1EBB" w:rsidRPr="006E725C">
              <w:rPr>
                <w:spacing w:val="-4"/>
                <w:lang w:val="en-GB" w:eastAsia="en-US"/>
              </w:rPr>
              <w:t xml:space="preserve">2022 </w:t>
            </w:r>
            <w:r w:rsidR="0050461B" w:rsidRPr="006E725C">
              <w:rPr>
                <w:spacing w:val="-4"/>
                <w:lang w:val="en-GB" w:eastAsia="en-US"/>
              </w:rPr>
              <w:t>as well as the development of prices</w:t>
            </w:r>
            <w:r w:rsidR="00EA1EBB" w:rsidRPr="006E725C">
              <w:rPr>
                <w:rStyle w:val="Znakapoznpodarou"/>
                <w:spacing w:val="-4"/>
                <w:lang w:val="en-GB" w:eastAsia="en-US"/>
              </w:rPr>
              <w:footnoteReference w:id="56"/>
            </w:r>
            <w:r w:rsidR="00EA1EBB" w:rsidRPr="006E725C">
              <w:rPr>
                <w:spacing w:val="-4"/>
                <w:lang w:val="en-GB" w:eastAsia="en-US"/>
              </w:rPr>
              <w:t xml:space="preserve">. </w:t>
            </w:r>
            <w:r w:rsidR="0050461B" w:rsidRPr="006E725C">
              <w:rPr>
                <w:spacing w:val="-4"/>
                <w:lang w:val="en-GB" w:eastAsia="en-US"/>
              </w:rPr>
              <w:t xml:space="preserve">Total mild increase of the value of </w:t>
            </w:r>
            <w:r w:rsidR="006D2CE1" w:rsidRPr="006E725C">
              <w:rPr>
                <w:spacing w:val="-4"/>
                <w:lang w:val="en-GB" w:eastAsia="en-US"/>
              </w:rPr>
              <w:t xml:space="preserve">exports of goods is the result of the favourable development </w:t>
            </w:r>
            <w:r w:rsidR="004F3A15" w:rsidRPr="006E725C">
              <w:rPr>
                <w:spacing w:val="-4"/>
                <w:lang w:val="en-GB" w:eastAsia="en-US"/>
              </w:rPr>
              <w:t>in</w:t>
            </w:r>
            <w:r w:rsidR="006D2CE1" w:rsidRPr="006E725C">
              <w:rPr>
                <w:spacing w:val="-4"/>
                <w:lang w:val="en-GB" w:eastAsia="en-US"/>
              </w:rPr>
              <w:t xml:space="preserve"> the first half of the year </w:t>
            </w:r>
            <w:r w:rsidR="00EA1EBB" w:rsidRPr="006E725C">
              <w:rPr>
                <w:spacing w:val="-4"/>
                <w:lang w:val="en-GB" w:eastAsia="en-US"/>
              </w:rPr>
              <w:t>(</w:t>
            </w:r>
            <w:r w:rsidR="00E139EC" w:rsidRPr="006E725C">
              <w:rPr>
                <w:spacing w:val="-4"/>
                <w:lang w:val="en-GB" w:eastAsia="en-US"/>
              </w:rPr>
              <w:t xml:space="preserve">mainly growth of </w:t>
            </w:r>
            <w:r w:rsidR="00EA1EBB" w:rsidRPr="006E725C">
              <w:rPr>
                <w:spacing w:val="-4"/>
                <w:lang w:val="en-GB" w:eastAsia="en-US"/>
              </w:rPr>
              <w:t>10</w:t>
            </w:r>
            <w:r w:rsidR="00E139EC" w:rsidRPr="006E725C">
              <w:rPr>
                <w:spacing w:val="-4"/>
                <w:lang w:val="en-GB" w:eastAsia="en-US"/>
              </w:rPr>
              <w:t>.</w:t>
            </w:r>
            <w:r w:rsidR="00EA1EBB" w:rsidRPr="006E725C">
              <w:rPr>
                <w:spacing w:val="-4"/>
                <w:lang w:val="en-GB" w:eastAsia="en-US"/>
              </w:rPr>
              <w:t>8%</w:t>
            </w:r>
            <w:r w:rsidR="00E139EC" w:rsidRPr="006E725C">
              <w:rPr>
                <w:spacing w:val="-4"/>
                <w:lang w:val="en-GB" w:eastAsia="en-US"/>
              </w:rPr>
              <w:t xml:space="preserve"> in Q</w:t>
            </w:r>
            <w:r w:rsidR="00EA1EBB" w:rsidRPr="006E725C">
              <w:rPr>
                <w:spacing w:val="-4"/>
                <w:lang w:val="en-GB" w:eastAsia="en-US"/>
              </w:rPr>
              <w:t>1</w:t>
            </w:r>
            <w:r w:rsidR="00E139EC" w:rsidRPr="006E725C">
              <w:rPr>
                <w:spacing w:val="-4"/>
                <w:lang w:val="en-GB" w:eastAsia="en-US"/>
              </w:rPr>
              <w:t xml:space="preserve"> and </w:t>
            </w:r>
            <w:r w:rsidR="00021E39" w:rsidRPr="006E725C">
              <w:rPr>
                <w:spacing w:val="-4"/>
                <w:lang w:val="en-GB" w:eastAsia="en-US"/>
              </w:rPr>
              <w:t xml:space="preserve">mild increase by </w:t>
            </w:r>
            <w:r w:rsidR="00EA1EBB" w:rsidRPr="006E725C">
              <w:rPr>
                <w:spacing w:val="-4"/>
                <w:lang w:val="en-GB" w:eastAsia="en-US"/>
              </w:rPr>
              <w:t>1</w:t>
            </w:r>
            <w:r w:rsidR="00021E39" w:rsidRPr="006E725C">
              <w:rPr>
                <w:spacing w:val="-4"/>
                <w:lang w:val="en-GB" w:eastAsia="en-US"/>
              </w:rPr>
              <w:t>.</w:t>
            </w:r>
            <w:r w:rsidR="00EA1EBB" w:rsidRPr="006E725C">
              <w:rPr>
                <w:spacing w:val="-4"/>
                <w:lang w:val="en-GB" w:eastAsia="en-US"/>
              </w:rPr>
              <w:t>0%</w:t>
            </w:r>
            <w:r w:rsidR="00021E39" w:rsidRPr="006E725C">
              <w:rPr>
                <w:spacing w:val="-4"/>
                <w:lang w:val="en-GB" w:eastAsia="en-US"/>
              </w:rPr>
              <w:t xml:space="preserve"> in Q</w:t>
            </w:r>
            <w:r w:rsidR="00EA1EBB" w:rsidRPr="006E725C">
              <w:rPr>
                <w:spacing w:val="-4"/>
                <w:lang w:val="en-GB" w:eastAsia="en-US"/>
              </w:rPr>
              <w:t xml:space="preserve">2). </w:t>
            </w:r>
            <w:r w:rsidR="00317660" w:rsidRPr="006E725C">
              <w:rPr>
                <w:spacing w:val="-4"/>
                <w:lang w:val="en-GB" w:eastAsia="en-US"/>
              </w:rPr>
              <w:t>Nevertheless,</w:t>
            </w:r>
            <w:r w:rsidR="004F1A07" w:rsidRPr="006E725C">
              <w:rPr>
                <w:spacing w:val="-4"/>
                <w:lang w:val="en-GB" w:eastAsia="en-US"/>
              </w:rPr>
              <w:t xml:space="preserve"> the exports of goods fell year-on-year by </w:t>
            </w:r>
            <w:r w:rsidR="00EA1EBB" w:rsidRPr="006E725C">
              <w:rPr>
                <w:spacing w:val="-4"/>
                <w:lang w:val="en-GB" w:eastAsia="en-US"/>
              </w:rPr>
              <w:t>6</w:t>
            </w:r>
            <w:r w:rsidR="004F1A07" w:rsidRPr="006E725C">
              <w:rPr>
                <w:spacing w:val="-4"/>
                <w:lang w:val="en-GB" w:eastAsia="en-US"/>
              </w:rPr>
              <w:t>.</w:t>
            </w:r>
            <w:r w:rsidR="00EA1EBB" w:rsidRPr="006E725C">
              <w:rPr>
                <w:spacing w:val="-4"/>
                <w:lang w:val="en-GB" w:eastAsia="en-US"/>
              </w:rPr>
              <w:t>6%</w:t>
            </w:r>
            <w:r w:rsidR="007601D2" w:rsidRPr="006E725C">
              <w:rPr>
                <w:spacing w:val="-4"/>
                <w:lang w:val="en-GB" w:eastAsia="en-US"/>
              </w:rPr>
              <w:t xml:space="preserve"> in Q3</w:t>
            </w:r>
            <w:r w:rsidR="00EA1EBB" w:rsidRPr="006E725C">
              <w:rPr>
                <w:spacing w:val="-4"/>
                <w:lang w:val="en-GB" w:eastAsia="en-US"/>
              </w:rPr>
              <w:t xml:space="preserve">. </w:t>
            </w:r>
            <w:r w:rsidR="008A55F4" w:rsidRPr="006E725C">
              <w:rPr>
                <w:spacing w:val="-4"/>
                <w:lang w:val="en-GB" w:eastAsia="en-US"/>
              </w:rPr>
              <w:t xml:space="preserve">The decrease </w:t>
            </w:r>
            <w:r w:rsidR="00317660" w:rsidRPr="006E725C">
              <w:rPr>
                <w:spacing w:val="-4"/>
                <w:lang w:val="en-GB" w:eastAsia="en-US"/>
              </w:rPr>
              <w:t>reduced to 0.6% in Q</w:t>
            </w:r>
            <w:r w:rsidR="00EA1EBB" w:rsidRPr="006E725C">
              <w:rPr>
                <w:spacing w:val="-4"/>
                <w:lang w:val="en-GB" w:eastAsia="en-US"/>
              </w:rPr>
              <w:t>4</w:t>
            </w:r>
            <w:r w:rsidR="00317660" w:rsidRPr="006E725C">
              <w:rPr>
                <w:spacing w:val="-4"/>
                <w:lang w:val="en-GB" w:eastAsia="en-US"/>
              </w:rPr>
              <w:t xml:space="preserve"> </w:t>
            </w:r>
            <w:r w:rsidR="00EA1EBB" w:rsidRPr="006E725C">
              <w:rPr>
                <w:spacing w:val="-4"/>
                <w:lang w:val="en-GB" w:eastAsia="en-US"/>
              </w:rPr>
              <w:t xml:space="preserve">2023. </w:t>
            </w:r>
            <w:r w:rsidR="00317660" w:rsidRPr="006E725C">
              <w:rPr>
                <w:spacing w:val="-4"/>
                <w:lang w:val="en-GB" w:eastAsia="en-US"/>
              </w:rPr>
              <w:t xml:space="preserve">Value of exports </w:t>
            </w:r>
            <w:r w:rsidR="00BF7BA0" w:rsidRPr="006E725C">
              <w:rPr>
                <w:spacing w:val="-4"/>
                <w:lang w:val="en-GB" w:eastAsia="en-US"/>
              </w:rPr>
              <w:t xml:space="preserve">decreased by </w:t>
            </w:r>
            <w:r w:rsidR="00EA1EBB" w:rsidRPr="006E725C">
              <w:rPr>
                <w:spacing w:val="-4"/>
                <w:lang w:val="en-GB" w:eastAsia="en-US"/>
              </w:rPr>
              <w:t>7</w:t>
            </w:r>
            <w:r w:rsidR="00BF7BA0" w:rsidRPr="006E725C">
              <w:rPr>
                <w:spacing w:val="-4"/>
                <w:lang w:val="en-GB" w:eastAsia="en-US"/>
              </w:rPr>
              <w:t>.</w:t>
            </w:r>
            <w:r w:rsidR="00EA1EBB" w:rsidRPr="006E725C">
              <w:rPr>
                <w:spacing w:val="-4"/>
                <w:lang w:val="en-GB" w:eastAsia="en-US"/>
              </w:rPr>
              <w:t>4</w:t>
            </w:r>
            <w:r w:rsidR="00BF7BA0"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BF7BA0" w:rsidRPr="006E725C">
              <w:rPr>
                <w:spacing w:val="-4"/>
                <w:lang w:val="en-GB" w:eastAsia="en-US"/>
              </w:rPr>
              <w:t xml:space="preserve"> and </w:t>
            </w:r>
            <w:r w:rsidR="00037D64" w:rsidRPr="006E725C">
              <w:rPr>
                <w:spacing w:val="-4"/>
                <w:lang w:val="en-GB" w:eastAsia="en-US"/>
              </w:rPr>
              <w:t xml:space="preserve">attained </w:t>
            </w:r>
            <w:r w:rsidR="00EA1EBB" w:rsidRPr="006E725C">
              <w:rPr>
                <w:spacing w:val="-4"/>
                <w:lang w:val="en-GB" w:eastAsia="en-US"/>
              </w:rPr>
              <w:t>1</w:t>
            </w:r>
            <w:r w:rsidR="00037D64" w:rsidRPr="006E725C">
              <w:rPr>
                <w:spacing w:val="-4"/>
                <w:lang w:val="en-GB" w:eastAsia="en-US"/>
              </w:rPr>
              <w:t> </w:t>
            </w:r>
            <w:r w:rsidR="00EA1EBB" w:rsidRPr="006E725C">
              <w:rPr>
                <w:spacing w:val="-4"/>
                <w:lang w:val="en-GB" w:eastAsia="en-US"/>
              </w:rPr>
              <w:t>138</w:t>
            </w:r>
            <w:r w:rsidR="00037D64" w:rsidRPr="006E725C">
              <w:rPr>
                <w:spacing w:val="-4"/>
                <w:lang w:val="en-GB" w:eastAsia="en-US"/>
              </w:rPr>
              <w:t>.</w:t>
            </w:r>
            <w:r w:rsidR="00EA1EBB" w:rsidRPr="006E725C">
              <w:rPr>
                <w:spacing w:val="-4"/>
                <w:lang w:val="en-GB" w:eastAsia="en-US"/>
              </w:rPr>
              <w:t>7</w:t>
            </w:r>
            <w:r w:rsidR="00037D64" w:rsidRPr="006E725C">
              <w:rPr>
                <w:spacing w:val="-4"/>
                <w:lang w:val="en-GB" w:eastAsia="en-US"/>
              </w:rPr>
              <w:t xml:space="preserve"> bn</w:t>
            </w:r>
            <w:r w:rsidR="00EA1EBB" w:rsidRPr="006E725C">
              <w:rPr>
                <w:spacing w:val="-4"/>
                <w:lang w:val="en-GB" w:eastAsia="en-US"/>
              </w:rPr>
              <w:t xml:space="preserve">. </w:t>
            </w:r>
            <w:r w:rsidR="00687E40" w:rsidRPr="006E725C">
              <w:rPr>
                <w:spacing w:val="-4"/>
                <w:lang w:val="en-GB" w:eastAsia="en-US"/>
              </w:rPr>
              <w:t xml:space="preserve">Based on the seasonally adjusted data, </w:t>
            </w:r>
            <w:r w:rsidR="0035378B" w:rsidRPr="006E725C">
              <w:rPr>
                <w:spacing w:val="-4"/>
                <w:lang w:val="en-GB" w:eastAsia="en-US"/>
              </w:rPr>
              <w:t xml:space="preserve">the value of exports increased by 1.6% quarter-on-quarter in Q4. </w:t>
            </w:r>
            <w:r w:rsidR="00EA1EBB" w:rsidRPr="006E725C">
              <w:rPr>
                <w:spacing w:val="-4"/>
                <w:lang w:val="en-GB" w:eastAsia="en-US"/>
              </w:rPr>
              <w:t xml:space="preserve">    </w:t>
            </w:r>
          </w:p>
        </w:tc>
      </w:tr>
      <w:tr w:rsidR="00EA1EBB" w:rsidRPr="006E725C" w14:paraId="19906319" w14:textId="77777777" w:rsidTr="00EA1EBB">
        <w:trPr>
          <w:trHeight w:val="145"/>
        </w:trPr>
        <w:tc>
          <w:tcPr>
            <w:tcW w:w="1748" w:type="dxa"/>
            <w:hideMark/>
          </w:tcPr>
          <w:p w14:paraId="04D1DCD0" w14:textId="497E8B6F" w:rsidR="00EA1EBB" w:rsidRPr="006E725C" w:rsidRDefault="005650DC">
            <w:pPr>
              <w:pStyle w:val="Marginlie"/>
              <w:rPr>
                <w:lang w:val="en-GB" w:eastAsia="en-US"/>
              </w:rPr>
            </w:pPr>
            <w:r w:rsidRPr="006E725C">
              <w:rPr>
                <w:lang w:val="en-GB" w:eastAsia="en-US"/>
              </w:rPr>
              <w:t xml:space="preserve">Export to the EU stagnated last year. Export outside the EU slightly increased. </w:t>
            </w:r>
          </w:p>
        </w:tc>
        <w:tc>
          <w:tcPr>
            <w:tcW w:w="221" w:type="dxa"/>
          </w:tcPr>
          <w:p w14:paraId="0210B9A9" w14:textId="77777777" w:rsidR="00EA1EBB" w:rsidRPr="006E725C" w:rsidRDefault="00EA1EBB">
            <w:pPr>
              <w:pStyle w:val="Textpoznpodarou"/>
              <w:jc w:val="both"/>
              <w:rPr>
                <w:spacing w:val="-4"/>
                <w:lang w:val="en-GB" w:eastAsia="en-US"/>
              </w:rPr>
            </w:pPr>
          </w:p>
        </w:tc>
        <w:tc>
          <w:tcPr>
            <w:tcW w:w="7670" w:type="dxa"/>
            <w:hideMark/>
          </w:tcPr>
          <w:p w14:paraId="56AF2E4F" w14:textId="47E7F2F5" w:rsidR="00EA1EBB" w:rsidRPr="006E725C" w:rsidRDefault="0035378B">
            <w:pPr>
              <w:spacing w:after="180"/>
              <w:rPr>
                <w:spacing w:val="-4"/>
                <w:lang w:val="en-GB" w:eastAsia="en-US"/>
              </w:rPr>
            </w:pPr>
            <w:r w:rsidRPr="006E725C">
              <w:rPr>
                <w:spacing w:val="-4"/>
                <w:lang w:val="en-GB" w:eastAsia="en-US"/>
              </w:rPr>
              <w:t xml:space="preserve">Value of exports into the EU countries basically </w:t>
            </w:r>
            <w:r w:rsidR="00073B01" w:rsidRPr="006E725C">
              <w:rPr>
                <w:spacing w:val="-4"/>
                <w:lang w:val="en-GB" w:eastAsia="en-US"/>
              </w:rPr>
              <w:t xml:space="preserve">stagnated for the whole year </w:t>
            </w:r>
            <w:r w:rsidR="00EA1EBB" w:rsidRPr="006E725C">
              <w:rPr>
                <w:spacing w:val="-4"/>
                <w:lang w:val="en-GB" w:eastAsia="en-US"/>
              </w:rPr>
              <w:t>2023</w:t>
            </w:r>
            <w:r w:rsidR="00073B01" w:rsidRPr="006E725C">
              <w:rPr>
                <w:spacing w:val="-4"/>
                <w:lang w:val="en-GB" w:eastAsia="en-US"/>
              </w:rPr>
              <w:t xml:space="preserve"> </w:t>
            </w:r>
            <w:r w:rsidR="00EA1EBB" w:rsidRPr="006E725C">
              <w:rPr>
                <w:spacing w:val="-4"/>
                <w:lang w:val="en-GB" w:eastAsia="en-US"/>
              </w:rPr>
              <w:t>(</w:t>
            </w:r>
            <w:r w:rsidR="00073B01" w:rsidRPr="006E725C">
              <w:rPr>
                <w:spacing w:val="-4"/>
                <w:lang w:val="en-GB" w:eastAsia="en-US"/>
              </w:rPr>
              <w:t xml:space="preserve">growth </w:t>
            </w:r>
            <w:r w:rsidR="00486A1C" w:rsidRPr="006E725C">
              <w:rPr>
                <w:spacing w:val="-4"/>
                <w:lang w:val="en-GB" w:eastAsia="en-US"/>
              </w:rPr>
              <w:t xml:space="preserve">of </w:t>
            </w:r>
            <w:r w:rsidR="00EA1EBB" w:rsidRPr="006E725C">
              <w:rPr>
                <w:spacing w:val="-4"/>
                <w:lang w:val="en-GB" w:eastAsia="en-US"/>
              </w:rPr>
              <w:t>3</w:t>
            </w:r>
            <w:r w:rsidR="00486A1C" w:rsidRPr="006E725C">
              <w:rPr>
                <w:spacing w:val="-4"/>
                <w:lang w:val="en-GB" w:eastAsia="en-US"/>
              </w:rPr>
              <w:t>.</w:t>
            </w:r>
            <w:r w:rsidR="00EA1EBB" w:rsidRPr="006E725C">
              <w:rPr>
                <w:spacing w:val="-4"/>
                <w:lang w:val="en-GB" w:eastAsia="en-US"/>
              </w:rPr>
              <w:t>2</w:t>
            </w:r>
            <w:r w:rsidR="00486A1C"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0</w:t>
            </w:r>
            <w:r w:rsidR="00486A1C" w:rsidRPr="006E725C">
              <w:rPr>
                <w:spacing w:val="-4"/>
                <w:lang w:val="en-GB" w:eastAsia="en-US"/>
              </w:rPr>
              <w:t>.</w:t>
            </w:r>
            <w:r w:rsidR="00EA1EBB" w:rsidRPr="006E725C">
              <w:rPr>
                <w:spacing w:val="-4"/>
                <w:lang w:val="en-GB" w:eastAsia="en-US"/>
              </w:rPr>
              <w:t xml:space="preserve">1%), </w:t>
            </w:r>
            <w:r w:rsidR="0078440C" w:rsidRPr="006E725C">
              <w:rPr>
                <w:spacing w:val="-4"/>
                <w:lang w:val="en-GB" w:eastAsia="en-US"/>
              </w:rPr>
              <w:t>because the export</w:t>
            </w:r>
            <w:r w:rsidR="003F7447" w:rsidRPr="006E725C">
              <w:rPr>
                <w:spacing w:val="-4"/>
                <w:lang w:val="en-GB" w:eastAsia="en-US"/>
              </w:rPr>
              <w:t xml:space="preserve">s started after the strong increase in the first quarter of the year falling year-on-year and the </w:t>
            </w:r>
            <w:r w:rsidR="00511E2E" w:rsidRPr="006E725C">
              <w:rPr>
                <w:spacing w:val="-4"/>
                <w:lang w:val="en-GB" w:eastAsia="en-US"/>
              </w:rPr>
              <w:t xml:space="preserve">slump further </w:t>
            </w:r>
            <w:r w:rsidR="00B11117" w:rsidRPr="006E725C">
              <w:rPr>
                <w:spacing w:val="-4"/>
                <w:lang w:val="en-GB" w:eastAsia="en-US"/>
              </w:rPr>
              <w:t>deepened</w:t>
            </w:r>
            <w:r w:rsidR="00511E2E" w:rsidRPr="006E725C">
              <w:rPr>
                <w:spacing w:val="-4"/>
                <w:lang w:val="en-GB" w:eastAsia="en-US"/>
              </w:rPr>
              <w:t xml:space="preserve"> in H</w:t>
            </w:r>
            <w:r w:rsidR="00EA1EBB" w:rsidRPr="006E725C">
              <w:rPr>
                <w:spacing w:val="-4"/>
                <w:lang w:val="en-GB" w:eastAsia="en-US"/>
              </w:rPr>
              <w:t>2.</w:t>
            </w:r>
            <w:r w:rsidR="00511E2E" w:rsidRPr="006E725C">
              <w:rPr>
                <w:spacing w:val="-4"/>
                <w:lang w:val="en-GB" w:eastAsia="en-US"/>
              </w:rPr>
              <w:t xml:space="preserve"> </w:t>
            </w:r>
            <w:r w:rsidR="00225B43" w:rsidRPr="006E725C">
              <w:rPr>
                <w:spacing w:val="-4"/>
                <w:lang w:val="en-GB" w:eastAsia="en-US"/>
              </w:rPr>
              <w:t xml:space="preserve">The dynamics of exports into the EU thus did not follow up in the two significant </w:t>
            </w:r>
            <w:r w:rsidR="0024385F" w:rsidRPr="006E725C">
              <w:rPr>
                <w:spacing w:val="-4"/>
                <w:lang w:val="en-GB" w:eastAsia="en-US"/>
              </w:rPr>
              <w:t>increases</w:t>
            </w:r>
            <w:r w:rsidR="00225B43" w:rsidRPr="006E725C">
              <w:rPr>
                <w:spacing w:val="-4"/>
                <w:lang w:val="en-GB" w:eastAsia="en-US"/>
              </w:rPr>
              <w:t xml:space="preserve"> from years </w:t>
            </w:r>
            <w:r w:rsidR="0024385F" w:rsidRPr="006E725C">
              <w:rPr>
                <w:spacing w:val="-4"/>
                <w:lang w:val="en-GB" w:eastAsia="en-US"/>
              </w:rPr>
              <w:t>20</w:t>
            </w:r>
            <w:r w:rsidR="00EA1EBB" w:rsidRPr="006E725C">
              <w:rPr>
                <w:spacing w:val="-4"/>
                <w:lang w:val="en-GB" w:eastAsia="en-US"/>
              </w:rPr>
              <w:t xml:space="preserve">21 </w:t>
            </w:r>
            <w:r w:rsidR="00C67C7F" w:rsidRPr="006E725C">
              <w:rPr>
                <w:spacing w:val="-4"/>
                <w:lang w:val="en-GB" w:eastAsia="en-US"/>
              </w:rPr>
              <w:t>and</w:t>
            </w:r>
            <w:r w:rsidR="00EA1EBB" w:rsidRPr="006E725C">
              <w:rPr>
                <w:spacing w:val="-4"/>
                <w:lang w:val="en-GB" w:eastAsia="en-US"/>
              </w:rPr>
              <w:t xml:space="preserve"> 2022. Export</w:t>
            </w:r>
            <w:r w:rsidR="0024385F" w:rsidRPr="006E725C">
              <w:rPr>
                <w:spacing w:val="-4"/>
                <w:lang w:val="en-GB" w:eastAsia="en-US"/>
              </w:rPr>
              <w:t xml:space="preserve">s to countries outside the EU rose in total by </w:t>
            </w:r>
            <w:r w:rsidR="00EA1EBB" w:rsidRPr="006E725C">
              <w:rPr>
                <w:spacing w:val="-4"/>
                <w:lang w:val="en-GB" w:eastAsia="en-US"/>
              </w:rPr>
              <w:t>41</w:t>
            </w:r>
            <w:r w:rsidR="0024385F" w:rsidRPr="006E725C">
              <w:rPr>
                <w:spacing w:val="-4"/>
                <w:lang w:val="en-GB" w:eastAsia="en-US"/>
              </w:rPr>
              <w:t>.</w:t>
            </w:r>
            <w:r w:rsidR="00EA1EBB" w:rsidRPr="006E725C">
              <w:rPr>
                <w:spacing w:val="-4"/>
                <w:lang w:val="en-GB" w:eastAsia="en-US"/>
              </w:rPr>
              <w:t>7</w:t>
            </w:r>
            <w:r w:rsidR="0024385F"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24385F" w:rsidRPr="006E725C">
              <w:rPr>
                <w:spacing w:val="-4"/>
                <w:lang w:val="en-GB" w:eastAsia="en-US"/>
              </w:rPr>
              <w:t xml:space="preserve"> </w:t>
            </w:r>
            <w:r w:rsidR="00EA1EBB" w:rsidRPr="006E725C">
              <w:rPr>
                <w:spacing w:val="-4"/>
                <w:lang w:val="en-GB" w:eastAsia="en-US"/>
              </w:rPr>
              <w:t>(4</w:t>
            </w:r>
            <w:r w:rsidR="0024385F" w:rsidRPr="006E725C">
              <w:rPr>
                <w:spacing w:val="-4"/>
                <w:lang w:val="en-GB" w:eastAsia="en-US"/>
              </w:rPr>
              <w:t>.</w:t>
            </w:r>
            <w:r w:rsidR="00EA1EBB" w:rsidRPr="006E725C">
              <w:rPr>
                <w:spacing w:val="-4"/>
                <w:lang w:val="en-GB" w:eastAsia="en-US"/>
              </w:rPr>
              <w:t xml:space="preserve">9%). </w:t>
            </w:r>
            <w:r w:rsidR="00C02B1B" w:rsidRPr="006E725C">
              <w:rPr>
                <w:spacing w:val="-4"/>
                <w:lang w:val="en-GB" w:eastAsia="en-US"/>
              </w:rPr>
              <w:t xml:space="preserve">The </w:t>
            </w:r>
            <w:r w:rsidR="00304439" w:rsidRPr="006E725C">
              <w:rPr>
                <w:spacing w:val="-4"/>
                <w:lang w:val="en-GB" w:eastAsia="en-US"/>
              </w:rPr>
              <w:t xml:space="preserve">total </w:t>
            </w:r>
            <w:r w:rsidR="00C02B1B" w:rsidRPr="006E725C">
              <w:rPr>
                <w:spacing w:val="-4"/>
                <w:lang w:val="en-GB" w:eastAsia="en-US"/>
              </w:rPr>
              <w:t xml:space="preserve">exports </w:t>
            </w:r>
            <w:r w:rsidR="00370384" w:rsidRPr="006E725C">
              <w:rPr>
                <w:spacing w:val="-4"/>
                <w:lang w:val="en-GB" w:eastAsia="en-US"/>
              </w:rPr>
              <w:t xml:space="preserve">increased only slightly or stagnated </w:t>
            </w:r>
            <w:r w:rsidR="00F422EF" w:rsidRPr="006E725C">
              <w:rPr>
                <w:spacing w:val="-4"/>
                <w:lang w:val="en-GB" w:eastAsia="en-US"/>
              </w:rPr>
              <w:t xml:space="preserve">in </w:t>
            </w:r>
            <w:r w:rsidR="00B21DE7" w:rsidRPr="006E725C">
              <w:rPr>
                <w:spacing w:val="-4"/>
                <w:lang w:val="en-GB" w:eastAsia="en-US"/>
              </w:rPr>
              <w:t>several</w:t>
            </w:r>
            <w:r w:rsidR="00370384" w:rsidRPr="006E725C">
              <w:rPr>
                <w:spacing w:val="-4"/>
                <w:lang w:val="en-GB" w:eastAsia="en-US"/>
              </w:rPr>
              <w:t xml:space="preserve"> countries last year. </w:t>
            </w:r>
            <w:r w:rsidR="008F4D9C" w:rsidRPr="006E725C">
              <w:rPr>
                <w:spacing w:val="-4"/>
                <w:lang w:val="en-GB" w:eastAsia="en-US"/>
              </w:rPr>
              <w:t>Changes of electricity influenced the export development especially at our geographic neighbours</w:t>
            </w:r>
            <w:r w:rsidR="00EA1EBB" w:rsidRPr="006E725C">
              <w:rPr>
                <w:rStyle w:val="Znakapoznpodarou"/>
                <w:spacing w:val="-4"/>
                <w:lang w:val="en-GB" w:eastAsia="en-US"/>
              </w:rPr>
              <w:footnoteReference w:id="57"/>
            </w:r>
            <w:r w:rsidR="00EA1EBB" w:rsidRPr="006E725C">
              <w:rPr>
                <w:spacing w:val="-4"/>
                <w:lang w:val="en-GB" w:eastAsia="en-US"/>
              </w:rPr>
              <w:t xml:space="preserve">. </w:t>
            </w:r>
            <w:r w:rsidR="00B21DE7" w:rsidRPr="006E725C">
              <w:rPr>
                <w:spacing w:val="-4"/>
                <w:lang w:val="en-GB" w:eastAsia="en-US"/>
              </w:rPr>
              <w:t xml:space="preserve">The value of exports of goods increased the most </w:t>
            </w:r>
            <w:r w:rsidR="00961CB4" w:rsidRPr="006E725C">
              <w:rPr>
                <w:spacing w:val="-4"/>
                <w:lang w:val="en-GB" w:eastAsia="en-US"/>
              </w:rPr>
              <w:t xml:space="preserve">to Turkey </w:t>
            </w:r>
            <w:r w:rsidR="00EA1EBB" w:rsidRPr="006E725C">
              <w:rPr>
                <w:spacing w:val="-4"/>
                <w:lang w:val="en-GB" w:eastAsia="en-US"/>
              </w:rPr>
              <w:t>(+17</w:t>
            </w:r>
            <w:r w:rsidR="00961CB4" w:rsidRPr="006E725C">
              <w:rPr>
                <w:spacing w:val="-4"/>
                <w:lang w:val="en-GB" w:eastAsia="en-US"/>
              </w:rPr>
              <w:t>.</w:t>
            </w:r>
            <w:r w:rsidR="00EA1EBB" w:rsidRPr="006E725C">
              <w:rPr>
                <w:spacing w:val="-4"/>
                <w:lang w:val="en-GB" w:eastAsia="en-US"/>
              </w:rPr>
              <w:t>4</w:t>
            </w:r>
            <w:r w:rsidR="00961CB4"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34</w:t>
            </w:r>
            <w:r w:rsidR="00961CB4" w:rsidRPr="006E725C">
              <w:rPr>
                <w:spacing w:val="-4"/>
                <w:lang w:val="en-GB" w:eastAsia="en-US"/>
              </w:rPr>
              <w:t>.</w:t>
            </w:r>
            <w:r w:rsidR="00EA1EBB" w:rsidRPr="006E725C">
              <w:rPr>
                <w:spacing w:val="-4"/>
                <w:lang w:val="en-GB" w:eastAsia="en-US"/>
              </w:rPr>
              <w:t>1%),</w:t>
            </w:r>
            <w:r w:rsidR="00961CB4" w:rsidRPr="006E725C">
              <w:rPr>
                <w:spacing w:val="-4"/>
                <w:lang w:val="en-GB" w:eastAsia="en-US"/>
              </w:rPr>
              <w:t xml:space="preserve"> Great Britain </w:t>
            </w:r>
            <w:r w:rsidR="00EA1EBB" w:rsidRPr="006E725C">
              <w:rPr>
                <w:spacing w:val="-4"/>
                <w:lang w:val="en-GB" w:eastAsia="en-US"/>
              </w:rPr>
              <w:t>(+15</w:t>
            </w:r>
            <w:r w:rsidR="00961CB4" w:rsidRPr="006E725C">
              <w:rPr>
                <w:spacing w:val="-4"/>
                <w:lang w:val="en-GB" w:eastAsia="en-US"/>
              </w:rPr>
              <w:t>.</w:t>
            </w:r>
            <w:r w:rsidR="00EA1EBB" w:rsidRPr="006E725C">
              <w:rPr>
                <w:spacing w:val="-4"/>
                <w:lang w:val="en-GB" w:eastAsia="en-US"/>
              </w:rPr>
              <w:t>1</w:t>
            </w:r>
            <w:r w:rsidR="00961CB4" w:rsidRPr="006E725C">
              <w:rPr>
                <w:spacing w:val="-4"/>
                <w:lang w:val="en-GB" w:eastAsia="en-US"/>
              </w:rPr>
              <w:t xml:space="preserve"> </w:t>
            </w:r>
            <w:proofErr w:type="spellStart"/>
            <w:r w:rsidR="00961CB4" w:rsidRPr="006E725C">
              <w:rPr>
                <w:spacing w:val="-4"/>
                <w:lang w:val="en-GB" w:eastAsia="en-US"/>
              </w:rPr>
              <w:t>bn</w:t>
            </w:r>
            <w:proofErr w:type="spellEnd"/>
            <w:r w:rsidR="00EA1EBB" w:rsidRPr="006E725C">
              <w:rPr>
                <w:spacing w:val="-4"/>
                <w:lang w:val="en-GB" w:eastAsia="en-US"/>
              </w:rPr>
              <w:t>, 9</w:t>
            </w:r>
            <w:r w:rsidR="00961CB4" w:rsidRPr="006E725C">
              <w:rPr>
                <w:spacing w:val="-4"/>
                <w:lang w:val="en-GB" w:eastAsia="en-US"/>
              </w:rPr>
              <w:t>.</w:t>
            </w:r>
            <w:r w:rsidR="00EA1EBB" w:rsidRPr="006E725C">
              <w:rPr>
                <w:spacing w:val="-4"/>
                <w:lang w:val="en-GB" w:eastAsia="en-US"/>
              </w:rPr>
              <w:t>1%), Fran</w:t>
            </w:r>
            <w:r w:rsidR="00961CB4" w:rsidRPr="006E725C">
              <w:rPr>
                <w:spacing w:val="-4"/>
                <w:lang w:val="en-GB" w:eastAsia="en-US"/>
              </w:rPr>
              <w:t>c</w:t>
            </w:r>
            <w:r w:rsidR="00EA1EBB" w:rsidRPr="006E725C">
              <w:rPr>
                <w:spacing w:val="-4"/>
                <w:lang w:val="en-GB" w:eastAsia="en-US"/>
              </w:rPr>
              <w:t>e (+11</w:t>
            </w:r>
            <w:r w:rsidR="00961CB4" w:rsidRPr="006E725C">
              <w:rPr>
                <w:spacing w:val="-4"/>
                <w:lang w:val="en-GB" w:eastAsia="en-US"/>
              </w:rPr>
              <w:t>.</w:t>
            </w:r>
            <w:r w:rsidR="00EA1EBB" w:rsidRPr="006E725C">
              <w:rPr>
                <w:spacing w:val="-4"/>
                <w:lang w:val="en-GB" w:eastAsia="en-US"/>
              </w:rPr>
              <w:t>4</w:t>
            </w:r>
            <w:r w:rsidR="00961CB4" w:rsidRPr="006E725C">
              <w:rPr>
                <w:spacing w:val="-4"/>
                <w:lang w:val="en-GB" w:eastAsia="en-US"/>
              </w:rPr>
              <w:t xml:space="preserve"> </w:t>
            </w:r>
            <w:proofErr w:type="spellStart"/>
            <w:r w:rsidR="00961CB4" w:rsidRPr="006E725C">
              <w:rPr>
                <w:spacing w:val="-4"/>
                <w:lang w:val="en-GB" w:eastAsia="en-US"/>
              </w:rPr>
              <w:t>bn</w:t>
            </w:r>
            <w:proofErr w:type="spellEnd"/>
            <w:r w:rsidR="00EA1EBB" w:rsidRPr="006E725C">
              <w:rPr>
                <w:spacing w:val="-4"/>
                <w:lang w:val="en-GB" w:eastAsia="en-US"/>
              </w:rPr>
              <w:t>, 5</w:t>
            </w:r>
            <w:r w:rsidR="00961CB4" w:rsidRPr="006E725C">
              <w:rPr>
                <w:spacing w:val="-4"/>
                <w:lang w:val="en-GB" w:eastAsia="en-US"/>
              </w:rPr>
              <w:t>.</w:t>
            </w:r>
            <w:r w:rsidR="00EA1EBB" w:rsidRPr="006E725C">
              <w:rPr>
                <w:spacing w:val="-4"/>
                <w:lang w:val="en-GB" w:eastAsia="en-US"/>
              </w:rPr>
              <w:t xml:space="preserve">3%), </w:t>
            </w:r>
            <w:r w:rsidR="00961CB4" w:rsidRPr="006E725C">
              <w:rPr>
                <w:spacing w:val="-4"/>
                <w:lang w:val="en-GB" w:eastAsia="en-US"/>
              </w:rPr>
              <w:t xml:space="preserve">Germany </w:t>
            </w:r>
            <w:r w:rsidR="00EA1EBB" w:rsidRPr="006E725C">
              <w:rPr>
                <w:spacing w:val="-4"/>
                <w:lang w:val="en-GB" w:eastAsia="en-US"/>
              </w:rPr>
              <w:t>(+13</w:t>
            </w:r>
            <w:r w:rsidR="00961CB4" w:rsidRPr="006E725C">
              <w:rPr>
                <w:spacing w:val="-4"/>
                <w:lang w:val="en-GB" w:eastAsia="en-US"/>
              </w:rPr>
              <w:t>.</w:t>
            </w:r>
            <w:r w:rsidR="00EA1EBB" w:rsidRPr="006E725C">
              <w:rPr>
                <w:spacing w:val="-4"/>
                <w:lang w:val="en-GB" w:eastAsia="en-US"/>
              </w:rPr>
              <w:t>8</w:t>
            </w:r>
            <w:r w:rsidR="00961CB4" w:rsidRPr="006E725C">
              <w:rPr>
                <w:spacing w:val="-4"/>
                <w:lang w:val="en-GB" w:eastAsia="en-US"/>
              </w:rPr>
              <w:t xml:space="preserve"> </w:t>
            </w:r>
            <w:proofErr w:type="spellStart"/>
            <w:r w:rsidR="00961CB4" w:rsidRPr="006E725C">
              <w:rPr>
                <w:spacing w:val="-4"/>
                <w:lang w:val="en-GB" w:eastAsia="en-US"/>
              </w:rPr>
              <w:t>bn</w:t>
            </w:r>
            <w:proofErr w:type="spellEnd"/>
            <w:r w:rsidR="00EA1EBB" w:rsidRPr="006E725C">
              <w:rPr>
                <w:spacing w:val="-4"/>
                <w:lang w:val="en-GB" w:eastAsia="en-US"/>
              </w:rPr>
              <w:t>, 1</w:t>
            </w:r>
            <w:r w:rsidR="00961CB4" w:rsidRPr="006E725C">
              <w:rPr>
                <w:spacing w:val="-4"/>
                <w:lang w:val="en-GB" w:eastAsia="en-US"/>
              </w:rPr>
              <w:t>.</w:t>
            </w:r>
            <w:r w:rsidR="00EA1EBB" w:rsidRPr="006E725C">
              <w:rPr>
                <w:spacing w:val="-4"/>
                <w:lang w:val="en-GB" w:eastAsia="en-US"/>
              </w:rPr>
              <w:t>0%), Pol</w:t>
            </w:r>
            <w:r w:rsidR="00961CB4" w:rsidRPr="006E725C">
              <w:rPr>
                <w:spacing w:val="-4"/>
                <w:lang w:val="en-GB" w:eastAsia="en-US"/>
              </w:rPr>
              <w:t xml:space="preserve">and </w:t>
            </w:r>
            <w:r w:rsidR="00EA1EBB" w:rsidRPr="006E725C">
              <w:rPr>
                <w:spacing w:val="-4"/>
                <w:lang w:val="en-GB" w:eastAsia="en-US"/>
              </w:rPr>
              <w:t>(+10</w:t>
            </w:r>
            <w:r w:rsidR="00961CB4" w:rsidRPr="006E725C">
              <w:rPr>
                <w:spacing w:val="-4"/>
                <w:lang w:val="en-GB" w:eastAsia="en-US"/>
              </w:rPr>
              <w:t>.</w:t>
            </w:r>
            <w:r w:rsidR="00EA1EBB" w:rsidRPr="006E725C">
              <w:rPr>
                <w:spacing w:val="-4"/>
                <w:lang w:val="en-GB" w:eastAsia="en-US"/>
              </w:rPr>
              <w:t xml:space="preserve">0 </w:t>
            </w:r>
            <w:proofErr w:type="spellStart"/>
            <w:r w:rsidR="00961CB4" w:rsidRPr="006E725C">
              <w:rPr>
                <w:spacing w:val="-4"/>
                <w:lang w:val="en-GB" w:eastAsia="en-US"/>
              </w:rPr>
              <w:t>bn</w:t>
            </w:r>
            <w:proofErr w:type="spellEnd"/>
            <w:r w:rsidR="00EA1EBB" w:rsidRPr="006E725C">
              <w:rPr>
                <w:spacing w:val="-4"/>
                <w:lang w:val="en-GB" w:eastAsia="en-US"/>
              </w:rPr>
              <w:t>, 3</w:t>
            </w:r>
            <w:r w:rsidR="00961CB4" w:rsidRPr="006E725C">
              <w:rPr>
                <w:spacing w:val="-4"/>
                <w:lang w:val="en-GB" w:eastAsia="en-US"/>
              </w:rPr>
              <w:t>.</w:t>
            </w:r>
            <w:r w:rsidR="00EA1EBB" w:rsidRPr="006E725C">
              <w:rPr>
                <w:spacing w:val="-4"/>
                <w:lang w:val="en-GB" w:eastAsia="en-US"/>
              </w:rPr>
              <w:t xml:space="preserve">2%), </w:t>
            </w:r>
            <w:r w:rsidR="003B4538" w:rsidRPr="006E725C">
              <w:rPr>
                <w:spacing w:val="-4"/>
                <w:lang w:val="en-GB" w:eastAsia="en-US"/>
              </w:rPr>
              <w:t xml:space="preserve">Ukraine </w:t>
            </w:r>
            <w:r w:rsidR="00EA1EBB" w:rsidRPr="006E725C">
              <w:rPr>
                <w:spacing w:val="-4"/>
                <w:lang w:val="en-GB" w:eastAsia="en-US"/>
              </w:rPr>
              <w:t>(+9</w:t>
            </w:r>
            <w:r w:rsidR="003B4538" w:rsidRPr="006E725C">
              <w:rPr>
                <w:spacing w:val="-4"/>
                <w:lang w:val="en-GB" w:eastAsia="en-US"/>
              </w:rPr>
              <w:t>.</w:t>
            </w:r>
            <w:r w:rsidR="00EA1EBB" w:rsidRPr="006E725C">
              <w:rPr>
                <w:spacing w:val="-4"/>
                <w:lang w:val="en-GB" w:eastAsia="en-US"/>
              </w:rPr>
              <w:t>7</w:t>
            </w:r>
            <w:r w:rsidR="003B4538" w:rsidRPr="006E725C">
              <w:rPr>
                <w:spacing w:val="-4"/>
                <w:lang w:val="en-GB" w:eastAsia="en-US"/>
              </w:rPr>
              <w:t xml:space="preserve"> </w:t>
            </w:r>
            <w:proofErr w:type="spellStart"/>
            <w:r w:rsidR="003B4538" w:rsidRPr="006E725C">
              <w:rPr>
                <w:spacing w:val="-4"/>
                <w:lang w:val="en-GB" w:eastAsia="en-US"/>
              </w:rPr>
              <w:t>bn</w:t>
            </w:r>
            <w:proofErr w:type="spellEnd"/>
            <w:r w:rsidR="00EA1EBB" w:rsidRPr="006E725C">
              <w:rPr>
                <w:spacing w:val="-4"/>
                <w:lang w:val="en-GB" w:eastAsia="en-US"/>
              </w:rPr>
              <w:t>, 38</w:t>
            </w:r>
            <w:r w:rsidR="003B4538" w:rsidRPr="006E725C">
              <w:rPr>
                <w:spacing w:val="-4"/>
                <w:lang w:val="en-GB" w:eastAsia="en-US"/>
              </w:rPr>
              <w:t>.</w:t>
            </w:r>
            <w:r w:rsidR="00EA1EBB" w:rsidRPr="006E725C">
              <w:rPr>
                <w:spacing w:val="-4"/>
                <w:lang w:val="en-GB" w:eastAsia="en-US"/>
              </w:rPr>
              <w:t xml:space="preserve">1%), </w:t>
            </w:r>
            <w:r w:rsidR="003B4538" w:rsidRPr="006E725C">
              <w:rPr>
                <w:spacing w:val="-4"/>
                <w:lang w:val="en-GB" w:eastAsia="en-US"/>
              </w:rPr>
              <w:t xml:space="preserve">to Switzerland </w:t>
            </w:r>
            <w:r w:rsidR="00EA1EBB" w:rsidRPr="006E725C">
              <w:rPr>
                <w:spacing w:val="-4"/>
                <w:lang w:val="en-GB" w:eastAsia="en-US"/>
              </w:rPr>
              <w:t>(+7</w:t>
            </w:r>
            <w:r w:rsidR="003B4538" w:rsidRPr="006E725C">
              <w:rPr>
                <w:spacing w:val="-4"/>
                <w:lang w:val="en-GB" w:eastAsia="en-US"/>
              </w:rPr>
              <w:t>.</w:t>
            </w:r>
            <w:r w:rsidR="00EA1EBB" w:rsidRPr="006E725C">
              <w:rPr>
                <w:spacing w:val="-4"/>
                <w:lang w:val="en-GB" w:eastAsia="en-US"/>
              </w:rPr>
              <w:t>0</w:t>
            </w:r>
            <w:r w:rsidR="003B4538" w:rsidRPr="006E725C">
              <w:rPr>
                <w:spacing w:val="-4"/>
                <w:lang w:val="en-GB" w:eastAsia="en-US"/>
              </w:rPr>
              <w:t xml:space="preserve"> </w:t>
            </w:r>
            <w:proofErr w:type="spellStart"/>
            <w:r w:rsidR="003B4538" w:rsidRPr="006E725C">
              <w:rPr>
                <w:spacing w:val="-4"/>
                <w:lang w:val="en-GB" w:eastAsia="en-US"/>
              </w:rPr>
              <w:t>bn</w:t>
            </w:r>
            <w:proofErr w:type="spellEnd"/>
            <w:r w:rsidR="003B4538" w:rsidRPr="006E725C">
              <w:rPr>
                <w:spacing w:val="-4"/>
                <w:lang w:val="en-GB" w:eastAsia="en-US"/>
              </w:rPr>
              <w:t>,</w:t>
            </w:r>
            <w:r w:rsidR="00EA1EBB" w:rsidRPr="006E725C">
              <w:rPr>
                <w:spacing w:val="-4"/>
                <w:lang w:val="en-GB" w:eastAsia="en-US"/>
              </w:rPr>
              <w:t xml:space="preserve"> 9</w:t>
            </w:r>
            <w:r w:rsidR="003B4538" w:rsidRPr="006E725C">
              <w:rPr>
                <w:spacing w:val="-4"/>
                <w:lang w:val="en-GB" w:eastAsia="en-US"/>
              </w:rPr>
              <w:t>.</w:t>
            </w:r>
            <w:r w:rsidR="00EA1EBB" w:rsidRPr="006E725C">
              <w:rPr>
                <w:spacing w:val="-4"/>
                <w:lang w:val="en-GB" w:eastAsia="en-US"/>
              </w:rPr>
              <w:t>4%) a</w:t>
            </w:r>
            <w:r w:rsidR="003B4538" w:rsidRPr="006E725C">
              <w:rPr>
                <w:spacing w:val="-4"/>
                <w:lang w:val="en-GB" w:eastAsia="en-US"/>
              </w:rPr>
              <w:t xml:space="preserve">nd to Hungary </w:t>
            </w:r>
            <w:r w:rsidR="00EA1EBB" w:rsidRPr="006E725C">
              <w:rPr>
                <w:spacing w:val="-4"/>
                <w:lang w:val="en-GB" w:eastAsia="en-US"/>
              </w:rPr>
              <w:t>(+5</w:t>
            </w:r>
            <w:r w:rsidR="003B4538" w:rsidRPr="006E725C">
              <w:rPr>
                <w:spacing w:val="-4"/>
                <w:lang w:val="en-GB" w:eastAsia="en-US"/>
              </w:rPr>
              <w:t>.</w:t>
            </w:r>
            <w:r w:rsidR="00EA1EBB" w:rsidRPr="006E725C">
              <w:rPr>
                <w:spacing w:val="-4"/>
                <w:lang w:val="en-GB" w:eastAsia="en-US"/>
              </w:rPr>
              <w:t>1</w:t>
            </w:r>
            <w:r w:rsidR="003B4538" w:rsidRPr="006E725C">
              <w:rPr>
                <w:spacing w:val="-4"/>
                <w:lang w:val="en-GB" w:eastAsia="en-US"/>
              </w:rPr>
              <w:t xml:space="preserve"> </w:t>
            </w:r>
            <w:proofErr w:type="spellStart"/>
            <w:r w:rsidR="003B4538" w:rsidRPr="006E725C">
              <w:rPr>
                <w:spacing w:val="-4"/>
                <w:lang w:val="en-GB" w:eastAsia="en-US"/>
              </w:rPr>
              <w:t>bn</w:t>
            </w:r>
            <w:proofErr w:type="spellEnd"/>
            <w:r w:rsidR="00EA1EBB" w:rsidRPr="006E725C">
              <w:rPr>
                <w:spacing w:val="-4"/>
                <w:lang w:val="en-GB" w:eastAsia="en-US"/>
              </w:rPr>
              <w:t>, 3</w:t>
            </w:r>
            <w:r w:rsidR="003B4538" w:rsidRPr="006E725C">
              <w:rPr>
                <w:spacing w:val="-4"/>
                <w:lang w:val="en-GB" w:eastAsia="en-US"/>
              </w:rPr>
              <w:t>.</w:t>
            </w:r>
            <w:r w:rsidR="00EA1EBB" w:rsidRPr="006E725C">
              <w:rPr>
                <w:spacing w:val="-4"/>
                <w:lang w:val="en-GB" w:eastAsia="en-US"/>
              </w:rPr>
              <w:t>9%)</w:t>
            </w:r>
            <w:r w:rsidR="00AB0596" w:rsidRPr="006E725C">
              <w:rPr>
                <w:spacing w:val="-4"/>
                <w:lang w:val="en-GB" w:eastAsia="en-US"/>
              </w:rPr>
              <w:t xml:space="preserve"> last year</w:t>
            </w:r>
            <w:r w:rsidR="00EA1EBB" w:rsidRPr="006E725C">
              <w:rPr>
                <w:spacing w:val="-4"/>
                <w:lang w:val="en-GB" w:eastAsia="en-US"/>
              </w:rPr>
              <w:t xml:space="preserve">. </w:t>
            </w:r>
            <w:r w:rsidR="005E7BB3" w:rsidRPr="006E725C">
              <w:rPr>
                <w:spacing w:val="-4"/>
                <w:lang w:val="en-GB" w:eastAsia="en-US"/>
              </w:rPr>
              <w:t>On the other hand</w:t>
            </w:r>
            <w:r w:rsidR="0066063F" w:rsidRPr="006E725C">
              <w:rPr>
                <w:spacing w:val="-4"/>
                <w:lang w:val="en-GB" w:eastAsia="en-US"/>
              </w:rPr>
              <w:t xml:space="preserve">, exports of goods </w:t>
            </w:r>
            <w:r w:rsidR="00D47573" w:rsidRPr="006E725C">
              <w:rPr>
                <w:spacing w:val="-4"/>
                <w:lang w:val="en-GB" w:eastAsia="en-US"/>
              </w:rPr>
              <w:t xml:space="preserve">sank </w:t>
            </w:r>
            <w:r w:rsidR="00721BE1" w:rsidRPr="006E725C">
              <w:rPr>
                <w:spacing w:val="-4"/>
                <w:lang w:val="en-GB" w:eastAsia="en-US"/>
              </w:rPr>
              <w:t>to Slovakia</w:t>
            </w:r>
            <w:r w:rsidR="00D47573" w:rsidRPr="006E725C">
              <w:rPr>
                <w:spacing w:val="-4"/>
                <w:lang w:val="en-GB" w:eastAsia="en-US"/>
              </w:rPr>
              <w:t xml:space="preserve"> </w:t>
            </w:r>
            <w:r w:rsidR="00EA1EBB" w:rsidRPr="006E725C">
              <w:rPr>
                <w:spacing w:val="-4"/>
                <w:lang w:val="en-GB" w:eastAsia="en-US"/>
              </w:rPr>
              <w:t>(−32</w:t>
            </w:r>
            <w:r w:rsidR="00D47573" w:rsidRPr="006E725C">
              <w:rPr>
                <w:spacing w:val="-4"/>
                <w:lang w:val="en-GB" w:eastAsia="en-US"/>
              </w:rPr>
              <w:t>.</w:t>
            </w:r>
            <w:r w:rsidR="00EA1EBB" w:rsidRPr="006E725C">
              <w:rPr>
                <w:spacing w:val="-4"/>
                <w:lang w:val="en-GB" w:eastAsia="en-US"/>
              </w:rPr>
              <w:t>3</w:t>
            </w:r>
            <w:r w:rsidR="00D47573"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−7</w:t>
            </w:r>
            <w:r w:rsidR="00D47573" w:rsidRPr="006E725C">
              <w:rPr>
                <w:spacing w:val="-4"/>
                <w:lang w:val="en-GB" w:eastAsia="en-US"/>
              </w:rPr>
              <w:t>.</w:t>
            </w:r>
            <w:r w:rsidR="00EA1EBB" w:rsidRPr="006E725C">
              <w:rPr>
                <w:spacing w:val="-4"/>
                <w:lang w:val="en-GB" w:eastAsia="en-US"/>
              </w:rPr>
              <w:t>2%),</w:t>
            </w:r>
            <w:r w:rsidR="00D47573" w:rsidRPr="006E725C">
              <w:rPr>
                <w:spacing w:val="-4"/>
                <w:lang w:val="en-GB" w:eastAsia="en-US"/>
              </w:rPr>
              <w:t xml:space="preserve"> to Austria </w:t>
            </w:r>
            <w:r w:rsidR="00EA1EBB" w:rsidRPr="006E725C">
              <w:rPr>
                <w:spacing w:val="-4"/>
                <w:lang w:val="en-GB" w:eastAsia="en-US"/>
              </w:rPr>
              <w:t>(−22</w:t>
            </w:r>
            <w:r w:rsidR="00D47573" w:rsidRPr="006E725C">
              <w:rPr>
                <w:spacing w:val="-4"/>
                <w:lang w:val="en-GB" w:eastAsia="en-US"/>
              </w:rPr>
              <w:t>.</w:t>
            </w:r>
            <w:r w:rsidR="00EA1EBB" w:rsidRPr="006E725C">
              <w:rPr>
                <w:spacing w:val="-4"/>
                <w:lang w:val="en-GB" w:eastAsia="en-US"/>
              </w:rPr>
              <w:t>3</w:t>
            </w:r>
            <w:r w:rsidR="00D47573" w:rsidRPr="006E725C">
              <w:rPr>
                <w:spacing w:val="-4"/>
                <w:lang w:val="en-GB" w:eastAsia="en-US"/>
              </w:rPr>
              <w:t xml:space="preserve"> </w:t>
            </w:r>
            <w:proofErr w:type="spellStart"/>
            <w:r w:rsidR="00D47573" w:rsidRPr="006E725C">
              <w:rPr>
                <w:spacing w:val="-4"/>
                <w:lang w:val="en-GB" w:eastAsia="en-US"/>
              </w:rPr>
              <w:t>bn</w:t>
            </w:r>
            <w:proofErr w:type="spellEnd"/>
            <w:r w:rsidR="00EA1EBB" w:rsidRPr="006E725C">
              <w:rPr>
                <w:spacing w:val="-4"/>
                <w:lang w:val="en-GB" w:eastAsia="en-US"/>
              </w:rPr>
              <w:t>, −11</w:t>
            </w:r>
            <w:r w:rsidR="00D47573" w:rsidRPr="006E725C">
              <w:rPr>
                <w:spacing w:val="-4"/>
                <w:lang w:val="en-GB" w:eastAsia="en-US"/>
              </w:rPr>
              <w:t>.</w:t>
            </w:r>
            <w:r w:rsidR="00EA1EBB" w:rsidRPr="006E725C">
              <w:rPr>
                <w:spacing w:val="-4"/>
                <w:lang w:val="en-GB" w:eastAsia="en-US"/>
              </w:rPr>
              <w:t xml:space="preserve">1%) </w:t>
            </w:r>
            <w:r w:rsidR="00D47573" w:rsidRPr="006E725C">
              <w:rPr>
                <w:spacing w:val="-4"/>
                <w:lang w:val="en-GB" w:eastAsia="en-US"/>
              </w:rPr>
              <w:t xml:space="preserve">or to Russia </w:t>
            </w:r>
            <w:r w:rsidR="00EA1EBB" w:rsidRPr="006E725C">
              <w:rPr>
                <w:spacing w:val="-4"/>
                <w:lang w:val="en-GB" w:eastAsia="en-US"/>
              </w:rPr>
              <w:t>(−16</w:t>
            </w:r>
            <w:r w:rsidR="00D47573" w:rsidRPr="006E725C">
              <w:rPr>
                <w:spacing w:val="-4"/>
                <w:lang w:val="en-GB" w:eastAsia="en-US"/>
              </w:rPr>
              <w:t>.</w:t>
            </w:r>
            <w:r w:rsidR="00EA1EBB" w:rsidRPr="006E725C">
              <w:rPr>
                <w:spacing w:val="-4"/>
                <w:lang w:val="en-GB" w:eastAsia="en-US"/>
              </w:rPr>
              <w:t xml:space="preserve">9 </w:t>
            </w:r>
            <w:proofErr w:type="spellStart"/>
            <w:r w:rsidR="00D47573" w:rsidRPr="006E725C">
              <w:rPr>
                <w:spacing w:val="-4"/>
                <w:lang w:val="en-GB" w:eastAsia="en-US"/>
              </w:rPr>
              <w:t>bn</w:t>
            </w:r>
            <w:proofErr w:type="spellEnd"/>
            <w:r w:rsidR="00EA1EBB" w:rsidRPr="006E725C">
              <w:rPr>
                <w:spacing w:val="-4"/>
                <w:lang w:val="en-GB" w:eastAsia="en-US"/>
              </w:rPr>
              <w:t>, −52</w:t>
            </w:r>
            <w:r w:rsidR="00D47573" w:rsidRPr="006E725C">
              <w:rPr>
                <w:spacing w:val="-4"/>
                <w:lang w:val="en-GB" w:eastAsia="en-US"/>
              </w:rPr>
              <w:t>.</w:t>
            </w:r>
            <w:r w:rsidR="00EA1EBB" w:rsidRPr="006E725C">
              <w:rPr>
                <w:spacing w:val="-4"/>
                <w:lang w:val="en-GB" w:eastAsia="en-US"/>
              </w:rPr>
              <w:t xml:space="preserve">3%). </w:t>
            </w:r>
            <w:r w:rsidR="00A05C51" w:rsidRPr="006E725C">
              <w:rPr>
                <w:spacing w:val="-4"/>
                <w:lang w:val="en-GB" w:eastAsia="en-US"/>
              </w:rPr>
              <w:t xml:space="preserve">More </w:t>
            </w:r>
            <w:r w:rsidR="00881DFE" w:rsidRPr="006E725C">
              <w:rPr>
                <w:spacing w:val="-4"/>
                <w:lang w:val="en-GB" w:eastAsia="en-US"/>
              </w:rPr>
              <w:t>detailed</w:t>
            </w:r>
            <w:r w:rsidR="00A05C51" w:rsidRPr="006E725C">
              <w:rPr>
                <w:spacing w:val="-4"/>
                <w:lang w:val="en-GB" w:eastAsia="en-US"/>
              </w:rPr>
              <w:t xml:space="preserve"> view of </w:t>
            </w:r>
            <w:r w:rsidR="00881DFE" w:rsidRPr="006E725C">
              <w:rPr>
                <w:spacing w:val="-4"/>
                <w:lang w:val="en-GB" w:eastAsia="en-US"/>
              </w:rPr>
              <w:t xml:space="preserve">smaller business partners shows the ongoing sharp growth of exports to </w:t>
            </w:r>
            <w:r w:rsidR="007907D5" w:rsidRPr="006E725C">
              <w:rPr>
                <w:spacing w:val="-4"/>
                <w:lang w:val="en-GB" w:eastAsia="en-US"/>
              </w:rPr>
              <w:t>Azerbaijan</w:t>
            </w:r>
            <w:r w:rsidR="00881DFE" w:rsidRPr="006E725C">
              <w:rPr>
                <w:spacing w:val="-4"/>
                <w:lang w:val="en-GB" w:eastAsia="en-US"/>
              </w:rPr>
              <w:t xml:space="preserve"> </w:t>
            </w:r>
            <w:r w:rsidR="00EA1EBB" w:rsidRPr="006E725C">
              <w:rPr>
                <w:spacing w:val="-4"/>
                <w:lang w:val="en-GB" w:eastAsia="en-US"/>
              </w:rPr>
              <w:t>(+1</w:t>
            </w:r>
            <w:r w:rsidR="007907D5" w:rsidRPr="006E725C">
              <w:rPr>
                <w:spacing w:val="-4"/>
                <w:lang w:val="en-GB" w:eastAsia="en-US"/>
              </w:rPr>
              <w:t>.</w:t>
            </w:r>
            <w:r w:rsidR="00EA1EBB" w:rsidRPr="006E725C">
              <w:rPr>
                <w:spacing w:val="-4"/>
                <w:lang w:val="en-GB" w:eastAsia="en-US"/>
              </w:rPr>
              <w:t>4</w:t>
            </w:r>
            <w:r w:rsidR="007907D5"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49</w:t>
            </w:r>
            <w:r w:rsidR="007907D5" w:rsidRPr="006E725C">
              <w:rPr>
                <w:spacing w:val="-4"/>
                <w:lang w:val="en-GB" w:eastAsia="en-US"/>
              </w:rPr>
              <w:t>.</w:t>
            </w:r>
            <w:r w:rsidR="00EA1EBB" w:rsidRPr="006E725C">
              <w:rPr>
                <w:spacing w:val="-4"/>
                <w:lang w:val="en-GB" w:eastAsia="en-US"/>
              </w:rPr>
              <w:t>7%) a</w:t>
            </w:r>
            <w:r w:rsidR="007907D5" w:rsidRPr="006E725C">
              <w:rPr>
                <w:spacing w:val="-4"/>
                <w:lang w:val="en-GB" w:eastAsia="en-US"/>
              </w:rPr>
              <w:t xml:space="preserve">nd marked increase of exports to Indonesia </w:t>
            </w:r>
            <w:r w:rsidR="00EA1EBB" w:rsidRPr="006E725C">
              <w:rPr>
                <w:spacing w:val="-4"/>
                <w:lang w:val="en-GB" w:eastAsia="en-US"/>
              </w:rPr>
              <w:t>(+1</w:t>
            </w:r>
            <w:r w:rsidR="007907D5" w:rsidRPr="006E725C">
              <w:rPr>
                <w:spacing w:val="-4"/>
                <w:lang w:val="en-GB" w:eastAsia="en-US"/>
              </w:rPr>
              <w:t>.</w:t>
            </w:r>
            <w:r w:rsidR="00EA1EBB" w:rsidRPr="006E725C">
              <w:rPr>
                <w:spacing w:val="-4"/>
                <w:lang w:val="en-GB" w:eastAsia="en-US"/>
              </w:rPr>
              <w:t>6</w:t>
            </w:r>
            <w:r w:rsidR="007907D5" w:rsidRPr="006E725C">
              <w:rPr>
                <w:spacing w:val="-4"/>
                <w:lang w:val="en-GB" w:eastAsia="en-US"/>
              </w:rPr>
              <w:t xml:space="preserve"> </w:t>
            </w:r>
            <w:proofErr w:type="spellStart"/>
            <w:r w:rsidR="007907D5" w:rsidRPr="006E725C">
              <w:rPr>
                <w:spacing w:val="-4"/>
                <w:lang w:val="en-GB" w:eastAsia="en-US"/>
              </w:rPr>
              <w:t>bn</w:t>
            </w:r>
            <w:proofErr w:type="spellEnd"/>
            <w:r w:rsidR="00EA1EBB" w:rsidRPr="006E725C">
              <w:rPr>
                <w:spacing w:val="-4"/>
                <w:lang w:val="en-GB" w:eastAsia="en-US"/>
              </w:rPr>
              <w:t>, 74</w:t>
            </w:r>
            <w:r w:rsidR="007907D5" w:rsidRPr="006E725C">
              <w:rPr>
                <w:spacing w:val="-4"/>
                <w:lang w:val="en-GB" w:eastAsia="en-US"/>
              </w:rPr>
              <w:t>.</w:t>
            </w:r>
            <w:r w:rsidR="00EA1EBB" w:rsidRPr="006E725C">
              <w:rPr>
                <w:spacing w:val="-4"/>
                <w:lang w:val="en-GB" w:eastAsia="en-US"/>
              </w:rPr>
              <w:t>0%).</w:t>
            </w:r>
            <w:r w:rsidR="00E4529D" w:rsidRPr="006E725C">
              <w:rPr>
                <w:spacing w:val="-4"/>
                <w:lang w:val="en-GB" w:eastAsia="en-US"/>
              </w:rPr>
              <w:t xml:space="preserve"> The</w:t>
            </w:r>
            <w:r w:rsidR="004878F0" w:rsidRPr="006E725C">
              <w:rPr>
                <w:spacing w:val="-4"/>
                <w:lang w:val="en-GB" w:eastAsia="en-US"/>
              </w:rPr>
              <w:t xml:space="preserve"> exports into the European Union </w:t>
            </w:r>
            <w:r w:rsidR="000A288C" w:rsidRPr="006E725C">
              <w:rPr>
                <w:spacing w:val="-4"/>
                <w:lang w:val="en-GB" w:eastAsia="en-US"/>
              </w:rPr>
              <w:t xml:space="preserve">slumped </w:t>
            </w:r>
            <w:r w:rsidR="00C653D5" w:rsidRPr="006E725C">
              <w:rPr>
                <w:spacing w:val="-4"/>
                <w:lang w:val="en-GB" w:eastAsia="en-US"/>
              </w:rPr>
              <w:t xml:space="preserve">by </w:t>
            </w:r>
            <w:r w:rsidR="00EA1EBB" w:rsidRPr="006E725C">
              <w:rPr>
                <w:spacing w:val="-4"/>
                <w:lang w:val="en-GB" w:eastAsia="en-US"/>
              </w:rPr>
              <w:t>20</w:t>
            </w:r>
            <w:r w:rsidR="00C653D5" w:rsidRPr="006E725C">
              <w:rPr>
                <w:spacing w:val="-4"/>
                <w:lang w:val="en-GB" w:eastAsia="en-US"/>
              </w:rPr>
              <w:t>.</w:t>
            </w:r>
            <w:r w:rsidR="00EA1EBB" w:rsidRPr="006E725C">
              <w:rPr>
                <w:spacing w:val="-4"/>
                <w:lang w:val="en-GB" w:eastAsia="en-US"/>
              </w:rPr>
              <w:t>0</w:t>
            </w:r>
            <w:r w:rsidR="00C653D5"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C653D5" w:rsidRPr="006E725C">
              <w:rPr>
                <w:spacing w:val="-4"/>
                <w:lang w:val="en-GB" w:eastAsia="en-US"/>
              </w:rPr>
              <w:t xml:space="preserve"> year-on-year </w:t>
            </w:r>
            <w:r w:rsidR="00EA1EBB" w:rsidRPr="006E725C">
              <w:rPr>
                <w:spacing w:val="-4"/>
                <w:lang w:val="en-GB" w:eastAsia="en-US"/>
              </w:rPr>
              <w:t>(−2</w:t>
            </w:r>
            <w:r w:rsidR="00C653D5" w:rsidRPr="006E725C">
              <w:rPr>
                <w:spacing w:val="-4"/>
                <w:lang w:val="en-GB" w:eastAsia="en-US"/>
              </w:rPr>
              <w:t>.</w:t>
            </w:r>
            <w:r w:rsidR="00EA1EBB" w:rsidRPr="006E725C">
              <w:rPr>
                <w:spacing w:val="-4"/>
                <w:lang w:val="en-GB" w:eastAsia="en-US"/>
              </w:rPr>
              <w:t>2%)</w:t>
            </w:r>
            <w:r w:rsidR="00E4529D" w:rsidRPr="006E725C">
              <w:rPr>
                <w:spacing w:val="-4"/>
                <w:lang w:val="en-GB" w:eastAsia="en-US"/>
              </w:rPr>
              <w:t xml:space="preserve"> in Q4 2023 itself</w:t>
            </w:r>
            <w:r w:rsidR="00EA1EBB" w:rsidRPr="006E725C">
              <w:rPr>
                <w:spacing w:val="-4"/>
                <w:lang w:val="en-GB" w:eastAsia="en-US"/>
              </w:rPr>
              <w:t>.</w:t>
            </w:r>
            <w:r w:rsidR="00E4529D" w:rsidRPr="006E725C">
              <w:rPr>
                <w:spacing w:val="-4"/>
                <w:lang w:val="en-GB" w:eastAsia="en-US"/>
              </w:rPr>
              <w:t xml:space="preserve"> On the contrary, the value of goods exported outside the EU expanded </w:t>
            </w:r>
            <w:r w:rsidR="00EA1EBB" w:rsidRPr="006E725C">
              <w:rPr>
                <w:spacing w:val="-4"/>
                <w:lang w:val="en-GB" w:eastAsia="en-US"/>
              </w:rPr>
              <w:t>(+12</w:t>
            </w:r>
            <w:r w:rsidR="00E4529D" w:rsidRPr="006E725C">
              <w:rPr>
                <w:spacing w:val="-4"/>
                <w:lang w:val="en-GB" w:eastAsia="en-US"/>
              </w:rPr>
              <w:t>.</w:t>
            </w:r>
            <w:r w:rsidR="00EA1EBB" w:rsidRPr="006E725C">
              <w:rPr>
                <w:spacing w:val="-4"/>
                <w:lang w:val="en-GB" w:eastAsia="en-US"/>
              </w:rPr>
              <w:t>4</w:t>
            </w:r>
            <w:r w:rsidR="00E4529D"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5</w:t>
            </w:r>
            <w:r w:rsidR="00E4529D" w:rsidRPr="006E725C">
              <w:rPr>
                <w:spacing w:val="-4"/>
                <w:lang w:val="en-GB" w:eastAsia="en-US"/>
              </w:rPr>
              <w:t>.</w:t>
            </w:r>
            <w:r w:rsidR="00EA1EBB" w:rsidRPr="006E725C">
              <w:rPr>
                <w:spacing w:val="-4"/>
                <w:lang w:val="en-GB" w:eastAsia="en-US"/>
              </w:rPr>
              <w:t xml:space="preserve">4%). </w:t>
            </w:r>
            <w:r w:rsidR="006D766A" w:rsidRPr="006E725C">
              <w:rPr>
                <w:spacing w:val="-4"/>
                <w:lang w:val="en-GB" w:eastAsia="en-US"/>
              </w:rPr>
              <w:t xml:space="preserve">The value of exports decreased the most year-on-year to Germany </w:t>
            </w:r>
            <w:r w:rsidR="00EA1EBB" w:rsidRPr="006E725C">
              <w:rPr>
                <w:spacing w:val="-4"/>
                <w:lang w:val="en-GB" w:eastAsia="en-US"/>
              </w:rPr>
              <w:t>(−15</w:t>
            </w:r>
            <w:r w:rsidR="006D766A" w:rsidRPr="006E725C">
              <w:rPr>
                <w:spacing w:val="-4"/>
                <w:lang w:val="en-GB" w:eastAsia="en-US"/>
              </w:rPr>
              <w:t>.</w:t>
            </w:r>
            <w:r w:rsidR="00EA1EBB" w:rsidRPr="006E725C">
              <w:rPr>
                <w:spacing w:val="-4"/>
                <w:lang w:val="en-GB" w:eastAsia="en-US"/>
              </w:rPr>
              <w:t>2</w:t>
            </w:r>
            <w:r w:rsidR="006D766A"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−4</w:t>
            </w:r>
            <w:r w:rsidR="006D766A" w:rsidRPr="006E725C">
              <w:rPr>
                <w:spacing w:val="-4"/>
                <w:lang w:val="en-GB" w:eastAsia="en-US"/>
              </w:rPr>
              <w:t>.</w:t>
            </w:r>
            <w:r w:rsidR="00EA1EBB" w:rsidRPr="006E725C">
              <w:rPr>
                <w:spacing w:val="-4"/>
                <w:lang w:val="en-GB" w:eastAsia="en-US"/>
              </w:rPr>
              <w:t>5%) a</w:t>
            </w:r>
            <w:r w:rsidR="006D766A" w:rsidRPr="006E725C">
              <w:rPr>
                <w:spacing w:val="-4"/>
                <w:lang w:val="en-GB" w:eastAsia="en-US"/>
              </w:rPr>
              <w:t xml:space="preserve">nd to Austria </w:t>
            </w:r>
            <w:r w:rsidR="00EA1EBB" w:rsidRPr="006E725C">
              <w:rPr>
                <w:spacing w:val="-4"/>
                <w:lang w:val="en-GB" w:eastAsia="en-US"/>
              </w:rPr>
              <w:t>(−7</w:t>
            </w:r>
            <w:r w:rsidR="006D766A" w:rsidRPr="006E725C">
              <w:rPr>
                <w:spacing w:val="-4"/>
                <w:lang w:val="en-GB" w:eastAsia="en-US"/>
              </w:rPr>
              <w:t>.</w:t>
            </w:r>
            <w:r w:rsidR="00EA1EBB" w:rsidRPr="006E725C">
              <w:rPr>
                <w:spacing w:val="-4"/>
                <w:lang w:val="en-GB" w:eastAsia="en-US"/>
              </w:rPr>
              <w:t>5</w:t>
            </w:r>
            <w:r w:rsidR="006D766A" w:rsidRPr="006E725C">
              <w:rPr>
                <w:spacing w:val="-4"/>
                <w:lang w:val="en-GB" w:eastAsia="en-US"/>
              </w:rPr>
              <w:t xml:space="preserve"> </w:t>
            </w:r>
            <w:proofErr w:type="spellStart"/>
            <w:r w:rsidR="006D766A" w:rsidRPr="006E725C">
              <w:rPr>
                <w:spacing w:val="-4"/>
                <w:lang w:val="en-GB" w:eastAsia="en-US"/>
              </w:rPr>
              <w:t>bn</w:t>
            </w:r>
            <w:proofErr w:type="spellEnd"/>
            <w:r w:rsidR="00EA1EBB" w:rsidRPr="006E725C">
              <w:rPr>
                <w:spacing w:val="-4"/>
                <w:lang w:val="en-GB" w:eastAsia="en-US"/>
              </w:rPr>
              <w:t>, −15</w:t>
            </w:r>
            <w:r w:rsidR="006D766A" w:rsidRPr="006E725C">
              <w:rPr>
                <w:spacing w:val="-4"/>
                <w:lang w:val="en-GB" w:eastAsia="en-US"/>
              </w:rPr>
              <w:t>.</w:t>
            </w:r>
            <w:r w:rsidR="00EA1EBB" w:rsidRPr="006E725C">
              <w:rPr>
                <w:spacing w:val="-4"/>
                <w:lang w:val="en-GB" w:eastAsia="en-US"/>
              </w:rPr>
              <w:t>2%).</w:t>
            </w:r>
            <w:r w:rsidR="006D766A" w:rsidRPr="006E725C">
              <w:rPr>
                <w:spacing w:val="-4"/>
                <w:lang w:val="en-GB" w:eastAsia="en-US"/>
              </w:rPr>
              <w:t xml:space="preserve"> The decrease was recorded also for the exports to Spain </w:t>
            </w:r>
            <w:r w:rsidR="00EA1EBB" w:rsidRPr="006E725C">
              <w:rPr>
                <w:spacing w:val="-4"/>
                <w:lang w:val="en-GB" w:eastAsia="en-US"/>
              </w:rPr>
              <w:t>(−3</w:t>
            </w:r>
            <w:r w:rsidR="00934B2A" w:rsidRPr="006E725C">
              <w:rPr>
                <w:spacing w:val="-4"/>
                <w:lang w:val="en-GB" w:eastAsia="en-US"/>
              </w:rPr>
              <w:t>.</w:t>
            </w:r>
            <w:r w:rsidR="00EA1EBB" w:rsidRPr="006E725C">
              <w:rPr>
                <w:spacing w:val="-4"/>
                <w:lang w:val="en-GB" w:eastAsia="en-US"/>
              </w:rPr>
              <w:t>4</w:t>
            </w:r>
            <w:r w:rsidR="00934B2A"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−10</w:t>
            </w:r>
            <w:r w:rsidR="00934B2A" w:rsidRPr="006E725C">
              <w:rPr>
                <w:spacing w:val="-4"/>
                <w:lang w:val="en-GB" w:eastAsia="en-US"/>
              </w:rPr>
              <w:t>.</w:t>
            </w:r>
            <w:r w:rsidR="00EA1EBB" w:rsidRPr="006E725C">
              <w:rPr>
                <w:spacing w:val="-4"/>
                <w:lang w:val="en-GB" w:eastAsia="en-US"/>
              </w:rPr>
              <w:t xml:space="preserve">0%), </w:t>
            </w:r>
            <w:r w:rsidR="00934B2A" w:rsidRPr="006E725C">
              <w:rPr>
                <w:spacing w:val="-4"/>
                <w:lang w:val="en-GB" w:eastAsia="en-US"/>
              </w:rPr>
              <w:t xml:space="preserve">to Slovakia </w:t>
            </w:r>
            <w:r w:rsidR="00EA1EBB" w:rsidRPr="006E725C">
              <w:rPr>
                <w:spacing w:val="-4"/>
                <w:lang w:val="en-GB" w:eastAsia="en-US"/>
              </w:rPr>
              <w:t>(−2</w:t>
            </w:r>
            <w:r w:rsidR="00934B2A" w:rsidRPr="006E725C">
              <w:rPr>
                <w:spacing w:val="-4"/>
                <w:lang w:val="en-GB" w:eastAsia="en-US"/>
              </w:rPr>
              <w:t>.</w:t>
            </w:r>
            <w:r w:rsidR="00EA1EBB" w:rsidRPr="006E725C">
              <w:rPr>
                <w:spacing w:val="-4"/>
                <w:lang w:val="en-GB" w:eastAsia="en-US"/>
              </w:rPr>
              <w:t>9</w:t>
            </w:r>
            <w:r w:rsidR="00934B2A" w:rsidRPr="006E725C">
              <w:rPr>
                <w:spacing w:val="-4"/>
                <w:lang w:val="en-GB" w:eastAsia="en-US"/>
              </w:rPr>
              <w:t xml:space="preserve"> </w:t>
            </w:r>
            <w:proofErr w:type="spellStart"/>
            <w:r w:rsidR="00934B2A" w:rsidRPr="006E725C">
              <w:rPr>
                <w:spacing w:val="-4"/>
                <w:lang w:val="en-GB" w:eastAsia="en-US"/>
              </w:rPr>
              <w:t>bn</w:t>
            </w:r>
            <w:proofErr w:type="spellEnd"/>
            <w:r w:rsidR="00EA1EBB" w:rsidRPr="006E725C">
              <w:rPr>
                <w:spacing w:val="-4"/>
                <w:lang w:val="en-GB" w:eastAsia="en-US"/>
              </w:rPr>
              <w:t>, −2</w:t>
            </w:r>
            <w:r w:rsidR="00934B2A" w:rsidRPr="006E725C">
              <w:rPr>
                <w:spacing w:val="-4"/>
                <w:lang w:val="en-GB" w:eastAsia="en-US"/>
              </w:rPr>
              <w:t>.</w:t>
            </w:r>
            <w:r w:rsidR="00EA1EBB" w:rsidRPr="006E725C">
              <w:rPr>
                <w:spacing w:val="-4"/>
                <w:lang w:val="en-GB" w:eastAsia="en-US"/>
              </w:rPr>
              <w:t>5%),</w:t>
            </w:r>
            <w:r w:rsidR="00934B2A" w:rsidRPr="006E725C">
              <w:rPr>
                <w:spacing w:val="-4"/>
                <w:lang w:val="en-GB" w:eastAsia="en-US"/>
              </w:rPr>
              <w:t xml:space="preserve"> to Italy </w:t>
            </w:r>
            <w:r w:rsidR="00EA1EBB" w:rsidRPr="006E725C">
              <w:rPr>
                <w:spacing w:val="-4"/>
                <w:lang w:val="en-GB" w:eastAsia="en-US"/>
              </w:rPr>
              <w:t>(−2</w:t>
            </w:r>
            <w:r w:rsidR="00934B2A" w:rsidRPr="006E725C">
              <w:rPr>
                <w:spacing w:val="-4"/>
                <w:lang w:val="en-GB" w:eastAsia="en-US"/>
              </w:rPr>
              <w:t>.</w:t>
            </w:r>
            <w:r w:rsidR="00EA1EBB" w:rsidRPr="006E725C">
              <w:rPr>
                <w:spacing w:val="-4"/>
                <w:lang w:val="en-GB" w:eastAsia="en-US"/>
              </w:rPr>
              <w:t>4</w:t>
            </w:r>
            <w:r w:rsidR="00934B2A" w:rsidRPr="006E725C">
              <w:rPr>
                <w:spacing w:val="-4"/>
                <w:lang w:val="en-GB" w:eastAsia="en-US"/>
              </w:rPr>
              <w:t xml:space="preserve"> </w:t>
            </w:r>
            <w:proofErr w:type="spellStart"/>
            <w:r w:rsidR="00934B2A" w:rsidRPr="006E725C">
              <w:rPr>
                <w:spacing w:val="-4"/>
                <w:lang w:val="en-GB" w:eastAsia="en-US"/>
              </w:rPr>
              <w:t>bn</w:t>
            </w:r>
            <w:proofErr w:type="spellEnd"/>
            <w:r w:rsidR="00EA1EBB" w:rsidRPr="006E725C">
              <w:rPr>
                <w:spacing w:val="-4"/>
                <w:lang w:val="en-GB" w:eastAsia="en-US"/>
              </w:rPr>
              <w:t>, −5</w:t>
            </w:r>
            <w:r w:rsidR="00934B2A" w:rsidRPr="006E725C">
              <w:rPr>
                <w:spacing w:val="-4"/>
                <w:lang w:val="en-GB" w:eastAsia="en-US"/>
              </w:rPr>
              <w:t>.</w:t>
            </w:r>
            <w:r w:rsidR="00EA1EBB" w:rsidRPr="006E725C">
              <w:rPr>
                <w:spacing w:val="-4"/>
                <w:lang w:val="en-GB" w:eastAsia="en-US"/>
              </w:rPr>
              <w:t xml:space="preserve">0%), </w:t>
            </w:r>
            <w:r w:rsidR="00934B2A" w:rsidRPr="006E725C">
              <w:rPr>
                <w:spacing w:val="-4"/>
                <w:lang w:val="en-GB" w:eastAsia="en-US"/>
              </w:rPr>
              <w:t xml:space="preserve">to Russia </w:t>
            </w:r>
            <w:r w:rsidR="00EA1EBB" w:rsidRPr="006E725C">
              <w:rPr>
                <w:spacing w:val="-4"/>
                <w:lang w:val="en-GB" w:eastAsia="en-US"/>
              </w:rPr>
              <w:t>(−2</w:t>
            </w:r>
            <w:r w:rsidR="00934B2A" w:rsidRPr="006E725C">
              <w:rPr>
                <w:spacing w:val="-4"/>
                <w:lang w:val="en-GB" w:eastAsia="en-US"/>
              </w:rPr>
              <w:t>.</w:t>
            </w:r>
            <w:r w:rsidR="00EA1EBB" w:rsidRPr="006E725C">
              <w:rPr>
                <w:spacing w:val="-4"/>
                <w:lang w:val="en-GB" w:eastAsia="en-US"/>
              </w:rPr>
              <w:t>2</w:t>
            </w:r>
            <w:r w:rsidR="00934B2A" w:rsidRPr="006E725C">
              <w:rPr>
                <w:spacing w:val="-4"/>
                <w:lang w:val="en-GB" w:eastAsia="en-US"/>
              </w:rPr>
              <w:t xml:space="preserve"> </w:t>
            </w:r>
            <w:proofErr w:type="spellStart"/>
            <w:r w:rsidR="00934B2A" w:rsidRPr="006E725C">
              <w:rPr>
                <w:spacing w:val="-4"/>
                <w:lang w:val="en-GB" w:eastAsia="en-US"/>
              </w:rPr>
              <w:t>bn</w:t>
            </w:r>
            <w:proofErr w:type="spellEnd"/>
            <w:r w:rsidR="00EA1EBB" w:rsidRPr="006E725C">
              <w:rPr>
                <w:spacing w:val="-4"/>
                <w:lang w:val="en-GB" w:eastAsia="en-US"/>
              </w:rPr>
              <w:t>, −36</w:t>
            </w:r>
            <w:r w:rsidR="00934B2A" w:rsidRPr="006E725C">
              <w:rPr>
                <w:spacing w:val="-4"/>
                <w:lang w:val="en-GB" w:eastAsia="en-US"/>
              </w:rPr>
              <w:t>.</w:t>
            </w:r>
            <w:r w:rsidR="00EA1EBB" w:rsidRPr="006E725C">
              <w:rPr>
                <w:spacing w:val="-4"/>
                <w:lang w:val="en-GB" w:eastAsia="en-US"/>
              </w:rPr>
              <w:t xml:space="preserve">0%) </w:t>
            </w:r>
            <w:r w:rsidR="00934B2A" w:rsidRPr="006E725C">
              <w:rPr>
                <w:spacing w:val="-4"/>
                <w:lang w:val="en-GB" w:eastAsia="en-US"/>
              </w:rPr>
              <w:t xml:space="preserve">or the Netherlands </w:t>
            </w:r>
            <w:r w:rsidR="00EA1EBB" w:rsidRPr="006E725C">
              <w:rPr>
                <w:spacing w:val="-4"/>
                <w:lang w:val="en-GB" w:eastAsia="en-US"/>
              </w:rPr>
              <w:t>(−2</w:t>
            </w:r>
            <w:r w:rsidR="00934B2A" w:rsidRPr="006E725C">
              <w:rPr>
                <w:spacing w:val="-4"/>
                <w:lang w:val="en-GB" w:eastAsia="en-US"/>
              </w:rPr>
              <w:t>.</w:t>
            </w:r>
            <w:r w:rsidR="00EA1EBB" w:rsidRPr="006E725C">
              <w:rPr>
                <w:spacing w:val="-4"/>
                <w:lang w:val="en-GB" w:eastAsia="en-US"/>
              </w:rPr>
              <w:t>0</w:t>
            </w:r>
            <w:r w:rsidR="00934B2A" w:rsidRPr="006E725C">
              <w:rPr>
                <w:spacing w:val="-4"/>
                <w:lang w:val="en-GB" w:eastAsia="en-US"/>
              </w:rPr>
              <w:t xml:space="preserve"> </w:t>
            </w:r>
            <w:proofErr w:type="spellStart"/>
            <w:r w:rsidR="00934B2A" w:rsidRPr="006E725C">
              <w:rPr>
                <w:spacing w:val="-4"/>
                <w:lang w:val="en-GB" w:eastAsia="en-US"/>
              </w:rPr>
              <w:t>bn</w:t>
            </w:r>
            <w:proofErr w:type="spellEnd"/>
            <w:r w:rsidR="00EA1EBB" w:rsidRPr="006E725C">
              <w:rPr>
                <w:spacing w:val="-4"/>
                <w:lang w:val="en-GB" w:eastAsia="en-US"/>
              </w:rPr>
              <w:t>, −5</w:t>
            </w:r>
            <w:r w:rsidR="00934B2A" w:rsidRPr="006E725C">
              <w:rPr>
                <w:spacing w:val="-4"/>
                <w:lang w:val="en-GB" w:eastAsia="en-US"/>
              </w:rPr>
              <w:t>.</w:t>
            </w:r>
            <w:r w:rsidR="00EA1EBB" w:rsidRPr="006E725C">
              <w:rPr>
                <w:spacing w:val="-4"/>
                <w:lang w:val="en-GB" w:eastAsia="en-US"/>
              </w:rPr>
              <w:t xml:space="preserve">2%). </w:t>
            </w:r>
            <w:r w:rsidR="00934B2A" w:rsidRPr="006E725C">
              <w:rPr>
                <w:spacing w:val="-4"/>
                <w:lang w:val="en-GB" w:eastAsia="en-US"/>
              </w:rPr>
              <w:t xml:space="preserve">On the contrary, exports to Turkey </w:t>
            </w:r>
            <w:r w:rsidR="00EA1EBB" w:rsidRPr="006E725C">
              <w:rPr>
                <w:spacing w:val="-4"/>
                <w:lang w:val="en-GB" w:eastAsia="en-US"/>
              </w:rPr>
              <w:t>(+4</w:t>
            </w:r>
            <w:r w:rsidR="00934B2A" w:rsidRPr="006E725C">
              <w:rPr>
                <w:spacing w:val="-4"/>
                <w:lang w:val="en-GB" w:eastAsia="en-US"/>
              </w:rPr>
              <w:t>.</w:t>
            </w:r>
            <w:r w:rsidR="00EA1EBB" w:rsidRPr="006E725C">
              <w:rPr>
                <w:spacing w:val="-4"/>
                <w:lang w:val="en-GB" w:eastAsia="en-US"/>
              </w:rPr>
              <w:t>9</w:t>
            </w:r>
            <w:r w:rsidR="00934B2A" w:rsidRPr="006E725C">
              <w:rPr>
                <w:spacing w:val="-4"/>
                <w:lang w:val="en-GB" w:eastAsia="en-US"/>
              </w:rPr>
              <w:t xml:space="preserve"> </w:t>
            </w:r>
            <w:proofErr w:type="spellStart"/>
            <w:r w:rsidR="00934B2A" w:rsidRPr="006E725C">
              <w:rPr>
                <w:spacing w:val="-4"/>
                <w:lang w:val="en-GB" w:eastAsia="en-US"/>
              </w:rPr>
              <w:t>bn</w:t>
            </w:r>
            <w:proofErr w:type="spellEnd"/>
            <w:r w:rsidR="00EA1EBB" w:rsidRPr="006E725C">
              <w:rPr>
                <w:spacing w:val="-4"/>
                <w:lang w:val="en-GB" w:eastAsia="en-US"/>
              </w:rPr>
              <w:t>, 32</w:t>
            </w:r>
            <w:r w:rsidR="00934B2A" w:rsidRPr="006E725C">
              <w:rPr>
                <w:spacing w:val="-4"/>
                <w:lang w:val="en-GB" w:eastAsia="en-US"/>
              </w:rPr>
              <w:t>.</w:t>
            </w:r>
            <w:r w:rsidR="00EA1EBB" w:rsidRPr="006E725C">
              <w:rPr>
                <w:spacing w:val="-4"/>
                <w:lang w:val="en-GB" w:eastAsia="en-US"/>
              </w:rPr>
              <w:t>3%), Pol</w:t>
            </w:r>
            <w:r w:rsidR="00934B2A" w:rsidRPr="006E725C">
              <w:rPr>
                <w:spacing w:val="-4"/>
                <w:lang w:val="en-GB" w:eastAsia="en-US"/>
              </w:rPr>
              <w:t xml:space="preserve">and </w:t>
            </w:r>
            <w:r w:rsidR="00EA1EBB" w:rsidRPr="006E725C">
              <w:rPr>
                <w:spacing w:val="-4"/>
                <w:lang w:val="en-GB" w:eastAsia="en-US"/>
              </w:rPr>
              <w:t>(+4</w:t>
            </w:r>
            <w:r w:rsidR="00934B2A" w:rsidRPr="006E725C">
              <w:rPr>
                <w:spacing w:val="-4"/>
                <w:lang w:val="en-GB" w:eastAsia="en-US"/>
              </w:rPr>
              <w:t>.</w:t>
            </w:r>
            <w:r w:rsidR="00EA1EBB" w:rsidRPr="006E725C">
              <w:rPr>
                <w:spacing w:val="-4"/>
                <w:lang w:val="en-GB" w:eastAsia="en-US"/>
              </w:rPr>
              <w:t>6</w:t>
            </w:r>
            <w:r w:rsidR="00934B2A"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5</w:t>
            </w:r>
            <w:r w:rsidR="00934B2A" w:rsidRPr="006E725C">
              <w:rPr>
                <w:spacing w:val="-4"/>
                <w:lang w:val="en-GB" w:eastAsia="en-US"/>
              </w:rPr>
              <w:t>.</w:t>
            </w:r>
            <w:r w:rsidR="00EA1EBB" w:rsidRPr="006E725C">
              <w:rPr>
                <w:spacing w:val="-4"/>
                <w:lang w:val="en-GB" w:eastAsia="en-US"/>
              </w:rPr>
              <w:t xml:space="preserve">8%), </w:t>
            </w:r>
            <w:r w:rsidR="00934B2A" w:rsidRPr="006E725C">
              <w:rPr>
                <w:spacing w:val="-4"/>
                <w:lang w:val="en-GB" w:eastAsia="en-US"/>
              </w:rPr>
              <w:t>Great Britain</w:t>
            </w:r>
            <w:r w:rsidR="00FE0C26" w:rsidRPr="006E725C">
              <w:rPr>
                <w:spacing w:val="-4"/>
                <w:lang w:val="en-GB" w:eastAsia="en-US"/>
              </w:rPr>
              <w:t xml:space="preserve"> </w:t>
            </w:r>
            <w:r w:rsidR="00EA1EBB" w:rsidRPr="006E725C">
              <w:rPr>
                <w:spacing w:val="-4"/>
                <w:lang w:val="en-GB" w:eastAsia="en-US"/>
              </w:rPr>
              <w:t>(+4</w:t>
            </w:r>
            <w:r w:rsidR="00934B2A" w:rsidRPr="006E725C">
              <w:rPr>
                <w:spacing w:val="-4"/>
                <w:lang w:val="en-GB" w:eastAsia="en-US"/>
              </w:rPr>
              <w:t>.</w:t>
            </w:r>
            <w:r w:rsidR="00EA1EBB" w:rsidRPr="006E725C">
              <w:rPr>
                <w:spacing w:val="-4"/>
                <w:lang w:val="en-GB" w:eastAsia="en-US"/>
              </w:rPr>
              <w:t>1</w:t>
            </w:r>
            <w:r w:rsidR="00934B2A" w:rsidRPr="006E725C">
              <w:rPr>
                <w:spacing w:val="-4"/>
                <w:lang w:val="en-GB" w:eastAsia="en-US"/>
              </w:rPr>
              <w:t xml:space="preserve"> </w:t>
            </w:r>
            <w:proofErr w:type="spellStart"/>
            <w:r w:rsidR="00934B2A" w:rsidRPr="006E725C">
              <w:rPr>
                <w:spacing w:val="-4"/>
                <w:lang w:val="en-GB" w:eastAsia="en-US"/>
              </w:rPr>
              <w:t>bn</w:t>
            </w:r>
            <w:proofErr w:type="spellEnd"/>
            <w:r w:rsidR="00EA1EBB" w:rsidRPr="006E725C">
              <w:rPr>
                <w:spacing w:val="-4"/>
                <w:lang w:val="en-GB" w:eastAsia="en-US"/>
              </w:rPr>
              <w:t>, 9</w:t>
            </w:r>
            <w:r w:rsidR="00934B2A" w:rsidRPr="006E725C">
              <w:rPr>
                <w:spacing w:val="-4"/>
                <w:lang w:val="en-GB" w:eastAsia="en-US"/>
              </w:rPr>
              <w:t>.</w:t>
            </w:r>
            <w:r w:rsidR="00EA1EBB" w:rsidRPr="006E725C">
              <w:rPr>
                <w:spacing w:val="-4"/>
                <w:lang w:val="en-GB" w:eastAsia="en-US"/>
              </w:rPr>
              <w:t xml:space="preserve">6%) </w:t>
            </w:r>
            <w:r w:rsidR="00934B2A" w:rsidRPr="006E725C">
              <w:rPr>
                <w:spacing w:val="-4"/>
                <w:lang w:val="en-GB" w:eastAsia="en-US"/>
              </w:rPr>
              <w:t xml:space="preserve">or France </w:t>
            </w:r>
            <w:r w:rsidR="00EA1EBB" w:rsidRPr="006E725C">
              <w:rPr>
                <w:spacing w:val="-4"/>
                <w:lang w:val="en-GB" w:eastAsia="en-US"/>
              </w:rPr>
              <w:t>(+2</w:t>
            </w:r>
            <w:r w:rsidR="00934B2A" w:rsidRPr="006E725C">
              <w:rPr>
                <w:spacing w:val="-4"/>
                <w:lang w:val="en-GB" w:eastAsia="en-US"/>
              </w:rPr>
              <w:t>.</w:t>
            </w:r>
            <w:r w:rsidR="00EA1EBB" w:rsidRPr="006E725C">
              <w:rPr>
                <w:spacing w:val="-4"/>
                <w:lang w:val="en-GB" w:eastAsia="en-US"/>
              </w:rPr>
              <w:t>5</w:t>
            </w:r>
            <w:r w:rsidR="00934B2A" w:rsidRPr="006E725C">
              <w:rPr>
                <w:spacing w:val="-4"/>
                <w:lang w:val="en-GB" w:eastAsia="en-US"/>
              </w:rPr>
              <w:t xml:space="preserve"> </w:t>
            </w:r>
            <w:proofErr w:type="spellStart"/>
            <w:r w:rsidR="00934B2A" w:rsidRPr="006E725C">
              <w:rPr>
                <w:spacing w:val="-4"/>
                <w:lang w:val="en-GB" w:eastAsia="en-US"/>
              </w:rPr>
              <w:t>bn</w:t>
            </w:r>
            <w:proofErr w:type="spellEnd"/>
            <w:r w:rsidR="00EA1EBB" w:rsidRPr="006E725C">
              <w:rPr>
                <w:spacing w:val="-4"/>
                <w:lang w:val="en-GB" w:eastAsia="en-US"/>
              </w:rPr>
              <w:t>, 4</w:t>
            </w:r>
            <w:r w:rsidR="00934B2A" w:rsidRPr="006E725C">
              <w:rPr>
                <w:spacing w:val="-4"/>
                <w:lang w:val="en-GB" w:eastAsia="en-US"/>
              </w:rPr>
              <w:t>.</w:t>
            </w:r>
            <w:r w:rsidR="00EA1EBB" w:rsidRPr="006E725C">
              <w:rPr>
                <w:spacing w:val="-4"/>
                <w:lang w:val="en-GB" w:eastAsia="en-US"/>
              </w:rPr>
              <w:t>4%)</w:t>
            </w:r>
            <w:r w:rsidR="00934B2A" w:rsidRPr="006E725C">
              <w:rPr>
                <w:spacing w:val="-4"/>
                <w:lang w:val="en-GB" w:eastAsia="en-US"/>
              </w:rPr>
              <w:t xml:space="preserve"> increased year-on-year</w:t>
            </w:r>
            <w:r w:rsidR="00EA1EBB" w:rsidRPr="006E725C">
              <w:rPr>
                <w:spacing w:val="-4"/>
                <w:lang w:val="en-GB" w:eastAsia="en-US"/>
              </w:rPr>
              <w:t>.</w:t>
            </w:r>
          </w:p>
        </w:tc>
      </w:tr>
      <w:tr w:rsidR="00EA1EBB" w:rsidRPr="006E725C" w14:paraId="625706A3" w14:textId="77777777" w:rsidTr="00EA1EBB">
        <w:trPr>
          <w:trHeight w:val="170"/>
        </w:trPr>
        <w:tc>
          <w:tcPr>
            <w:tcW w:w="1748" w:type="dxa"/>
            <w:hideMark/>
          </w:tcPr>
          <w:p w14:paraId="53366AC1" w14:textId="33DBC2D8" w:rsidR="00EA1EBB" w:rsidRPr="006E725C" w:rsidRDefault="00FE0C26">
            <w:pPr>
              <w:pStyle w:val="Marginlie"/>
              <w:rPr>
                <w:lang w:val="en-GB" w:eastAsia="en-US"/>
              </w:rPr>
            </w:pPr>
            <w:r w:rsidRPr="006E725C">
              <w:rPr>
                <w:lang w:val="en-GB" w:eastAsia="en-US"/>
              </w:rPr>
              <w:t xml:space="preserve">Exports of </w:t>
            </w:r>
            <w:r w:rsidR="006B13F2" w:rsidRPr="006E725C">
              <w:rPr>
                <w:lang w:val="en-GB" w:eastAsia="en-US"/>
              </w:rPr>
              <w:t>majority</w:t>
            </w:r>
            <w:r w:rsidRPr="006E725C">
              <w:rPr>
                <w:lang w:val="en-GB" w:eastAsia="en-US"/>
              </w:rPr>
              <w:t xml:space="preserve"> types of goods </w:t>
            </w:r>
            <w:r w:rsidR="00E6423D" w:rsidRPr="006E725C">
              <w:rPr>
                <w:lang w:val="en-GB" w:eastAsia="en-US"/>
              </w:rPr>
              <w:t>decreased last year. Total increase was the result of favourable development of some</w:t>
            </w:r>
            <w:r w:rsidR="001C24A7" w:rsidRPr="006E725C">
              <w:rPr>
                <w:lang w:val="en-GB" w:eastAsia="en-US"/>
              </w:rPr>
              <w:t xml:space="preserve"> </w:t>
            </w:r>
            <w:r w:rsidR="006B13F2" w:rsidRPr="006E725C">
              <w:rPr>
                <w:lang w:val="en-GB" w:eastAsia="en-US"/>
              </w:rPr>
              <w:t>industrial</w:t>
            </w:r>
            <w:r w:rsidR="001C24A7" w:rsidRPr="006E725C">
              <w:rPr>
                <w:lang w:val="en-GB" w:eastAsia="en-US"/>
              </w:rPr>
              <w:t xml:space="preserve"> commodities significant for export. </w:t>
            </w:r>
          </w:p>
        </w:tc>
        <w:tc>
          <w:tcPr>
            <w:tcW w:w="221" w:type="dxa"/>
          </w:tcPr>
          <w:p w14:paraId="69AA628D" w14:textId="77777777" w:rsidR="00EA1EBB" w:rsidRPr="006E725C" w:rsidRDefault="00EA1EBB">
            <w:pPr>
              <w:pStyle w:val="Textpoznpodarou"/>
              <w:jc w:val="both"/>
              <w:rPr>
                <w:spacing w:val="-4"/>
                <w:lang w:val="en-GB" w:eastAsia="en-US"/>
              </w:rPr>
            </w:pPr>
          </w:p>
        </w:tc>
        <w:tc>
          <w:tcPr>
            <w:tcW w:w="7670" w:type="dxa"/>
            <w:hideMark/>
          </w:tcPr>
          <w:p w14:paraId="48939F67" w14:textId="48957278" w:rsidR="00EA1EBB" w:rsidRPr="006E725C" w:rsidRDefault="00D74DBC">
            <w:pPr>
              <w:spacing w:after="180"/>
              <w:rPr>
                <w:spacing w:val="-4"/>
                <w:lang w:val="en-GB" w:eastAsia="en-US"/>
              </w:rPr>
            </w:pPr>
            <w:r w:rsidRPr="006E725C">
              <w:rPr>
                <w:spacing w:val="-4"/>
                <w:lang w:val="en-GB" w:eastAsia="en-US"/>
              </w:rPr>
              <w:t xml:space="preserve">Relatively </w:t>
            </w:r>
            <w:r w:rsidR="000C77CF" w:rsidRPr="006E725C">
              <w:rPr>
                <w:spacing w:val="-4"/>
                <w:lang w:val="en-GB" w:eastAsia="en-US"/>
              </w:rPr>
              <w:t xml:space="preserve">mild increase of the value of exports </w:t>
            </w:r>
            <w:r w:rsidR="000A76E0" w:rsidRPr="006E725C">
              <w:rPr>
                <w:spacing w:val="-4"/>
                <w:lang w:val="en-GB" w:eastAsia="en-US"/>
              </w:rPr>
              <w:t xml:space="preserve">was influenced by </w:t>
            </w:r>
            <w:r w:rsidR="00E43E77" w:rsidRPr="006E725C">
              <w:rPr>
                <w:spacing w:val="-4"/>
                <w:lang w:val="en-GB" w:eastAsia="en-US"/>
              </w:rPr>
              <w:t xml:space="preserve">opposing </w:t>
            </w:r>
            <w:r w:rsidR="00FC770C" w:rsidRPr="006E725C">
              <w:rPr>
                <w:spacing w:val="-4"/>
                <w:lang w:val="en-GB" w:eastAsia="en-US"/>
              </w:rPr>
              <w:t xml:space="preserve">forces </w:t>
            </w:r>
            <w:r w:rsidR="00E43E77" w:rsidRPr="006E725C">
              <w:rPr>
                <w:spacing w:val="-4"/>
                <w:lang w:val="en-GB" w:eastAsia="en-US"/>
              </w:rPr>
              <w:t xml:space="preserve">of development of many articles, whose prices plummeted and whose export </w:t>
            </w:r>
            <w:r w:rsidR="00FC2374" w:rsidRPr="006E725C">
              <w:rPr>
                <w:spacing w:val="-4"/>
                <w:lang w:val="en-GB" w:eastAsia="en-US"/>
              </w:rPr>
              <w:t xml:space="preserve">thus decreased, and on the contrary revival </w:t>
            </w:r>
            <w:r w:rsidR="00854806" w:rsidRPr="006E725C">
              <w:rPr>
                <w:spacing w:val="-4"/>
                <w:lang w:val="en-GB" w:eastAsia="en-US"/>
              </w:rPr>
              <w:t xml:space="preserve">of number of industrial </w:t>
            </w:r>
            <w:r w:rsidR="00EC05F2" w:rsidRPr="006E725C">
              <w:rPr>
                <w:spacing w:val="-4"/>
                <w:lang w:val="en-GB" w:eastAsia="en-US"/>
              </w:rPr>
              <w:t>commodities</w:t>
            </w:r>
            <w:r w:rsidR="00854806" w:rsidRPr="006E725C">
              <w:rPr>
                <w:spacing w:val="-4"/>
                <w:lang w:val="en-GB" w:eastAsia="en-US"/>
              </w:rPr>
              <w:t xml:space="preserve"> significant for export. </w:t>
            </w:r>
            <w:r w:rsidR="00EA1EBB" w:rsidRPr="006E725C">
              <w:rPr>
                <w:spacing w:val="-4"/>
                <w:lang w:val="en-GB" w:eastAsia="en-US"/>
              </w:rPr>
              <w:t xml:space="preserve"> </w:t>
            </w:r>
            <w:r w:rsidR="00B57ED2" w:rsidRPr="006E725C">
              <w:rPr>
                <w:spacing w:val="-4"/>
                <w:lang w:val="en-GB" w:eastAsia="en-US"/>
              </w:rPr>
              <w:t xml:space="preserve">Value of export of motor vehicles </w:t>
            </w:r>
            <w:r w:rsidR="00EA1EBB" w:rsidRPr="006E725C">
              <w:rPr>
                <w:spacing w:val="-4"/>
                <w:lang w:val="en-GB" w:eastAsia="en-US"/>
              </w:rPr>
              <w:t>(+183</w:t>
            </w:r>
            <w:r w:rsidR="00B57ED2" w:rsidRPr="006E725C">
              <w:rPr>
                <w:spacing w:val="-4"/>
                <w:lang w:val="en-GB" w:eastAsia="en-US"/>
              </w:rPr>
              <w:t>.</w:t>
            </w:r>
            <w:r w:rsidR="00EA1EBB" w:rsidRPr="006E725C">
              <w:rPr>
                <w:spacing w:val="-4"/>
                <w:lang w:val="en-GB" w:eastAsia="en-US"/>
              </w:rPr>
              <w:t>8</w:t>
            </w:r>
            <w:r w:rsidR="00B57ED2"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17</w:t>
            </w:r>
            <w:r w:rsidR="00B57ED2" w:rsidRPr="006E725C">
              <w:rPr>
                <w:spacing w:val="-4"/>
                <w:lang w:val="en-GB" w:eastAsia="en-US"/>
              </w:rPr>
              <w:t>.</w:t>
            </w:r>
            <w:r w:rsidR="00EA1EBB" w:rsidRPr="006E725C">
              <w:rPr>
                <w:spacing w:val="-4"/>
                <w:lang w:val="en-GB" w:eastAsia="en-US"/>
              </w:rPr>
              <w:t xml:space="preserve">6%), </w:t>
            </w:r>
            <w:r w:rsidR="005B70EB" w:rsidRPr="006E725C">
              <w:rPr>
                <w:spacing w:val="-4"/>
                <w:lang w:val="en-GB" w:eastAsia="en-US"/>
              </w:rPr>
              <w:t xml:space="preserve">electrical equipment </w:t>
            </w:r>
            <w:r w:rsidR="00EA1EBB" w:rsidRPr="006E725C">
              <w:rPr>
                <w:spacing w:val="-4"/>
                <w:lang w:val="en-GB" w:eastAsia="en-US"/>
              </w:rPr>
              <w:t>(+42</w:t>
            </w:r>
            <w:r w:rsidR="005B70EB" w:rsidRPr="006E725C">
              <w:rPr>
                <w:spacing w:val="-4"/>
                <w:lang w:val="en-GB" w:eastAsia="en-US"/>
              </w:rPr>
              <w:t>.</w:t>
            </w:r>
            <w:r w:rsidR="00EA1EBB" w:rsidRPr="006E725C">
              <w:rPr>
                <w:spacing w:val="-4"/>
                <w:lang w:val="en-GB" w:eastAsia="en-US"/>
              </w:rPr>
              <w:t>4</w:t>
            </w:r>
            <w:r w:rsidR="005B70EB" w:rsidRPr="006E725C">
              <w:rPr>
                <w:spacing w:val="-4"/>
                <w:lang w:val="en-GB" w:eastAsia="en-US"/>
              </w:rPr>
              <w:t xml:space="preserve"> </w:t>
            </w:r>
            <w:proofErr w:type="spellStart"/>
            <w:r w:rsidR="005B70EB" w:rsidRPr="006E725C">
              <w:rPr>
                <w:spacing w:val="-4"/>
                <w:lang w:val="en-GB" w:eastAsia="en-US"/>
              </w:rPr>
              <w:t>bn</w:t>
            </w:r>
            <w:proofErr w:type="spellEnd"/>
            <w:r w:rsidR="00EA1EBB" w:rsidRPr="006E725C">
              <w:rPr>
                <w:spacing w:val="-4"/>
                <w:lang w:val="en-GB" w:eastAsia="en-US"/>
              </w:rPr>
              <w:t>, 10</w:t>
            </w:r>
            <w:r w:rsidR="005B70EB" w:rsidRPr="006E725C">
              <w:rPr>
                <w:spacing w:val="-4"/>
                <w:lang w:val="en-GB" w:eastAsia="en-US"/>
              </w:rPr>
              <w:t>.</w:t>
            </w:r>
            <w:r w:rsidR="00EA1EBB" w:rsidRPr="006E725C">
              <w:rPr>
                <w:spacing w:val="-4"/>
                <w:lang w:val="en-GB" w:eastAsia="en-US"/>
              </w:rPr>
              <w:t>2%),</w:t>
            </w:r>
            <w:r w:rsidR="00594538" w:rsidRPr="006E725C">
              <w:rPr>
                <w:spacing w:val="-4"/>
                <w:lang w:val="en-GB" w:eastAsia="en-US"/>
              </w:rPr>
              <w:t xml:space="preserve"> machinery and equipment </w:t>
            </w:r>
            <w:r w:rsidR="00EA1EBB" w:rsidRPr="006E725C">
              <w:rPr>
                <w:spacing w:val="-4"/>
                <w:lang w:val="en-GB" w:eastAsia="en-US"/>
              </w:rPr>
              <w:t>(+25</w:t>
            </w:r>
            <w:r w:rsidR="00F450B7" w:rsidRPr="006E725C">
              <w:rPr>
                <w:spacing w:val="-4"/>
                <w:lang w:val="en-GB" w:eastAsia="en-US"/>
              </w:rPr>
              <w:t>.</w:t>
            </w:r>
            <w:r w:rsidR="00EA1EBB" w:rsidRPr="006E725C">
              <w:rPr>
                <w:spacing w:val="-4"/>
                <w:lang w:val="en-GB" w:eastAsia="en-US"/>
              </w:rPr>
              <w:t xml:space="preserve">9 </w:t>
            </w:r>
            <w:proofErr w:type="spellStart"/>
            <w:r w:rsidR="00F450B7" w:rsidRPr="006E725C">
              <w:rPr>
                <w:spacing w:val="-4"/>
                <w:lang w:val="en-GB" w:eastAsia="en-US"/>
              </w:rPr>
              <w:t>bn</w:t>
            </w:r>
            <w:proofErr w:type="spellEnd"/>
            <w:r w:rsidR="00EA1EBB" w:rsidRPr="006E725C">
              <w:rPr>
                <w:spacing w:val="-4"/>
                <w:lang w:val="en-GB" w:eastAsia="en-US"/>
              </w:rPr>
              <w:t>, 5</w:t>
            </w:r>
            <w:r w:rsidR="00F450B7" w:rsidRPr="006E725C">
              <w:rPr>
                <w:spacing w:val="-4"/>
                <w:lang w:val="en-GB" w:eastAsia="en-US"/>
              </w:rPr>
              <w:t>.</w:t>
            </w:r>
            <w:r w:rsidR="00EA1EBB" w:rsidRPr="006E725C">
              <w:rPr>
                <w:spacing w:val="-4"/>
                <w:lang w:val="en-GB" w:eastAsia="en-US"/>
              </w:rPr>
              <w:t>2%) a</w:t>
            </w:r>
            <w:r w:rsidR="00F450B7" w:rsidRPr="006E725C">
              <w:rPr>
                <w:spacing w:val="-4"/>
                <w:lang w:val="en-GB" w:eastAsia="en-US"/>
              </w:rPr>
              <w:t xml:space="preserve">nd </w:t>
            </w:r>
            <w:r w:rsidR="002C0D7D" w:rsidRPr="006E725C">
              <w:rPr>
                <w:spacing w:val="-4"/>
                <w:lang w:val="en-GB" w:eastAsia="en-US"/>
              </w:rPr>
              <w:t xml:space="preserve">food products </w:t>
            </w:r>
            <w:r w:rsidR="00EA1EBB" w:rsidRPr="006E725C">
              <w:rPr>
                <w:spacing w:val="-4"/>
                <w:lang w:val="en-GB" w:eastAsia="en-US"/>
              </w:rPr>
              <w:t>(+18</w:t>
            </w:r>
            <w:r w:rsidR="002C0D7D" w:rsidRPr="006E725C">
              <w:rPr>
                <w:spacing w:val="-4"/>
                <w:lang w:val="en-GB" w:eastAsia="en-US"/>
              </w:rPr>
              <w:t>.</w:t>
            </w:r>
            <w:r w:rsidR="00EA1EBB" w:rsidRPr="006E725C">
              <w:rPr>
                <w:spacing w:val="-4"/>
                <w:lang w:val="en-GB" w:eastAsia="en-US"/>
              </w:rPr>
              <w:t>4</w:t>
            </w:r>
            <w:r w:rsidR="002C0D7D" w:rsidRPr="006E725C">
              <w:rPr>
                <w:spacing w:val="-4"/>
                <w:lang w:val="en-GB" w:eastAsia="en-US"/>
              </w:rPr>
              <w:t xml:space="preserve"> </w:t>
            </w:r>
            <w:proofErr w:type="spellStart"/>
            <w:r w:rsidR="002C0D7D" w:rsidRPr="006E725C">
              <w:rPr>
                <w:spacing w:val="-4"/>
                <w:lang w:val="en-GB" w:eastAsia="en-US"/>
              </w:rPr>
              <w:t>bn</w:t>
            </w:r>
            <w:proofErr w:type="spellEnd"/>
            <w:r w:rsidR="00EA1EBB" w:rsidRPr="006E725C">
              <w:rPr>
                <w:spacing w:val="-4"/>
                <w:lang w:val="en-GB" w:eastAsia="en-US"/>
              </w:rPr>
              <w:t>, 12</w:t>
            </w:r>
            <w:r w:rsidR="002C0D7D" w:rsidRPr="006E725C">
              <w:rPr>
                <w:spacing w:val="-4"/>
                <w:lang w:val="en-GB" w:eastAsia="en-US"/>
              </w:rPr>
              <w:t>.</w:t>
            </w:r>
            <w:r w:rsidR="00EA1EBB" w:rsidRPr="006E725C">
              <w:rPr>
                <w:spacing w:val="-4"/>
                <w:lang w:val="en-GB" w:eastAsia="en-US"/>
              </w:rPr>
              <w:t>4%)</w:t>
            </w:r>
            <w:r w:rsidR="00233FE7" w:rsidRPr="006E725C">
              <w:rPr>
                <w:spacing w:val="-4"/>
                <w:lang w:val="en-GB" w:eastAsia="en-US"/>
              </w:rPr>
              <w:t xml:space="preserve"> increased the most last year</w:t>
            </w:r>
            <w:r w:rsidR="00EA1EBB" w:rsidRPr="006E725C">
              <w:rPr>
                <w:spacing w:val="-4"/>
                <w:lang w:val="en-GB" w:eastAsia="en-US"/>
              </w:rPr>
              <w:t xml:space="preserve">. </w:t>
            </w:r>
            <w:r w:rsidR="00DC0E33" w:rsidRPr="006E725C">
              <w:rPr>
                <w:spacing w:val="-4"/>
                <w:lang w:val="en-GB" w:eastAsia="en-US"/>
              </w:rPr>
              <w:t xml:space="preserve">Exporters of other transport equipment also prospered </w:t>
            </w:r>
            <w:r w:rsidR="00EA1EBB" w:rsidRPr="006E725C">
              <w:rPr>
                <w:spacing w:val="-4"/>
                <w:lang w:val="en-GB" w:eastAsia="en-US"/>
              </w:rPr>
              <w:t>(+8</w:t>
            </w:r>
            <w:r w:rsidR="00DC0E33" w:rsidRPr="006E725C">
              <w:rPr>
                <w:spacing w:val="-4"/>
                <w:lang w:val="en-GB" w:eastAsia="en-US"/>
              </w:rPr>
              <w:t>.</w:t>
            </w:r>
            <w:r w:rsidR="00EA1EBB" w:rsidRPr="006E725C">
              <w:rPr>
                <w:spacing w:val="-4"/>
                <w:lang w:val="en-GB" w:eastAsia="en-US"/>
              </w:rPr>
              <w:t>2</w:t>
            </w:r>
            <w:r w:rsidR="00DC0E33"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12</w:t>
            </w:r>
            <w:r w:rsidR="00DC0E33" w:rsidRPr="006E725C">
              <w:rPr>
                <w:spacing w:val="-4"/>
                <w:lang w:val="en-GB" w:eastAsia="en-US"/>
              </w:rPr>
              <w:t>.</w:t>
            </w:r>
            <w:r w:rsidR="00EA1EBB" w:rsidRPr="006E725C">
              <w:rPr>
                <w:spacing w:val="-4"/>
                <w:lang w:val="en-GB" w:eastAsia="en-US"/>
              </w:rPr>
              <w:t>5%). Export</w:t>
            </w:r>
            <w:r w:rsidR="00DC0E33" w:rsidRPr="006E725C">
              <w:rPr>
                <w:spacing w:val="-4"/>
                <w:lang w:val="en-GB" w:eastAsia="en-US"/>
              </w:rPr>
              <w:t xml:space="preserve"> of majority of </w:t>
            </w:r>
            <w:r w:rsidR="003144BC" w:rsidRPr="006E725C">
              <w:rPr>
                <w:spacing w:val="-4"/>
                <w:lang w:val="en-GB" w:eastAsia="en-US"/>
              </w:rPr>
              <w:t xml:space="preserve">types of goods however decreased last year, the exports </w:t>
            </w:r>
            <w:r w:rsidR="00025C85" w:rsidRPr="006E725C">
              <w:rPr>
                <w:spacing w:val="-4"/>
                <w:lang w:val="en-GB" w:eastAsia="en-US"/>
              </w:rPr>
              <w:t xml:space="preserve">electricity, gas, steam and air conditioning </w:t>
            </w:r>
            <w:r w:rsidR="00EA1EBB" w:rsidRPr="006E725C">
              <w:rPr>
                <w:spacing w:val="-4"/>
                <w:lang w:val="en-GB" w:eastAsia="en-US"/>
              </w:rPr>
              <w:t>(−67</w:t>
            </w:r>
            <w:r w:rsidR="00025C85" w:rsidRPr="006E725C">
              <w:rPr>
                <w:spacing w:val="-4"/>
                <w:lang w:val="en-GB" w:eastAsia="en-US"/>
              </w:rPr>
              <w:t>.</w:t>
            </w:r>
            <w:r w:rsidR="00EA1EBB" w:rsidRPr="006E725C">
              <w:rPr>
                <w:spacing w:val="-4"/>
                <w:lang w:val="en-GB" w:eastAsia="en-US"/>
              </w:rPr>
              <w:t>4</w:t>
            </w:r>
            <w:r w:rsidR="00025C85"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−56</w:t>
            </w:r>
            <w:r w:rsidR="00025C85" w:rsidRPr="006E725C">
              <w:rPr>
                <w:spacing w:val="-4"/>
                <w:lang w:val="en-GB" w:eastAsia="en-US"/>
              </w:rPr>
              <w:t>.</w:t>
            </w:r>
            <w:r w:rsidR="00EA1EBB" w:rsidRPr="006E725C">
              <w:rPr>
                <w:spacing w:val="-4"/>
                <w:lang w:val="en-GB" w:eastAsia="en-US"/>
              </w:rPr>
              <w:t xml:space="preserve">5%), </w:t>
            </w:r>
            <w:r w:rsidR="003D28BE" w:rsidRPr="006E725C">
              <w:rPr>
                <w:spacing w:val="-4"/>
                <w:lang w:val="en-GB" w:eastAsia="en-US"/>
              </w:rPr>
              <w:t xml:space="preserve">basic metals </w:t>
            </w:r>
            <w:r w:rsidR="00EA1EBB" w:rsidRPr="006E725C">
              <w:rPr>
                <w:spacing w:val="-4"/>
                <w:lang w:val="en-GB" w:eastAsia="en-US"/>
              </w:rPr>
              <w:t>(−35</w:t>
            </w:r>
            <w:r w:rsidR="003D28BE" w:rsidRPr="006E725C">
              <w:rPr>
                <w:spacing w:val="-4"/>
                <w:lang w:val="en-GB" w:eastAsia="en-US"/>
              </w:rPr>
              <w:t>.</w:t>
            </w:r>
            <w:r w:rsidR="00EA1EBB" w:rsidRPr="006E725C">
              <w:rPr>
                <w:spacing w:val="-4"/>
                <w:lang w:val="en-GB" w:eastAsia="en-US"/>
              </w:rPr>
              <w:t>4</w:t>
            </w:r>
            <w:r w:rsidR="003D28BE" w:rsidRPr="006E725C">
              <w:rPr>
                <w:spacing w:val="-4"/>
                <w:lang w:val="en-GB" w:eastAsia="en-US"/>
              </w:rPr>
              <w:t xml:space="preserve"> </w:t>
            </w:r>
            <w:proofErr w:type="spellStart"/>
            <w:r w:rsidR="003D28BE" w:rsidRPr="006E725C">
              <w:rPr>
                <w:spacing w:val="-4"/>
                <w:lang w:val="en-GB" w:eastAsia="en-US"/>
              </w:rPr>
              <w:t>bn</w:t>
            </w:r>
            <w:proofErr w:type="spellEnd"/>
            <w:r w:rsidR="00EA1EBB" w:rsidRPr="006E725C">
              <w:rPr>
                <w:spacing w:val="-4"/>
                <w:lang w:val="en-GB" w:eastAsia="en-US"/>
              </w:rPr>
              <w:t>, −18</w:t>
            </w:r>
            <w:r w:rsidR="003D28BE" w:rsidRPr="006E725C">
              <w:rPr>
                <w:spacing w:val="-4"/>
                <w:lang w:val="en-GB" w:eastAsia="en-US"/>
              </w:rPr>
              <w:t>.</w:t>
            </w:r>
            <w:r w:rsidR="00EA1EBB" w:rsidRPr="006E725C">
              <w:rPr>
                <w:spacing w:val="-4"/>
                <w:lang w:val="en-GB" w:eastAsia="en-US"/>
              </w:rPr>
              <w:t>2%), chemic</w:t>
            </w:r>
            <w:r w:rsidR="003D28BE" w:rsidRPr="006E725C">
              <w:rPr>
                <w:spacing w:val="-4"/>
                <w:lang w:val="en-GB" w:eastAsia="en-US"/>
              </w:rPr>
              <w:t xml:space="preserve">al substances and products </w:t>
            </w:r>
            <w:r w:rsidR="00EA1EBB" w:rsidRPr="006E725C">
              <w:rPr>
                <w:spacing w:val="-4"/>
                <w:lang w:val="en-GB" w:eastAsia="en-US"/>
              </w:rPr>
              <w:t>(−29</w:t>
            </w:r>
            <w:r w:rsidR="003D28BE" w:rsidRPr="006E725C">
              <w:rPr>
                <w:spacing w:val="-4"/>
                <w:lang w:val="en-GB" w:eastAsia="en-US"/>
              </w:rPr>
              <w:t>.</w:t>
            </w:r>
            <w:r w:rsidR="00EA1EBB" w:rsidRPr="006E725C">
              <w:rPr>
                <w:spacing w:val="-4"/>
                <w:lang w:val="en-GB" w:eastAsia="en-US"/>
              </w:rPr>
              <w:t>2</w:t>
            </w:r>
            <w:r w:rsidR="003D28BE" w:rsidRPr="006E725C">
              <w:rPr>
                <w:spacing w:val="-4"/>
                <w:lang w:val="en-GB" w:eastAsia="en-US"/>
              </w:rPr>
              <w:t xml:space="preserve"> </w:t>
            </w:r>
            <w:proofErr w:type="spellStart"/>
            <w:r w:rsidR="003D28BE" w:rsidRPr="006E725C">
              <w:rPr>
                <w:spacing w:val="-4"/>
                <w:lang w:val="en-GB" w:eastAsia="en-US"/>
              </w:rPr>
              <w:t>bn</w:t>
            </w:r>
            <w:proofErr w:type="spellEnd"/>
            <w:r w:rsidR="00EA1EBB" w:rsidRPr="006E725C">
              <w:rPr>
                <w:spacing w:val="-4"/>
                <w:lang w:val="en-GB" w:eastAsia="en-US"/>
              </w:rPr>
              <w:t>, −12</w:t>
            </w:r>
            <w:r w:rsidR="003D28BE" w:rsidRPr="006E725C">
              <w:rPr>
                <w:spacing w:val="-4"/>
                <w:lang w:val="en-GB" w:eastAsia="en-US"/>
              </w:rPr>
              <w:t>.</w:t>
            </w:r>
            <w:r w:rsidR="00EA1EBB" w:rsidRPr="006E725C">
              <w:rPr>
                <w:spacing w:val="-4"/>
                <w:lang w:val="en-GB" w:eastAsia="en-US"/>
              </w:rPr>
              <w:t xml:space="preserve">4%), </w:t>
            </w:r>
            <w:r w:rsidR="00CE60F1" w:rsidRPr="006E725C">
              <w:rPr>
                <w:spacing w:val="-4"/>
                <w:lang w:val="en-GB" w:eastAsia="en-US"/>
              </w:rPr>
              <w:t xml:space="preserve">wood and wood products </w:t>
            </w:r>
            <w:r w:rsidR="00EA1EBB" w:rsidRPr="006E725C">
              <w:rPr>
                <w:spacing w:val="-4"/>
                <w:lang w:val="en-GB" w:eastAsia="en-US"/>
              </w:rPr>
              <w:t>(−15</w:t>
            </w:r>
            <w:r w:rsidR="00CE60F1" w:rsidRPr="006E725C">
              <w:rPr>
                <w:spacing w:val="-4"/>
                <w:lang w:val="en-GB" w:eastAsia="en-US"/>
              </w:rPr>
              <w:t>.</w:t>
            </w:r>
            <w:r w:rsidR="00EA1EBB" w:rsidRPr="006E725C">
              <w:rPr>
                <w:spacing w:val="-4"/>
                <w:lang w:val="en-GB" w:eastAsia="en-US"/>
              </w:rPr>
              <w:t>4</w:t>
            </w:r>
            <w:r w:rsidR="00CE60F1" w:rsidRPr="006E725C">
              <w:rPr>
                <w:spacing w:val="-4"/>
                <w:lang w:val="en-GB" w:eastAsia="en-US"/>
              </w:rPr>
              <w:t xml:space="preserve"> </w:t>
            </w:r>
            <w:proofErr w:type="spellStart"/>
            <w:r w:rsidR="00CE60F1" w:rsidRPr="006E725C">
              <w:rPr>
                <w:spacing w:val="-4"/>
                <w:lang w:val="en-GB" w:eastAsia="en-US"/>
              </w:rPr>
              <w:t>bn</w:t>
            </w:r>
            <w:proofErr w:type="spellEnd"/>
            <w:r w:rsidR="00EA1EBB" w:rsidRPr="006E725C">
              <w:rPr>
                <w:spacing w:val="-4"/>
                <w:lang w:val="en-GB" w:eastAsia="en-US"/>
              </w:rPr>
              <w:t>, −25</w:t>
            </w:r>
            <w:r w:rsidR="00CE60F1" w:rsidRPr="006E725C">
              <w:rPr>
                <w:spacing w:val="-4"/>
                <w:lang w:val="en-GB" w:eastAsia="en-US"/>
              </w:rPr>
              <w:t>.</w:t>
            </w:r>
            <w:r w:rsidR="00EA1EBB" w:rsidRPr="006E725C">
              <w:rPr>
                <w:spacing w:val="-4"/>
                <w:lang w:val="en-GB" w:eastAsia="en-US"/>
              </w:rPr>
              <w:t xml:space="preserve">6%), </w:t>
            </w:r>
            <w:r w:rsidR="00455AE3" w:rsidRPr="006E725C">
              <w:rPr>
                <w:spacing w:val="-4"/>
                <w:lang w:val="en-GB" w:eastAsia="en-US"/>
              </w:rPr>
              <w:t>petroleum</w:t>
            </w:r>
            <w:r w:rsidR="00CE60F1" w:rsidRPr="006E725C">
              <w:rPr>
                <w:spacing w:val="-4"/>
                <w:lang w:val="en-GB" w:eastAsia="en-US"/>
              </w:rPr>
              <w:t xml:space="preserve"> and natural gas </w:t>
            </w:r>
            <w:r w:rsidR="00EA1EBB" w:rsidRPr="006E725C">
              <w:rPr>
                <w:spacing w:val="-4"/>
                <w:lang w:val="en-GB" w:eastAsia="en-US"/>
              </w:rPr>
              <w:t>(−13</w:t>
            </w:r>
            <w:r w:rsidR="00CE60F1" w:rsidRPr="006E725C">
              <w:rPr>
                <w:spacing w:val="-4"/>
                <w:lang w:val="en-GB" w:eastAsia="en-US"/>
              </w:rPr>
              <w:t>.</w:t>
            </w:r>
            <w:r w:rsidR="00EA1EBB" w:rsidRPr="006E725C">
              <w:rPr>
                <w:spacing w:val="-4"/>
                <w:lang w:val="en-GB" w:eastAsia="en-US"/>
              </w:rPr>
              <w:t>2</w:t>
            </w:r>
            <w:r w:rsidR="00CE60F1" w:rsidRPr="006E725C">
              <w:rPr>
                <w:spacing w:val="-4"/>
                <w:lang w:val="en-GB" w:eastAsia="en-US"/>
              </w:rPr>
              <w:t xml:space="preserve"> </w:t>
            </w:r>
            <w:proofErr w:type="spellStart"/>
            <w:r w:rsidR="00CE60F1" w:rsidRPr="006E725C">
              <w:rPr>
                <w:spacing w:val="-4"/>
                <w:lang w:val="en-GB" w:eastAsia="en-US"/>
              </w:rPr>
              <w:t>bn</w:t>
            </w:r>
            <w:proofErr w:type="spellEnd"/>
            <w:r w:rsidR="00EA1EBB" w:rsidRPr="006E725C">
              <w:rPr>
                <w:spacing w:val="-4"/>
                <w:lang w:val="en-GB" w:eastAsia="en-US"/>
              </w:rPr>
              <w:t>, −98</w:t>
            </w:r>
            <w:r w:rsidR="00CE60F1" w:rsidRPr="006E725C">
              <w:rPr>
                <w:spacing w:val="-4"/>
                <w:lang w:val="en-GB" w:eastAsia="en-US"/>
              </w:rPr>
              <w:t>.</w:t>
            </w:r>
            <w:r w:rsidR="00EA1EBB" w:rsidRPr="006E725C">
              <w:rPr>
                <w:spacing w:val="-4"/>
                <w:lang w:val="en-GB" w:eastAsia="en-US"/>
              </w:rPr>
              <w:t>5%) a</w:t>
            </w:r>
            <w:r w:rsidR="00CE60F1" w:rsidRPr="006E725C">
              <w:rPr>
                <w:spacing w:val="-4"/>
                <w:lang w:val="en-GB" w:eastAsia="en-US"/>
              </w:rPr>
              <w:t xml:space="preserve">nd products of </w:t>
            </w:r>
            <w:r w:rsidR="00CE6065" w:rsidRPr="006E725C">
              <w:rPr>
                <w:spacing w:val="-4"/>
                <w:lang w:val="en-GB" w:eastAsia="en-US"/>
              </w:rPr>
              <w:t xml:space="preserve">forestry and wood logging </w:t>
            </w:r>
            <w:r w:rsidR="00EA1EBB" w:rsidRPr="006E725C">
              <w:rPr>
                <w:spacing w:val="-4"/>
                <w:lang w:val="en-GB" w:eastAsia="en-US"/>
              </w:rPr>
              <w:t>(−10</w:t>
            </w:r>
            <w:r w:rsidR="00CE6065" w:rsidRPr="006E725C">
              <w:rPr>
                <w:spacing w:val="-4"/>
                <w:lang w:val="en-GB" w:eastAsia="en-US"/>
              </w:rPr>
              <w:t>.</w:t>
            </w:r>
            <w:r w:rsidR="00EA1EBB" w:rsidRPr="006E725C">
              <w:rPr>
                <w:spacing w:val="-4"/>
                <w:lang w:val="en-GB" w:eastAsia="en-US"/>
              </w:rPr>
              <w:t>9</w:t>
            </w:r>
            <w:r w:rsidR="00CE6065" w:rsidRPr="006E725C">
              <w:rPr>
                <w:spacing w:val="-4"/>
                <w:lang w:val="en-GB" w:eastAsia="en-US"/>
              </w:rPr>
              <w:t xml:space="preserve"> </w:t>
            </w:r>
            <w:proofErr w:type="spellStart"/>
            <w:r w:rsidR="00CE6065" w:rsidRPr="006E725C">
              <w:rPr>
                <w:spacing w:val="-4"/>
                <w:lang w:val="en-GB" w:eastAsia="en-US"/>
              </w:rPr>
              <w:t>bn</w:t>
            </w:r>
            <w:proofErr w:type="spellEnd"/>
            <w:r w:rsidR="00EA1EBB" w:rsidRPr="006E725C">
              <w:rPr>
                <w:spacing w:val="-4"/>
                <w:lang w:val="en-GB" w:eastAsia="en-US"/>
              </w:rPr>
              <w:t>, −43</w:t>
            </w:r>
            <w:r w:rsidR="00CE6065" w:rsidRPr="006E725C">
              <w:rPr>
                <w:spacing w:val="-4"/>
                <w:lang w:val="en-GB" w:eastAsia="en-US"/>
              </w:rPr>
              <w:t>.</w:t>
            </w:r>
            <w:r w:rsidR="00EA1EBB" w:rsidRPr="006E725C">
              <w:rPr>
                <w:spacing w:val="-4"/>
                <w:lang w:val="en-GB" w:eastAsia="en-US"/>
              </w:rPr>
              <w:t>8%)</w:t>
            </w:r>
            <w:r w:rsidR="003144BC" w:rsidRPr="006E725C">
              <w:rPr>
                <w:spacing w:val="-4"/>
                <w:lang w:val="en-GB" w:eastAsia="en-US"/>
              </w:rPr>
              <w:t xml:space="preserve"> went down the most last year</w:t>
            </w:r>
            <w:r w:rsidR="00025C85" w:rsidRPr="006E725C">
              <w:rPr>
                <w:spacing w:val="-4"/>
                <w:lang w:val="en-GB" w:eastAsia="en-US"/>
              </w:rPr>
              <w:t xml:space="preserve"> together with prices</w:t>
            </w:r>
            <w:r w:rsidR="00EA1EBB" w:rsidRPr="006E725C">
              <w:rPr>
                <w:spacing w:val="-4"/>
                <w:lang w:val="en-GB" w:eastAsia="en-US"/>
              </w:rPr>
              <w:t>.</w:t>
            </w:r>
            <w:r w:rsidR="003144BC" w:rsidRPr="006E725C">
              <w:rPr>
                <w:spacing w:val="-4"/>
                <w:lang w:val="en-GB" w:eastAsia="en-US"/>
              </w:rPr>
              <w:t xml:space="preserve"> The export of computers, </w:t>
            </w:r>
            <w:r w:rsidR="006E3553" w:rsidRPr="006E725C">
              <w:rPr>
                <w:spacing w:val="-4"/>
                <w:lang w:val="en-GB" w:eastAsia="en-US"/>
              </w:rPr>
              <w:t xml:space="preserve">electrical and optical appliances </w:t>
            </w:r>
            <w:r w:rsidR="00EA1EBB" w:rsidRPr="006E725C">
              <w:rPr>
                <w:spacing w:val="-4"/>
                <w:lang w:val="en-GB" w:eastAsia="en-US"/>
              </w:rPr>
              <w:t>(−24</w:t>
            </w:r>
            <w:r w:rsidR="006E3553" w:rsidRPr="006E725C">
              <w:rPr>
                <w:spacing w:val="-4"/>
                <w:lang w:val="en-GB" w:eastAsia="en-US"/>
              </w:rPr>
              <w:t>.</w:t>
            </w:r>
            <w:r w:rsidR="00EA1EBB" w:rsidRPr="006E725C">
              <w:rPr>
                <w:spacing w:val="-4"/>
                <w:lang w:val="en-GB" w:eastAsia="en-US"/>
              </w:rPr>
              <w:t>4</w:t>
            </w:r>
            <w:r w:rsidR="006E3553" w:rsidRPr="006E725C">
              <w:rPr>
                <w:spacing w:val="-4"/>
                <w:lang w:val="en-GB" w:eastAsia="en-US"/>
              </w:rPr>
              <w:t xml:space="preserve"> </w:t>
            </w:r>
            <w:proofErr w:type="spellStart"/>
            <w:r w:rsidR="006E3553" w:rsidRPr="006E725C">
              <w:rPr>
                <w:spacing w:val="-4"/>
                <w:lang w:val="en-GB" w:eastAsia="en-US"/>
              </w:rPr>
              <w:t>bn</w:t>
            </w:r>
            <w:proofErr w:type="spellEnd"/>
            <w:r w:rsidR="00EA1EBB" w:rsidRPr="006E725C">
              <w:rPr>
                <w:spacing w:val="-4"/>
                <w:lang w:val="en-GB" w:eastAsia="en-US"/>
              </w:rPr>
              <w:t>, −5</w:t>
            </w:r>
            <w:r w:rsidR="006E3553" w:rsidRPr="006E725C">
              <w:rPr>
                <w:spacing w:val="-4"/>
                <w:lang w:val="en-GB" w:eastAsia="en-US"/>
              </w:rPr>
              <w:t>.</w:t>
            </w:r>
            <w:r w:rsidR="00EA1EBB" w:rsidRPr="006E725C">
              <w:rPr>
                <w:spacing w:val="-4"/>
                <w:lang w:val="en-GB" w:eastAsia="en-US"/>
              </w:rPr>
              <w:t>9%)</w:t>
            </w:r>
            <w:r w:rsidR="00B60FA7" w:rsidRPr="006E725C">
              <w:rPr>
                <w:spacing w:val="-4"/>
                <w:lang w:val="en-GB" w:eastAsia="en-US"/>
              </w:rPr>
              <w:t xml:space="preserve"> and strongly </w:t>
            </w:r>
            <w:r w:rsidR="00B60FA7" w:rsidRPr="006E725C">
              <w:rPr>
                <w:spacing w:val="-4"/>
                <w:lang w:val="en-GB" w:eastAsia="en-US"/>
              </w:rPr>
              <w:lastRenderedPageBreak/>
              <w:t xml:space="preserve">decreased and </w:t>
            </w:r>
            <w:r w:rsidR="000934D5" w:rsidRPr="006E725C">
              <w:rPr>
                <w:spacing w:val="-4"/>
                <w:lang w:val="en-GB" w:eastAsia="en-US"/>
              </w:rPr>
              <w:t xml:space="preserve">more distinct decrease was also recorded at the export of </w:t>
            </w:r>
            <w:r w:rsidR="00303AC8" w:rsidRPr="006E725C">
              <w:rPr>
                <w:spacing w:val="-4"/>
                <w:lang w:val="en-GB" w:eastAsia="en-US"/>
              </w:rPr>
              <w:t xml:space="preserve">activities of waste collection </w:t>
            </w:r>
            <w:r w:rsidR="00EA1EBB" w:rsidRPr="006E725C">
              <w:rPr>
                <w:spacing w:val="-4"/>
                <w:lang w:val="en-GB" w:eastAsia="en-US"/>
              </w:rPr>
              <w:t>(−8</w:t>
            </w:r>
            <w:r w:rsidR="00303AC8" w:rsidRPr="006E725C">
              <w:rPr>
                <w:spacing w:val="-4"/>
                <w:lang w:val="en-GB" w:eastAsia="en-US"/>
              </w:rPr>
              <w:t>.</w:t>
            </w:r>
            <w:r w:rsidR="00EA1EBB" w:rsidRPr="006E725C">
              <w:rPr>
                <w:spacing w:val="-4"/>
                <w:lang w:val="en-GB" w:eastAsia="en-US"/>
              </w:rPr>
              <w:t>0</w:t>
            </w:r>
            <w:r w:rsidR="00303AC8" w:rsidRPr="006E725C">
              <w:rPr>
                <w:spacing w:val="-4"/>
                <w:lang w:val="en-GB" w:eastAsia="en-US"/>
              </w:rPr>
              <w:t xml:space="preserve"> </w:t>
            </w:r>
            <w:proofErr w:type="spellStart"/>
            <w:r w:rsidR="00303AC8" w:rsidRPr="006E725C">
              <w:rPr>
                <w:spacing w:val="-4"/>
                <w:lang w:val="en-GB" w:eastAsia="en-US"/>
              </w:rPr>
              <w:t>bn</w:t>
            </w:r>
            <w:proofErr w:type="spellEnd"/>
            <w:r w:rsidR="00EA1EBB" w:rsidRPr="006E725C">
              <w:rPr>
                <w:spacing w:val="-4"/>
                <w:lang w:val="en-GB" w:eastAsia="en-US"/>
              </w:rPr>
              <w:t>, −17</w:t>
            </w:r>
            <w:r w:rsidR="00167809" w:rsidRPr="006E725C">
              <w:rPr>
                <w:spacing w:val="-4"/>
                <w:lang w:val="en-GB" w:eastAsia="en-US"/>
              </w:rPr>
              <w:t>.</w:t>
            </w:r>
            <w:r w:rsidR="00EA1EBB" w:rsidRPr="006E725C">
              <w:rPr>
                <w:spacing w:val="-4"/>
                <w:lang w:val="en-GB" w:eastAsia="en-US"/>
              </w:rPr>
              <w:t xml:space="preserve">0%), </w:t>
            </w:r>
            <w:r w:rsidR="00167809" w:rsidRPr="006E725C">
              <w:rPr>
                <w:spacing w:val="-4"/>
                <w:lang w:val="en-GB" w:eastAsia="en-US"/>
              </w:rPr>
              <w:t xml:space="preserve">coke and refined </w:t>
            </w:r>
            <w:r w:rsidR="00455AE3" w:rsidRPr="006E725C">
              <w:rPr>
                <w:spacing w:val="-4"/>
                <w:lang w:val="en-GB" w:eastAsia="en-US"/>
              </w:rPr>
              <w:t xml:space="preserve">petroleum </w:t>
            </w:r>
            <w:r w:rsidR="00167809" w:rsidRPr="006E725C">
              <w:rPr>
                <w:spacing w:val="-4"/>
                <w:lang w:val="en-GB" w:eastAsia="en-US"/>
              </w:rPr>
              <w:t xml:space="preserve">products </w:t>
            </w:r>
            <w:r w:rsidR="00EA1EBB" w:rsidRPr="006E725C">
              <w:rPr>
                <w:spacing w:val="-4"/>
                <w:lang w:val="en-GB" w:eastAsia="en-US"/>
              </w:rPr>
              <w:t>(−7</w:t>
            </w:r>
            <w:r w:rsidR="00167809" w:rsidRPr="006E725C">
              <w:rPr>
                <w:spacing w:val="-4"/>
                <w:lang w:val="en-GB" w:eastAsia="en-US"/>
              </w:rPr>
              <w:t>.</w:t>
            </w:r>
            <w:r w:rsidR="00EA1EBB" w:rsidRPr="006E725C">
              <w:rPr>
                <w:spacing w:val="-4"/>
                <w:lang w:val="en-GB" w:eastAsia="en-US"/>
              </w:rPr>
              <w:t>3</w:t>
            </w:r>
            <w:r w:rsidR="00167809" w:rsidRPr="006E725C">
              <w:rPr>
                <w:spacing w:val="-4"/>
                <w:lang w:val="en-GB" w:eastAsia="en-US"/>
              </w:rPr>
              <w:t xml:space="preserve"> </w:t>
            </w:r>
            <w:proofErr w:type="spellStart"/>
            <w:r w:rsidR="00167809" w:rsidRPr="006E725C">
              <w:rPr>
                <w:spacing w:val="-4"/>
                <w:lang w:val="en-GB" w:eastAsia="en-US"/>
              </w:rPr>
              <w:t>bn</w:t>
            </w:r>
            <w:proofErr w:type="spellEnd"/>
            <w:r w:rsidR="00EA1EBB" w:rsidRPr="006E725C">
              <w:rPr>
                <w:spacing w:val="-4"/>
                <w:lang w:val="en-GB" w:eastAsia="en-US"/>
              </w:rPr>
              <w:t>, −12</w:t>
            </w:r>
            <w:r w:rsidR="00167809" w:rsidRPr="006E725C">
              <w:rPr>
                <w:spacing w:val="-4"/>
                <w:lang w:val="en-GB" w:eastAsia="en-US"/>
              </w:rPr>
              <w:t>.</w:t>
            </w:r>
            <w:r w:rsidR="00EA1EBB" w:rsidRPr="006E725C">
              <w:rPr>
                <w:spacing w:val="-4"/>
                <w:lang w:val="en-GB" w:eastAsia="en-US"/>
              </w:rPr>
              <w:t xml:space="preserve">5%), </w:t>
            </w:r>
            <w:r w:rsidR="0023714F" w:rsidRPr="006E725C">
              <w:rPr>
                <w:spacing w:val="-4"/>
                <w:lang w:val="en-GB" w:eastAsia="en-US"/>
              </w:rPr>
              <w:t xml:space="preserve">products of agriculture and hunting </w:t>
            </w:r>
            <w:r w:rsidR="00EA1EBB" w:rsidRPr="006E725C">
              <w:rPr>
                <w:spacing w:val="-4"/>
                <w:lang w:val="en-GB" w:eastAsia="en-US"/>
              </w:rPr>
              <w:t>(−6</w:t>
            </w:r>
            <w:r w:rsidR="0023714F" w:rsidRPr="006E725C">
              <w:rPr>
                <w:spacing w:val="-4"/>
                <w:lang w:val="en-GB" w:eastAsia="en-US"/>
              </w:rPr>
              <w:t>.</w:t>
            </w:r>
            <w:r w:rsidR="00EA1EBB" w:rsidRPr="006E725C">
              <w:rPr>
                <w:spacing w:val="-4"/>
                <w:lang w:val="en-GB" w:eastAsia="en-US"/>
              </w:rPr>
              <w:t>3</w:t>
            </w:r>
            <w:r w:rsidR="0023714F" w:rsidRPr="006E725C">
              <w:rPr>
                <w:spacing w:val="-4"/>
                <w:lang w:val="en-GB" w:eastAsia="en-US"/>
              </w:rPr>
              <w:t xml:space="preserve"> </w:t>
            </w:r>
            <w:proofErr w:type="spellStart"/>
            <w:r w:rsidR="0023714F" w:rsidRPr="006E725C">
              <w:rPr>
                <w:spacing w:val="-4"/>
                <w:lang w:val="en-GB" w:eastAsia="en-US"/>
              </w:rPr>
              <w:t>bn</w:t>
            </w:r>
            <w:proofErr w:type="spellEnd"/>
            <w:r w:rsidR="00EA1EBB" w:rsidRPr="006E725C">
              <w:rPr>
                <w:spacing w:val="-4"/>
                <w:lang w:val="en-GB" w:eastAsia="en-US"/>
              </w:rPr>
              <w:t>, −10</w:t>
            </w:r>
            <w:r w:rsidR="0023714F" w:rsidRPr="006E725C">
              <w:rPr>
                <w:spacing w:val="-4"/>
                <w:lang w:val="en-GB" w:eastAsia="en-US"/>
              </w:rPr>
              <w:t>.</w:t>
            </w:r>
            <w:r w:rsidR="00EA1EBB" w:rsidRPr="006E725C">
              <w:rPr>
                <w:spacing w:val="-4"/>
                <w:lang w:val="en-GB" w:eastAsia="en-US"/>
              </w:rPr>
              <w:t xml:space="preserve">2%), </w:t>
            </w:r>
            <w:r w:rsidR="00641242" w:rsidRPr="006E725C">
              <w:rPr>
                <w:spacing w:val="-4"/>
                <w:lang w:val="en-GB" w:eastAsia="en-US"/>
              </w:rPr>
              <w:t xml:space="preserve">metalworking products </w:t>
            </w:r>
            <w:r w:rsidR="00EA1EBB" w:rsidRPr="006E725C">
              <w:rPr>
                <w:spacing w:val="-4"/>
                <w:lang w:val="en-GB" w:eastAsia="en-US"/>
              </w:rPr>
              <w:t>(−6</w:t>
            </w:r>
            <w:r w:rsidR="00641242" w:rsidRPr="006E725C">
              <w:rPr>
                <w:spacing w:val="-4"/>
                <w:lang w:val="en-GB" w:eastAsia="en-US"/>
              </w:rPr>
              <w:t>.</w:t>
            </w:r>
            <w:r w:rsidR="00EA1EBB" w:rsidRPr="006E725C">
              <w:rPr>
                <w:spacing w:val="-4"/>
                <w:lang w:val="en-GB" w:eastAsia="en-US"/>
              </w:rPr>
              <w:t>2</w:t>
            </w:r>
            <w:r w:rsidR="00641242" w:rsidRPr="006E725C">
              <w:rPr>
                <w:spacing w:val="-4"/>
                <w:lang w:val="en-GB" w:eastAsia="en-US"/>
              </w:rPr>
              <w:t xml:space="preserve"> </w:t>
            </w:r>
            <w:proofErr w:type="spellStart"/>
            <w:r w:rsidR="00641242" w:rsidRPr="006E725C">
              <w:rPr>
                <w:spacing w:val="-4"/>
                <w:lang w:val="en-GB" w:eastAsia="en-US"/>
              </w:rPr>
              <w:t>bn</w:t>
            </w:r>
            <w:proofErr w:type="spellEnd"/>
            <w:r w:rsidR="00EA1EBB" w:rsidRPr="006E725C">
              <w:rPr>
                <w:spacing w:val="-4"/>
                <w:lang w:val="en-GB" w:eastAsia="en-US"/>
              </w:rPr>
              <w:t>, −2</w:t>
            </w:r>
            <w:r w:rsidR="00641242" w:rsidRPr="006E725C">
              <w:rPr>
                <w:spacing w:val="-4"/>
                <w:lang w:val="en-GB" w:eastAsia="en-US"/>
              </w:rPr>
              <w:t>.</w:t>
            </w:r>
            <w:r w:rsidR="00EA1EBB" w:rsidRPr="006E725C">
              <w:rPr>
                <w:spacing w:val="-4"/>
                <w:lang w:val="en-GB" w:eastAsia="en-US"/>
              </w:rPr>
              <w:t xml:space="preserve">3%), </w:t>
            </w:r>
            <w:r w:rsidR="00F0566C" w:rsidRPr="006E725C">
              <w:rPr>
                <w:spacing w:val="-4"/>
                <w:lang w:val="en-GB" w:eastAsia="en-US"/>
              </w:rPr>
              <w:t xml:space="preserve">or other non-metal mineral products </w:t>
            </w:r>
            <w:r w:rsidR="00EA1EBB" w:rsidRPr="006E725C">
              <w:rPr>
                <w:spacing w:val="-4"/>
                <w:lang w:val="en-GB" w:eastAsia="en-US"/>
              </w:rPr>
              <w:t>(−6</w:t>
            </w:r>
            <w:r w:rsidR="00F0566C" w:rsidRPr="006E725C">
              <w:rPr>
                <w:spacing w:val="-4"/>
                <w:lang w:val="en-GB" w:eastAsia="en-US"/>
              </w:rPr>
              <w:t>.</w:t>
            </w:r>
            <w:r w:rsidR="00EA1EBB" w:rsidRPr="006E725C">
              <w:rPr>
                <w:spacing w:val="-4"/>
                <w:lang w:val="en-GB" w:eastAsia="en-US"/>
              </w:rPr>
              <w:t>1</w:t>
            </w:r>
            <w:r w:rsidR="00F0566C" w:rsidRPr="006E725C">
              <w:rPr>
                <w:spacing w:val="-4"/>
                <w:lang w:val="en-GB" w:eastAsia="en-US"/>
              </w:rPr>
              <w:t xml:space="preserve"> </w:t>
            </w:r>
            <w:proofErr w:type="spellStart"/>
            <w:r w:rsidR="00F0566C" w:rsidRPr="006E725C">
              <w:rPr>
                <w:spacing w:val="-4"/>
                <w:lang w:val="en-GB" w:eastAsia="en-US"/>
              </w:rPr>
              <w:t>bn</w:t>
            </w:r>
            <w:proofErr w:type="spellEnd"/>
            <w:r w:rsidR="00EA1EBB" w:rsidRPr="006E725C">
              <w:rPr>
                <w:spacing w:val="-4"/>
                <w:lang w:val="en-GB" w:eastAsia="en-US"/>
              </w:rPr>
              <w:t>, −6</w:t>
            </w:r>
            <w:r w:rsidR="00F0566C" w:rsidRPr="006E725C">
              <w:rPr>
                <w:spacing w:val="-4"/>
                <w:lang w:val="en-GB" w:eastAsia="en-US"/>
              </w:rPr>
              <w:t>.</w:t>
            </w:r>
            <w:r w:rsidR="00EA1EBB" w:rsidRPr="006E725C">
              <w:rPr>
                <w:spacing w:val="-4"/>
                <w:lang w:val="en-GB" w:eastAsia="en-US"/>
              </w:rPr>
              <w:t>8%).</w:t>
            </w:r>
          </w:p>
        </w:tc>
      </w:tr>
      <w:tr w:rsidR="00EA1EBB" w:rsidRPr="006E725C" w14:paraId="5774C5FB" w14:textId="77777777" w:rsidTr="00EA1EBB">
        <w:trPr>
          <w:trHeight w:val="170"/>
        </w:trPr>
        <w:tc>
          <w:tcPr>
            <w:tcW w:w="1748" w:type="dxa"/>
            <w:hideMark/>
          </w:tcPr>
          <w:p w14:paraId="3FA67B59" w14:textId="100A16A8" w:rsidR="00EA1EBB" w:rsidRPr="006E725C" w:rsidRDefault="006961FC">
            <w:pPr>
              <w:pStyle w:val="Marginlie"/>
              <w:rPr>
                <w:lang w:val="en-GB" w:eastAsia="en-US"/>
              </w:rPr>
            </w:pPr>
            <w:r w:rsidRPr="006E725C">
              <w:rPr>
                <w:lang w:val="en-GB" w:eastAsia="en-US"/>
              </w:rPr>
              <w:lastRenderedPageBreak/>
              <w:t xml:space="preserve">The export of majority </w:t>
            </w:r>
            <w:r w:rsidR="00ED6559" w:rsidRPr="006E725C">
              <w:rPr>
                <w:lang w:val="en-GB" w:eastAsia="en-US"/>
              </w:rPr>
              <w:t>types of goods decreased in Q</w:t>
            </w:r>
            <w:r w:rsidR="00EA1EBB" w:rsidRPr="006E725C">
              <w:rPr>
                <w:lang w:val="en-GB" w:eastAsia="en-US"/>
              </w:rPr>
              <w:t>4.</w:t>
            </w:r>
          </w:p>
        </w:tc>
        <w:tc>
          <w:tcPr>
            <w:tcW w:w="221" w:type="dxa"/>
          </w:tcPr>
          <w:p w14:paraId="70D6E0E4" w14:textId="77777777" w:rsidR="00EA1EBB" w:rsidRPr="006E725C" w:rsidRDefault="00EA1EBB">
            <w:pPr>
              <w:pStyle w:val="Textpoznpodarou"/>
              <w:jc w:val="both"/>
              <w:rPr>
                <w:spacing w:val="-4"/>
                <w:lang w:val="en-GB" w:eastAsia="en-US"/>
              </w:rPr>
            </w:pPr>
          </w:p>
        </w:tc>
        <w:tc>
          <w:tcPr>
            <w:tcW w:w="7670" w:type="dxa"/>
            <w:hideMark/>
          </w:tcPr>
          <w:p w14:paraId="7E7E89AE" w14:textId="6C65E6B3" w:rsidR="00EA1EBB" w:rsidRPr="006E725C" w:rsidRDefault="00ED6559">
            <w:pPr>
              <w:spacing w:after="180"/>
              <w:rPr>
                <w:spacing w:val="-4"/>
                <w:lang w:val="en-GB" w:eastAsia="en-US"/>
              </w:rPr>
            </w:pPr>
            <w:r w:rsidRPr="006E725C">
              <w:rPr>
                <w:spacing w:val="-4"/>
                <w:lang w:val="en-GB" w:eastAsia="en-US"/>
              </w:rPr>
              <w:t>The export of majority of commodities decreased year-on-year in Q4</w:t>
            </w:r>
            <w:r w:rsidR="00EA1EBB" w:rsidRPr="006E725C">
              <w:rPr>
                <w:spacing w:val="-4"/>
                <w:lang w:val="en-GB" w:eastAsia="en-US"/>
              </w:rPr>
              <w:t xml:space="preserve">. </w:t>
            </w:r>
            <w:r w:rsidR="00EE1291" w:rsidRPr="006E725C">
              <w:rPr>
                <w:spacing w:val="-4"/>
                <w:lang w:val="en-GB" w:eastAsia="en-US"/>
              </w:rPr>
              <w:t xml:space="preserve">The slump of value of exports of electricity, gas, steam and air conditioning </w:t>
            </w:r>
            <w:r w:rsidR="00EA1EBB" w:rsidRPr="006E725C">
              <w:rPr>
                <w:spacing w:val="-4"/>
                <w:lang w:val="en-GB" w:eastAsia="en-US"/>
              </w:rPr>
              <w:t>(−16</w:t>
            </w:r>
            <w:r w:rsidR="00553007" w:rsidRPr="006E725C">
              <w:rPr>
                <w:spacing w:val="-4"/>
                <w:lang w:val="en-GB" w:eastAsia="en-US"/>
              </w:rPr>
              <w:t>.</w:t>
            </w:r>
            <w:r w:rsidR="00EA1EBB" w:rsidRPr="006E725C">
              <w:rPr>
                <w:spacing w:val="-4"/>
                <w:lang w:val="en-GB" w:eastAsia="en-US"/>
              </w:rPr>
              <w:t>7</w:t>
            </w:r>
            <w:r w:rsidR="00553007"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−56</w:t>
            </w:r>
            <w:r w:rsidR="00553007" w:rsidRPr="006E725C">
              <w:rPr>
                <w:spacing w:val="-4"/>
                <w:lang w:val="en-GB" w:eastAsia="en-US"/>
              </w:rPr>
              <w:t>.</w:t>
            </w:r>
            <w:r w:rsidR="00EA1EBB" w:rsidRPr="006E725C">
              <w:rPr>
                <w:spacing w:val="-4"/>
                <w:lang w:val="en-GB" w:eastAsia="en-US"/>
              </w:rPr>
              <w:t xml:space="preserve">7%), </w:t>
            </w:r>
            <w:r w:rsidR="00553007" w:rsidRPr="006E725C">
              <w:rPr>
                <w:spacing w:val="-4"/>
                <w:lang w:val="en-GB" w:eastAsia="en-US"/>
              </w:rPr>
              <w:t xml:space="preserve">computers, electrical and optical appliances </w:t>
            </w:r>
            <w:r w:rsidR="00EA1EBB" w:rsidRPr="006E725C">
              <w:rPr>
                <w:spacing w:val="-4"/>
                <w:lang w:val="en-GB" w:eastAsia="en-US"/>
              </w:rPr>
              <w:t>(−10</w:t>
            </w:r>
            <w:r w:rsidR="00553007" w:rsidRPr="006E725C">
              <w:rPr>
                <w:spacing w:val="-4"/>
                <w:lang w:val="en-GB" w:eastAsia="en-US"/>
              </w:rPr>
              <w:t>.</w:t>
            </w:r>
            <w:r w:rsidR="00EA1EBB" w:rsidRPr="006E725C">
              <w:rPr>
                <w:spacing w:val="-4"/>
                <w:lang w:val="en-GB" w:eastAsia="en-US"/>
              </w:rPr>
              <w:t>2</w:t>
            </w:r>
            <w:r w:rsidR="00553007" w:rsidRPr="006E725C">
              <w:rPr>
                <w:spacing w:val="-4"/>
                <w:lang w:val="en-GB" w:eastAsia="en-US"/>
              </w:rPr>
              <w:t xml:space="preserve"> </w:t>
            </w:r>
            <w:proofErr w:type="spellStart"/>
            <w:r w:rsidR="00553007" w:rsidRPr="006E725C">
              <w:rPr>
                <w:spacing w:val="-4"/>
                <w:lang w:val="en-GB" w:eastAsia="en-US"/>
              </w:rPr>
              <w:t>bn</w:t>
            </w:r>
            <w:proofErr w:type="spellEnd"/>
            <w:r w:rsidR="00EA1EBB" w:rsidRPr="006E725C">
              <w:rPr>
                <w:spacing w:val="-4"/>
                <w:lang w:val="en-GB" w:eastAsia="en-US"/>
              </w:rPr>
              <w:t>, −8</w:t>
            </w:r>
            <w:r w:rsidR="00553007" w:rsidRPr="006E725C">
              <w:rPr>
                <w:spacing w:val="-4"/>
                <w:lang w:val="en-GB" w:eastAsia="en-US"/>
              </w:rPr>
              <w:t>.</w:t>
            </w:r>
            <w:r w:rsidR="00EA1EBB" w:rsidRPr="006E725C">
              <w:rPr>
                <w:spacing w:val="-4"/>
                <w:lang w:val="en-GB" w:eastAsia="en-US"/>
              </w:rPr>
              <w:t>8%) a</w:t>
            </w:r>
            <w:r w:rsidR="00553007" w:rsidRPr="006E725C">
              <w:rPr>
                <w:spacing w:val="-4"/>
                <w:lang w:val="en-GB" w:eastAsia="en-US"/>
              </w:rPr>
              <w:t xml:space="preserve">nd basic metals </w:t>
            </w:r>
            <w:r w:rsidR="00EA1EBB" w:rsidRPr="006E725C">
              <w:rPr>
                <w:spacing w:val="-4"/>
                <w:lang w:val="en-GB" w:eastAsia="en-US"/>
              </w:rPr>
              <w:t>(−5</w:t>
            </w:r>
            <w:r w:rsidR="00553007" w:rsidRPr="006E725C">
              <w:rPr>
                <w:spacing w:val="-4"/>
                <w:lang w:val="en-GB" w:eastAsia="en-US"/>
              </w:rPr>
              <w:t>.</w:t>
            </w:r>
            <w:r w:rsidR="00EA1EBB" w:rsidRPr="006E725C">
              <w:rPr>
                <w:spacing w:val="-4"/>
                <w:lang w:val="en-GB" w:eastAsia="en-US"/>
              </w:rPr>
              <w:t>9</w:t>
            </w:r>
            <w:r w:rsidR="00553007" w:rsidRPr="006E725C">
              <w:rPr>
                <w:spacing w:val="-4"/>
                <w:lang w:val="en-GB" w:eastAsia="en-US"/>
              </w:rPr>
              <w:t xml:space="preserve"> </w:t>
            </w:r>
            <w:proofErr w:type="spellStart"/>
            <w:r w:rsidR="00553007" w:rsidRPr="006E725C">
              <w:rPr>
                <w:spacing w:val="-4"/>
                <w:lang w:val="en-GB" w:eastAsia="en-US"/>
              </w:rPr>
              <w:t>bn</w:t>
            </w:r>
            <w:proofErr w:type="spellEnd"/>
            <w:r w:rsidR="00EA1EBB" w:rsidRPr="006E725C">
              <w:rPr>
                <w:spacing w:val="-4"/>
                <w:lang w:val="en-GB" w:eastAsia="en-US"/>
              </w:rPr>
              <w:t>, −14</w:t>
            </w:r>
            <w:r w:rsidR="00553007" w:rsidRPr="006E725C">
              <w:rPr>
                <w:spacing w:val="-4"/>
                <w:lang w:val="en-GB" w:eastAsia="en-US"/>
              </w:rPr>
              <w:t>.</w:t>
            </w:r>
            <w:r w:rsidR="00EA1EBB" w:rsidRPr="006E725C">
              <w:rPr>
                <w:spacing w:val="-4"/>
                <w:lang w:val="en-GB" w:eastAsia="en-US"/>
              </w:rPr>
              <w:t>2%)</w:t>
            </w:r>
            <w:r w:rsidR="00B0313F" w:rsidRPr="006E725C">
              <w:rPr>
                <w:spacing w:val="-4"/>
                <w:lang w:val="en-GB" w:eastAsia="en-US"/>
              </w:rPr>
              <w:t xml:space="preserve"> contributed the most to the total year-on-year decrease of exports. The value of </w:t>
            </w:r>
            <w:r w:rsidR="00CD284C" w:rsidRPr="006E725C">
              <w:rPr>
                <w:spacing w:val="-4"/>
                <w:lang w:val="en-GB" w:eastAsia="en-US"/>
              </w:rPr>
              <w:t xml:space="preserve">exports of electrical appliances </w:t>
            </w:r>
            <w:r w:rsidR="00EA1EBB" w:rsidRPr="006E725C">
              <w:rPr>
                <w:spacing w:val="-4"/>
                <w:lang w:val="en-GB" w:eastAsia="en-US"/>
              </w:rPr>
              <w:t>(−4</w:t>
            </w:r>
            <w:r w:rsidR="00CD284C" w:rsidRPr="006E725C">
              <w:rPr>
                <w:spacing w:val="-4"/>
                <w:lang w:val="en-GB" w:eastAsia="en-US"/>
              </w:rPr>
              <w:t>.</w:t>
            </w:r>
            <w:r w:rsidR="00EA1EBB" w:rsidRPr="006E725C">
              <w:rPr>
                <w:spacing w:val="-4"/>
                <w:lang w:val="en-GB" w:eastAsia="en-US"/>
              </w:rPr>
              <w:t>7</w:t>
            </w:r>
            <w:r w:rsidR="00CD284C"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−4</w:t>
            </w:r>
            <w:r w:rsidR="00CD284C" w:rsidRPr="006E725C">
              <w:rPr>
                <w:spacing w:val="-4"/>
                <w:lang w:val="en-GB" w:eastAsia="en-US"/>
              </w:rPr>
              <w:t>.</w:t>
            </w:r>
            <w:r w:rsidR="00EA1EBB" w:rsidRPr="006E725C">
              <w:rPr>
                <w:spacing w:val="-4"/>
                <w:lang w:val="en-GB" w:eastAsia="en-US"/>
              </w:rPr>
              <w:t>0%),</w:t>
            </w:r>
            <w:r w:rsidR="00455AE3" w:rsidRPr="006E725C">
              <w:rPr>
                <w:spacing w:val="-4"/>
                <w:lang w:val="en-GB" w:eastAsia="en-US"/>
              </w:rPr>
              <w:t xml:space="preserve"> petroleum </w:t>
            </w:r>
            <w:r w:rsidR="00CD284C" w:rsidRPr="006E725C">
              <w:rPr>
                <w:spacing w:val="-4"/>
                <w:lang w:val="en-GB" w:eastAsia="en-US"/>
              </w:rPr>
              <w:t xml:space="preserve">and natural gas </w:t>
            </w:r>
            <w:r w:rsidR="00EA1EBB" w:rsidRPr="006E725C">
              <w:rPr>
                <w:spacing w:val="-4"/>
                <w:lang w:val="en-GB" w:eastAsia="en-US"/>
              </w:rPr>
              <w:t>(−4</w:t>
            </w:r>
            <w:r w:rsidR="00CD284C" w:rsidRPr="006E725C">
              <w:rPr>
                <w:spacing w:val="-4"/>
                <w:lang w:val="en-GB" w:eastAsia="en-US"/>
              </w:rPr>
              <w:t>.</w:t>
            </w:r>
            <w:r w:rsidR="00EA1EBB" w:rsidRPr="006E725C">
              <w:rPr>
                <w:spacing w:val="-4"/>
                <w:lang w:val="en-GB" w:eastAsia="en-US"/>
              </w:rPr>
              <w:t>3</w:t>
            </w:r>
            <w:r w:rsidR="00CD284C" w:rsidRPr="006E725C">
              <w:rPr>
                <w:spacing w:val="-4"/>
                <w:lang w:val="en-GB" w:eastAsia="en-US"/>
              </w:rPr>
              <w:t xml:space="preserve"> </w:t>
            </w:r>
            <w:proofErr w:type="spellStart"/>
            <w:r w:rsidR="00CD284C" w:rsidRPr="006E725C">
              <w:rPr>
                <w:spacing w:val="-4"/>
                <w:lang w:val="en-GB" w:eastAsia="en-US"/>
              </w:rPr>
              <w:t>bn</w:t>
            </w:r>
            <w:proofErr w:type="spellEnd"/>
            <w:r w:rsidR="00EA1EBB" w:rsidRPr="006E725C">
              <w:rPr>
                <w:spacing w:val="-4"/>
                <w:lang w:val="en-GB" w:eastAsia="en-US"/>
              </w:rPr>
              <w:t>, −98</w:t>
            </w:r>
            <w:r w:rsidR="00CD284C" w:rsidRPr="006E725C">
              <w:rPr>
                <w:spacing w:val="-4"/>
                <w:lang w:val="en-GB" w:eastAsia="en-US"/>
              </w:rPr>
              <w:t>.</w:t>
            </w:r>
            <w:r w:rsidR="00EA1EBB" w:rsidRPr="006E725C">
              <w:rPr>
                <w:spacing w:val="-4"/>
                <w:lang w:val="en-GB" w:eastAsia="en-US"/>
              </w:rPr>
              <w:t>8%), chemic</w:t>
            </w:r>
            <w:r w:rsidR="00CD284C" w:rsidRPr="006E725C">
              <w:rPr>
                <w:spacing w:val="-4"/>
                <w:lang w:val="en-GB" w:eastAsia="en-US"/>
              </w:rPr>
              <w:t xml:space="preserve">al substances and products </w:t>
            </w:r>
            <w:r w:rsidR="00EA1EBB" w:rsidRPr="006E725C">
              <w:rPr>
                <w:spacing w:val="-4"/>
                <w:lang w:val="en-GB" w:eastAsia="en-US"/>
              </w:rPr>
              <w:t>(−3</w:t>
            </w:r>
            <w:r w:rsidR="00CD284C" w:rsidRPr="006E725C">
              <w:rPr>
                <w:spacing w:val="-4"/>
                <w:lang w:val="en-GB" w:eastAsia="en-US"/>
              </w:rPr>
              <w:t>.</w:t>
            </w:r>
            <w:r w:rsidR="00EA1EBB" w:rsidRPr="006E725C">
              <w:rPr>
                <w:spacing w:val="-4"/>
                <w:lang w:val="en-GB" w:eastAsia="en-US"/>
              </w:rPr>
              <w:t>5</w:t>
            </w:r>
            <w:r w:rsidR="00CD284C" w:rsidRPr="006E725C">
              <w:rPr>
                <w:spacing w:val="-4"/>
                <w:lang w:val="en-GB" w:eastAsia="en-US"/>
              </w:rPr>
              <w:t xml:space="preserve"> </w:t>
            </w:r>
            <w:proofErr w:type="spellStart"/>
            <w:r w:rsidR="00CD284C" w:rsidRPr="006E725C">
              <w:rPr>
                <w:spacing w:val="-4"/>
                <w:lang w:val="en-GB" w:eastAsia="en-US"/>
              </w:rPr>
              <w:t>bn</w:t>
            </w:r>
            <w:proofErr w:type="spellEnd"/>
            <w:r w:rsidR="00EA1EBB" w:rsidRPr="006E725C">
              <w:rPr>
                <w:spacing w:val="-4"/>
                <w:lang w:val="en-GB" w:eastAsia="en-US"/>
              </w:rPr>
              <w:t>, −6</w:t>
            </w:r>
            <w:r w:rsidR="00CD284C" w:rsidRPr="006E725C">
              <w:rPr>
                <w:spacing w:val="-4"/>
                <w:lang w:val="en-GB" w:eastAsia="en-US"/>
              </w:rPr>
              <w:t>.</w:t>
            </w:r>
            <w:r w:rsidR="00EA1EBB" w:rsidRPr="006E725C">
              <w:rPr>
                <w:spacing w:val="-4"/>
                <w:lang w:val="en-GB" w:eastAsia="en-US"/>
              </w:rPr>
              <w:t xml:space="preserve">2%), </w:t>
            </w:r>
            <w:r w:rsidR="00553007" w:rsidRPr="006E725C">
              <w:rPr>
                <w:spacing w:val="-4"/>
                <w:lang w:val="en-GB" w:eastAsia="en-US"/>
              </w:rPr>
              <w:t xml:space="preserve">machinery and equipment </w:t>
            </w:r>
            <w:r w:rsidR="00EA1EBB" w:rsidRPr="006E725C">
              <w:rPr>
                <w:spacing w:val="-4"/>
                <w:lang w:val="en-GB" w:eastAsia="en-US"/>
              </w:rPr>
              <w:t>(−3</w:t>
            </w:r>
            <w:r w:rsidR="00553007" w:rsidRPr="006E725C">
              <w:rPr>
                <w:spacing w:val="-4"/>
                <w:lang w:val="en-GB" w:eastAsia="en-US"/>
              </w:rPr>
              <w:t>.</w:t>
            </w:r>
            <w:r w:rsidR="00EA1EBB" w:rsidRPr="006E725C">
              <w:rPr>
                <w:spacing w:val="-4"/>
                <w:lang w:val="en-GB" w:eastAsia="en-US"/>
              </w:rPr>
              <w:t>4</w:t>
            </w:r>
            <w:r w:rsidR="00553007" w:rsidRPr="006E725C">
              <w:rPr>
                <w:spacing w:val="-4"/>
                <w:lang w:val="en-GB" w:eastAsia="en-US"/>
              </w:rPr>
              <w:t xml:space="preserve"> </w:t>
            </w:r>
            <w:proofErr w:type="spellStart"/>
            <w:r w:rsidR="00553007" w:rsidRPr="006E725C">
              <w:rPr>
                <w:spacing w:val="-4"/>
                <w:lang w:val="en-GB" w:eastAsia="en-US"/>
              </w:rPr>
              <w:t>bn</w:t>
            </w:r>
            <w:proofErr w:type="spellEnd"/>
            <w:r w:rsidR="00EA1EBB" w:rsidRPr="006E725C">
              <w:rPr>
                <w:spacing w:val="-4"/>
                <w:lang w:val="en-GB" w:eastAsia="en-US"/>
              </w:rPr>
              <w:t>, −2</w:t>
            </w:r>
            <w:r w:rsidR="00553007" w:rsidRPr="006E725C">
              <w:rPr>
                <w:spacing w:val="-4"/>
                <w:lang w:val="en-GB" w:eastAsia="en-US"/>
              </w:rPr>
              <w:t>.</w:t>
            </w:r>
            <w:r w:rsidR="00EA1EBB" w:rsidRPr="006E725C">
              <w:rPr>
                <w:spacing w:val="-4"/>
                <w:lang w:val="en-GB" w:eastAsia="en-US"/>
              </w:rPr>
              <w:t>6%),</w:t>
            </w:r>
            <w:r w:rsidR="00553007" w:rsidRPr="006E725C">
              <w:rPr>
                <w:spacing w:val="-4"/>
                <w:lang w:val="en-GB" w:eastAsia="en-US"/>
              </w:rPr>
              <w:t xml:space="preserve"> coke and refined </w:t>
            </w:r>
            <w:r w:rsidR="00455AE3" w:rsidRPr="006E725C">
              <w:rPr>
                <w:spacing w:val="-4"/>
                <w:lang w:val="en-GB" w:eastAsia="en-US"/>
              </w:rPr>
              <w:t>petroleum</w:t>
            </w:r>
            <w:r w:rsidR="00553007" w:rsidRPr="006E725C">
              <w:rPr>
                <w:spacing w:val="-4"/>
                <w:lang w:val="en-GB" w:eastAsia="en-US"/>
              </w:rPr>
              <w:t xml:space="preserve"> products </w:t>
            </w:r>
            <w:r w:rsidR="00EA1EBB" w:rsidRPr="006E725C">
              <w:rPr>
                <w:spacing w:val="-4"/>
                <w:lang w:val="en-GB" w:eastAsia="en-US"/>
              </w:rPr>
              <w:t>(−2</w:t>
            </w:r>
            <w:r w:rsidR="00553007" w:rsidRPr="006E725C">
              <w:rPr>
                <w:spacing w:val="-4"/>
                <w:lang w:val="en-GB" w:eastAsia="en-US"/>
              </w:rPr>
              <w:t>.</w:t>
            </w:r>
            <w:r w:rsidR="00EA1EBB" w:rsidRPr="006E725C">
              <w:rPr>
                <w:spacing w:val="-4"/>
                <w:lang w:val="en-GB" w:eastAsia="en-US"/>
              </w:rPr>
              <w:t>4</w:t>
            </w:r>
            <w:r w:rsidR="00553007" w:rsidRPr="006E725C">
              <w:rPr>
                <w:spacing w:val="-4"/>
                <w:lang w:val="en-GB" w:eastAsia="en-US"/>
              </w:rPr>
              <w:t xml:space="preserve"> </w:t>
            </w:r>
            <w:proofErr w:type="spellStart"/>
            <w:r w:rsidR="00553007" w:rsidRPr="006E725C">
              <w:rPr>
                <w:spacing w:val="-4"/>
                <w:lang w:val="en-GB" w:eastAsia="en-US"/>
              </w:rPr>
              <w:t>bn</w:t>
            </w:r>
            <w:proofErr w:type="spellEnd"/>
            <w:r w:rsidR="00EA1EBB" w:rsidRPr="006E725C">
              <w:rPr>
                <w:spacing w:val="-4"/>
                <w:lang w:val="en-GB" w:eastAsia="en-US"/>
              </w:rPr>
              <w:t>, −15</w:t>
            </w:r>
            <w:r w:rsidR="00553007" w:rsidRPr="006E725C">
              <w:rPr>
                <w:spacing w:val="-4"/>
                <w:lang w:val="en-GB" w:eastAsia="en-US"/>
              </w:rPr>
              <w:t>.</w:t>
            </w:r>
            <w:r w:rsidR="00EA1EBB" w:rsidRPr="006E725C">
              <w:rPr>
                <w:spacing w:val="-4"/>
                <w:lang w:val="en-GB" w:eastAsia="en-US"/>
              </w:rPr>
              <w:t xml:space="preserve">8%), </w:t>
            </w:r>
            <w:r w:rsidR="00553007" w:rsidRPr="006E725C">
              <w:rPr>
                <w:spacing w:val="-4"/>
                <w:lang w:val="en-GB" w:eastAsia="en-US"/>
              </w:rPr>
              <w:t xml:space="preserve">products of forestry and wood logging </w:t>
            </w:r>
            <w:r w:rsidR="00EA1EBB" w:rsidRPr="006E725C">
              <w:rPr>
                <w:spacing w:val="-4"/>
                <w:lang w:val="en-GB" w:eastAsia="en-US"/>
              </w:rPr>
              <w:t>(−2</w:t>
            </w:r>
            <w:r w:rsidR="00553007" w:rsidRPr="006E725C">
              <w:rPr>
                <w:spacing w:val="-4"/>
                <w:lang w:val="en-GB" w:eastAsia="en-US"/>
              </w:rPr>
              <w:t>.</w:t>
            </w:r>
            <w:r w:rsidR="00EA1EBB" w:rsidRPr="006E725C">
              <w:rPr>
                <w:spacing w:val="-4"/>
                <w:lang w:val="en-GB" w:eastAsia="en-US"/>
              </w:rPr>
              <w:t>4</w:t>
            </w:r>
            <w:r w:rsidR="00553007" w:rsidRPr="006E725C">
              <w:rPr>
                <w:spacing w:val="-4"/>
                <w:lang w:val="en-GB" w:eastAsia="en-US"/>
              </w:rPr>
              <w:t xml:space="preserve"> </w:t>
            </w:r>
            <w:proofErr w:type="spellStart"/>
            <w:r w:rsidR="00553007" w:rsidRPr="006E725C">
              <w:rPr>
                <w:spacing w:val="-4"/>
                <w:lang w:val="en-GB" w:eastAsia="en-US"/>
              </w:rPr>
              <w:t>bn</w:t>
            </w:r>
            <w:proofErr w:type="spellEnd"/>
            <w:r w:rsidR="00EA1EBB" w:rsidRPr="006E725C">
              <w:rPr>
                <w:spacing w:val="-4"/>
                <w:lang w:val="en-GB" w:eastAsia="en-US"/>
              </w:rPr>
              <w:t>, −44</w:t>
            </w:r>
            <w:r w:rsidR="00553007" w:rsidRPr="006E725C">
              <w:rPr>
                <w:spacing w:val="-4"/>
                <w:lang w:val="en-GB" w:eastAsia="en-US"/>
              </w:rPr>
              <w:t>.</w:t>
            </w:r>
            <w:r w:rsidR="00EA1EBB" w:rsidRPr="006E725C">
              <w:rPr>
                <w:spacing w:val="-4"/>
                <w:lang w:val="en-GB" w:eastAsia="en-US"/>
              </w:rPr>
              <w:t xml:space="preserve">0%), </w:t>
            </w:r>
            <w:r w:rsidR="00553007" w:rsidRPr="006E725C">
              <w:rPr>
                <w:spacing w:val="-4"/>
                <w:lang w:val="en-GB" w:eastAsia="en-US"/>
              </w:rPr>
              <w:t xml:space="preserve">wood and wood products </w:t>
            </w:r>
            <w:r w:rsidR="00EA1EBB" w:rsidRPr="006E725C">
              <w:rPr>
                <w:spacing w:val="-4"/>
                <w:lang w:val="en-GB" w:eastAsia="en-US"/>
              </w:rPr>
              <w:t>(−2</w:t>
            </w:r>
            <w:r w:rsidR="00553007" w:rsidRPr="006E725C">
              <w:rPr>
                <w:spacing w:val="-4"/>
                <w:lang w:val="en-GB" w:eastAsia="en-US"/>
              </w:rPr>
              <w:t>.</w:t>
            </w:r>
            <w:r w:rsidR="00EA1EBB" w:rsidRPr="006E725C">
              <w:rPr>
                <w:spacing w:val="-4"/>
                <w:lang w:val="en-GB" w:eastAsia="en-US"/>
              </w:rPr>
              <w:t>3</w:t>
            </w:r>
            <w:r w:rsidR="00553007" w:rsidRPr="006E725C">
              <w:rPr>
                <w:spacing w:val="-4"/>
                <w:lang w:val="en-GB" w:eastAsia="en-US"/>
              </w:rPr>
              <w:t xml:space="preserve"> </w:t>
            </w:r>
            <w:proofErr w:type="spellStart"/>
            <w:r w:rsidR="00553007" w:rsidRPr="006E725C">
              <w:rPr>
                <w:spacing w:val="-4"/>
                <w:lang w:val="en-GB" w:eastAsia="en-US"/>
              </w:rPr>
              <w:t>bn</w:t>
            </w:r>
            <w:proofErr w:type="spellEnd"/>
            <w:r w:rsidR="00EA1EBB" w:rsidRPr="006E725C">
              <w:rPr>
                <w:spacing w:val="-4"/>
                <w:lang w:val="en-GB" w:eastAsia="en-US"/>
              </w:rPr>
              <w:t>, −18</w:t>
            </w:r>
            <w:r w:rsidR="00553007" w:rsidRPr="006E725C">
              <w:rPr>
                <w:spacing w:val="-4"/>
                <w:lang w:val="en-GB" w:eastAsia="en-US"/>
              </w:rPr>
              <w:t>.</w:t>
            </w:r>
            <w:r w:rsidR="00EA1EBB" w:rsidRPr="006E725C">
              <w:rPr>
                <w:spacing w:val="-4"/>
                <w:lang w:val="en-GB" w:eastAsia="en-US"/>
              </w:rPr>
              <w:t xml:space="preserve">0%) </w:t>
            </w:r>
            <w:r w:rsidR="00553007" w:rsidRPr="006E725C">
              <w:rPr>
                <w:spacing w:val="-4"/>
                <w:lang w:val="en-GB" w:eastAsia="en-US"/>
              </w:rPr>
              <w:t xml:space="preserve">or other non-metal mineral products </w:t>
            </w:r>
            <w:r w:rsidR="00EA1EBB" w:rsidRPr="006E725C">
              <w:rPr>
                <w:spacing w:val="-4"/>
                <w:lang w:val="en-GB" w:eastAsia="en-US"/>
              </w:rPr>
              <w:t>(−2</w:t>
            </w:r>
            <w:r w:rsidR="00553007" w:rsidRPr="006E725C">
              <w:rPr>
                <w:spacing w:val="-4"/>
                <w:lang w:val="en-GB" w:eastAsia="en-US"/>
              </w:rPr>
              <w:t>.</w:t>
            </w:r>
            <w:r w:rsidR="00EA1EBB" w:rsidRPr="006E725C">
              <w:rPr>
                <w:spacing w:val="-4"/>
                <w:lang w:val="en-GB" w:eastAsia="en-US"/>
              </w:rPr>
              <w:t>2</w:t>
            </w:r>
            <w:r w:rsidR="00553007" w:rsidRPr="006E725C">
              <w:rPr>
                <w:spacing w:val="-4"/>
                <w:lang w:val="en-GB" w:eastAsia="en-US"/>
              </w:rPr>
              <w:t xml:space="preserve"> </w:t>
            </w:r>
            <w:proofErr w:type="spellStart"/>
            <w:r w:rsidR="00553007" w:rsidRPr="006E725C">
              <w:rPr>
                <w:spacing w:val="-4"/>
                <w:lang w:val="en-GB" w:eastAsia="en-US"/>
              </w:rPr>
              <w:t>bn</w:t>
            </w:r>
            <w:proofErr w:type="spellEnd"/>
            <w:r w:rsidR="00EA1EBB" w:rsidRPr="006E725C">
              <w:rPr>
                <w:spacing w:val="-4"/>
                <w:lang w:val="en-GB" w:eastAsia="en-US"/>
              </w:rPr>
              <w:t>, −10</w:t>
            </w:r>
            <w:r w:rsidR="00553007" w:rsidRPr="006E725C">
              <w:rPr>
                <w:spacing w:val="-4"/>
                <w:lang w:val="en-GB" w:eastAsia="en-US"/>
              </w:rPr>
              <w:t>.</w:t>
            </w:r>
            <w:r w:rsidR="00EA1EBB" w:rsidRPr="006E725C">
              <w:rPr>
                <w:spacing w:val="-4"/>
                <w:lang w:val="en-GB" w:eastAsia="en-US"/>
              </w:rPr>
              <w:t>0%)</w:t>
            </w:r>
            <w:r w:rsidR="00CD284C" w:rsidRPr="006E725C">
              <w:rPr>
                <w:spacing w:val="-4"/>
                <w:lang w:val="en-GB" w:eastAsia="en-US"/>
              </w:rPr>
              <w:t xml:space="preserve"> was also lower.</w:t>
            </w:r>
            <w:r w:rsidR="00EA1EBB" w:rsidRPr="006E725C">
              <w:rPr>
                <w:spacing w:val="-4"/>
                <w:lang w:val="en-GB" w:eastAsia="en-US"/>
              </w:rPr>
              <w:t xml:space="preserve"> </w:t>
            </w:r>
            <w:r w:rsidR="00DA308B" w:rsidRPr="006E725C">
              <w:rPr>
                <w:spacing w:val="-4"/>
                <w:lang w:val="en-GB" w:eastAsia="en-US"/>
              </w:rPr>
              <w:t xml:space="preserve">Among the few types of goods, where the exports increased, it grew the most </w:t>
            </w:r>
            <w:r w:rsidR="00D27C9D" w:rsidRPr="006E725C">
              <w:rPr>
                <w:spacing w:val="-4"/>
                <w:lang w:val="en-GB" w:eastAsia="en-US"/>
              </w:rPr>
              <w:t xml:space="preserve">for motor vehicles </w:t>
            </w:r>
            <w:r w:rsidR="00EA1EBB" w:rsidRPr="006E725C">
              <w:rPr>
                <w:spacing w:val="-4"/>
                <w:lang w:val="en-GB" w:eastAsia="en-US"/>
              </w:rPr>
              <w:t>(+48</w:t>
            </w:r>
            <w:r w:rsidR="00D27C9D" w:rsidRPr="006E725C">
              <w:rPr>
                <w:spacing w:val="-4"/>
                <w:lang w:val="en-GB" w:eastAsia="en-US"/>
              </w:rPr>
              <w:t>.</w:t>
            </w:r>
            <w:r w:rsidR="00EA1EBB" w:rsidRPr="006E725C">
              <w:rPr>
                <w:spacing w:val="-4"/>
                <w:lang w:val="en-GB" w:eastAsia="en-US"/>
              </w:rPr>
              <w:t>5</w:t>
            </w:r>
            <w:r w:rsidR="00D27C9D"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17</w:t>
            </w:r>
            <w:r w:rsidR="00D27C9D" w:rsidRPr="006E725C">
              <w:rPr>
                <w:spacing w:val="-4"/>
                <w:lang w:val="en-GB" w:eastAsia="en-US"/>
              </w:rPr>
              <w:t>.</w:t>
            </w:r>
            <w:r w:rsidR="00EA1EBB" w:rsidRPr="006E725C">
              <w:rPr>
                <w:spacing w:val="-4"/>
                <w:lang w:val="en-GB" w:eastAsia="en-US"/>
              </w:rPr>
              <w:t>6%)</w:t>
            </w:r>
            <w:r w:rsidR="00D27C9D" w:rsidRPr="006E725C">
              <w:rPr>
                <w:spacing w:val="-4"/>
                <w:lang w:val="en-GB" w:eastAsia="en-US"/>
              </w:rPr>
              <w:t xml:space="preserve"> year-on-year</w:t>
            </w:r>
            <w:r w:rsidR="00EA1EBB" w:rsidRPr="006E725C">
              <w:rPr>
                <w:spacing w:val="-4"/>
                <w:lang w:val="en-GB" w:eastAsia="en-US"/>
              </w:rPr>
              <w:t xml:space="preserve">. </w:t>
            </w:r>
            <w:r w:rsidR="000366CD" w:rsidRPr="006E725C">
              <w:rPr>
                <w:spacing w:val="-4"/>
                <w:lang w:val="en-GB" w:eastAsia="en-US"/>
              </w:rPr>
              <w:t xml:space="preserve">Exports of food products also recorded a more notable increase </w:t>
            </w:r>
            <w:r w:rsidR="00EA1EBB" w:rsidRPr="006E725C">
              <w:rPr>
                <w:spacing w:val="-4"/>
                <w:lang w:val="en-GB" w:eastAsia="en-US"/>
              </w:rPr>
              <w:t>(+3</w:t>
            </w:r>
            <w:r w:rsidR="000366CD" w:rsidRPr="006E725C">
              <w:rPr>
                <w:spacing w:val="-4"/>
                <w:lang w:val="en-GB" w:eastAsia="en-US"/>
              </w:rPr>
              <w:t>.</w:t>
            </w:r>
            <w:r w:rsidR="00EA1EBB" w:rsidRPr="006E725C">
              <w:rPr>
                <w:spacing w:val="-4"/>
                <w:lang w:val="en-GB" w:eastAsia="en-US"/>
              </w:rPr>
              <w:t>3</w:t>
            </w:r>
            <w:r w:rsidR="000366CD"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8</w:t>
            </w:r>
            <w:r w:rsidR="000366CD" w:rsidRPr="006E725C">
              <w:rPr>
                <w:spacing w:val="-4"/>
                <w:lang w:val="en-GB" w:eastAsia="en-US"/>
              </w:rPr>
              <w:t>.</w:t>
            </w:r>
            <w:r w:rsidR="00EA1EBB" w:rsidRPr="006E725C">
              <w:rPr>
                <w:spacing w:val="-4"/>
                <w:lang w:val="en-GB" w:eastAsia="en-US"/>
              </w:rPr>
              <w:t xml:space="preserve">1%).    </w:t>
            </w:r>
          </w:p>
        </w:tc>
      </w:tr>
      <w:tr w:rsidR="00EA1EBB" w:rsidRPr="006E725C" w14:paraId="60C8FEAA" w14:textId="77777777" w:rsidTr="00EA1EBB">
        <w:trPr>
          <w:trHeight w:val="126"/>
        </w:trPr>
        <w:tc>
          <w:tcPr>
            <w:tcW w:w="1748" w:type="dxa"/>
            <w:vMerge w:val="restart"/>
          </w:tcPr>
          <w:p w14:paraId="35DC0C12" w14:textId="77777777" w:rsidR="00EA1EBB" w:rsidRPr="006E725C" w:rsidRDefault="00EA1EBB">
            <w:pPr>
              <w:pStyle w:val="Marginlie"/>
              <w:rPr>
                <w:lang w:val="en-GB" w:eastAsia="en-US"/>
              </w:rPr>
            </w:pPr>
          </w:p>
        </w:tc>
        <w:tc>
          <w:tcPr>
            <w:tcW w:w="221" w:type="dxa"/>
            <w:vMerge w:val="restart"/>
          </w:tcPr>
          <w:p w14:paraId="55C7D8DE" w14:textId="77777777" w:rsidR="00EA1EBB" w:rsidRPr="006E725C" w:rsidRDefault="00EA1EBB">
            <w:pPr>
              <w:pStyle w:val="Textpoznpodarou"/>
              <w:jc w:val="both"/>
              <w:rPr>
                <w:spacing w:val="-4"/>
                <w:lang w:val="en-GB" w:eastAsia="en-US"/>
              </w:rPr>
            </w:pPr>
          </w:p>
        </w:tc>
        <w:tc>
          <w:tcPr>
            <w:tcW w:w="7670" w:type="dxa"/>
            <w:hideMark/>
          </w:tcPr>
          <w:p w14:paraId="6ED79DAE" w14:textId="5884304A" w:rsidR="00EA1EBB" w:rsidRPr="006E725C" w:rsidRDefault="005650DC" w:rsidP="00174ED1">
            <w:pPr>
              <w:spacing w:after="0"/>
              <w:rPr>
                <w:spacing w:val="-4"/>
                <w:lang w:val="en-GB" w:eastAsia="en-US"/>
              </w:rPr>
            </w:pPr>
            <w:r w:rsidRPr="006E725C">
              <w:rPr>
                <w:b/>
                <w:bCs/>
                <w:spacing w:val="-4"/>
                <w:lang w:val="en-GB" w:eastAsia="en-US"/>
              </w:rPr>
              <w:t xml:space="preserve">Chart </w:t>
            </w:r>
            <w:r w:rsidR="00174ED1" w:rsidRPr="006E725C">
              <w:rPr>
                <w:b/>
                <w:bCs/>
                <w:spacing w:val="-4"/>
                <w:lang w:val="en-GB" w:eastAsia="en-US"/>
              </w:rPr>
              <w:t>9</w:t>
            </w:r>
            <w:r w:rsidR="00EA1EBB" w:rsidRPr="006E725C">
              <w:rPr>
                <w:b/>
                <w:bCs/>
                <w:spacing w:val="-4"/>
                <w:lang w:val="en-GB" w:eastAsia="en-US"/>
              </w:rPr>
              <w:t xml:space="preserve"> </w:t>
            </w:r>
            <w:r w:rsidR="00D951DF" w:rsidRPr="006E725C">
              <w:rPr>
                <w:b/>
                <w:bCs/>
                <w:spacing w:val="-4"/>
                <w:lang w:val="en-GB" w:eastAsia="en-US"/>
              </w:rPr>
              <w:t>E</w:t>
            </w:r>
            <w:r w:rsidR="00B71A8D" w:rsidRPr="006E725C">
              <w:rPr>
                <w:b/>
                <w:bCs/>
                <w:spacing w:val="-4"/>
                <w:lang w:val="en-GB" w:eastAsia="en-US"/>
              </w:rPr>
              <w:t xml:space="preserve">xport and import of goods </w:t>
            </w:r>
            <w:r w:rsidR="00EA1EBB" w:rsidRPr="006E725C">
              <w:rPr>
                <w:spacing w:val="-4"/>
                <w:lang w:val="en-GB" w:eastAsia="en-US"/>
              </w:rPr>
              <w:t>(</w:t>
            </w:r>
            <w:r w:rsidR="001E0CAA" w:rsidRPr="006E725C">
              <w:rPr>
                <w:spacing w:val="-4"/>
                <w:lang w:val="en-GB" w:eastAsia="en-US"/>
              </w:rPr>
              <w:t xml:space="preserve">y-o-y change, in </w:t>
            </w:r>
            <w:r w:rsidR="00EA1EBB" w:rsidRPr="006E725C">
              <w:rPr>
                <w:spacing w:val="-4"/>
                <w:lang w:val="en-GB" w:eastAsia="en-US"/>
              </w:rPr>
              <w:t>%)</w:t>
            </w:r>
            <w:r w:rsidR="00EA1EBB" w:rsidRPr="006E725C">
              <w:rPr>
                <w:b/>
                <w:bCs/>
                <w:spacing w:val="-4"/>
                <w:lang w:val="en-GB" w:eastAsia="en-US"/>
              </w:rPr>
              <w:t xml:space="preserve"> a</w:t>
            </w:r>
            <w:r w:rsidR="005455D1" w:rsidRPr="006E725C">
              <w:rPr>
                <w:b/>
                <w:bCs/>
                <w:spacing w:val="-4"/>
                <w:lang w:val="en-GB" w:eastAsia="en-US"/>
              </w:rPr>
              <w:t xml:space="preserve">nd balance of international trade with goods </w:t>
            </w:r>
            <w:r w:rsidR="00EA1EBB" w:rsidRPr="006E725C">
              <w:rPr>
                <w:spacing w:val="-4"/>
                <w:lang w:val="en-GB" w:eastAsia="en-US"/>
              </w:rPr>
              <w:t>(</w:t>
            </w:r>
            <w:r w:rsidR="005455D1" w:rsidRPr="006E725C">
              <w:rPr>
                <w:spacing w:val="-4"/>
                <w:lang w:val="en-GB" w:eastAsia="en-US"/>
              </w:rPr>
              <w:t xml:space="preserve">in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w:t>
            </w:r>
            <w:r w:rsidR="005455D1" w:rsidRPr="006E725C">
              <w:rPr>
                <w:spacing w:val="-4"/>
                <w:lang w:val="en-GB" w:eastAsia="en-US"/>
              </w:rPr>
              <w:t xml:space="preserve"> right axis</w:t>
            </w:r>
            <w:r w:rsidR="00EA1EBB" w:rsidRPr="006E725C">
              <w:rPr>
                <w:spacing w:val="-4"/>
                <w:lang w:val="en-GB" w:eastAsia="en-US"/>
              </w:rPr>
              <w:t>)</w:t>
            </w:r>
          </w:p>
        </w:tc>
      </w:tr>
      <w:tr w:rsidR="00EA1EBB" w:rsidRPr="006E725C" w14:paraId="005DCA28" w14:textId="77777777" w:rsidTr="0079457A">
        <w:tblPrEx>
          <w:tblCellMar>
            <w:left w:w="70" w:type="dxa"/>
            <w:right w:w="70" w:type="dxa"/>
          </w:tblCellMar>
        </w:tblPrEx>
        <w:trPr>
          <w:trHeight w:val="125"/>
        </w:trPr>
        <w:tc>
          <w:tcPr>
            <w:tcW w:w="1748" w:type="dxa"/>
            <w:vMerge/>
            <w:vAlign w:val="center"/>
            <w:hideMark/>
          </w:tcPr>
          <w:p w14:paraId="19DEB3AD" w14:textId="77777777" w:rsidR="00EA1EBB" w:rsidRPr="006E725C" w:rsidRDefault="00EA1EBB">
            <w:pPr>
              <w:spacing w:after="0" w:line="240" w:lineRule="auto"/>
              <w:jc w:val="left"/>
              <w:rPr>
                <w:spacing w:val="-2"/>
                <w:sz w:val="16"/>
                <w:szCs w:val="16"/>
                <w:lang w:val="en-GB" w:eastAsia="en-US"/>
              </w:rPr>
            </w:pPr>
          </w:p>
        </w:tc>
        <w:tc>
          <w:tcPr>
            <w:tcW w:w="221" w:type="dxa"/>
            <w:vMerge/>
            <w:vAlign w:val="center"/>
            <w:hideMark/>
          </w:tcPr>
          <w:p w14:paraId="0F9FA740" w14:textId="77777777" w:rsidR="00EA1EBB" w:rsidRPr="006E725C" w:rsidRDefault="00EA1EBB">
            <w:pPr>
              <w:spacing w:after="0" w:line="240" w:lineRule="auto"/>
              <w:jc w:val="left"/>
              <w:rPr>
                <w:rFonts w:eastAsia="Calibri"/>
                <w:spacing w:val="-4"/>
                <w:szCs w:val="20"/>
                <w:lang w:val="en-GB" w:eastAsia="en-US"/>
              </w:rPr>
            </w:pPr>
          </w:p>
        </w:tc>
        <w:tc>
          <w:tcPr>
            <w:tcW w:w="7670" w:type="dxa"/>
            <w:hideMark/>
          </w:tcPr>
          <w:p w14:paraId="7AE00CF3" w14:textId="414EBD6B" w:rsidR="00EA1EBB" w:rsidRPr="006E725C" w:rsidRDefault="0079457A">
            <w:pPr>
              <w:spacing w:after="0"/>
              <w:rPr>
                <w:spacing w:val="-4"/>
                <w:lang w:val="en-GB" w:eastAsia="en-US"/>
              </w:rPr>
            </w:pPr>
            <w:r>
              <w:rPr>
                <w:noProof/>
              </w:rPr>
              <w:drawing>
                <wp:inline distT="0" distB="0" distL="0" distR="0" wp14:anchorId="04C588F1" wp14:editId="01AA4080">
                  <wp:extent cx="4773175" cy="3534275"/>
                  <wp:effectExtent l="0" t="0" r="8890" b="0"/>
                  <wp:docPr id="12" name="Graf 12">
                    <a:extLst xmlns:a="http://schemas.openxmlformats.org/drawingml/2006/main">
                      <a:ext uri="{FF2B5EF4-FFF2-40B4-BE49-F238E27FC236}">
                        <a16:creationId xmlns:a16="http://schemas.microsoft.com/office/drawing/2014/main" id="{8E34A376-5955-451A-B8E8-536A257FF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EA1EBB" w:rsidRPr="006E725C" w14:paraId="038FF672" w14:textId="77777777" w:rsidTr="00EA1EBB">
        <w:trPr>
          <w:trHeight w:val="125"/>
        </w:trPr>
        <w:tc>
          <w:tcPr>
            <w:tcW w:w="0" w:type="auto"/>
            <w:vMerge/>
            <w:vAlign w:val="center"/>
            <w:hideMark/>
          </w:tcPr>
          <w:p w14:paraId="29210805" w14:textId="77777777" w:rsidR="00EA1EBB" w:rsidRPr="006E725C" w:rsidRDefault="00EA1EBB">
            <w:pPr>
              <w:spacing w:after="0" w:line="240" w:lineRule="auto"/>
              <w:jc w:val="left"/>
              <w:rPr>
                <w:spacing w:val="-2"/>
                <w:sz w:val="16"/>
                <w:szCs w:val="16"/>
                <w:lang w:val="en-GB" w:eastAsia="en-US"/>
              </w:rPr>
            </w:pPr>
          </w:p>
        </w:tc>
        <w:tc>
          <w:tcPr>
            <w:tcW w:w="0" w:type="auto"/>
            <w:vMerge/>
            <w:vAlign w:val="center"/>
            <w:hideMark/>
          </w:tcPr>
          <w:p w14:paraId="733D7717" w14:textId="77777777" w:rsidR="00EA1EBB" w:rsidRPr="006E725C" w:rsidRDefault="00EA1EBB">
            <w:pPr>
              <w:spacing w:after="0" w:line="240" w:lineRule="auto"/>
              <w:jc w:val="left"/>
              <w:rPr>
                <w:rFonts w:eastAsia="Calibri"/>
                <w:spacing w:val="-4"/>
                <w:szCs w:val="20"/>
                <w:lang w:val="en-GB" w:eastAsia="en-US"/>
              </w:rPr>
            </w:pPr>
          </w:p>
        </w:tc>
        <w:tc>
          <w:tcPr>
            <w:tcW w:w="7670" w:type="dxa"/>
            <w:hideMark/>
          </w:tcPr>
          <w:p w14:paraId="180E9C54" w14:textId="11EAAB4B" w:rsidR="00815B3A" w:rsidRPr="006E725C" w:rsidRDefault="005650DC" w:rsidP="0079457A">
            <w:pPr>
              <w:spacing w:after="180"/>
              <w:rPr>
                <w:b/>
                <w:bCs/>
                <w:spacing w:val="-4"/>
                <w:sz w:val="16"/>
                <w:szCs w:val="16"/>
                <w:lang w:val="en-GB" w:eastAsia="en-US"/>
              </w:rPr>
            </w:pPr>
            <w:r w:rsidRPr="006E725C">
              <w:rPr>
                <w:spacing w:val="-4"/>
                <w:sz w:val="16"/>
                <w:szCs w:val="16"/>
                <w:lang w:val="en-GB" w:eastAsia="en-US"/>
              </w:rPr>
              <w:t>Source</w:t>
            </w:r>
            <w:r w:rsidR="00EA1EBB" w:rsidRPr="006E725C">
              <w:rPr>
                <w:spacing w:val="-4"/>
                <w:sz w:val="16"/>
                <w:szCs w:val="16"/>
                <w:lang w:val="en-GB" w:eastAsia="en-US"/>
              </w:rPr>
              <w:t xml:space="preserve">: </w:t>
            </w:r>
            <w:r w:rsidRPr="006E725C">
              <w:rPr>
                <w:spacing w:val="-4"/>
                <w:sz w:val="16"/>
                <w:szCs w:val="16"/>
                <w:lang w:val="en-GB" w:eastAsia="en-US"/>
              </w:rPr>
              <w:t>CZSO</w:t>
            </w:r>
          </w:p>
        </w:tc>
      </w:tr>
      <w:tr w:rsidR="00EA1EBB" w:rsidRPr="006E725C" w14:paraId="2B5A616E" w14:textId="77777777" w:rsidTr="00EA1EBB">
        <w:trPr>
          <w:trHeight w:val="145"/>
        </w:trPr>
        <w:tc>
          <w:tcPr>
            <w:tcW w:w="1748" w:type="dxa"/>
            <w:hideMark/>
          </w:tcPr>
          <w:p w14:paraId="44EE222B" w14:textId="0E065B07" w:rsidR="00EA1EBB" w:rsidRPr="006E725C" w:rsidRDefault="005536CA">
            <w:pPr>
              <w:pStyle w:val="Marginlie"/>
              <w:rPr>
                <w:lang w:val="en-GB" w:eastAsia="en-US"/>
              </w:rPr>
            </w:pPr>
            <w:r w:rsidRPr="006E725C">
              <w:rPr>
                <w:lang w:val="en-GB" w:eastAsia="en-US"/>
              </w:rPr>
              <w:t>Import sharply plunged last year</w:t>
            </w:r>
            <w:r w:rsidR="008C6CD6" w:rsidRPr="006E725C">
              <w:rPr>
                <w:lang w:val="en-GB" w:eastAsia="en-US"/>
              </w:rPr>
              <w:t xml:space="preserve">, to a large extent due to the </w:t>
            </w:r>
            <w:r w:rsidR="00E929F7" w:rsidRPr="006E725C">
              <w:rPr>
                <w:lang w:val="en-GB" w:eastAsia="en-US"/>
              </w:rPr>
              <w:t xml:space="preserve">slump of prices. </w:t>
            </w:r>
          </w:p>
        </w:tc>
        <w:tc>
          <w:tcPr>
            <w:tcW w:w="221" w:type="dxa"/>
          </w:tcPr>
          <w:p w14:paraId="7EA1B2A5" w14:textId="77777777" w:rsidR="00EA1EBB" w:rsidRPr="006E725C" w:rsidRDefault="00EA1EBB">
            <w:pPr>
              <w:pStyle w:val="Textpoznpodarou"/>
              <w:jc w:val="both"/>
              <w:rPr>
                <w:spacing w:val="-4"/>
                <w:lang w:val="en-GB" w:eastAsia="en-US"/>
              </w:rPr>
            </w:pPr>
          </w:p>
        </w:tc>
        <w:tc>
          <w:tcPr>
            <w:tcW w:w="7670" w:type="dxa"/>
            <w:hideMark/>
          </w:tcPr>
          <w:p w14:paraId="1C4F5AC8" w14:textId="200EDE58" w:rsidR="00EA1EBB" w:rsidRPr="006E725C" w:rsidRDefault="00E929F7" w:rsidP="008357DA">
            <w:pPr>
              <w:spacing w:after="180"/>
              <w:rPr>
                <w:spacing w:val="-4"/>
                <w:lang w:val="en-GB" w:eastAsia="en-US"/>
              </w:rPr>
            </w:pPr>
            <w:r w:rsidRPr="006E725C">
              <w:rPr>
                <w:spacing w:val="-4"/>
                <w:lang w:val="en-GB" w:eastAsia="en-US"/>
              </w:rPr>
              <w:t xml:space="preserve">Import of goods slumped by </w:t>
            </w:r>
            <w:r w:rsidR="00EA1EBB" w:rsidRPr="006E725C">
              <w:rPr>
                <w:spacing w:val="-4"/>
                <w:lang w:val="en-GB" w:eastAsia="en-US"/>
              </w:rPr>
              <w:t>284</w:t>
            </w:r>
            <w:r w:rsidRPr="006E725C">
              <w:rPr>
                <w:spacing w:val="-4"/>
                <w:lang w:val="en-GB" w:eastAsia="en-US"/>
              </w:rPr>
              <w:t>.</w:t>
            </w:r>
            <w:r w:rsidR="00EA1EBB" w:rsidRPr="006E725C">
              <w:rPr>
                <w:spacing w:val="-4"/>
                <w:lang w:val="en-GB" w:eastAsia="en-US"/>
              </w:rPr>
              <w:t>3</w:t>
            </w:r>
            <w:r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Pr="006E725C">
              <w:rPr>
                <w:spacing w:val="-4"/>
                <w:lang w:val="en-GB" w:eastAsia="en-US"/>
              </w:rPr>
              <w:t xml:space="preserve"> </w:t>
            </w:r>
            <w:r w:rsidR="00EA1EBB" w:rsidRPr="006E725C">
              <w:rPr>
                <w:spacing w:val="-4"/>
                <w:lang w:val="en-GB" w:eastAsia="en-US"/>
              </w:rPr>
              <w:t>(−6</w:t>
            </w:r>
            <w:r w:rsidRPr="006E725C">
              <w:rPr>
                <w:spacing w:val="-4"/>
                <w:lang w:val="en-GB" w:eastAsia="en-US"/>
              </w:rPr>
              <w:t>.</w:t>
            </w:r>
            <w:r w:rsidR="00EA1EBB" w:rsidRPr="006E725C">
              <w:rPr>
                <w:spacing w:val="-4"/>
                <w:lang w:val="en-GB" w:eastAsia="en-US"/>
              </w:rPr>
              <w:t>2%)</w:t>
            </w:r>
            <w:r w:rsidRPr="006E725C">
              <w:rPr>
                <w:spacing w:val="-4"/>
                <w:lang w:val="en-GB" w:eastAsia="en-US"/>
              </w:rPr>
              <w:t xml:space="preserve"> to </w:t>
            </w:r>
            <w:r w:rsidR="00EA1EBB" w:rsidRPr="006E725C">
              <w:rPr>
                <w:spacing w:val="-4"/>
                <w:lang w:val="en-GB" w:eastAsia="en-US"/>
              </w:rPr>
              <w:t>4</w:t>
            </w:r>
            <w:r w:rsidRPr="006E725C">
              <w:rPr>
                <w:spacing w:val="-4"/>
                <w:lang w:val="en-GB" w:eastAsia="en-US"/>
              </w:rPr>
              <w:t> </w:t>
            </w:r>
            <w:r w:rsidR="00EA1EBB" w:rsidRPr="006E725C">
              <w:rPr>
                <w:spacing w:val="-4"/>
                <w:lang w:val="en-GB" w:eastAsia="en-US"/>
              </w:rPr>
              <w:t>327</w:t>
            </w:r>
            <w:r w:rsidRPr="006E725C">
              <w:rPr>
                <w:spacing w:val="-4"/>
                <w:lang w:val="en-GB" w:eastAsia="en-US"/>
              </w:rPr>
              <w:t>.</w:t>
            </w:r>
            <w:r w:rsidR="00EA1EBB" w:rsidRPr="006E725C">
              <w:rPr>
                <w:spacing w:val="-4"/>
                <w:lang w:val="en-GB" w:eastAsia="en-US"/>
              </w:rPr>
              <w:t>8</w:t>
            </w:r>
            <w:r w:rsidRPr="006E725C">
              <w:rPr>
                <w:spacing w:val="-4"/>
                <w:lang w:val="en-GB" w:eastAsia="en-US"/>
              </w:rPr>
              <w:t xml:space="preserve"> </w:t>
            </w:r>
            <w:proofErr w:type="spellStart"/>
            <w:r w:rsidRPr="006E725C">
              <w:rPr>
                <w:spacing w:val="-4"/>
                <w:lang w:val="en-GB" w:eastAsia="en-US"/>
              </w:rPr>
              <w:t>bn</w:t>
            </w:r>
            <w:proofErr w:type="spellEnd"/>
            <w:r w:rsidRPr="006E725C">
              <w:rPr>
                <w:spacing w:val="-4"/>
                <w:lang w:val="en-GB" w:eastAsia="en-US"/>
              </w:rPr>
              <w:t xml:space="preserve"> in year 2023</w:t>
            </w:r>
            <w:r w:rsidR="00EA1EBB" w:rsidRPr="006E725C">
              <w:rPr>
                <w:spacing w:val="-4"/>
                <w:lang w:val="en-GB" w:eastAsia="en-US"/>
              </w:rPr>
              <w:t>.</w:t>
            </w:r>
            <w:r w:rsidRPr="006E725C">
              <w:rPr>
                <w:spacing w:val="-4"/>
                <w:lang w:val="en-GB" w:eastAsia="en-US"/>
              </w:rPr>
              <w:t xml:space="preserve"> </w:t>
            </w:r>
            <w:r w:rsidR="005C38FB" w:rsidRPr="006E725C">
              <w:rPr>
                <w:spacing w:val="-4"/>
                <w:lang w:val="en-GB" w:eastAsia="en-US"/>
              </w:rPr>
              <w:t xml:space="preserve">Development of prices of materials and </w:t>
            </w:r>
            <w:r w:rsidR="007D65C3" w:rsidRPr="006E725C">
              <w:rPr>
                <w:spacing w:val="-4"/>
                <w:lang w:val="en-GB" w:eastAsia="en-US"/>
              </w:rPr>
              <w:t>fuels</w:t>
            </w:r>
            <w:r w:rsidR="005C38FB" w:rsidRPr="006E725C">
              <w:rPr>
                <w:spacing w:val="-4"/>
                <w:lang w:val="en-GB" w:eastAsia="en-US"/>
              </w:rPr>
              <w:t xml:space="preserve"> participated on the decrease to a large </w:t>
            </w:r>
            <w:r w:rsidR="007D65C3" w:rsidRPr="006E725C">
              <w:rPr>
                <w:spacing w:val="-4"/>
                <w:lang w:val="en-GB" w:eastAsia="en-US"/>
              </w:rPr>
              <w:t>extent</w:t>
            </w:r>
            <w:r w:rsidR="00EA1EBB" w:rsidRPr="006E725C">
              <w:rPr>
                <w:rStyle w:val="Znakapoznpodarou"/>
                <w:spacing w:val="-4"/>
                <w:lang w:val="en-GB" w:eastAsia="en-US"/>
              </w:rPr>
              <w:footnoteReference w:id="58"/>
            </w:r>
            <w:r w:rsidR="00EA1EBB" w:rsidRPr="006E725C">
              <w:rPr>
                <w:spacing w:val="-4"/>
                <w:lang w:val="en-GB" w:eastAsia="en-US"/>
              </w:rPr>
              <w:t xml:space="preserve">, </w:t>
            </w:r>
            <w:r w:rsidR="005C38FB" w:rsidRPr="006E725C">
              <w:rPr>
                <w:spacing w:val="-4"/>
                <w:lang w:val="en-GB" w:eastAsia="en-US"/>
              </w:rPr>
              <w:t xml:space="preserve">but also the </w:t>
            </w:r>
            <w:r w:rsidR="007D65C3" w:rsidRPr="006E725C">
              <w:rPr>
                <w:spacing w:val="-4"/>
                <w:lang w:val="en-GB" w:eastAsia="en-US"/>
              </w:rPr>
              <w:t xml:space="preserve">local subdued both consumer and industrial demand. </w:t>
            </w:r>
            <w:r w:rsidR="00934897" w:rsidRPr="006E725C">
              <w:rPr>
                <w:spacing w:val="-4"/>
                <w:lang w:val="en-GB" w:eastAsia="en-US"/>
              </w:rPr>
              <w:t>Similarly to export, the import increased year-on-year in Q</w:t>
            </w:r>
            <w:r w:rsidR="00EA1EBB" w:rsidRPr="006E725C">
              <w:rPr>
                <w:spacing w:val="-4"/>
                <w:lang w:val="en-GB" w:eastAsia="en-US"/>
              </w:rPr>
              <w:t>1</w:t>
            </w:r>
            <w:r w:rsidR="00934897" w:rsidRPr="006E725C">
              <w:rPr>
                <w:spacing w:val="-4"/>
                <w:lang w:val="en-GB" w:eastAsia="en-US"/>
              </w:rPr>
              <w:t xml:space="preserve"> </w:t>
            </w:r>
            <w:r w:rsidR="00EA1EBB" w:rsidRPr="006E725C">
              <w:rPr>
                <w:spacing w:val="-4"/>
                <w:lang w:val="en-GB" w:eastAsia="en-US"/>
              </w:rPr>
              <w:t>2023</w:t>
            </w:r>
            <w:r w:rsidR="00934897" w:rsidRPr="006E725C">
              <w:rPr>
                <w:spacing w:val="-4"/>
                <w:lang w:val="en-GB" w:eastAsia="en-US"/>
              </w:rPr>
              <w:t xml:space="preserve"> </w:t>
            </w:r>
            <w:r w:rsidR="00EA1EBB" w:rsidRPr="006E725C">
              <w:rPr>
                <w:spacing w:val="-4"/>
                <w:lang w:val="en-GB" w:eastAsia="en-US"/>
              </w:rPr>
              <w:t>(5</w:t>
            </w:r>
            <w:r w:rsidR="00934897" w:rsidRPr="006E725C">
              <w:rPr>
                <w:spacing w:val="-4"/>
                <w:lang w:val="en-GB" w:eastAsia="en-US"/>
              </w:rPr>
              <w:t>.</w:t>
            </w:r>
            <w:r w:rsidR="00EA1EBB" w:rsidRPr="006E725C">
              <w:rPr>
                <w:spacing w:val="-4"/>
                <w:lang w:val="en-GB" w:eastAsia="en-US"/>
              </w:rPr>
              <w:t xml:space="preserve">7%). </w:t>
            </w:r>
            <w:r w:rsidR="005F1CCA" w:rsidRPr="006E725C">
              <w:rPr>
                <w:spacing w:val="-4"/>
                <w:lang w:val="en-GB" w:eastAsia="en-US"/>
              </w:rPr>
              <w:t>However,</w:t>
            </w:r>
            <w:r w:rsidR="00ED3B10" w:rsidRPr="006E725C">
              <w:rPr>
                <w:spacing w:val="-4"/>
                <w:lang w:val="en-GB" w:eastAsia="en-US"/>
              </w:rPr>
              <w:t xml:space="preserve"> the imports of goods significantly plunged </w:t>
            </w:r>
            <w:r w:rsidR="00EA1EBB" w:rsidRPr="006E725C">
              <w:rPr>
                <w:spacing w:val="-4"/>
                <w:lang w:val="en-GB" w:eastAsia="en-US"/>
              </w:rPr>
              <w:t>(−8</w:t>
            </w:r>
            <w:r w:rsidR="00ED3B10" w:rsidRPr="006E725C">
              <w:rPr>
                <w:spacing w:val="-4"/>
                <w:lang w:val="en-GB" w:eastAsia="en-US"/>
              </w:rPr>
              <w:t>.</w:t>
            </w:r>
            <w:r w:rsidR="00EA1EBB" w:rsidRPr="006E725C">
              <w:rPr>
                <w:spacing w:val="-4"/>
                <w:lang w:val="en-GB" w:eastAsia="en-US"/>
              </w:rPr>
              <w:t>2% a</w:t>
            </w:r>
            <w:r w:rsidR="00ED3B10" w:rsidRPr="006E725C">
              <w:rPr>
                <w:spacing w:val="-4"/>
                <w:lang w:val="en-GB" w:eastAsia="en-US"/>
              </w:rPr>
              <w:t>nd</w:t>
            </w:r>
            <w:r w:rsidR="00EA1EBB" w:rsidRPr="006E725C">
              <w:rPr>
                <w:spacing w:val="-4"/>
                <w:lang w:val="en-GB" w:eastAsia="en-US"/>
              </w:rPr>
              <w:t xml:space="preserve"> −11</w:t>
            </w:r>
            <w:r w:rsidR="00ED3B10" w:rsidRPr="006E725C">
              <w:rPr>
                <w:spacing w:val="-4"/>
                <w:lang w:val="en-GB" w:eastAsia="en-US"/>
              </w:rPr>
              <w:t>.</w:t>
            </w:r>
            <w:r w:rsidR="00EA1EBB" w:rsidRPr="006E725C">
              <w:rPr>
                <w:spacing w:val="-4"/>
                <w:lang w:val="en-GB" w:eastAsia="en-US"/>
              </w:rPr>
              <w:t xml:space="preserve">8% </w:t>
            </w:r>
            <w:r w:rsidR="00ED3B10" w:rsidRPr="006E725C">
              <w:rPr>
                <w:spacing w:val="-4"/>
                <w:lang w:val="en-GB" w:eastAsia="en-US"/>
              </w:rPr>
              <w:t>in Q</w:t>
            </w:r>
            <w:r w:rsidR="00EA1EBB" w:rsidRPr="006E725C">
              <w:rPr>
                <w:spacing w:val="-4"/>
                <w:lang w:val="en-GB" w:eastAsia="en-US"/>
              </w:rPr>
              <w:t>2</w:t>
            </w:r>
            <w:r w:rsidR="00ED3B10" w:rsidRPr="006E725C">
              <w:rPr>
                <w:spacing w:val="-4"/>
                <w:lang w:val="en-GB" w:eastAsia="en-US"/>
              </w:rPr>
              <w:t xml:space="preserve"> and Q</w:t>
            </w:r>
            <w:r w:rsidR="00EA1EBB" w:rsidRPr="006E725C">
              <w:rPr>
                <w:spacing w:val="-4"/>
                <w:lang w:val="en-GB" w:eastAsia="en-US"/>
              </w:rPr>
              <w:t>3)</w:t>
            </w:r>
            <w:r w:rsidR="00314879" w:rsidRPr="006E725C">
              <w:rPr>
                <w:spacing w:val="-4"/>
                <w:lang w:val="en-GB" w:eastAsia="en-US"/>
              </w:rPr>
              <w:t xml:space="preserve"> in the rest of the year</w:t>
            </w:r>
            <w:r w:rsidR="00EA1EBB" w:rsidRPr="006E725C">
              <w:rPr>
                <w:spacing w:val="-4"/>
                <w:lang w:val="en-GB" w:eastAsia="en-US"/>
              </w:rPr>
              <w:t>.</w:t>
            </w:r>
            <w:r w:rsidR="00314879" w:rsidRPr="006E725C">
              <w:rPr>
                <w:spacing w:val="-4"/>
                <w:lang w:val="en-GB" w:eastAsia="en-US"/>
              </w:rPr>
              <w:t xml:space="preserve"> The value of imports attained </w:t>
            </w:r>
            <w:r w:rsidR="00EA1EBB" w:rsidRPr="006E725C">
              <w:rPr>
                <w:spacing w:val="-4"/>
                <w:lang w:val="en-GB" w:eastAsia="en-US"/>
              </w:rPr>
              <w:t>1</w:t>
            </w:r>
            <w:r w:rsidR="00314879" w:rsidRPr="006E725C">
              <w:rPr>
                <w:spacing w:val="-4"/>
                <w:lang w:val="en-GB" w:eastAsia="en-US"/>
              </w:rPr>
              <w:t> </w:t>
            </w:r>
            <w:r w:rsidR="00EA1EBB" w:rsidRPr="006E725C">
              <w:rPr>
                <w:spacing w:val="-4"/>
                <w:lang w:val="en-GB" w:eastAsia="en-US"/>
              </w:rPr>
              <w:t>089</w:t>
            </w:r>
            <w:r w:rsidR="00314879" w:rsidRPr="006E725C">
              <w:rPr>
                <w:spacing w:val="-4"/>
                <w:lang w:val="en-GB" w:eastAsia="en-US"/>
              </w:rPr>
              <w:t>.</w:t>
            </w:r>
            <w:r w:rsidR="00EA1EBB" w:rsidRPr="006E725C">
              <w:rPr>
                <w:spacing w:val="-4"/>
                <w:lang w:val="en-GB" w:eastAsia="en-US"/>
              </w:rPr>
              <w:t>8</w:t>
            </w:r>
            <w:r w:rsidR="00314879"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314879" w:rsidRPr="006E725C">
              <w:rPr>
                <w:spacing w:val="-4"/>
                <w:lang w:val="en-GB" w:eastAsia="en-US"/>
              </w:rPr>
              <w:t xml:space="preserve"> in Q4 and it was by </w:t>
            </w:r>
            <w:r w:rsidR="00EA1EBB" w:rsidRPr="006E725C">
              <w:rPr>
                <w:spacing w:val="-4"/>
                <w:lang w:val="en-GB" w:eastAsia="en-US"/>
              </w:rPr>
              <w:t>110</w:t>
            </w:r>
            <w:r w:rsidR="00314879" w:rsidRPr="006E725C">
              <w:rPr>
                <w:spacing w:val="-4"/>
                <w:lang w:val="en-GB" w:eastAsia="en-US"/>
              </w:rPr>
              <w:t>.</w:t>
            </w:r>
            <w:r w:rsidR="00EA1EBB" w:rsidRPr="006E725C">
              <w:rPr>
                <w:spacing w:val="-4"/>
                <w:lang w:val="en-GB" w:eastAsia="en-US"/>
              </w:rPr>
              <w:t>9</w:t>
            </w:r>
            <w:r w:rsidR="00314879" w:rsidRPr="006E725C">
              <w:rPr>
                <w:spacing w:val="-4"/>
                <w:lang w:val="en-GB" w:eastAsia="en-US"/>
              </w:rPr>
              <w:t xml:space="preserve"> </w:t>
            </w:r>
            <w:proofErr w:type="spellStart"/>
            <w:r w:rsidR="00314879" w:rsidRPr="006E725C">
              <w:rPr>
                <w:spacing w:val="-4"/>
                <w:lang w:val="en-GB" w:eastAsia="en-US"/>
              </w:rPr>
              <w:t>bn</w:t>
            </w:r>
            <w:proofErr w:type="spellEnd"/>
            <w:r w:rsidR="00314879" w:rsidRPr="006E725C">
              <w:rPr>
                <w:spacing w:val="-4"/>
                <w:lang w:val="en-GB" w:eastAsia="en-US"/>
              </w:rPr>
              <w:t xml:space="preserve"> </w:t>
            </w:r>
            <w:r w:rsidR="00EA1EBB" w:rsidRPr="006E725C">
              <w:rPr>
                <w:spacing w:val="-4"/>
                <w:lang w:val="en-GB" w:eastAsia="en-US"/>
              </w:rPr>
              <w:t>(−9</w:t>
            </w:r>
            <w:r w:rsidR="00314879" w:rsidRPr="006E725C">
              <w:rPr>
                <w:spacing w:val="-4"/>
                <w:lang w:val="en-GB" w:eastAsia="en-US"/>
              </w:rPr>
              <w:t>.</w:t>
            </w:r>
            <w:r w:rsidR="00EA1EBB" w:rsidRPr="006E725C">
              <w:rPr>
                <w:spacing w:val="-4"/>
                <w:lang w:val="en-GB" w:eastAsia="en-US"/>
              </w:rPr>
              <w:t>2%)</w:t>
            </w:r>
            <w:r w:rsidR="00314879" w:rsidRPr="006E725C">
              <w:rPr>
                <w:spacing w:val="-4"/>
                <w:lang w:val="en-GB" w:eastAsia="en-US"/>
              </w:rPr>
              <w:t xml:space="preserve"> lower year-on-year</w:t>
            </w:r>
            <w:r w:rsidR="00EA1EBB" w:rsidRPr="006E725C">
              <w:rPr>
                <w:spacing w:val="-4"/>
                <w:lang w:val="en-GB" w:eastAsia="en-US"/>
              </w:rPr>
              <w:t>. Se</w:t>
            </w:r>
            <w:r w:rsidR="00314879" w:rsidRPr="006E725C">
              <w:rPr>
                <w:spacing w:val="-4"/>
                <w:lang w:val="en-GB" w:eastAsia="en-US"/>
              </w:rPr>
              <w:t xml:space="preserve">asonally adjusted data show, that the value of imports </w:t>
            </w:r>
            <w:r w:rsidR="002A70B9" w:rsidRPr="006E725C">
              <w:rPr>
                <w:spacing w:val="-4"/>
                <w:lang w:val="en-GB" w:eastAsia="en-US"/>
              </w:rPr>
              <w:t>dropped by 0.9% quarter-on-quarter in Q</w:t>
            </w:r>
            <w:r w:rsidR="00EA1EBB" w:rsidRPr="006E725C">
              <w:rPr>
                <w:spacing w:val="-4"/>
                <w:lang w:val="en-GB" w:eastAsia="en-US"/>
              </w:rPr>
              <w:t>4</w:t>
            </w:r>
            <w:r w:rsidR="002A70B9" w:rsidRPr="006E725C">
              <w:rPr>
                <w:spacing w:val="-4"/>
                <w:lang w:val="en-GB" w:eastAsia="en-US"/>
              </w:rPr>
              <w:t xml:space="preserve">, for the fifth time in a row. </w:t>
            </w:r>
            <w:r w:rsidR="00ED3B10" w:rsidRPr="006E725C">
              <w:rPr>
                <w:spacing w:val="-4"/>
                <w:lang w:val="en-GB" w:eastAsia="en-US"/>
              </w:rPr>
              <w:t xml:space="preserve">Imports from the EU decreased by </w:t>
            </w:r>
            <w:r w:rsidR="00EA1EBB" w:rsidRPr="006E725C">
              <w:rPr>
                <w:spacing w:val="-4"/>
                <w:lang w:val="en-GB" w:eastAsia="en-US"/>
              </w:rPr>
              <w:t>68</w:t>
            </w:r>
            <w:r w:rsidR="00ED3B10" w:rsidRPr="006E725C">
              <w:rPr>
                <w:spacing w:val="-4"/>
                <w:lang w:val="en-GB" w:eastAsia="en-US"/>
              </w:rPr>
              <w:t>.</w:t>
            </w:r>
            <w:r w:rsidR="00EA1EBB" w:rsidRPr="006E725C">
              <w:rPr>
                <w:spacing w:val="-4"/>
                <w:lang w:val="en-GB" w:eastAsia="en-US"/>
              </w:rPr>
              <w:t>8</w:t>
            </w:r>
            <w:r w:rsidR="00ED3B10"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D3B10" w:rsidRPr="006E725C">
              <w:rPr>
                <w:spacing w:val="-4"/>
                <w:lang w:val="en-GB" w:eastAsia="en-US"/>
              </w:rPr>
              <w:t xml:space="preserve"> last year </w:t>
            </w:r>
            <w:r w:rsidR="00EA1EBB" w:rsidRPr="006E725C">
              <w:rPr>
                <w:spacing w:val="-4"/>
                <w:lang w:val="en-GB" w:eastAsia="en-US"/>
              </w:rPr>
              <w:t>(−2</w:t>
            </w:r>
            <w:r w:rsidR="00ED3B10" w:rsidRPr="006E725C">
              <w:rPr>
                <w:spacing w:val="-4"/>
                <w:lang w:val="en-GB" w:eastAsia="en-US"/>
              </w:rPr>
              <w:t>.</w:t>
            </w:r>
            <w:r w:rsidR="00EA1EBB" w:rsidRPr="006E725C">
              <w:rPr>
                <w:spacing w:val="-4"/>
                <w:lang w:val="en-GB" w:eastAsia="en-US"/>
              </w:rPr>
              <w:t>5%). Import</w:t>
            </w:r>
            <w:r w:rsidR="00ED3B10" w:rsidRPr="006E725C">
              <w:rPr>
                <w:spacing w:val="-4"/>
                <w:lang w:val="en-GB" w:eastAsia="en-US"/>
              </w:rPr>
              <w:t xml:space="preserve">s of goods from countries outside the EU slumped by </w:t>
            </w:r>
            <w:r w:rsidR="00EA1EBB" w:rsidRPr="006E725C">
              <w:rPr>
                <w:spacing w:val="-4"/>
                <w:lang w:val="en-GB" w:eastAsia="en-US"/>
              </w:rPr>
              <w:t>218</w:t>
            </w:r>
            <w:r w:rsidR="00ED3B10" w:rsidRPr="006E725C">
              <w:rPr>
                <w:spacing w:val="-4"/>
                <w:lang w:val="en-GB" w:eastAsia="en-US"/>
              </w:rPr>
              <w:t>.</w:t>
            </w:r>
            <w:r w:rsidR="00EA1EBB" w:rsidRPr="006E725C">
              <w:rPr>
                <w:spacing w:val="-4"/>
                <w:lang w:val="en-GB" w:eastAsia="en-US"/>
              </w:rPr>
              <w:t>5</w:t>
            </w:r>
            <w:r w:rsidR="00ED3B10"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D3B10" w:rsidRPr="006E725C">
              <w:rPr>
                <w:spacing w:val="-4"/>
                <w:lang w:val="en-GB" w:eastAsia="en-US"/>
              </w:rPr>
              <w:t xml:space="preserve"> </w:t>
            </w:r>
            <w:r w:rsidR="00EA1EBB" w:rsidRPr="006E725C">
              <w:rPr>
                <w:spacing w:val="-4"/>
                <w:lang w:val="en-GB" w:eastAsia="en-US"/>
              </w:rPr>
              <w:lastRenderedPageBreak/>
              <w:t>(−12</w:t>
            </w:r>
            <w:r w:rsidR="00ED3B10" w:rsidRPr="006E725C">
              <w:rPr>
                <w:spacing w:val="-4"/>
                <w:lang w:val="en-GB" w:eastAsia="en-US"/>
              </w:rPr>
              <w:t>.</w:t>
            </w:r>
            <w:r w:rsidR="00EA1EBB" w:rsidRPr="006E725C">
              <w:rPr>
                <w:spacing w:val="-4"/>
                <w:lang w:val="en-GB" w:eastAsia="en-US"/>
              </w:rPr>
              <w:t xml:space="preserve">0%), </w:t>
            </w:r>
            <w:r w:rsidR="003F3051" w:rsidRPr="006E725C">
              <w:rPr>
                <w:spacing w:val="-4"/>
                <w:lang w:val="en-GB" w:eastAsia="en-US"/>
              </w:rPr>
              <w:t xml:space="preserve">which was largely influenced by the decrease of prices of a number of materials, mainly </w:t>
            </w:r>
            <w:r w:rsidR="00455AE3" w:rsidRPr="006E725C">
              <w:rPr>
                <w:spacing w:val="-4"/>
                <w:lang w:val="en-GB" w:eastAsia="en-US"/>
              </w:rPr>
              <w:t xml:space="preserve">petroleum </w:t>
            </w:r>
            <w:r w:rsidR="003F3051" w:rsidRPr="006E725C">
              <w:rPr>
                <w:spacing w:val="-4"/>
                <w:lang w:val="en-GB" w:eastAsia="en-US"/>
              </w:rPr>
              <w:t xml:space="preserve">and natural gas. </w:t>
            </w:r>
            <w:r w:rsidR="001C6AB8" w:rsidRPr="006E725C">
              <w:rPr>
                <w:spacing w:val="-4"/>
                <w:lang w:val="en-GB" w:eastAsia="en-US"/>
              </w:rPr>
              <w:t xml:space="preserve">The strongest decrease of imports </w:t>
            </w:r>
            <w:r w:rsidR="00194024" w:rsidRPr="006E725C">
              <w:rPr>
                <w:spacing w:val="-4"/>
                <w:lang w:val="en-GB" w:eastAsia="en-US"/>
              </w:rPr>
              <w:t>was</w:t>
            </w:r>
            <w:r w:rsidR="001C6AB8" w:rsidRPr="006E725C">
              <w:rPr>
                <w:spacing w:val="-4"/>
                <w:lang w:val="en-GB" w:eastAsia="en-US"/>
              </w:rPr>
              <w:t xml:space="preserve"> recorded for Russia </w:t>
            </w:r>
            <w:r w:rsidR="00EA1EBB" w:rsidRPr="006E725C">
              <w:rPr>
                <w:spacing w:val="-4"/>
                <w:lang w:val="en-GB" w:eastAsia="en-US"/>
              </w:rPr>
              <w:t>(−189</w:t>
            </w:r>
            <w:r w:rsidR="001C6AB8" w:rsidRPr="006E725C">
              <w:rPr>
                <w:spacing w:val="-4"/>
                <w:lang w:val="en-GB" w:eastAsia="en-US"/>
              </w:rPr>
              <w:t>.</w:t>
            </w:r>
            <w:r w:rsidR="00EA1EBB" w:rsidRPr="006E725C">
              <w:rPr>
                <w:spacing w:val="-4"/>
                <w:lang w:val="en-GB" w:eastAsia="en-US"/>
              </w:rPr>
              <w:t>5</w:t>
            </w:r>
            <w:r w:rsidR="001C6AB8"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−71</w:t>
            </w:r>
            <w:r w:rsidR="001C6AB8" w:rsidRPr="006E725C">
              <w:rPr>
                <w:spacing w:val="-4"/>
                <w:lang w:val="en-GB" w:eastAsia="en-US"/>
              </w:rPr>
              <w:t>.</w:t>
            </w:r>
            <w:r w:rsidR="00EA1EBB" w:rsidRPr="006E725C">
              <w:rPr>
                <w:spacing w:val="-4"/>
                <w:lang w:val="en-GB" w:eastAsia="en-US"/>
              </w:rPr>
              <w:t xml:space="preserve">3%), </w:t>
            </w:r>
            <w:r w:rsidR="001C6AB8" w:rsidRPr="006E725C">
              <w:rPr>
                <w:spacing w:val="-4"/>
                <w:lang w:val="en-GB" w:eastAsia="en-US"/>
              </w:rPr>
              <w:t xml:space="preserve">China </w:t>
            </w:r>
            <w:r w:rsidR="00EA1EBB" w:rsidRPr="006E725C">
              <w:rPr>
                <w:spacing w:val="-4"/>
                <w:lang w:val="en-GB" w:eastAsia="en-US"/>
              </w:rPr>
              <w:t>(−49</w:t>
            </w:r>
            <w:r w:rsidR="001C6AB8" w:rsidRPr="006E725C">
              <w:rPr>
                <w:spacing w:val="-4"/>
                <w:lang w:val="en-GB" w:eastAsia="en-US"/>
              </w:rPr>
              <w:t>.</w:t>
            </w:r>
            <w:r w:rsidR="00EA1EBB" w:rsidRPr="006E725C">
              <w:rPr>
                <w:spacing w:val="-4"/>
                <w:lang w:val="en-GB" w:eastAsia="en-US"/>
              </w:rPr>
              <w:t>5</w:t>
            </w:r>
            <w:r w:rsidR="001C6AB8" w:rsidRPr="006E725C">
              <w:rPr>
                <w:spacing w:val="-4"/>
                <w:lang w:val="en-GB" w:eastAsia="en-US"/>
              </w:rPr>
              <w:t xml:space="preserve"> </w:t>
            </w:r>
            <w:proofErr w:type="spellStart"/>
            <w:r w:rsidR="001C6AB8" w:rsidRPr="006E725C">
              <w:rPr>
                <w:spacing w:val="-4"/>
                <w:lang w:val="en-GB" w:eastAsia="en-US"/>
              </w:rPr>
              <w:t>bn</w:t>
            </w:r>
            <w:proofErr w:type="spellEnd"/>
            <w:r w:rsidR="00EA1EBB" w:rsidRPr="006E725C">
              <w:rPr>
                <w:spacing w:val="-4"/>
                <w:lang w:val="en-GB" w:eastAsia="en-US"/>
              </w:rPr>
              <w:t>, −8</w:t>
            </w:r>
            <w:r w:rsidR="001C6AB8" w:rsidRPr="006E725C">
              <w:rPr>
                <w:spacing w:val="-4"/>
                <w:lang w:val="en-GB" w:eastAsia="en-US"/>
              </w:rPr>
              <w:t>.</w:t>
            </w:r>
            <w:r w:rsidR="00EA1EBB" w:rsidRPr="006E725C">
              <w:rPr>
                <w:spacing w:val="-4"/>
                <w:lang w:val="en-GB" w:eastAsia="en-US"/>
              </w:rPr>
              <w:t>5%), Pol</w:t>
            </w:r>
            <w:r w:rsidR="001C6AB8" w:rsidRPr="006E725C">
              <w:rPr>
                <w:spacing w:val="-4"/>
                <w:lang w:val="en-GB" w:eastAsia="en-US"/>
              </w:rPr>
              <w:t xml:space="preserve">and </w:t>
            </w:r>
            <w:r w:rsidR="00EA1EBB" w:rsidRPr="006E725C">
              <w:rPr>
                <w:spacing w:val="-4"/>
                <w:lang w:val="en-GB" w:eastAsia="en-US"/>
              </w:rPr>
              <w:t>(−23</w:t>
            </w:r>
            <w:r w:rsidR="001C6AB8" w:rsidRPr="006E725C">
              <w:rPr>
                <w:spacing w:val="-4"/>
                <w:lang w:val="en-GB" w:eastAsia="en-US"/>
              </w:rPr>
              <w:t>.</w:t>
            </w:r>
            <w:r w:rsidR="00EA1EBB" w:rsidRPr="006E725C">
              <w:rPr>
                <w:spacing w:val="-4"/>
                <w:lang w:val="en-GB" w:eastAsia="en-US"/>
              </w:rPr>
              <w:t>2</w:t>
            </w:r>
            <w:r w:rsidR="001C6AB8" w:rsidRPr="006E725C">
              <w:rPr>
                <w:spacing w:val="-4"/>
                <w:lang w:val="en-GB" w:eastAsia="en-US"/>
              </w:rPr>
              <w:t xml:space="preserve"> </w:t>
            </w:r>
            <w:proofErr w:type="spellStart"/>
            <w:r w:rsidR="001C6AB8" w:rsidRPr="006E725C">
              <w:rPr>
                <w:spacing w:val="-4"/>
                <w:lang w:val="en-GB" w:eastAsia="en-US"/>
              </w:rPr>
              <w:t>bn</w:t>
            </w:r>
            <w:proofErr w:type="spellEnd"/>
            <w:r w:rsidR="00EA1EBB" w:rsidRPr="006E725C">
              <w:rPr>
                <w:spacing w:val="-4"/>
                <w:lang w:val="en-GB" w:eastAsia="en-US"/>
              </w:rPr>
              <w:t>, −5</w:t>
            </w:r>
            <w:r w:rsidR="001C6AB8" w:rsidRPr="006E725C">
              <w:rPr>
                <w:spacing w:val="-4"/>
                <w:lang w:val="en-GB" w:eastAsia="en-US"/>
              </w:rPr>
              <w:t>.</w:t>
            </w:r>
            <w:r w:rsidR="00EA1EBB" w:rsidRPr="006E725C">
              <w:rPr>
                <w:spacing w:val="-4"/>
                <w:lang w:val="en-GB" w:eastAsia="en-US"/>
              </w:rPr>
              <w:t xml:space="preserve">7%), </w:t>
            </w:r>
            <w:r w:rsidR="001C6AB8" w:rsidRPr="006E725C">
              <w:rPr>
                <w:spacing w:val="-4"/>
                <w:lang w:val="en-GB" w:eastAsia="en-US"/>
              </w:rPr>
              <w:t xml:space="preserve">Germany </w:t>
            </w:r>
            <w:r w:rsidR="00EA1EBB" w:rsidRPr="006E725C">
              <w:rPr>
                <w:spacing w:val="-4"/>
                <w:lang w:val="en-GB" w:eastAsia="en-US"/>
              </w:rPr>
              <w:t>(−19</w:t>
            </w:r>
            <w:r w:rsidR="001C6AB8" w:rsidRPr="006E725C">
              <w:rPr>
                <w:spacing w:val="-4"/>
                <w:lang w:val="en-GB" w:eastAsia="en-US"/>
              </w:rPr>
              <w:t>.</w:t>
            </w:r>
            <w:r w:rsidR="00EA1EBB" w:rsidRPr="006E725C">
              <w:rPr>
                <w:spacing w:val="-4"/>
                <w:lang w:val="en-GB" w:eastAsia="en-US"/>
              </w:rPr>
              <w:t>7</w:t>
            </w:r>
            <w:r w:rsidR="001C6AB8" w:rsidRPr="006E725C">
              <w:rPr>
                <w:spacing w:val="-4"/>
                <w:lang w:val="en-GB" w:eastAsia="en-US"/>
              </w:rPr>
              <w:t xml:space="preserve"> </w:t>
            </w:r>
            <w:proofErr w:type="spellStart"/>
            <w:r w:rsidR="001C6AB8" w:rsidRPr="006E725C">
              <w:rPr>
                <w:spacing w:val="-4"/>
                <w:lang w:val="en-GB" w:eastAsia="en-US"/>
              </w:rPr>
              <w:t>bn</w:t>
            </w:r>
            <w:proofErr w:type="spellEnd"/>
            <w:r w:rsidR="00EA1EBB" w:rsidRPr="006E725C">
              <w:rPr>
                <w:spacing w:val="-4"/>
                <w:lang w:val="en-GB" w:eastAsia="en-US"/>
              </w:rPr>
              <w:t>, −2</w:t>
            </w:r>
            <w:r w:rsidR="001C6AB8" w:rsidRPr="006E725C">
              <w:rPr>
                <w:spacing w:val="-4"/>
                <w:lang w:val="en-GB" w:eastAsia="en-US"/>
              </w:rPr>
              <w:t>.</w:t>
            </w:r>
            <w:r w:rsidR="00EA1EBB" w:rsidRPr="006E725C">
              <w:rPr>
                <w:spacing w:val="-4"/>
                <w:lang w:val="en-GB" w:eastAsia="en-US"/>
              </w:rPr>
              <w:t>0%) a</w:t>
            </w:r>
            <w:r w:rsidR="001C6AB8" w:rsidRPr="006E725C">
              <w:rPr>
                <w:spacing w:val="-4"/>
                <w:lang w:val="en-GB" w:eastAsia="en-US"/>
              </w:rPr>
              <w:t xml:space="preserve">nd Austria </w:t>
            </w:r>
            <w:r w:rsidR="00EA1EBB" w:rsidRPr="006E725C">
              <w:rPr>
                <w:spacing w:val="-4"/>
                <w:lang w:val="en-GB" w:eastAsia="en-US"/>
              </w:rPr>
              <w:t>(−18</w:t>
            </w:r>
            <w:r w:rsidR="001C6AB8" w:rsidRPr="006E725C">
              <w:rPr>
                <w:spacing w:val="-4"/>
                <w:lang w:val="en-GB" w:eastAsia="en-US"/>
              </w:rPr>
              <w:t>.</w:t>
            </w:r>
            <w:r w:rsidR="00EA1EBB" w:rsidRPr="006E725C">
              <w:rPr>
                <w:spacing w:val="-4"/>
                <w:lang w:val="en-GB" w:eastAsia="en-US"/>
              </w:rPr>
              <w:t>0</w:t>
            </w:r>
            <w:r w:rsidR="001C6AB8" w:rsidRPr="006E725C">
              <w:rPr>
                <w:spacing w:val="-4"/>
                <w:lang w:val="en-GB" w:eastAsia="en-US"/>
              </w:rPr>
              <w:t xml:space="preserve"> </w:t>
            </w:r>
            <w:proofErr w:type="spellStart"/>
            <w:r w:rsidR="001C6AB8" w:rsidRPr="006E725C">
              <w:rPr>
                <w:spacing w:val="-4"/>
                <w:lang w:val="en-GB" w:eastAsia="en-US"/>
              </w:rPr>
              <w:t>bn</w:t>
            </w:r>
            <w:proofErr w:type="spellEnd"/>
            <w:r w:rsidR="00EA1EBB" w:rsidRPr="006E725C">
              <w:rPr>
                <w:spacing w:val="-4"/>
                <w:lang w:val="en-GB" w:eastAsia="en-US"/>
              </w:rPr>
              <w:t>, −13</w:t>
            </w:r>
            <w:r w:rsidR="001C6AB8" w:rsidRPr="006E725C">
              <w:rPr>
                <w:spacing w:val="-4"/>
                <w:lang w:val="en-GB" w:eastAsia="en-US"/>
              </w:rPr>
              <w:t>.</w:t>
            </w:r>
            <w:r w:rsidR="00EA1EBB" w:rsidRPr="006E725C">
              <w:rPr>
                <w:spacing w:val="-4"/>
                <w:lang w:val="en-GB" w:eastAsia="en-US"/>
              </w:rPr>
              <w:t>1%)</w:t>
            </w:r>
            <w:r w:rsidR="001C6AB8" w:rsidRPr="006E725C">
              <w:rPr>
                <w:spacing w:val="-4"/>
                <w:lang w:val="en-GB" w:eastAsia="en-US"/>
              </w:rPr>
              <w:t xml:space="preserve"> last year</w:t>
            </w:r>
            <w:r w:rsidR="00EA1EBB" w:rsidRPr="006E725C">
              <w:rPr>
                <w:spacing w:val="-4"/>
                <w:lang w:val="en-GB" w:eastAsia="en-US"/>
              </w:rPr>
              <w:t xml:space="preserve">. </w:t>
            </w:r>
            <w:r w:rsidR="00194024" w:rsidRPr="006E725C">
              <w:rPr>
                <w:spacing w:val="-4"/>
                <w:lang w:val="en-GB" w:eastAsia="en-US"/>
              </w:rPr>
              <w:t xml:space="preserve">The only considerable increase of imports was recorded in case of Norway </w:t>
            </w:r>
            <w:r w:rsidR="00EA1EBB" w:rsidRPr="006E725C">
              <w:rPr>
                <w:spacing w:val="-4"/>
                <w:lang w:val="en-GB" w:eastAsia="en-US"/>
              </w:rPr>
              <w:t>(+37</w:t>
            </w:r>
            <w:r w:rsidR="00194024" w:rsidRPr="006E725C">
              <w:rPr>
                <w:spacing w:val="-4"/>
                <w:lang w:val="en-GB" w:eastAsia="en-US"/>
              </w:rPr>
              <w:t>.</w:t>
            </w:r>
            <w:r w:rsidR="00EA1EBB" w:rsidRPr="006E725C">
              <w:rPr>
                <w:spacing w:val="-4"/>
                <w:lang w:val="en-GB" w:eastAsia="en-US"/>
              </w:rPr>
              <w:t xml:space="preserve">0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75</w:t>
            </w:r>
            <w:r w:rsidR="00194024" w:rsidRPr="006E725C">
              <w:rPr>
                <w:spacing w:val="-4"/>
                <w:lang w:val="en-GB" w:eastAsia="en-US"/>
              </w:rPr>
              <w:t>.</w:t>
            </w:r>
            <w:r w:rsidR="00EA1EBB" w:rsidRPr="006E725C">
              <w:rPr>
                <w:spacing w:val="-4"/>
                <w:lang w:val="en-GB" w:eastAsia="en-US"/>
              </w:rPr>
              <w:t xml:space="preserve">5%), </w:t>
            </w:r>
            <w:r w:rsidR="00194024" w:rsidRPr="006E725C">
              <w:rPr>
                <w:spacing w:val="-4"/>
                <w:lang w:val="en-GB" w:eastAsia="en-US"/>
              </w:rPr>
              <w:t xml:space="preserve">which </w:t>
            </w:r>
            <w:r w:rsidR="00046CFC" w:rsidRPr="006E725C">
              <w:rPr>
                <w:spacing w:val="-4"/>
                <w:lang w:val="en-GB" w:eastAsia="en-US"/>
              </w:rPr>
              <w:t xml:space="preserve">assumed the role of the main natural gas supplier instead of Russia since the last year. </w:t>
            </w:r>
            <w:r w:rsidR="005F1CCA" w:rsidRPr="006E725C">
              <w:rPr>
                <w:spacing w:val="-4"/>
                <w:lang w:val="en-GB" w:eastAsia="en-US"/>
              </w:rPr>
              <w:t xml:space="preserve">The import from the EU fell by </w:t>
            </w:r>
            <w:r w:rsidR="00EA1EBB" w:rsidRPr="006E725C">
              <w:rPr>
                <w:spacing w:val="-4"/>
                <w:lang w:val="en-GB" w:eastAsia="en-US"/>
              </w:rPr>
              <w:t>16</w:t>
            </w:r>
            <w:r w:rsidR="005F1CCA" w:rsidRPr="006E725C">
              <w:rPr>
                <w:spacing w:val="-4"/>
                <w:lang w:val="en-GB" w:eastAsia="en-US"/>
              </w:rPr>
              <w:t>.</w:t>
            </w:r>
            <w:r w:rsidR="00EA1EBB" w:rsidRPr="006E725C">
              <w:rPr>
                <w:spacing w:val="-4"/>
                <w:lang w:val="en-GB" w:eastAsia="en-US"/>
              </w:rPr>
              <w:t>7</w:t>
            </w:r>
            <w:r w:rsidR="005F1CCA"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5F1CCA" w:rsidRPr="006E725C">
              <w:rPr>
                <w:spacing w:val="-4"/>
                <w:lang w:val="en-GB" w:eastAsia="en-US"/>
              </w:rPr>
              <w:t xml:space="preserve"> year-on-year </w:t>
            </w:r>
            <w:r w:rsidR="00EA1EBB" w:rsidRPr="006E725C">
              <w:rPr>
                <w:spacing w:val="-4"/>
                <w:lang w:val="en-GB" w:eastAsia="en-US"/>
              </w:rPr>
              <w:t>(−2</w:t>
            </w:r>
            <w:r w:rsidR="005F1CCA" w:rsidRPr="006E725C">
              <w:rPr>
                <w:spacing w:val="-4"/>
                <w:lang w:val="en-GB" w:eastAsia="en-US"/>
              </w:rPr>
              <w:t>.</w:t>
            </w:r>
            <w:r w:rsidR="00EA1EBB" w:rsidRPr="006E725C">
              <w:rPr>
                <w:spacing w:val="-4"/>
                <w:lang w:val="en-GB" w:eastAsia="en-US"/>
              </w:rPr>
              <w:t>4%)</w:t>
            </w:r>
            <w:r w:rsidR="005F1CCA" w:rsidRPr="006E725C">
              <w:rPr>
                <w:spacing w:val="-4"/>
                <w:lang w:val="en-GB" w:eastAsia="en-US"/>
              </w:rPr>
              <w:t xml:space="preserve"> in Q4 2023 itself</w:t>
            </w:r>
            <w:r w:rsidR="00EA1EBB" w:rsidRPr="006E725C">
              <w:rPr>
                <w:spacing w:val="-4"/>
                <w:lang w:val="en-GB" w:eastAsia="en-US"/>
              </w:rPr>
              <w:t xml:space="preserve">. Import </w:t>
            </w:r>
            <w:r w:rsidR="005F1CCA" w:rsidRPr="006E725C">
              <w:rPr>
                <w:spacing w:val="-4"/>
                <w:lang w:val="en-GB" w:eastAsia="en-US"/>
              </w:rPr>
              <w:t xml:space="preserve">from the countries outside the EU kept falling more </w:t>
            </w:r>
            <w:r w:rsidR="006C2A0B" w:rsidRPr="006E725C">
              <w:rPr>
                <w:spacing w:val="-4"/>
                <w:lang w:val="en-GB" w:eastAsia="en-US"/>
              </w:rPr>
              <w:t xml:space="preserve">markedly </w:t>
            </w:r>
            <w:r w:rsidR="00EA1EBB" w:rsidRPr="006E725C">
              <w:rPr>
                <w:spacing w:val="-4"/>
                <w:lang w:val="en-GB" w:eastAsia="en-US"/>
              </w:rPr>
              <w:t>(−94</w:t>
            </w:r>
            <w:r w:rsidR="006C2A0B" w:rsidRPr="006E725C">
              <w:rPr>
                <w:spacing w:val="-4"/>
                <w:lang w:val="en-GB" w:eastAsia="en-US"/>
              </w:rPr>
              <w:t>.</w:t>
            </w:r>
            <w:r w:rsidR="00EA1EBB" w:rsidRPr="006E725C">
              <w:rPr>
                <w:spacing w:val="-4"/>
                <w:lang w:val="en-GB" w:eastAsia="en-US"/>
              </w:rPr>
              <w:t>3</w:t>
            </w:r>
            <w:r w:rsidR="006C2A0B"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−18</w:t>
            </w:r>
            <w:r w:rsidR="006C2A0B" w:rsidRPr="006E725C">
              <w:rPr>
                <w:spacing w:val="-4"/>
                <w:lang w:val="en-GB" w:eastAsia="en-US"/>
              </w:rPr>
              <w:t>.</w:t>
            </w:r>
            <w:r w:rsidR="00EA1EBB" w:rsidRPr="006E725C">
              <w:rPr>
                <w:spacing w:val="-4"/>
                <w:lang w:val="en-GB" w:eastAsia="en-US"/>
              </w:rPr>
              <w:t xml:space="preserve">8%). </w:t>
            </w:r>
            <w:r w:rsidR="008357DA" w:rsidRPr="006E725C">
              <w:rPr>
                <w:spacing w:val="-4"/>
                <w:lang w:val="en-GB" w:eastAsia="en-US"/>
              </w:rPr>
              <w:t>Import from China</w:t>
            </w:r>
            <w:r w:rsidR="00D73012" w:rsidRPr="006E725C">
              <w:rPr>
                <w:spacing w:val="-4"/>
                <w:lang w:val="en-GB" w:eastAsia="en-US"/>
              </w:rPr>
              <w:t xml:space="preserve"> </w:t>
            </w:r>
            <w:r w:rsidR="00EA1EBB" w:rsidRPr="006E725C">
              <w:rPr>
                <w:spacing w:val="-4"/>
                <w:lang w:val="en-GB" w:eastAsia="en-US"/>
              </w:rPr>
              <w:t>(−49</w:t>
            </w:r>
            <w:r w:rsidR="00D73012" w:rsidRPr="006E725C">
              <w:rPr>
                <w:spacing w:val="-4"/>
                <w:lang w:val="en-GB" w:eastAsia="en-US"/>
              </w:rPr>
              <w:t>.</w:t>
            </w:r>
            <w:r w:rsidR="00EA1EBB" w:rsidRPr="006E725C">
              <w:rPr>
                <w:spacing w:val="-4"/>
                <w:lang w:val="en-GB" w:eastAsia="en-US"/>
              </w:rPr>
              <w:t>6</w:t>
            </w:r>
            <w:r w:rsidR="00D73012"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−27</w:t>
            </w:r>
            <w:r w:rsidR="00D73012" w:rsidRPr="006E725C">
              <w:rPr>
                <w:spacing w:val="-4"/>
                <w:lang w:val="en-GB" w:eastAsia="en-US"/>
              </w:rPr>
              <w:t>.</w:t>
            </w:r>
            <w:r w:rsidR="00EA1EBB" w:rsidRPr="006E725C">
              <w:rPr>
                <w:spacing w:val="-4"/>
                <w:lang w:val="en-GB" w:eastAsia="en-US"/>
              </w:rPr>
              <w:t>4%) a</w:t>
            </w:r>
            <w:r w:rsidR="00D73012" w:rsidRPr="006E725C">
              <w:rPr>
                <w:spacing w:val="-4"/>
                <w:lang w:val="en-GB" w:eastAsia="en-US"/>
              </w:rPr>
              <w:t xml:space="preserve">nd Norway </w:t>
            </w:r>
            <w:r w:rsidR="00EA1EBB" w:rsidRPr="006E725C">
              <w:rPr>
                <w:spacing w:val="-4"/>
                <w:lang w:val="en-GB" w:eastAsia="en-US"/>
              </w:rPr>
              <w:t>(−21</w:t>
            </w:r>
            <w:r w:rsidR="00D73012" w:rsidRPr="006E725C">
              <w:rPr>
                <w:spacing w:val="-4"/>
                <w:lang w:val="en-GB" w:eastAsia="en-US"/>
              </w:rPr>
              <w:t>.</w:t>
            </w:r>
            <w:r w:rsidR="00EA1EBB" w:rsidRPr="006E725C">
              <w:rPr>
                <w:spacing w:val="-4"/>
                <w:lang w:val="en-GB" w:eastAsia="en-US"/>
              </w:rPr>
              <w:t>7</w:t>
            </w:r>
            <w:r w:rsidR="00D73012" w:rsidRPr="006E725C">
              <w:rPr>
                <w:spacing w:val="-4"/>
                <w:lang w:val="en-GB" w:eastAsia="en-US"/>
              </w:rPr>
              <w:t xml:space="preserve"> </w:t>
            </w:r>
            <w:proofErr w:type="spellStart"/>
            <w:r w:rsidR="00D73012" w:rsidRPr="006E725C">
              <w:rPr>
                <w:spacing w:val="-4"/>
                <w:lang w:val="en-GB" w:eastAsia="en-US"/>
              </w:rPr>
              <w:t>bn</w:t>
            </w:r>
            <w:proofErr w:type="spellEnd"/>
            <w:r w:rsidR="00EA1EBB" w:rsidRPr="006E725C">
              <w:rPr>
                <w:spacing w:val="-4"/>
                <w:lang w:val="en-GB" w:eastAsia="en-US"/>
              </w:rPr>
              <w:t>, −53</w:t>
            </w:r>
            <w:r w:rsidR="00D73012" w:rsidRPr="006E725C">
              <w:rPr>
                <w:spacing w:val="-4"/>
                <w:lang w:val="en-GB" w:eastAsia="en-US"/>
              </w:rPr>
              <w:t>.</w:t>
            </w:r>
            <w:r w:rsidR="00EA1EBB" w:rsidRPr="006E725C">
              <w:rPr>
                <w:spacing w:val="-4"/>
                <w:lang w:val="en-GB" w:eastAsia="en-US"/>
              </w:rPr>
              <w:t>2%)</w:t>
            </w:r>
            <w:r w:rsidR="008357DA" w:rsidRPr="006E725C">
              <w:rPr>
                <w:spacing w:val="-4"/>
                <w:lang w:val="en-GB" w:eastAsia="en-US"/>
              </w:rPr>
              <w:t xml:space="preserve"> sank the most </w:t>
            </w:r>
            <w:r w:rsidR="00D73012" w:rsidRPr="006E725C">
              <w:rPr>
                <w:spacing w:val="-4"/>
                <w:lang w:val="en-GB" w:eastAsia="en-US"/>
              </w:rPr>
              <w:t>year-on-year</w:t>
            </w:r>
            <w:r w:rsidR="00EA1EBB" w:rsidRPr="006E725C">
              <w:rPr>
                <w:spacing w:val="-4"/>
                <w:lang w:val="en-GB" w:eastAsia="en-US"/>
              </w:rPr>
              <w:t>.</w:t>
            </w:r>
            <w:r w:rsidR="00D73012" w:rsidRPr="006E725C">
              <w:rPr>
                <w:spacing w:val="-4"/>
                <w:lang w:val="en-GB" w:eastAsia="en-US"/>
              </w:rPr>
              <w:t xml:space="preserve"> The value of imports from the </w:t>
            </w:r>
            <w:r w:rsidR="002D4AE8" w:rsidRPr="006E725C">
              <w:rPr>
                <w:spacing w:val="-4"/>
                <w:lang w:val="en-GB" w:eastAsia="en-US"/>
              </w:rPr>
              <w:t>United States</w:t>
            </w:r>
            <w:r w:rsidR="002E3080" w:rsidRPr="006E725C">
              <w:rPr>
                <w:spacing w:val="-4"/>
                <w:lang w:val="en-GB" w:eastAsia="en-US"/>
              </w:rPr>
              <w:t xml:space="preserve"> </w:t>
            </w:r>
            <w:r w:rsidR="00EA1EBB" w:rsidRPr="006E725C">
              <w:rPr>
                <w:spacing w:val="-4"/>
                <w:lang w:val="en-GB" w:eastAsia="en-US"/>
              </w:rPr>
              <w:t>(−5</w:t>
            </w:r>
            <w:r w:rsidR="00D73012" w:rsidRPr="006E725C">
              <w:rPr>
                <w:spacing w:val="-4"/>
                <w:lang w:val="en-GB" w:eastAsia="en-US"/>
              </w:rPr>
              <w:t>.</w:t>
            </w:r>
            <w:r w:rsidR="00EA1EBB" w:rsidRPr="006E725C">
              <w:rPr>
                <w:spacing w:val="-4"/>
                <w:lang w:val="en-GB" w:eastAsia="en-US"/>
              </w:rPr>
              <w:t>3</w:t>
            </w:r>
            <w:r w:rsidR="00D73012" w:rsidRPr="006E725C">
              <w:rPr>
                <w:spacing w:val="-4"/>
                <w:lang w:val="en-GB" w:eastAsia="en-US"/>
              </w:rPr>
              <w:t xml:space="preserve"> </w:t>
            </w:r>
            <w:proofErr w:type="spellStart"/>
            <w:r w:rsidR="00D73012" w:rsidRPr="006E725C">
              <w:rPr>
                <w:spacing w:val="-4"/>
                <w:lang w:val="en-GB" w:eastAsia="en-US"/>
              </w:rPr>
              <w:t>bn</w:t>
            </w:r>
            <w:proofErr w:type="spellEnd"/>
            <w:r w:rsidR="00EA1EBB" w:rsidRPr="006E725C">
              <w:rPr>
                <w:spacing w:val="-4"/>
                <w:lang w:val="en-GB" w:eastAsia="en-US"/>
              </w:rPr>
              <w:t>, −14</w:t>
            </w:r>
            <w:r w:rsidR="00D73012" w:rsidRPr="006E725C">
              <w:rPr>
                <w:spacing w:val="-4"/>
                <w:lang w:val="en-GB" w:eastAsia="en-US"/>
              </w:rPr>
              <w:t>.</w:t>
            </w:r>
            <w:r w:rsidR="00EA1EBB" w:rsidRPr="006E725C">
              <w:rPr>
                <w:spacing w:val="-4"/>
                <w:lang w:val="en-GB" w:eastAsia="en-US"/>
              </w:rPr>
              <w:t xml:space="preserve">3%), </w:t>
            </w:r>
            <w:r w:rsidR="002E3080" w:rsidRPr="006E725C">
              <w:rPr>
                <w:spacing w:val="-4"/>
                <w:lang w:val="en-GB" w:eastAsia="en-US"/>
              </w:rPr>
              <w:t xml:space="preserve">from Poland </w:t>
            </w:r>
            <w:r w:rsidR="00EA1EBB" w:rsidRPr="006E725C">
              <w:rPr>
                <w:spacing w:val="-4"/>
                <w:lang w:val="en-GB" w:eastAsia="en-US"/>
              </w:rPr>
              <w:t>(−5</w:t>
            </w:r>
            <w:r w:rsidR="002E3080" w:rsidRPr="006E725C">
              <w:rPr>
                <w:spacing w:val="-4"/>
                <w:lang w:val="en-GB" w:eastAsia="en-US"/>
              </w:rPr>
              <w:t>.</w:t>
            </w:r>
            <w:r w:rsidR="00EA1EBB" w:rsidRPr="006E725C">
              <w:rPr>
                <w:spacing w:val="-4"/>
                <w:lang w:val="en-GB" w:eastAsia="en-US"/>
              </w:rPr>
              <w:t>0</w:t>
            </w:r>
            <w:r w:rsidR="002E3080"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−5</w:t>
            </w:r>
            <w:r w:rsidR="002E3080" w:rsidRPr="006E725C">
              <w:rPr>
                <w:spacing w:val="-4"/>
                <w:lang w:val="en-GB" w:eastAsia="en-US"/>
              </w:rPr>
              <w:t>.</w:t>
            </w:r>
            <w:r w:rsidR="00EA1EBB" w:rsidRPr="006E725C">
              <w:rPr>
                <w:spacing w:val="-4"/>
                <w:lang w:val="en-GB" w:eastAsia="en-US"/>
              </w:rPr>
              <w:t>0%), Rus</w:t>
            </w:r>
            <w:r w:rsidR="002E3080" w:rsidRPr="006E725C">
              <w:rPr>
                <w:spacing w:val="-4"/>
                <w:lang w:val="en-GB" w:eastAsia="en-US"/>
              </w:rPr>
              <w:t xml:space="preserve">sia </w:t>
            </w:r>
            <w:r w:rsidR="00EA1EBB" w:rsidRPr="006E725C">
              <w:rPr>
                <w:spacing w:val="-4"/>
                <w:lang w:val="en-GB" w:eastAsia="en-US"/>
              </w:rPr>
              <w:t>(−4</w:t>
            </w:r>
            <w:r w:rsidR="002E3080" w:rsidRPr="006E725C">
              <w:rPr>
                <w:spacing w:val="-4"/>
                <w:lang w:val="en-GB" w:eastAsia="en-US"/>
              </w:rPr>
              <w:t>.</w:t>
            </w:r>
            <w:r w:rsidR="00EA1EBB" w:rsidRPr="006E725C">
              <w:rPr>
                <w:spacing w:val="-4"/>
                <w:lang w:val="en-GB" w:eastAsia="en-US"/>
              </w:rPr>
              <w:t>4</w:t>
            </w:r>
            <w:r w:rsidR="002E3080" w:rsidRPr="006E725C">
              <w:rPr>
                <w:spacing w:val="-4"/>
                <w:lang w:val="en-GB" w:eastAsia="en-US"/>
              </w:rPr>
              <w:t xml:space="preserve"> </w:t>
            </w:r>
            <w:proofErr w:type="spellStart"/>
            <w:r w:rsidR="002E3080" w:rsidRPr="006E725C">
              <w:rPr>
                <w:spacing w:val="-4"/>
                <w:lang w:val="en-GB" w:eastAsia="en-US"/>
              </w:rPr>
              <w:t>bn</w:t>
            </w:r>
            <w:proofErr w:type="spellEnd"/>
            <w:r w:rsidR="00EA1EBB" w:rsidRPr="006E725C">
              <w:rPr>
                <w:spacing w:val="-4"/>
                <w:lang w:val="en-GB" w:eastAsia="en-US"/>
              </w:rPr>
              <w:t>, −15</w:t>
            </w:r>
            <w:r w:rsidR="002E3080" w:rsidRPr="006E725C">
              <w:rPr>
                <w:spacing w:val="-4"/>
                <w:lang w:val="en-GB" w:eastAsia="en-US"/>
              </w:rPr>
              <w:t>.</w:t>
            </w:r>
            <w:r w:rsidR="00EA1EBB" w:rsidRPr="006E725C">
              <w:rPr>
                <w:spacing w:val="-4"/>
                <w:lang w:val="en-GB" w:eastAsia="en-US"/>
              </w:rPr>
              <w:t xml:space="preserve">9%), </w:t>
            </w:r>
            <w:r w:rsidR="002E3080" w:rsidRPr="006E725C">
              <w:rPr>
                <w:spacing w:val="-4"/>
                <w:lang w:val="en-GB" w:eastAsia="en-US"/>
              </w:rPr>
              <w:t xml:space="preserve">Austria </w:t>
            </w:r>
            <w:r w:rsidR="00EA1EBB" w:rsidRPr="006E725C">
              <w:rPr>
                <w:spacing w:val="-4"/>
                <w:lang w:val="en-GB" w:eastAsia="en-US"/>
              </w:rPr>
              <w:t>(−4</w:t>
            </w:r>
            <w:r w:rsidR="002E3080" w:rsidRPr="006E725C">
              <w:rPr>
                <w:spacing w:val="-4"/>
                <w:lang w:val="en-GB" w:eastAsia="en-US"/>
              </w:rPr>
              <w:t>.</w:t>
            </w:r>
            <w:r w:rsidR="00EA1EBB" w:rsidRPr="006E725C">
              <w:rPr>
                <w:spacing w:val="-4"/>
                <w:lang w:val="en-GB" w:eastAsia="en-US"/>
              </w:rPr>
              <w:t>2</w:t>
            </w:r>
            <w:r w:rsidR="002E3080" w:rsidRPr="006E725C">
              <w:rPr>
                <w:spacing w:val="-4"/>
                <w:lang w:val="en-GB" w:eastAsia="en-US"/>
              </w:rPr>
              <w:t xml:space="preserve"> </w:t>
            </w:r>
            <w:proofErr w:type="spellStart"/>
            <w:r w:rsidR="002E3080" w:rsidRPr="006E725C">
              <w:rPr>
                <w:spacing w:val="-4"/>
                <w:lang w:val="en-GB" w:eastAsia="en-US"/>
              </w:rPr>
              <w:t>bn</w:t>
            </w:r>
            <w:proofErr w:type="spellEnd"/>
            <w:r w:rsidR="00EA1EBB" w:rsidRPr="006E725C">
              <w:rPr>
                <w:spacing w:val="-4"/>
                <w:lang w:val="en-GB" w:eastAsia="en-US"/>
              </w:rPr>
              <w:t>, −13</w:t>
            </w:r>
            <w:r w:rsidR="002E3080" w:rsidRPr="006E725C">
              <w:rPr>
                <w:spacing w:val="-4"/>
                <w:lang w:val="en-GB" w:eastAsia="en-US"/>
              </w:rPr>
              <w:t>.</w:t>
            </w:r>
            <w:r w:rsidR="00EA1EBB" w:rsidRPr="006E725C">
              <w:rPr>
                <w:spacing w:val="-4"/>
                <w:lang w:val="en-GB" w:eastAsia="en-US"/>
              </w:rPr>
              <w:t xml:space="preserve">0%) </w:t>
            </w:r>
            <w:r w:rsidR="002E3080" w:rsidRPr="006E725C">
              <w:rPr>
                <w:spacing w:val="-4"/>
                <w:lang w:val="en-GB" w:eastAsia="en-US"/>
              </w:rPr>
              <w:t xml:space="preserve">or Germany </w:t>
            </w:r>
            <w:r w:rsidR="00EA1EBB" w:rsidRPr="006E725C">
              <w:rPr>
                <w:spacing w:val="-4"/>
                <w:lang w:val="en-GB" w:eastAsia="en-US"/>
              </w:rPr>
              <w:t>(−3</w:t>
            </w:r>
            <w:r w:rsidR="002E3080" w:rsidRPr="006E725C">
              <w:rPr>
                <w:spacing w:val="-4"/>
                <w:lang w:val="en-GB" w:eastAsia="en-US"/>
              </w:rPr>
              <w:t>.</w:t>
            </w:r>
            <w:r w:rsidR="00EA1EBB" w:rsidRPr="006E725C">
              <w:rPr>
                <w:spacing w:val="-4"/>
                <w:lang w:val="en-GB" w:eastAsia="en-US"/>
              </w:rPr>
              <w:t>9</w:t>
            </w:r>
            <w:r w:rsidR="002E3080" w:rsidRPr="006E725C">
              <w:rPr>
                <w:spacing w:val="-4"/>
                <w:lang w:val="en-GB" w:eastAsia="en-US"/>
              </w:rPr>
              <w:t xml:space="preserve"> </w:t>
            </w:r>
            <w:proofErr w:type="spellStart"/>
            <w:r w:rsidR="002E3080" w:rsidRPr="006E725C">
              <w:rPr>
                <w:spacing w:val="-4"/>
                <w:lang w:val="en-GB" w:eastAsia="en-US"/>
              </w:rPr>
              <w:t>bn</w:t>
            </w:r>
            <w:proofErr w:type="spellEnd"/>
            <w:r w:rsidR="00EA1EBB" w:rsidRPr="006E725C">
              <w:rPr>
                <w:spacing w:val="-4"/>
                <w:lang w:val="en-GB" w:eastAsia="en-US"/>
              </w:rPr>
              <w:t>, −1</w:t>
            </w:r>
            <w:r w:rsidR="002E3080" w:rsidRPr="006E725C">
              <w:rPr>
                <w:spacing w:val="-4"/>
                <w:lang w:val="en-GB" w:eastAsia="en-US"/>
              </w:rPr>
              <w:t>.</w:t>
            </w:r>
            <w:r w:rsidR="00EA1EBB" w:rsidRPr="006E725C">
              <w:rPr>
                <w:spacing w:val="-4"/>
                <w:lang w:val="en-GB" w:eastAsia="en-US"/>
              </w:rPr>
              <w:t>5%)</w:t>
            </w:r>
            <w:r w:rsidR="002E3080" w:rsidRPr="006E725C">
              <w:rPr>
                <w:spacing w:val="-4"/>
                <w:lang w:val="en-GB" w:eastAsia="en-US"/>
              </w:rPr>
              <w:t xml:space="preserve"> was also lower</w:t>
            </w:r>
            <w:r w:rsidR="00EA1EBB" w:rsidRPr="006E725C">
              <w:rPr>
                <w:spacing w:val="-4"/>
                <w:lang w:val="en-GB" w:eastAsia="en-US"/>
              </w:rPr>
              <w:t xml:space="preserve">. </w:t>
            </w:r>
            <w:r w:rsidR="002062DE" w:rsidRPr="006E725C">
              <w:rPr>
                <w:spacing w:val="-4"/>
                <w:lang w:val="en-GB" w:eastAsia="en-US"/>
              </w:rPr>
              <w:t xml:space="preserve">Imports from the majority of observed countries was falling and more notable year-on-year increase was recorded only for Kazakhstan </w:t>
            </w:r>
            <w:r w:rsidR="00EA1EBB" w:rsidRPr="006E725C">
              <w:rPr>
                <w:spacing w:val="-4"/>
                <w:lang w:val="en-GB" w:eastAsia="en-US"/>
              </w:rPr>
              <w:t>(+2</w:t>
            </w:r>
            <w:r w:rsidR="002062DE" w:rsidRPr="006E725C">
              <w:rPr>
                <w:spacing w:val="-4"/>
                <w:lang w:val="en-GB" w:eastAsia="en-US"/>
              </w:rPr>
              <w:t>.</w:t>
            </w:r>
            <w:r w:rsidR="00EA1EBB" w:rsidRPr="006E725C">
              <w:rPr>
                <w:spacing w:val="-4"/>
                <w:lang w:val="en-GB" w:eastAsia="en-US"/>
              </w:rPr>
              <w:t>9</w:t>
            </w:r>
            <w:r w:rsidR="002062DE"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76</w:t>
            </w:r>
            <w:r w:rsidR="002062DE" w:rsidRPr="006E725C">
              <w:rPr>
                <w:spacing w:val="-4"/>
                <w:lang w:val="en-GB" w:eastAsia="en-US"/>
              </w:rPr>
              <w:t>.</w:t>
            </w:r>
            <w:r w:rsidR="00EA1EBB" w:rsidRPr="006E725C">
              <w:rPr>
                <w:spacing w:val="-4"/>
                <w:lang w:val="en-GB" w:eastAsia="en-US"/>
              </w:rPr>
              <w:t xml:space="preserve">3%, </w:t>
            </w:r>
            <w:r w:rsidR="002062DE" w:rsidRPr="006E725C">
              <w:rPr>
                <w:spacing w:val="-4"/>
                <w:lang w:val="en-GB" w:eastAsia="en-US"/>
              </w:rPr>
              <w:t xml:space="preserve">especially the imports of </w:t>
            </w:r>
            <w:r w:rsidR="00455AE3" w:rsidRPr="006E725C">
              <w:rPr>
                <w:spacing w:val="-4"/>
                <w:lang w:val="en-GB" w:eastAsia="en-US"/>
              </w:rPr>
              <w:t>petroleum</w:t>
            </w:r>
            <w:r w:rsidR="002062DE" w:rsidRPr="006E725C">
              <w:rPr>
                <w:spacing w:val="-4"/>
                <w:lang w:val="en-GB" w:eastAsia="en-US"/>
              </w:rPr>
              <w:t xml:space="preserve"> and natural gas increased</w:t>
            </w:r>
            <w:r w:rsidR="00EA1EBB" w:rsidRPr="006E725C">
              <w:rPr>
                <w:spacing w:val="-4"/>
                <w:lang w:val="en-GB" w:eastAsia="en-US"/>
              </w:rPr>
              <w:t xml:space="preserve">). </w:t>
            </w:r>
          </w:p>
        </w:tc>
      </w:tr>
      <w:tr w:rsidR="00EA1EBB" w:rsidRPr="006E725C" w14:paraId="09DFDAB2" w14:textId="77777777" w:rsidTr="00EA1EBB">
        <w:trPr>
          <w:trHeight w:val="145"/>
        </w:trPr>
        <w:tc>
          <w:tcPr>
            <w:tcW w:w="1748" w:type="dxa"/>
            <w:hideMark/>
          </w:tcPr>
          <w:p w14:paraId="45588A55" w14:textId="475CF385" w:rsidR="00EA1EBB" w:rsidRPr="006E725C" w:rsidRDefault="005B4277">
            <w:pPr>
              <w:pStyle w:val="Marginlie"/>
              <w:rPr>
                <w:lang w:val="en-GB" w:eastAsia="en-US"/>
              </w:rPr>
            </w:pPr>
            <w:r w:rsidRPr="006E725C">
              <w:rPr>
                <w:lang w:val="en-GB" w:eastAsia="en-US"/>
              </w:rPr>
              <w:lastRenderedPageBreak/>
              <w:t xml:space="preserve">Import of </w:t>
            </w:r>
            <w:r w:rsidR="00455AE3" w:rsidRPr="006E725C">
              <w:rPr>
                <w:lang w:val="en-GB" w:eastAsia="en-US"/>
              </w:rPr>
              <w:t xml:space="preserve">petroleum </w:t>
            </w:r>
            <w:r w:rsidRPr="006E725C">
              <w:rPr>
                <w:lang w:val="en-GB" w:eastAsia="en-US"/>
              </w:rPr>
              <w:t xml:space="preserve">and natural gas slumped the most last year. </w:t>
            </w:r>
          </w:p>
        </w:tc>
        <w:tc>
          <w:tcPr>
            <w:tcW w:w="221" w:type="dxa"/>
          </w:tcPr>
          <w:p w14:paraId="70BFC2C1" w14:textId="77777777" w:rsidR="00EA1EBB" w:rsidRPr="006E725C" w:rsidRDefault="00EA1EBB">
            <w:pPr>
              <w:pStyle w:val="Textpoznpodarou"/>
              <w:jc w:val="both"/>
              <w:rPr>
                <w:spacing w:val="-4"/>
                <w:lang w:val="en-GB" w:eastAsia="en-US"/>
              </w:rPr>
            </w:pPr>
          </w:p>
        </w:tc>
        <w:tc>
          <w:tcPr>
            <w:tcW w:w="7670" w:type="dxa"/>
            <w:hideMark/>
          </w:tcPr>
          <w:p w14:paraId="079F6B31" w14:textId="21F84793" w:rsidR="00EA1EBB" w:rsidRPr="006E725C" w:rsidRDefault="000F3B71">
            <w:pPr>
              <w:spacing w:after="180"/>
              <w:rPr>
                <w:spacing w:val="-4"/>
                <w:lang w:val="en-GB" w:eastAsia="en-US"/>
              </w:rPr>
            </w:pPr>
            <w:r w:rsidRPr="006E725C">
              <w:rPr>
                <w:spacing w:val="-4"/>
                <w:lang w:val="en-GB" w:eastAsia="en-US"/>
              </w:rPr>
              <w:t xml:space="preserve">Import of </w:t>
            </w:r>
            <w:r w:rsidR="00455AE3" w:rsidRPr="006E725C">
              <w:rPr>
                <w:spacing w:val="-4"/>
                <w:lang w:val="en-GB" w:eastAsia="en-US"/>
              </w:rPr>
              <w:t>petroleum</w:t>
            </w:r>
            <w:r w:rsidRPr="006E725C">
              <w:rPr>
                <w:spacing w:val="-4"/>
                <w:lang w:val="en-GB" w:eastAsia="en-US"/>
              </w:rPr>
              <w:t xml:space="preserve"> and natural gas </w:t>
            </w:r>
            <w:r w:rsidR="00EA1EBB" w:rsidRPr="006E725C">
              <w:rPr>
                <w:spacing w:val="-4"/>
                <w:lang w:val="en-GB" w:eastAsia="en-US"/>
              </w:rPr>
              <w:t>(−161</w:t>
            </w:r>
            <w:r w:rsidRPr="006E725C">
              <w:rPr>
                <w:spacing w:val="-4"/>
                <w:lang w:val="en-GB" w:eastAsia="en-US"/>
              </w:rPr>
              <w:t>.</w:t>
            </w:r>
            <w:r w:rsidR="00EA1EBB" w:rsidRPr="006E725C">
              <w:rPr>
                <w:spacing w:val="-4"/>
                <w:lang w:val="en-GB" w:eastAsia="en-US"/>
              </w:rPr>
              <w:t>4</w:t>
            </w:r>
            <w:r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−46</w:t>
            </w:r>
            <w:r w:rsidRPr="006E725C">
              <w:rPr>
                <w:spacing w:val="-4"/>
                <w:lang w:val="en-GB" w:eastAsia="en-US"/>
              </w:rPr>
              <w:t>.</w:t>
            </w:r>
            <w:r w:rsidR="00EA1EBB" w:rsidRPr="006E725C">
              <w:rPr>
                <w:spacing w:val="-4"/>
                <w:lang w:val="en-GB" w:eastAsia="en-US"/>
              </w:rPr>
              <w:t>9%) a</w:t>
            </w:r>
            <w:r w:rsidRPr="006E725C">
              <w:rPr>
                <w:spacing w:val="-4"/>
                <w:lang w:val="en-GB" w:eastAsia="en-US"/>
              </w:rPr>
              <w:t xml:space="preserve">nd further basic metals </w:t>
            </w:r>
            <w:r w:rsidR="00EA1EBB" w:rsidRPr="006E725C">
              <w:rPr>
                <w:spacing w:val="-4"/>
                <w:lang w:val="en-GB" w:eastAsia="en-US"/>
              </w:rPr>
              <w:t>(−61</w:t>
            </w:r>
            <w:r w:rsidRPr="006E725C">
              <w:rPr>
                <w:spacing w:val="-4"/>
                <w:lang w:val="en-GB" w:eastAsia="en-US"/>
              </w:rPr>
              <w:t>.</w:t>
            </w:r>
            <w:r w:rsidR="00EA1EBB" w:rsidRPr="006E725C">
              <w:rPr>
                <w:spacing w:val="-4"/>
                <w:lang w:val="en-GB" w:eastAsia="en-US"/>
              </w:rPr>
              <w:t>8</w:t>
            </w:r>
            <w:r w:rsidRPr="006E725C">
              <w:rPr>
                <w:spacing w:val="-4"/>
                <w:lang w:val="en-GB" w:eastAsia="en-US"/>
              </w:rPr>
              <w:t xml:space="preserve"> </w:t>
            </w:r>
            <w:proofErr w:type="spellStart"/>
            <w:r w:rsidRPr="006E725C">
              <w:rPr>
                <w:spacing w:val="-4"/>
                <w:lang w:val="en-GB" w:eastAsia="en-US"/>
              </w:rPr>
              <w:t>bn</w:t>
            </w:r>
            <w:proofErr w:type="spellEnd"/>
            <w:r w:rsidR="00EA1EBB" w:rsidRPr="006E725C">
              <w:rPr>
                <w:spacing w:val="-4"/>
                <w:lang w:val="en-GB" w:eastAsia="en-US"/>
              </w:rPr>
              <w:t>, −16</w:t>
            </w:r>
            <w:r w:rsidRPr="006E725C">
              <w:rPr>
                <w:spacing w:val="-4"/>
                <w:lang w:val="en-GB" w:eastAsia="en-US"/>
              </w:rPr>
              <w:t>.</w:t>
            </w:r>
            <w:r w:rsidR="00EA1EBB" w:rsidRPr="006E725C">
              <w:rPr>
                <w:spacing w:val="-4"/>
                <w:lang w:val="en-GB" w:eastAsia="en-US"/>
              </w:rPr>
              <w:t>3%), chemic</w:t>
            </w:r>
            <w:r w:rsidRPr="006E725C">
              <w:rPr>
                <w:spacing w:val="-4"/>
                <w:lang w:val="en-GB" w:eastAsia="en-US"/>
              </w:rPr>
              <w:t xml:space="preserve">al substances and products </w:t>
            </w:r>
            <w:r w:rsidR="00EA1EBB" w:rsidRPr="006E725C">
              <w:rPr>
                <w:spacing w:val="-4"/>
                <w:lang w:val="en-GB" w:eastAsia="en-US"/>
              </w:rPr>
              <w:t>(−48</w:t>
            </w:r>
            <w:r w:rsidRPr="006E725C">
              <w:rPr>
                <w:spacing w:val="-4"/>
                <w:lang w:val="en-GB" w:eastAsia="en-US"/>
              </w:rPr>
              <w:t>.</w:t>
            </w:r>
            <w:r w:rsidR="00EA1EBB" w:rsidRPr="006E725C">
              <w:rPr>
                <w:spacing w:val="-4"/>
                <w:lang w:val="en-GB" w:eastAsia="en-US"/>
              </w:rPr>
              <w:t>0</w:t>
            </w:r>
            <w:r w:rsidRPr="006E725C">
              <w:rPr>
                <w:spacing w:val="-4"/>
                <w:lang w:val="en-GB" w:eastAsia="en-US"/>
              </w:rPr>
              <w:t xml:space="preserve"> </w:t>
            </w:r>
            <w:proofErr w:type="spellStart"/>
            <w:r w:rsidRPr="006E725C">
              <w:rPr>
                <w:spacing w:val="-4"/>
                <w:lang w:val="en-GB" w:eastAsia="en-US"/>
              </w:rPr>
              <w:t>bn</w:t>
            </w:r>
            <w:proofErr w:type="spellEnd"/>
            <w:r w:rsidR="00EA1EBB" w:rsidRPr="006E725C">
              <w:rPr>
                <w:spacing w:val="-4"/>
                <w:lang w:val="en-GB" w:eastAsia="en-US"/>
              </w:rPr>
              <w:t>, −12</w:t>
            </w:r>
            <w:r w:rsidRPr="006E725C">
              <w:rPr>
                <w:spacing w:val="-4"/>
                <w:lang w:val="en-GB" w:eastAsia="en-US"/>
              </w:rPr>
              <w:t>.</w:t>
            </w:r>
            <w:r w:rsidR="00EA1EBB" w:rsidRPr="006E725C">
              <w:rPr>
                <w:spacing w:val="-4"/>
                <w:lang w:val="en-GB" w:eastAsia="en-US"/>
              </w:rPr>
              <w:t>2%) a</w:t>
            </w:r>
            <w:r w:rsidRPr="006E725C">
              <w:rPr>
                <w:spacing w:val="-4"/>
                <w:lang w:val="en-GB" w:eastAsia="en-US"/>
              </w:rPr>
              <w:t xml:space="preserve">nd computers, electronic and optical appliances </w:t>
            </w:r>
            <w:r w:rsidR="00EA1EBB" w:rsidRPr="006E725C">
              <w:rPr>
                <w:spacing w:val="-4"/>
                <w:lang w:val="en-GB" w:eastAsia="en-US"/>
              </w:rPr>
              <w:t>(−21</w:t>
            </w:r>
            <w:r w:rsidRPr="006E725C">
              <w:rPr>
                <w:spacing w:val="-4"/>
                <w:lang w:val="en-GB" w:eastAsia="en-US"/>
              </w:rPr>
              <w:t>.</w:t>
            </w:r>
            <w:r w:rsidR="00EA1EBB" w:rsidRPr="006E725C">
              <w:rPr>
                <w:spacing w:val="-4"/>
                <w:lang w:val="en-GB" w:eastAsia="en-US"/>
              </w:rPr>
              <w:t>1</w:t>
            </w:r>
            <w:r w:rsidRPr="006E725C">
              <w:rPr>
                <w:spacing w:val="-4"/>
                <w:lang w:val="en-GB" w:eastAsia="en-US"/>
              </w:rPr>
              <w:t xml:space="preserve"> </w:t>
            </w:r>
            <w:proofErr w:type="spellStart"/>
            <w:r w:rsidRPr="006E725C">
              <w:rPr>
                <w:spacing w:val="-4"/>
                <w:lang w:val="en-GB" w:eastAsia="en-US"/>
              </w:rPr>
              <w:t>bn</w:t>
            </w:r>
            <w:proofErr w:type="spellEnd"/>
            <w:r w:rsidR="00EA1EBB" w:rsidRPr="006E725C">
              <w:rPr>
                <w:spacing w:val="-4"/>
                <w:lang w:val="en-GB" w:eastAsia="en-US"/>
              </w:rPr>
              <w:t>, −4</w:t>
            </w:r>
            <w:r w:rsidRPr="006E725C">
              <w:rPr>
                <w:spacing w:val="-4"/>
                <w:lang w:val="en-GB" w:eastAsia="en-US"/>
              </w:rPr>
              <w:t>.</w:t>
            </w:r>
            <w:r w:rsidR="00EA1EBB" w:rsidRPr="006E725C">
              <w:rPr>
                <w:spacing w:val="-4"/>
                <w:lang w:val="en-GB" w:eastAsia="en-US"/>
              </w:rPr>
              <w:t>3%)</w:t>
            </w:r>
            <w:r w:rsidRPr="006E725C">
              <w:rPr>
                <w:spacing w:val="-4"/>
                <w:lang w:val="en-GB" w:eastAsia="en-US"/>
              </w:rPr>
              <w:t xml:space="preserve"> participated to a major extent on the last year’s slump of import</w:t>
            </w:r>
            <w:r w:rsidR="00EA1EBB" w:rsidRPr="006E725C">
              <w:rPr>
                <w:spacing w:val="-4"/>
                <w:lang w:val="en-GB" w:eastAsia="en-US"/>
              </w:rPr>
              <w:t>.</w:t>
            </w:r>
            <w:r w:rsidRPr="006E725C">
              <w:rPr>
                <w:spacing w:val="-4"/>
                <w:lang w:val="en-GB" w:eastAsia="en-US"/>
              </w:rPr>
              <w:t xml:space="preserve"> </w:t>
            </w:r>
            <w:r w:rsidR="0009098B" w:rsidRPr="006E725C">
              <w:rPr>
                <w:spacing w:val="-4"/>
                <w:lang w:val="en-GB" w:eastAsia="en-US"/>
              </w:rPr>
              <w:t xml:space="preserve">Significant decrease of the value of imports of coke and refined </w:t>
            </w:r>
            <w:r w:rsidR="00455AE3" w:rsidRPr="006E725C">
              <w:rPr>
                <w:spacing w:val="-4"/>
                <w:lang w:val="en-GB" w:eastAsia="en-US"/>
              </w:rPr>
              <w:t>petroleum</w:t>
            </w:r>
            <w:r w:rsidR="0009098B" w:rsidRPr="006E725C">
              <w:rPr>
                <w:spacing w:val="-4"/>
                <w:lang w:val="en-GB" w:eastAsia="en-US"/>
              </w:rPr>
              <w:t xml:space="preserve"> products </w:t>
            </w:r>
            <w:r w:rsidR="00EA1EBB" w:rsidRPr="006E725C">
              <w:rPr>
                <w:spacing w:val="-4"/>
                <w:lang w:val="en-GB" w:eastAsia="en-US"/>
              </w:rPr>
              <w:t>(−17</w:t>
            </w:r>
            <w:r w:rsidR="0009098B" w:rsidRPr="006E725C">
              <w:rPr>
                <w:spacing w:val="-4"/>
                <w:lang w:val="en-GB" w:eastAsia="en-US"/>
              </w:rPr>
              <w:t>.</w:t>
            </w:r>
            <w:r w:rsidR="00EA1EBB" w:rsidRPr="006E725C">
              <w:rPr>
                <w:spacing w:val="-4"/>
                <w:lang w:val="en-GB" w:eastAsia="en-US"/>
              </w:rPr>
              <w:t>1</w:t>
            </w:r>
            <w:r w:rsidR="0009098B"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−15</w:t>
            </w:r>
            <w:r w:rsidR="0009098B" w:rsidRPr="006E725C">
              <w:rPr>
                <w:spacing w:val="-4"/>
                <w:lang w:val="en-GB" w:eastAsia="en-US"/>
              </w:rPr>
              <w:t>.</w:t>
            </w:r>
            <w:r w:rsidR="00EA1EBB" w:rsidRPr="006E725C">
              <w:rPr>
                <w:spacing w:val="-4"/>
                <w:lang w:val="en-GB" w:eastAsia="en-US"/>
              </w:rPr>
              <w:t>9%) ele</w:t>
            </w:r>
            <w:r w:rsidR="0009098B" w:rsidRPr="006E725C">
              <w:rPr>
                <w:spacing w:val="-4"/>
                <w:lang w:val="en-GB" w:eastAsia="en-US"/>
              </w:rPr>
              <w:t xml:space="preserve">ctricity, gas, steam and air conditioning </w:t>
            </w:r>
            <w:r w:rsidR="00EA1EBB" w:rsidRPr="006E725C">
              <w:rPr>
                <w:spacing w:val="-4"/>
                <w:lang w:val="en-GB" w:eastAsia="en-US"/>
              </w:rPr>
              <w:t>(−15</w:t>
            </w:r>
            <w:r w:rsidR="0009098B" w:rsidRPr="006E725C">
              <w:rPr>
                <w:spacing w:val="-4"/>
                <w:lang w:val="en-GB" w:eastAsia="en-US"/>
              </w:rPr>
              <w:t>.</w:t>
            </w:r>
            <w:r w:rsidR="00EA1EBB" w:rsidRPr="006E725C">
              <w:rPr>
                <w:spacing w:val="-4"/>
                <w:lang w:val="en-GB" w:eastAsia="en-US"/>
              </w:rPr>
              <w:t>4</w:t>
            </w:r>
            <w:r w:rsidR="0009098B"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−42</w:t>
            </w:r>
            <w:r w:rsidR="0009098B" w:rsidRPr="006E725C">
              <w:rPr>
                <w:spacing w:val="-4"/>
                <w:lang w:val="en-GB" w:eastAsia="en-US"/>
              </w:rPr>
              <w:t>.</w:t>
            </w:r>
            <w:r w:rsidR="00EA1EBB" w:rsidRPr="006E725C">
              <w:rPr>
                <w:spacing w:val="-4"/>
                <w:lang w:val="en-GB" w:eastAsia="en-US"/>
              </w:rPr>
              <w:t xml:space="preserve">1%) </w:t>
            </w:r>
            <w:r w:rsidR="0009098B" w:rsidRPr="006E725C">
              <w:rPr>
                <w:spacing w:val="-4"/>
                <w:lang w:val="en-GB" w:eastAsia="en-US"/>
              </w:rPr>
              <w:t xml:space="preserve">or black and brown coal and </w:t>
            </w:r>
            <w:r w:rsidR="003106A6" w:rsidRPr="006E725C">
              <w:rPr>
                <w:spacing w:val="-4"/>
                <w:lang w:val="en-GB" w:eastAsia="en-US"/>
              </w:rPr>
              <w:t xml:space="preserve">lignite </w:t>
            </w:r>
            <w:r w:rsidR="00EA1EBB" w:rsidRPr="006E725C">
              <w:rPr>
                <w:spacing w:val="-4"/>
                <w:lang w:val="en-GB" w:eastAsia="en-US"/>
              </w:rPr>
              <w:t>(−10</w:t>
            </w:r>
            <w:r w:rsidR="003106A6" w:rsidRPr="006E725C">
              <w:rPr>
                <w:spacing w:val="-4"/>
                <w:lang w:val="en-GB" w:eastAsia="en-US"/>
              </w:rPr>
              <w:t>.</w:t>
            </w:r>
            <w:r w:rsidR="00EA1EBB" w:rsidRPr="006E725C">
              <w:rPr>
                <w:spacing w:val="-4"/>
                <w:lang w:val="en-GB" w:eastAsia="en-US"/>
              </w:rPr>
              <w:t>1</w:t>
            </w:r>
            <w:r w:rsidR="003106A6" w:rsidRPr="006E725C">
              <w:rPr>
                <w:spacing w:val="-4"/>
                <w:lang w:val="en-GB" w:eastAsia="en-US"/>
              </w:rPr>
              <w:t xml:space="preserve"> </w:t>
            </w:r>
            <w:proofErr w:type="spellStart"/>
            <w:r w:rsidR="003106A6" w:rsidRPr="006E725C">
              <w:rPr>
                <w:spacing w:val="-4"/>
                <w:lang w:val="en-GB" w:eastAsia="en-US"/>
              </w:rPr>
              <w:t>bn</w:t>
            </w:r>
            <w:proofErr w:type="spellEnd"/>
            <w:r w:rsidR="00EA1EBB" w:rsidRPr="006E725C">
              <w:rPr>
                <w:spacing w:val="-4"/>
                <w:lang w:val="en-GB" w:eastAsia="en-US"/>
              </w:rPr>
              <w:t>, −31</w:t>
            </w:r>
            <w:r w:rsidR="003106A6" w:rsidRPr="006E725C">
              <w:rPr>
                <w:spacing w:val="-4"/>
                <w:lang w:val="en-GB" w:eastAsia="en-US"/>
              </w:rPr>
              <w:t>.</w:t>
            </w:r>
            <w:r w:rsidR="00EA1EBB" w:rsidRPr="006E725C">
              <w:rPr>
                <w:spacing w:val="-4"/>
                <w:lang w:val="en-GB" w:eastAsia="en-US"/>
              </w:rPr>
              <w:t>5%</w:t>
            </w:r>
            <w:r w:rsidR="003106A6" w:rsidRPr="006E725C">
              <w:rPr>
                <w:spacing w:val="-4"/>
                <w:lang w:val="en-GB" w:eastAsia="en-US"/>
              </w:rPr>
              <w:t>)</w:t>
            </w:r>
            <w:r w:rsidR="0009098B" w:rsidRPr="006E725C">
              <w:rPr>
                <w:spacing w:val="-4"/>
                <w:lang w:val="en-GB" w:eastAsia="en-US"/>
              </w:rPr>
              <w:t xml:space="preserve"> also confirms the effect of falling material prices</w:t>
            </w:r>
            <w:r w:rsidR="00EA1EBB" w:rsidRPr="006E725C">
              <w:rPr>
                <w:spacing w:val="-4"/>
                <w:lang w:val="en-GB" w:eastAsia="en-US"/>
              </w:rPr>
              <w:t xml:space="preserve">. </w:t>
            </w:r>
            <w:r w:rsidR="009C38F7" w:rsidRPr="006E725C">
              <w:rPr>
                <w:spacing w:val="-4"/>
                <w:lang w:val="en-GB" w:eastAsia="en-US"/>
              </w:rPr>
              <w:t xml:space="preserve">Decrease of imports of other manufacturing products </w:t>
            </w:r>
            <w:r w:rsidR="00EA1EBB" w:rsidRPr="006E725C">
              <w:rPr>
                <w:spacing w:val="-4"/>
                <w:lang w:val="en-GB" w:eastAsia="en-US"/>
              </w:rPr>
              <w:t>(−12</w:t>
            </w:r>
            <w:r w:rsidR="009C38F7" w:rsidRPr="006E725C">
              <w:rPr>
                <w:spacing w:val="-4"/>
                <w:lang w:val="en-GB" w:eastAsia="en-US"/>
              </w:rPr>
              <w:t>.</w:t>
            </w:r>
            <w:r w:rsidR="00EA1EBB" w:rsidRPr="006E725C">
              <w:rPr>
                <w:spacing w:val="-4"/>
                <w:lang w:val="en-GB" w:eastAsia="en-US"/>
              </w:rPr>
              <w:t>5</w:t>
            </w:r>
            <w:r w:rsidR="009C38F7"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−12</w:t>
            </w:r>
            <w:r w:rsidR="009C38F7" w:rsidRPr="006E725C">
              <w:rPr>
                <w:spacing w:val="-4"/>
                <w:lang w:val="en-GB" w:eastAsia="en-US"/>
              </w:rPr>
              <w:t>.</w:t>
            </w:r>
            <w:r w:rsidR="00EA1EBB" w:rsidRPr="006E725C">
              <w:rPr>
                <w:spacing w:val="-4"/>
                <w:lang w:val="en-GB" w:eastAsia="en-US"/>
              </w:rPr>
              <w:t>2%)</w:t>
            </w:r>
            <w:r w:rsidR="009C38F7" w:rsidRPr="006E725C">
              <w:rPr>
                <w:spacing w:val="-4"/>
                <w:lang w:val="en-GB" w:eastAsia="en-US"/>
              </w:rPr>
              <w:t xml:space="preserve"> was also substantial</w:t>
            </w:r>
            <w:r w:rsidR="00EA1EBB" w:rsidRPr="006E725C">
              <w:rPr>
                <w:spacing w:val="-4"/>
                <w:lang w:val="en-GB" w:eastAsia="en-US"/>
              </w:rPr>
              <w:t xml:space="preserve">. </w:t>
            </w:r>
            <w:r w:rsidR="002D191B" w:rsidRPr="006E725C">
              <w:rPr>
                <w:spacing w:val="-4"/>
                <w:lang w:val="en-GB" w:eastAsia="en-US"/>
              </w:rPr>
              <w:t xml:space="preserve">Motor vehicles </w:t>
            </w:r>
            <w:r w:rsidR="00EA1EBB" w:rsidRPr="006E725C">
              <w:rPr>
                <w:spacing w:val="-4"/>
                <w:lang w:val="en-GB" w:eastAsia="en-US"/>
              </w:rPr>
              <w:t>(+71</w:t>
            </w:r>
            <w:r w:rsidR="002D191B" w:rsidRPr="006E725C">
              <w:rPr>
                <w:spacing w:val="-4"/>
                <w:lang w:val="en-GB" w:eastAsia="en-US"/>
              </w:rPr>
              <w:t>.</w:t>
            </w:r>
            <w:r w:rsidR="00EA1EBB" w:rsidRPr="006E725C">
              <w:rPr>
                <w:spacing w:val="-4"/>
                <w:lang w:val="en-GB" w:eastAsia="en-US"/>
              </w:rPr>
              <w:t>2</w:t>
            </w:r>
            <w:r w:rsidR="002D191B"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12</w:t>
            </w:r>
            <w:r w:rsidR="002D191B" w:rsidRPr="006E725C">
              <w:rPr>
                <w:spacing w:val="-4"/>
                <w:lang w:val="en-GB" w:eastAsia="en-US"/>
              </w:rPr>
              <w:t>.</w:t>
            </w:r>
            <w:r w:rsidR="00EA1EBB" w:rsidRPr="006E725C">
              <w:rPr>
                <w:spacing w:val="-4"/>
                <w:lang w:val="en-GB" w:eastAsia="en-US"/>
              </w:rPr>
              <w:t xml:space="preserve">2%), </w:t>
            </w:r>
            <w:r w:rsidR="002D191B" w:rsidRPr="006E725C">
              <w:rPr>
                <w:spacing w:val="-4"/>
                <w:lang w:val="en-GB" w:eastAsia="en-US"/>
              </w:rPr>
              <w:t xml:space="preserve">electrical appliances </w:t>
            </w:r>
            <w:r w:rsidR="00EA1EBB" w:rsidRPr="006E725C">
              <w:rPr>
                <w:spacing w:val="-4"/>
                <w:lang w:val="en-GB" w:eastAsia="en-US"/>
              </w:rPr>
              <w:t>(+22</w:t>
            </w:r>
            <w:r w:rsidR="002D191B" w:rsidRPr="006E725C">
              <w:rPr>
                <w:spacing w:val="-4"/>
                <w:lang w:val="en-GB" w:eastAsia="en-US"/>
              </w:rPr>
              <w:t>.</w:t>
            </w:r>
            <w:r w:rsidR="00EA1EBB" w:rsidRPr="006E725C">
              <w:rPr>
                <w:spacing w:val="-4"/>
                <w:lang w:val="en-GB" w:eastAsia="en-US"/>
              </w:rPr>
              <w:t>5</w:t>
            </w:r>
            <w:r w:rsidR="002D191B" w:rsidRPr="006E725C">
              <w:rPr>
                <w:spacing w:val="-4"/>
                <w:lang w:val="en-GB" w:eastAsia="en-US"/>
              </w:rPr>
              <w:t xml:space="preserve"> </w:t>
            </w:r>
            <w:proofErr w:type="spellStart"/>
            <w:r w:rsidR="002D191B" w:rsidRPr="006E725C">
              <w:rPr>
                <w:spacing w:val="-4"/>
                <w:lang w:val="en-GB" w:eastAsia="en-US"/>
              </w:rPr>
              <w:t>bn</w:t>
            </w:r>
            <w:proofErr w:type="spellEnd"/>
            <w:r w:rsidR="00EA1EBB" w:rsidRPr="006E725C">
              <w:rPr>
                <w:spacing w:val="-4"/>
                <w:lang w:val="en-GB" w:eastAsia="en-US"/>
              </w:rPr>
              <w:t>, 5</w:t>
            </w:r>
            <w:r w:rsidR="002D191B" w:rsidRPr="006E725C">
              <w:rPr>
                <w:spacing w:val="-4"/>
                <w:lang w:val="en-GB" w:eastAsia="en-US"/>
              </w:rPr>
              <w:t>.</w:t>
            </w:r>
            <w:r w:rsidR="00EA1EBB" w:rsidRPr="006E725C">
              <w:rPr>
                <w:spacing w:val="-4"/>
                <w:lang w:val="en-GB" w:eastAsia="en-US"/>
              </w:rPr>
              <w:t xml:space="preserve">2%), </w:t>
            </w:r>
            <w:r w:rsidR="002D191B" w:rsidRPr="006E725C">
              <w:rPr>
                <w:spacing w:val="-4"/>
                <w:lang w:val="en-GB" w:eastAsia="en-US"/>
              </w:rPr>
              <w:t xml:space="preserve">other transport equipment </w:t>
            </w:r>
            <w:r w:rsidR="00EA1EBB" w:rsidRPr="006E725C">
              <w:rPr>
                <w:spacing w:val="-4"/>
                <w:lang w:val="en-GB" w:eastAsia="en-US"/>
              </w:rPr>
              <w:t>(+12</w:t>
            </w:r>
            <w:r w:rsidR="002D191B" w:rsidRPr="006E725C">
              <w:rPr>
                <w:spacing w:val="-4"/>
                <w:lang w:val="en-GB" w:eastAsia="en-US"/>
              </w:rPr>
              <w:t>.</w:t>
            </w:r>
            <w:r w:rsidR="00EA1EBB" w:rsidRPr="006E725C">
              <w:rPr>
                <w:spacing w:val="-4"/>
                <w:lang w:val="en-GB" w:eastAsia="en-US"/>
              </w:rPr>
              <w:t>4</w:t>
            </w:r>
            <w:r w:rsidR="002D191B" w:rsidRPr="006E725C">
              <w:rPr>
                <w:spacing w:val="-4"/>
                <w:lang w:val="en-GB" w:eastAsia="en-US"/>
              </w:rPr>
              <w:t xml:space="preserve"> </w:t>
            </w:r>
            <w:proofErr w:type="spellStart"/>
            <w:r w:rsidR="002D191B" w:rsidRPr="006E725C">
              <w:rPr>
                <w:spacing w:val="-4"/>
                <w:lang w:val="en-GB" w:eastAsia="en-US"/>
              </w:rPr>
              <w:t>bn</w:t>
            </w:r>
            <w:proofErr w:type="spellEnd"/>
            <w:r w:rsidR="00EA1EBB" w:rsidRPr="006E725C">
              <w:rPr>
                <w:spacing w:val="-4"/>
                <w:lang w:val="en-GB" w:eastAsia="en-US"/>
              </w:rPr>
              <w:t>, 24</w:t>
            </w:r>
            <w:r w:rsidR="002D191B" w:rsidRPr="006E725C">
              <w:rPr>
                <w:spacing w:val="-4"/>
                <w:lang w:val="en-GB" w:eastAsia="en-US"/>
              </w:rPr>
              <w:t>.</w:t>
            </w:r>
            <w:r w:rsidR="00EA1EBB" w:rsidRPr="006E725C">
              <w:rPr>
                <w:spacing w:val="-4"/>
                <w:lang w:val="en-GB" w:eastAsia="en-US"/>
              </w:rPr>
              <w:t xml:space="preserve">6%) </w:t>
            </w:r>
            <w:r w:rsidR="002D191B" w:rsidRPr="006E725C">
              <w:rPr>
                <w:spacing w:val="-4"/>
                <w:lang w:val="en-GB" w:eastAsia="en-US"/>
              </w:rPr>
              <w:t xml:space="preserve">or food products </w:t>
            </w:r>
            <w:r w:rsidR="00EA1EBB" w:rsidRPr="006E725C">
              <w:rPr>
                <w:spacing w:val="-4"/>
                <w:lang w:val="en-GB" w:eastAsia="en-US"/>
              </w:rPr>
              <w:t>(+11</w:t>
            </w:r>
            <w:r w:rsidR="002D191B" w:rsidRPr="006E725C">
              <w:rPr>
                <w:spacing w:val="-4"/>
                <w:lang w:val="en-GB" w:eastAsia="en-US"/>
              </w:rPr>
              <w:t>.</w:t>
            </w:r>
            <w:r w:rsidR="00EA1EBB" w:rsidRPr="006E725C">
              <w:rPr>
                <w:spacing w:val="-4"/>
                <w:lang w:val="en-GB" w:eastAsia="en-US"/>
              </w:rPr>
              <w:t>3</w:t>
            </w:r>
            <w:r w:rsidR="002D191B" w:rsidRPr="006E725C">
              <w:rPr>
                <w:spacing w:val="-4"/>
                <w:lang w:val="en-GB" w:eastAsia="en-US"/>
              </w:rPr>
              <w:t xml:space="preserve"> </w:t>
            </w:r>
            <w:proofErr w:type="spellStart"/>
            <w:r w:rsidR="002D191B" w:rsidRPr="006E725C">
              <w:rPr>
                <w:spacing w:val="-4"/>
                <w:lang w:val="en-GB" w:eastAsia="en-US"/>
              </w:rPr>
              <w:t>bn</w:t>
            </w:r>
            <w:proofErr w:type="spellEnd"/>
            <w:r w:rsidR="00EA1EBB" w:rsidRPr="006E725C">
              <w:rPr>
                <w:spacing w:val="-4"/>
                <w:lang w:val="en-GB" w:eastAsia="en-US"/>
              </w:rPr>
              <w:t>, 5</w:t>
            </w:r>
            <w:r w:rsidR="002D191B" w:rsidRPr="006E725C">
              <w:rPr>
                <w:spacing w:val="-4"/>
                <w:lang w:val="en-GB" w:eastAsia="en-US"/>
              </w:rPr>
              <w:t>.</w:t>
            </w:r>
            <w:r w:rsidR="00402689">
              <w:rPr>
                <w:spacing w:val="-4"/>
                <w:lang w:val="en-GB" w:eastAsia="en-US"/>
              </w:rPr>
              <w:t>4</w:t>
            </w:r>
            <w:r w:rsidR="00EA1EBB" w:rsidRPr="006E725C">
              <w:rPr>
                <w:spacing w:val="-4"/>
                <w:lang w:val="en-GB" w:eastAsia="en-US"/>
              </w:rPr>
              <w:t xml:space="preserve"> %)</w:t>
            </w:r>
            <w:r w:rsidR="002D191B" w:rsidRPr="006E725C">
              <w:rPr>
                <w:spacing w:val="-4"/>
                <w:lang w:val="en-GB" w:eastAsia="en-US"/>
              </w:rPr>
              <w:t xml:space="preserve"> belong among the minority of products, whose import increased last year</w:t>
            </w:r>
            <w:r w:rsidR="00EA1EBB" w:rsidRPr="006E725C">
              <w:rPr>
                <w:spacing w:val="-4"/>
                <w:lang w:val="en-GB" w:eastAsia="en-US"/>
              </w:rPr>
              <w:t xml:space="preserve">. </w:t>
            </w:r>
            <w:r w:rsidR="0094537F" w:rsidRPr="006E725C">
              <w:rPr>
                <w:spacing w:val="-4"/>
                <w:lang w:val="en-GB" w:eastAsia="en-US"/>
              </w:rPr>
              <w:t xml:space="preserve">Decrease of </w:t>
            </w:r>
            <w:r w:rsidR="00455AE3" w:rsidRPr="006E725C">
              <w:rPr>
                <w:spacing w:val="-4"/>
                <w:lang w:val="en-GB" w:eastAsia="en-US"/>
              </w:rPr>
              <w:t>petroleum</w:t>
            </w:r>
            <w:r w:rsidR="0094537F" w:rsidRPr="006E725C">
              <w:rPr>
                <w:spacing w:val="-4"/>
                <w:lang w:val="en-GB" w:eastAsia="en-US"/>
              </w:rPr>
              <w:t xml:space="preserve"> and natural gas </w:t>
            </w:r>
            <w:r w:rsidR="00EA1EBB" w:rsidRPr="006E725C">
              <w:rPr>
                <w:spacing w:val="-4"/>
                <w:lang w:val="en-GB" w:eastAsia="en-US"/>
              </w:rPr>
              <w:t>(−32</w:t>
            </w:r>
            <w:r w:rsidR="0094537F" w:rsidRPr="006E725C">
              <w:rPr>
                <w:spacing w:val="-4"/>
                <w:lang w:val="en-GB" w:eastAsia="en-US"/>
              </w:rPr>
              <w:t>.</w:t>
            </w:r>
            <w:r w:rsidR="00EA1EBB" w:rsidRPr="006E725C">
              <w:rPr>
                <w:spacing w:val="-4"/>
                <w:lang w:val="en-GB" w:eastAsia="en-US"/>
              </w:rPr>
              <w:t>4</w:t>
            </w:r>
            <w:r w:rsidR="0094537F"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−38</w:t>
            </w:r>
            <w:r w:rsidR="0094537F" w:rsidRPr="006E725C">
              <w:rPr>
                <w:spacing w:val="-4"/>
                <w:lang w:val="en-GB" w:eastAsia="en-US"/>
              </w:rPr>
              <w:t>.</w:t>
            </w:r>
            <w:r w:rsidR="00EA1EBB" w:rsidRPr="006E725C">
              <w:rPr>
                <w:spacing w:val="-4"/>
                <w:lang w:val="en-GB" w:eastAsia="en-US"/>
              </w:rPr>
              <w:t>7%) a</w:t>
            </w:r>
            <w:r w:rsidR="0094537F" w:rsidRPr="006E725C">
              <w:rPr>
                <w:spacing w:val="-4"/>
                <w:lang w:val="en-GB" w:eastAsia="en-US"/>
              </w:rPr>
              <w:t xml:space="preserve">nd electrical equipment </w:t>
            </w:r>
            <w:r w:rsidR="00EA1EBB" w:rsidRPr="006E725C">
              <w:rPr>
                <w:spacing w:val="-4"/>
                <w:lang w:val="en-GB" w:eastAsia="en-US"/>
              </w:rPr>
              <w:t>(−23</w:t>
            </w:r>
            <w:r w:rsidR="0094537F" w:rsidRPr="006E725C">
              <w:rPr>
                <w:spacing w:val="-4"/>
                <w:lang w:val="en-GB" w:eastAsia="en-US"/>
              </w:rPr>
              <w:t>.</w:t>
            </w:r>
            <w:r w:rsidR="00EA1EBB" w:rsidRPr="006E725C">
              <w:rPr>
                <w:spacing w:val="-4"/>
                <w:lang w:val="en-GB" w:eastAsia="en-US"/>
              </w:rPr>
              <w:t>9</w:t>
            </w:r>
            <w:r w:rsidR="0094537F" w:rsidRPr="006E725C">
              <w:rPr>
                <w:spacing w:val="-4"/>
                <w:lang w:val="en-GB" w:eastAsia="en-US"/>
              </w:rPr>
              <w:t xml:space="preserve"> </w:t>
            </w:r>
            <w:proofErr w:type="spellStart"/>
            <w:r w:rsidR="0094537F" w:rsidRPr="006E725C">
              <w:rPr>
                <w:spacing w:val="-4"/>
                <w:lang w:val="en-GB" w:eastAsia="en-US"/>
              </w:rPr>
              <w:t>bn</w:t>
            </w:r>
            <w:proofErr w:type="spellEnd"/>
            <w:r w:rsidR="00EA1EBB" w:rsidRPr="006E725C">
              <w:rPr>
                <w:spacing w:val="-4"/>
                <w:lang w:val="en-GB" w:eastAsia="en-US"/>
              </w:rPr>
              <w:t>, −17</w:t>
            </w:r>
            <w:r w:rsidR="0094537F" w:rsidRPr="006E725C">
              <w:rPr>
                <w:spacing w:val="-4"/>
                <w:lang w:val="en-GB" w:eastAsia="en-US"/>
              </w:rPr>
              <w:t>.</w:t>
            </w:r>
            <w:r w:rsidR="00EA1EBB" w:rsidRPr="006E725C">
              <w:rPr>
                <w:spacing w:val="-4"/>
                <w:lang w:val="en-GB" w:eastAsia="en-US"/>
              </w:rPr>
              <w:t>9%)</w:t>
            </w:r>
            <w:r w:rsidR="0094537F" w:rsidRPr="006E725C">
              <w:rPr>
                <w:spacing w:val="-4"/>
                <w:lang w:val="en-GB" w:eastAsia="en-US"/>
              </w:rPr>
              <w:t xml:space="preserve"> contributed the most to the year-on-year slump of value of import in Q4 itself</w:t>
            </w:r>
            <w:r w:rsidR="00EA1EBB" w:rsidRPr="006E725C">
              <w:rPr>
                <w:spacing w:val="-4"/>
                <w:lang w:val="en-GB" w:eastAsia="en-US"/>
              </w:rPr>
              <w:t xml:space="preserve">. </w:t>
            </w:r>
            <w:r w:rsidR="00C313BF" w:rsidRPr="006E725C">
              <w:rPr>
                <w:spacing w:val="-4"/>
                <w:lang w:val="en-GB" w:eastAsia="en-US"/>
              </w:rPr>
              <w:t xml:space="preserve">More notable decrease was also recorded for imports of machinery and equipment </w:t>
            </w:r>
            <w:r w:rsidR="00EA1EBB" w:rsidRPr="006E725C">
              <w:rPr>
                <w:spacing w:val="-4"/>
                <w:lang w:val="en-GB" w:eastAsia="en-US"/>
              </w:rPr>
              <w:t>(−10</w:t>
            </w:r>
            <w:r w:rsidR="00C313BF" w:rsidRPr="006E725C">
              <w:rPr>
                <w:spacing w:val="-4"/>
                <w:lang w:val="en-GB" w:eastAsia="en-US"/>
              </w:rPr>
              <w:t>.</w:t>
            </w:r>
            <w:r w:rsidR="00EA1EBB" w:rsidRPr="006E725C">
              <w:rPr>
                <w:spacing w:val="-4"/>
                <w:lang w:val="en-GB" w:eastAsia="en-US"/>
              </w:rPr>
              <w:t>4</w:t>
            </w:r>
            <w:r w:rsidR="00C313BF"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−9</w:t>
            </w:r>
            <w:r w:rsidR="00C313BF" w:rsidRPr="006E725C">
              <w:rPr>
                <w:spacing w:val="-4"/>
                <w:lang w:val="en-GB" w:eastAsia="en-US"/>
              </w:rPr>
              <w:t>.</w:t>
            </w:r>
            <w:r w:rsidR="00EA1EBB" w:rsidRPr="006E725C">
              <w:rPr>
                <w:spacing w:val="-4"/>
                <w:lang w:val="en-GB" w:eastAsia="en-US"/>
              </w:rPr>
              <w:t>7%),</w:t>
            </w:r>
            <w:r w:rsidR="00C313BF" w:rsidRPr="006E725C">
              <w:rPr>
                <w:spacing w:val="-4"/>
                <w:lang w:val="en-GB" w:eastAsia="en-US"/>
              </w:rPr>
              <w:t xml:space="preserve"> basic metals </w:t>
            </w:r>
            <w:r w:rsidR="00EA1EBB" w:rsidRPr="006E725C">
              <w:rPr>
                <w:spacing w:val="-4"/>
                <w:lang w:val="en-GB" w:eastAsia="en-US"/>
              </w:rPr>
              <w:t>(−10</w:t>
            </w:r>
            <w:r w:rsidR="00C313BF" w:rsidRPr="006E725C">
              <w:rPr>
                <w:spacing w:val="-4"/>
                <w:lang w:val="en-GB" w:eastAsia="en-US"/>
              </w:rPr>
              <w:t>.</w:t>
            </w:r>
            <w:r w:rsidR="00EA1EBB" w:rsidRPr="006E725C">
              <w:rPr>
                <w:spacing w:val="-4"/>
                <w:lang w:val="en-GB" w:eastAsia="en-US"/>
              </w:rPr>
              <w:t>1</w:t>
            </w:r>
            <w:r w:rsidR="00C313BF" w:rsidRPr="006E725C">
              <w:rPr>
                <w:spacing w:val="-4"/>
                <w:lang w:val="en-GB" w:eastAsia="en-US"/>
              </w:rPr>
              <w:t xml:space="preserve"> </w:t>
            </w:r>
            <w:proofErr w:type="spellStart"/>
            <w:r w:rsidR="00C313BF" w:rsidRPr="006E725C">
              <w:rPr>
                <w:spacing w:val="-4"/>
                <w:lang w:val="en-GB" w:eastAsia="en-US"/>
              </w:rPr>
              <w:t>bn</w:t>
            </w:r>
            <w:proofErr w:type="spellEnd"/>
            <w:r w:rsidR="00EA1EBB" w:rsidRPr="006E725C">
              <w:rPr>
                <w:spacing w:val="-4"/>
                <w:lang w:val="en-GB" w:eastAsia="en-US"/>
              </w:rPr>
              <w:t>, −12</w:t>
            </w:r>
            <w:r w:rsidR="00C313BF" w:rsidRPr="006E725C">
              <w:rPr>
                <w:spacing w:val="-4"/>
                <w:lang w:val="en-GB" w:eastAsia="en-US"/>
              </w:rPr>
              <w:t>.</w:t>
            </w:r>
            <w:r w:rsidR="00EA1EBB" w:rsidRPr="006E725C">
              <w:rPr>
                <w:spacing w:val="-4"/>
                <w:lang w:val="en-GB" w:eastAsia="en-US"/>
              </w:rPr>
              <w:t xml:space="preserve">4%), </w:t>
            </w:r>
            <w:r w:rsidR="00C313BF" w:rsidRPr="006E725C">
              <w:rPr>
                <w:spacing w:val="-4"/>
                <w:lang w:val="en-GB" w:eastAsia="en-US"/>
              </w:rPr>
              <w:t xml:space="preserve">computers, electronic and optical appliances </w:t>
            </w:r>
            <w:r w:rsidR="00EA1EBB" w:rsidRPr="006E725C">
              <w:rPr>
                <w:spacing w:val="-4"/>
                <w:lang w:val="en-GB" w:eastAsia="en-US"/>
              </w:rPr>
              <w:t>(−9</w:t>
            </w:r>
            <w:r w:rsidR="00C313BF" w:rsidRPr="006E725C">
              <w:rPr>
                <w:spacing w:val="-4"/>
                <w:lang w:val="en-GB" w:eastAsia="en-US"/>
              </w:rPr>
              <w:t>.</w:t>
            </w:r>
            <w:r w:rsidR="00EA1EBB" w:rsidRPr="006E725C">
              <w:rPr>
                <w:spacing w:val="-4"/>
                <w:lang w:val="en-GB" w:eastAsia="en-US"/>
              </w:rPr>
              <w:t>2</w:t>
            </w:r>
            <w:r w:rsidR="00C313BF" w:rsidRPr="006E725C">
              <w:rPr>
                <w:spacing w:val="-4"/>
                <w:lang w:val="en-GB" w:eastAsia="en-US"/>
              </w:rPr>
              <w:t xml:space="preserve"> </w:t>
            </w:r>
            <w:proofErr w:type="spellStart"/>
            <w:r w:rsidR="00C313BF" w:rsidRPr="006E725C">
              <w:rPr>
                <w:spacing w:val="-4"/>
                <w:lang w:val="en-GB" w:eastAsia="en-US"/>
              </w:rPr>
              <w:t>bn</w:t>
            </w:r>
            <w:proofErr w:type="spellEnd"/>
            <w:r w:rsidR="00C313BF" w:rsidRPr="006E725C">
              <w:rPr>
                <w:spacing w:val="-4"/>
                <w:lang w:val="en-GB" w:eastAsia="en-US"/>
              </w:rPr>
              <w:t>,</w:t>
            </w:r>
            <w:r w:rsidR="00EA1EBB" w:rsidRPr="006E725C">
              <w:rPr>
                <w:spacing w:val="-4"/>
                <w:lang w:val="en-GB" w:eastAsia="en-US"/>
              </w:rPr>
              <w:t xml:space="preserve"> −6</w:t>
            </w:r>
            <w:r w:rsidR="00C313BF" w:rsidRPr="006E725C">
              <w:rPr>
                <w:spacing w:val="-4"/>
                <w:lang w:val="en-GB" w:eastAsia="en-US"/>
              </w:rPr>
              <w:t>.</w:t>
            </w:r>
            <w:r w:rsidR="00EA1EBB" w:rsidRPr="006E725C">
              <w:rPr>
                <w:spacing w:val="-4"/>
                <w:lang w:val="en-GB" w:eastAsia="en-US"/>
              </w:rPr>
              <w:t>8%), chemic</w:t>
            </w:r>
            <w:r w:rsidR="00C313BF" w:rsidRPr="006E725C">
              <w:rPr>
                <w:spacing w:val="-4"/>
                <w:lang w:val="en-GB" w:eastAsia="en-US"/>
              </w:rPr>
              <w:t xml:space="preserve">al substances and products </w:t>
            </w:r>
            <w:r w:rsidR="00EA1EBB" w:rsidRPr="006E725C">
              <w:rPr>
                <w:spacing w:val="-4"/>
                <w:lang w:val="en-GB" w:eastAsia="en-US"/>
              </w:rPr>
              <w:t>(−8</w:t>
            </w:r>
            <w:r w:rsidR="00C313BF" w:rsidRPr="006E725C">
              <w:rPr>
                <w:spacing w:val="-4"/>
                <w:lang w:val="en-GB" w:eastAsia="en-US"/>
              </w:rPr>
              <w:t>.</w:t>
            </w:r>
            <w:r w:rsidR="00EA1EBB" w:rsidRPr="006E725C">
              <w:rPr>
                <w:spacing w:val="-4"/>
                <w:lang w:val="en-GB" w:eastAsia="en-US"/>
              </w:rPr>
              <w:t>1</w:t>
            </w:r>
            <w:r w:rsidR="00C313BF" w:rsidRPr="006E725C">
              <w:rPr>
                <w:spacing w:val="-4"/>
                <w:lang w:val="en-GB" w:eastAsia="en-US"/>
              </w:rPr>
              <w:t xml:space="preserve"> </w:t>
            </w:r>
            <w:proofErr w:type="spellStart"/>
            <w:r w:rsidR="00C313BF" w:rsidRPr="006E725C">
              <w:rPr>
                <w:spacing w:val="-4"/>
                <w:lang w:val="en-GB" w:eastAsia="en-US"/>
              </w:rPr>
              <w:t>bn</w:t>
            </w:r>
            <w:proofErr w:type="spellEnd"/>
            <w:r w:rsidR="00EA1EBB" w:rsidRPr="006E725C">
              <w:rPr>
                <w:spacing w:val="-4"/>
                <w:lang w:val="en-GB" w:eastAsia="en-US"/>
              </w:rPr>
              <w:t>, −8</w:t>
            </w:r>
            <w:r w:rsidR="00C313BF" w:rsidRPr="006E725C">
              <w:rPr>
                <w:spacing w:val="-4"/>
                <w:lang w:val="en-GB" w:eastAsia="en-US"/>
              </w:rPr>
              <w:t>.</w:t>
            </w:r>
            <w:r w:rsidR="00EA1EBB" w:rsidRPr="006E725C">
              <w:rPr>
                <w:spacing w:val="-4"/>
                <w:lang w:val="en-GB" w:eastAsia="en-US"/>
              </w:rPr>
              <w:t xml:space="preserve">5%), </w:t>
            </w:r>
            <w:r w:rsidR="00C313BF" w:rsidRPr="006E725C">
              <w:rPr>
                <w:spacing w:val="-4"/>
                <w:lang w:val="en-GB" w:eastAsia="en-US"/>
              </w:rPr>
              <w:t xml:space="preserve">coke and refined </w:t>
            </w:r>
            <w:r w:rsidR="00455AE3" w:rsidRPr="006E725C">
              <w:rPr>
                <w:spacing w:val="-4"/>
                <w:lang w:val="en-GB" w:eastAsia="en-US"/>
              </w:rPr>
              <w:t xml:space="preserve">petroleum </w:t>
            </w:r>
            <w:r w:rsidR="00C313BF" w:rsidRPr="006E725C">
              <w:rPr>
                <w:spacing w:val="-4"/>
                <w:lang w:val="en-GB" w:eastAsia="en-US"/>
              </w:rPr>
              <w:t xml:space="preserve">products </w:t>
            </w:r>
            <w:r w:rsidR="00EA1EBB" w:rsidRPr="006E725C">
              <w:rPr>
                <w:spacing w:val="-4"/>
                <w:lang w:val="en-GB" w:eastAsia="en-US"/>
              </w:rPr>
              <w:t>(−4</w:t>
            </w:r>
            <w:r w:rsidR="00C313BF" w:rsidRPr="006E725C">
              <w:rPr>
                <w:spacing w:val="-4"/>
                <w:lang w:val="en-GB" w:eastAsia="en-US"/>
              </w:rPr>
              <w:t>.</w:t>
            </w:r>
            <w:r w:rsidR="00EA1EBB" w:rsidRPr="006E725C">
              <w:rPr>
                <w:spacing w:val="-4"/>
                <w:lang w:val="en-GB" w:eastAsia="en-US"/>
              </w:rPr>
              <w:t>1</w:t>
            </w:r>
            <w:r w:rsidR="00C313BF" w:rsidRPr="006E725C">
              <w:rPr>
                <w:spacing w:val="-4"/>
                <w:lang w:val="en-GB" w:eastAsia="en-US"/>
              </w:rPr>
              <w:t xml:space="preserve"> </w:t>
            </w:r>
            <w:proofErr w:type="spellStart"/>
            <w:r w:rsidR="00C313BF" w:rsidRPr="006E725C">
              <w:rPr>
                <w:spacing w:val="-4"/>
                <w:lang w:val="en-GB" w:eastAsia="en-US"/>
              </w:rPr>
              <w:t>bn</w:t>
            </w:r>
            <w:proofErr w:type="spellEnd"/>
            <w:r w:rsidR="00EA1EBB" w:rsidRPr="006E725C">
              <w:rPr>
                <w:spacing w:val="-4"/>
                <w:lang w:val="en-GB" w:eastAsia="en-US"/>
              </w:rPr>
              <w:t>, −15</w:t>
            </w:r>
            <w:r w:rsidR="00C313BF" w:rsidRPr="006E725C">
              <w:rPr>
                <w:spacing w:val="-4"/>
                <w:lang w:val="en-GB" w:eastAsia="en-US"/>
              </w:rPr>
              <w:t>.</w:t>
            </w:r>
            <w:r w:rsidR="00EA1EBB" w:rsidRPr="006E725C">
              <w:rPr>
                <w:spacing w:val="-4"/>
                <w:lang w:val="en-GB" w:eastAsia="en-US"/>
              </w:rPr>
              <w:t xml:space="preserve">3%), </w:t>
            </w:r>
            <w:r w:rsidR="00C90F18">
              <w:rPr>
                <w:spacing w:val="-4"/>
                <w:lang w:val="en-GB" w:eastAsia="en-US"/>
              </w:rPr>
              <w:t>clothing</w:t>
            </w:r>
            <w:r w:rsidR="00C313BF" w:rsidRPr="006E725C">
              <w:rPr>
                <w:spacing w:val="-4"/>
                <w:lang w:val="en-GB" w:eastAsia="en-US"/>
              </w:rPr>
              <w:t xml:space="preserve"> </w:t>
            </w:r>
            <w:r w:rsidR="00EA1EBB" w:rsidRPr="006E725C">
              <w:rPr>
                <w:spacing w:val="-4"/>
                <w:lang w:val="en-GB" w:eastAsia="en-US"/>
              </w:rPr>
              <w:t>(−3</w:t>
            </w:r>
            <w:r w:rsidR="00C313BF" w:rsidRPr="006E725C">
              <w:rPr>
                <w:spacing w:val="-4"/>
                <w:lang w:val="en-GB" w:eastAsia="en-US"/>
              </w:rPr>
              <w:t>.</w:t>
            </w:r>
            <w:r w:rsidR="00EA1EBB" w:rsidRPr="006E725C">
              <w:rPr>
                <w:spacing w:val="-4"/>
                <w:lang w:val="en-GB" w:eastAsia="en-US"/>
              </w:rPr>
              <w:t>8</w:t>
            </w:r>
            <w:r w:rsidR="00C313BF" w:rsidRPr="006E725C">
              <w:rPr>
                <w:spacing w:val="-4"/>
                <w:lang w:val="en-GB" w:eastAsia="en-US"/>
              </w:rPr>
              <w:t xml:space="preserve"> </w:t>
            </w:r>
            <w:proofErr w:type="spellStart"/>
            <w:r w:rsidR="00C313BF" w:rsidRPr="006E725C">
              <w:rPr>
                <w:spacing w:val="-4"/>
                <w:lang w:val="en-GB" w:eastAsia="en-US"/>
              </w:rPr>
              <w:t>bn</w:t>
            </w:r>
            <w:proofErr w:type="spellEnd"/>
            <w:r w:rsidR="00EA1EBB" w:rsidRPr="006E725C">
              <w:rPr>
                <w:spacing w:val="-4"/>
                <w:lang w:val="en-GB" w:eastAsia="en-US"/>
              </w:rPr>
              <w:t>, −19</w:t>
            </w:r>
            <w:r w:rsidR="00C313BF" w:rsidRPr="006E725C">
              <w:rPr>
                <w:spacing w:val="-4"/>
                <w:lang w:val="en-GB" w:eastAsia="en-US"/>
              </w:rPr>
              <w:t>.</w:t>
            </w:r>
            <w:r w:rsidR="00EA1EBB" w:rsidRPr="006E725C">
              <w:rPr>
                <w:spacing w:val="-4"/>
                <w:lang w:val="en-GB" w:eastAsia="en-US"/>
              </w:rPr>
              <w:t xml:space="preserve">6%), </w:t>
            </w:r>
            <w:r w:rsidR="00C313BF" w:rsidRPr="006E725C">
              <w:rPr>
                <w:spacing w:val="-4"/>
                <w:lang w:val="en-GB" w:eastAsia="en-US"/>
              </w:rPr>
              <w:t xml:space="preserve">black and brown coal and lignite </w:t>
            </w:r>
            <w:r w:rsidR="00EA1EBB" w:rsidRPr="006E725C">
              <w:rPr>
                <w:spacing w:val="-4"/>
                <w:lang w:val="en-GB" w:eastAsia="en-US"/>
              </w:rPr>
              <w:t>(−3</w:t>
            </w:r>
            <w:r w:rsidR="00C313BF" w:rsidRPr="006E725C">
              <w:rPr>
                <w:spacing w:val="-4"/>
                <w:lang w:val="en-GB" w:eastAsia="en-US"/>
              </w:rPr>
              <w:t>.</w:t>
            </w:r>
            <w:r w:rsidR="00EA1EBB" w:rsidRPr="006E725C">
              <w:rPr>
                <w:spacing w:val="-4"/>
                <w:lang w:val="en-GB" w:eastAsia="en-US"/>
              </w:rPr>
              <w:t>4</w:t>
            </w:r>
            <w:r w:rsidR="00C313BF" w:rsidRPr="006E725C">
              <w:rPr>
                <w:spacing w:val="-4"/>
                <w:lang w:val="en-GB" w:eastAsia="en-US"/>
              </w:rPr>
              <w:t xml:space="preserve"> </w:t>
            </w:r>
            <w:proofErr w:type="spellStart"/>
            <w:r w:rsidR="00C313BF" w:rsidRPr="006E725C">
              <w:rPr>
                <w:spacing w:val="-4"/>
                <w:lang w:val="en-GB" w:eastAsia="en-US"/>
              </w:rPr>
              <w:t>bn</w:t>
            </w:r>
            <w:proofErr w:type="spellEnd"/>
            <w:r w:rsidR="00EA1EBB" w:rsidRPr="006E725C">
              <w:rPr>
                <w:spacing w:val="-4"/>
                <w:lang w:val="en-GB" w:eastAsia="en-US"/>
              </w:rPr>
              <w:t>, −48</w:t>
            </w:r>
            <w:r w:rsidR="00C313BF" w:rsidRPr="006E725C">
              <w:rPr>
                <w:spacing w:val="-4"/>
                <w:lang w:val="en-GB" w:eastAsia="en-US"/>
              </w:rPr>
              <w:t>.</w:t>
            </w:r>
            <w:r w:rsidR="00EA1EBB" w:rsidRPr="006E725C">
              <w:rPr>
                <w:spacing w:val="-4"/>
                <w:lang w:val="en-GB" w:eastAsia="en-US"/>
              </w:rPr>
              <w:t>1%)</w:t>
            </w:r>
            <w:r w:rsidR="00C313BF" w:rsidRPr="006E725C">
              <w:rPr>
                <w:spacing w:val="-4"/>
                <w:lang w:val="en-GB" w:eastAsia="en-US"/>
              </w:rPr>
              <w:t xml:space="preserve"> or other manufacturing products </w:t>
            </w:r>
            <w:r w:rsidR="00EA1EBB" w:rsidRPr="006E725C">
              <w:rPr>
                <w:spacing w:val="-4"/>
                <w:lang w:val="en-GB" w:eastAsia="en-US"/>
              </w:rPr>
              <w:t>(−3</w:t>
            </w:r>
            <w:r w:rsidR="00C313BF" w:rsidRPr="006E725C">
              <w:rPr>
                <w:spacing w:val="-4"/>
                <w:lang w:val="en-GB" w:eastAsia="en-US"/>
              </w:rPr>
              <w:t>.</w:t>
            </w:r>
            <w:r w:rsidR="00EA1EBB" w:rsidRPr="006E725C">
              <w:rPr>
                <w:spacing w:val="-4"/>
                <w:lang w:val="en-GB" w:eastAsia="en-US"/>
              </w:rPr>
              <w:t>4</w:t>
            </w:r>
            <w:r w:rsidR="00C313BF" w:rsidRPr="006E725C">
              <w:rPr>
                <w:spacing w:val="-4"/>
                <w:lang w:val="en-GB" w:eastAsia="en-US"/>
              </w:rPr>
              <w:t xml:space="preserve"> </w:t>
            </w:r>
            <w:proofErr w:type="spellStart"/>
            <w:r w:rsidR="00C313BF" w:rsidRPr="006E725C">
              <w:rPr>
                <w:spacing w:val="-4"/>
                <w:lang w:val="en-GB" w:eastAsia="en-US"/>
              </w:rPr>
              <w:t>bn</w:t>
            </w:r>
            <w:proofErr w:type="spellEnd"/>
            <w:r w:rsidR="00EA1EBB" w:rsidRPr="006E725C">
              <w:rPr>
                <w:spacing w:val="-4"/>
                <w:lang w:val="en-GB" w:eastAsia="en-US"/>
              </w:rPr>
              <w:t>, −12</w:t>
            </w:r>
            <w:r w:rsidR="00C313BF" w:rsidRPr="006E725C">
              <w:rPr>
                <w:spacing w:val="-4"/>
                <w:lang w:val="en-GB" w:eastAsia="en-US"/>
              </w:rPr>
              <w:t>.</w:t>
            </w:r>
            <w:r w:rsidR="00EA1EBB" w:rsidRPr="006E725C">
              <w:rPr>
                <w:spacing w:val="-4"/>
                <w:lang w:val="en-GB" w:eastAsia="en-US"/>
              </w:rPr>
              <w:t xml:space="preserve">0%). </w:t>
            </w:r>
            <w:r w:rsidR="005B4277" w:rsidRPr="006E725C">
              <w:rPr>
                <w:spacing w:val="-4"/>
                <w:lang w:val="en-GB" w:eastAsia="en-US"/>
              </w:rPr>
              <w:t>Only the import of motor vehicles increased considerably year-on-year in Q</w:t>
            </w:r>
            <w:r w:rsidR="00EA1EBB" w:rsidRPr="006E725C">
              <w:rPr>
                <w:spacing w:val="-4"/>
                <w:lang w:val="en-GB" w:eastAsia="en-US"/>
              </w:rPr>
              <w:t>4</w:t>
            </w:r>
            <w:r w:rsidR="005B4277" w:rsidRPr="006E725C">
              <w:rPr>
                <w:spacing w:val="-4"/>
                <w:lang w:val="en-GB" w:eastAsia="en-US"/>
              </w:rPr>
              <w:t xml:space="preserve"> </w:t>
            </w:r>
            <w:r w:rsidR="00EA1EBB" w:rsidRPr="006E725C">
              <w:rPr>
                <w:spacing w:val="-4"/>
                <w:lang w:val="en-GB" w:eastAsia="en-US"/>
              </w:rPr>
              <w:t>(+14</w:t>
            </w:r>
            <w:r w:rsidR="005B4277" w:rsidRPr="006E725C">
              <w:rPr>
                <w:spacing w:val="-4"/>
                <w:lang w:val="en-GB" w:eastAsia="en-US"/>
              </w:rPr>
              <w:t>.</w:t>
            </w:r>
            <w:r w:rsidR="00EA1EBB" w:rsidRPr="006E725C">
              <w:rPr>
                <w:spacing w:val="-4"/>
                <w:lang w:val="en-GB" w:eastAsia="en-US"/>
              </w:rPr>
              <w:t>8</w:t>
            </w:r>
            <w:r w:rsidR="005B4277"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9</w:t>
            </w:r>
            <w:r w:rsidR="005B4277" w:rsidRPr="006E725C">
              <w:rPr>
                <w:spacing w:val="-4"/>
                <w:lang w:val="en-GB" w:eastAsia="en-US"/>
              </w:rPr>
              <w:t>.</w:t>
            </w:r>
            <w:r w:rsidR="00EA1EBB" w:rsidRPr="006E725C">
              <w:rPr>
                <w:spacing w:val="-4"/>
                <w:lang w:val="en-GB" w:eastAsia="en-US"/>
              </w:rPr>
              <w:t>4%)</w:t>
            </w:r>
            <w:r w:rsidR="005B4277" w:rsidRPr="006E725C">
              <w:rPr>
                <w:spacing w:val="-4"/>
                <w:lang w:val="en-GB" w:eastAsia="en-US"/>
              </w:rPr>
              <w:t xml:space="preserve"> in Q4</w:t>
            </w:r>
            <w:r w:rsidR="00EA1EBB" w:rsidRPr="006E725C">
              <w:rPr>
                <w:spacing w:val="-4"/>
                <w:lang w:val="en-GB" w:eastAsia="en-US"/>
              </w:rPr>
              <w:t xml:space="preserve">. </w:t>
            </w:r>
          </w:p>
        </w:tc>
      </w:tr>
      <w:tr w:rsidR="00EA1EBB" w:rsidRPr="006E725C" w14:paraId="791906DB" w14:textId="77777777" w:rsidTr="00EA1EBB">
        <w:trPr>
          <w:trHeight w:val="145"/>
        </w:trPr>
        <w:tc>
          <w:tcPr>
            <w:tcW w:w="1748" w:type="dxa"/>
            <w:hideMark/>
          </w:tcPr>
          <w:p w14:paraId="6BD5925D" w14:textId="75A5995B" w:rsidR="00EA1EBB" w:rsidRPr="006E725C" w:rsidRDefault="000F3B71">
            <w:pPr>
              <w:pStyle w:val="Marginlie"/>
              <w:rPr>
                <w:lang w:val="en-GB" w:eastAsia="en-US"/>
              </w:rPr>
            </w:pPr>
            <w:r w:rsidRPr="006E725C">
              <w:rPr>
                <w:lang w:val="en-GB" w:eastAsia="en-US"/>
              </w:rPr>
              <w:t xml:space="preserve">Trade with countries outside the EU contributed the most to the improvement of international trade balance. </w:t>
            </w:r>
          </w:p>
        </w:tc>
        <w:tc>
          <w:tcPr>
            <w:tcW w:w="221" w:type="dxa"/>
          </w:tcPr>
          <w:p w14:paraId="7B5CE05C" w14:textId="77777777" w:rsidR="00EA1EBB" w:rsidRPr="006E725C" w:rsidRDefault="00EA1EBB">
            <w:pPr>
              <w:pStyle w:val="Textpoznpodarou"/>
              <w:jc w:val="both"/>
              <w:rPr>
                <w:spacing w:val="-4"/>
                <w:lang w:val="en-GB" w:eastAsia="en-US"/>
              </w:rPr>
            </w:pPr>
          </w:p>
        </w:tc>
        <w:tc>
          <w:tcPr>
            <w:tcW w:w="7670" w:type="dxa"/>
            <w:hideMark/>
          </w:tcPr>
          <w:p w14:paraId="35181CE3" w14:textId="13764BE3" w:rsidR="00EA1EBB" w:rsidRPr="006E725C" w:rsidRDefault="000F3B71" w:rsidP="00417256">
            <w:pPr>
              <w:spacing w:after="180"/>
              <w:rPr>
                <w:spacing w:val="-4"/>
                <w:lang w:val="en-GB" w:eastAsia="en-US"/>
              </w:rPr>
            </w:pPr>
            <w:r w:rsidRPr="006E725C">
              <w:rPr>
                <w:spacing w:val="-4"/>
                <w:lang w:val="en-GB" w:eastAsia="en-US"/>
              </w:rPr>
              <w:t xml:space="preserve">International balance of goods ended in surplus of </w:t>
            </w:r>
            <w:r w:rsidR="00EA1EBB" w:rsidRPr="006E725C">
              <w:rPr>
                <w:spacing w:val="-4"/>
                <w:lang w:val="en-GB" w:eastAsia="en-US"/>
              </w:rPr>
              <w:t>124</w:t>
            </w:r>
            <w:r w:rsidRPr="006E725C">
              <w:rPr>
                <w:spacing w:val="-4"/>
                <w:lang w:val="en-GB" w:eastAsia="en-US"/>
              </w:rPr>
              <w:t>.</w:t>
            </w:r>
            <w:r w:rsidR="00EA1EBB" w:rsidRPr="006E725C">
              <w:rPr>
                <w:spacing w:val="-4"/>
                <w:lang w:val="en-GB" w:eastAsia="en-US"/>
              </w:rPr>
              <w:t>9</w:t>
            </w:r>
            <w:r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rStyle w:val="Znakapoznpodarou"/>
                <w:spacing w:val="-4"/>
                <w:lang w:val="en-GB" w:eastAsia="en-US"/>
              </w:rPr>
              <w:footnoteReference w:id="59"/>
            </w:r>
            <w:r w:rsidRPr="006E725C">
              <w:rPr>
                <w:spacing w:val="-4"/>
                <w:lang w:val="en-GB" w:eastAsia="en-US"/>
              </w:rPr>
              <w:t xml:space="preserve"> last year</w:t>
            </w:r>
            <w:r w:rsidR="00EA1EBB" w:rsidRPr="006E725C">
              <w:rPr>
                <w:spacing w:val="-4"/>
                <w:lang w:val="en-GB" w:eastAsia="en-US"/>
              </w:rPr>
              <w:t xml:space="preserve">. </w:t>
            </w:r>
            <w:r w:rsidRPr="006E725C">
              <w:rPr>
                <w:spacing w:val="-4"/>
                <w:lang w:val="en-GB" w:eastAsia="en-US"/>
              </w:rPr>
              <w:t xml:space="preserve">That is year-on-year by </w:t>
            </w:r>
            <w:r w:rsidR="00EA1EBB" w:rsidRPr="006E725C">
              <w:rPr>
                <w:spacing w:val="-4"/>
                <w:lang w:val="en-GB" w:eastAsia="en-US"/>
              </w:rPr>
              <w:t>329</w:t>
            </w:r>
            <w:r w:rsidRPr="006E725C">
              <w:rPr>
                <w:spacing w:val="-4"/>
                <w:lang w:val="en-GB" w:eastAsia="en-US"/>
              </w:rPr>
              <w:t>.</w:t>
            </w:r>
            <w:r w:rsidR="00EA1EBB" w:rsidRPr="006E725C">
              <w:rPr>
                <w:spacing w:val="-4"/>
                <w:lang w:val="en-GB" w:eastAsia="en-US"/>
              </w:rPr>
              <w:t>7</w:t>
            </w:r>
            <w:r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Pr="006E725C">
              <w:rPr>
                <w:spacing w:val="-4"/>
                <w:lang w:val="en-GB" w:eastAsia="en-US"/>
              </w:rPr>
              <w:t xml:space="preserve"> better result, </w:t>
            </w:r>
            <w:r w:rsidR="0094537F" w:rsidRPr="006E725C">
              <w:rPr>
                <w:spacing w:val="-4"/>
                <w:lang w:val="en-GB" w:eastAsia="en-US"/>
              </w:rPr>
              <w:t xml:space="preserve">which was impacted mainly by the plunge of prices of fuels and basic materials. </w:t>
            </w:r>
            <w:r w:rsidR="00933E43" w:rsidRPr="006E725C">
              <w:rPr>
                <w:spacing w:val="-4"/>
                <w:lang w:val="en-GB" w:eastAsia="en-US"/>
              </w:rPr>
              <w:t xml:space="preserve">Balance reached surplus in the first half of the year </w:t>
            </w:r>
            <w:r w:rsidR="00EA1EBB" w:rsidRPr="006E725C">
              <w:rPr>
                <w:spacing w:val="-4"/>
                <w:lang w:val="en-GB" w:eastAsia="en-US"/>
              </w:rPr>
              <w:t>(39</w:t>
            </w:r>
            <w:r w:rsidR="00933E43" w:rsidRPr="006E725C">
              <w:rPr>
                <w:spacing w:val="-4"/>
                <w:lang w:val="en-GB" w:eastAsia="en-US"/>
              </w:rPr>
              <w:t>.</w:t>
            </w:r>
            <w:r w:rsidR="00EA1EBB" w:rsidRPr="006E725C">
              <w:rPr>
                <w:spacing w:val="-4"/>
                <w:lang w:val="en-GB" w:eastAsia="en-US"/>
              </w:rPr>
              <w:t>8</w:t>
            </w:r>
            <w:r w:rsidR="00933E43"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933E43" w:rsidRPr="006E725C">
              <w:rPr>
                <w:spacing w:val="-4"/>
                <w:lang w:val="en-GB" w:eastAsia="en-US"/>
              </w:rPr>
              <w:t xml:space="preserve"> and </w:t>
            </w:r>
            <w:r w:rsidR="00EA1EBB" w:rsidRPr="006E725C">
              <w:rPr>
                <w:spacing w:val="-4"/>
                <w:lang w:val="en-GB" w:eastAsia="en-US"/>
              </w:rPr>
              <w:t>36</w:t>
            </w:r>
            <w:r w:rsidR="00933E43" w:rsidRPr="006E725C">
              <w:rPr>
                <w:spacing w:val="-4"/>
                <w:lang w:val="en-GB" w:eastAsia="en-US"/>
              </w:rPr>
              <w:t>.</w:t>
            </w:r>
            <w:r w:rsidR="00EA1EBB" w:rsidRPr="006E725C">
              <w:rPr>
                <w:spacing w:val="-4"/>
                <w:lang w:val="en-GB" w:eastAsia="en-US"/>
              </w:rPr>
              <w:t>4</w:t>
            </w:r>
            <w:r w:rsidR="00933E43" w:rsidRPr="006E725C">
              <w:rPr>
                <w:spacing w:val="-4"/>
                <w:lang w:val="en-GB" w:eastAsia="en-US"/>
              </w:rPr>
              <w:t xml:space="preserve"> </w:t>
            </w:r>
            <w:proofErr w:type="spellStart"/>
            <w:r w:rsidR="00933E43" w:rsidRPr="006E725C">
              <w:rPr>
                <w:spacing w:val="-4"/>
                <w:lang w:val="en-GB" w:eastAsia="en-US"/>
              </w:rPr>
              <w:t>bn</w:t>
            </w:r>
            <w:proofErr w:type="spellEnd"/>
            <w:r w:rsidR="00933E43" w:rsidRPr="006E725C">
              <w:rPr>
                <w:spacing w:val="-4"/>
                <w:lang w:val="en-GB" w:eastAsia="en-US"/>
              </w:rPr>
              <w:t xml:space="preserve"> in Q</w:t>
            </w:r>
            <w:r w:rsidR="00EA1EBB" w:rsidRPr="006E725C">
              <w:rPr>
                <w:spacing w:val="-4"/>
                <w:lang w:val="en-GB" w:eastAsia="en-US"/>
              </w:rPr>
              <w:t>1</w:t>
            </w:r>
            <w:r w:rsidR="00933E43" w:rsidRPr="006E725C">
              <w:rPr>
                <w:spacing w:val="-4"/>
                <w:lang w:val="en-GB" w:eastAsia="en-US"/>
              </w:rPr>
              <w:t xml:space="preserve"> and Q</w:t>
            </w:r>
            <w:r w:rsidR="00EA1EBB" w:rsidRPr="006E725C">
              <w:rPr>
                <w:spacing w:val="-4"/>
                <w:lang w:val="en-GB" w:eastAsia="en-US"/>
              </w:rPr>
              <w:t>2) a</w:t>
            </w:r>
            <w:r w:rsidR="00933E43" w:rsidRPr="006E725C">
              <w:rPr>
                <w:spacing w:val="-4"/>
                <w:lang w:val="en-GB" w:eastAsia="en-US"/>
              </w:rPr>
              <w:t xml:space="preserve">nd ended in small deficit in the third quarter of the year </w:t>
            </w:r>
            <w:r w:rsidR="00EA1EBB" w:rsidRPr="006E725C">
              <w:rPr>
                <w:spacing w:val="-4"/>
                <w:lang w:val="en-GB" w:eastAsia="en-US"/>
              </w:rPr>
              <w:t>(−0</w:t>
            </w:r>
            <w:r w:rsidR="00933E43" w:rsidRPr="006E725C">
              <w:rPr>
                <w:spacing w:val="-4"/>
                <w:lang w:val="en-GB" w:eastAsia="en-US"/>
              </w:rPr>
              <w:t>.</w:t>
            </w:r>
            <w:r w:rsidR="00EA1EBB" w:rsidRPr="006E725C">
              <w:rPr>
                <w:spacing w:val="-4"/>
                <w:lang w:val="en-GB" w:eastAsia="en-US"/>
              </w:rPr>
              <w:t>2</w:t>
            </w:r>
            <w:r w:rsidR="00933E43" w:rsidRPr="006E725C">
              <w:rPr>
                <w:spacing w:val="-4"/>
                <w:lang w:val="en-GB" w:eastAsia="en-US"/>
              </w:rPr>
              <w:t xml:space="preserve"> </w:t>
            </w:r>
            <w:proofErr w:type="spellStart"/>
            <w:r w:rsidR="00933E43" w:rsidRPr="006E725C">
              <w:rPr>
                <w:spacing w:val="-4"/>
                <w:lang w:val="en-GB" w:eastAsia="en-US"/>
              </w:rPr>
              <w:t>bn</w:t>
            </w:r>
            <w:proofErr w:type="spellEnd"/>
            <w:r w:rsidR="00EA1EBB" w:rsidRPr="006E725C">
              <w:rPr>
                <w:spacing w:val="-4"/>
                <w:lang w:val="en-GB" w:eastAsia="en-US"/>
              </w:rPr>
              <w:t xml:space="preserve">). </w:t>
            </w:r>
            <w:r w:rsidR="005F3B48" w:rsidRPr="006E725C">
              <w:rPr>
                <w:spacing w:val="-4"/>
                <w:lang w:val="en-GB" w:eastAsia="en-US"/>
              </w:rPr>
              <w:t xml:space="preserve">International balance of trade of goods attained surplus of </w:t>
            </w:r>
            <w:r w:rsidR="00EA1EBB" w:rsidRPr="006E725C">
              <w:rPr>
                <w:spacing w:val="-4"/>
                <w:lang w:val="en-GB" w:eastAsia="en-US"/>
              </w:rPr>
              <w:t>48</w:t>
            </w:r>
            <w:r w:rsidR="005F3B48" w:rsidRPr="006E725C">
              <w:rPr>
                <w:spacing w:val="-4"/>
                <w:lang w:val="en-GB" w:eastAsia="en-US"/>
              </w:rPr>
              <w:t>.</w:t>
            </w:r>
            <w:r w:rsidR="00EA1EBB" w:rsidRPr="006E725C">
              <w:rPr>
                <w:spacing w:val="-4"/>
                <w:lang w:val="en-GB" w:eastAsia="en-US"/>
              </w:rPr>
              <w:t>9</w:t>
            </w:r>
            <w:r w:rsidR="005F3B48"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5F3B48" w:rsidRPr="006E725C">
              <w:rPr>
                <w:spacing w:val="-4"/>
                <w:lang w:val="en-GB" w:eastAsia="en-US"/>
              </w:rPr>
              <w:t xml:space="preserve"> in Q4 2023 </w:t>
            </w:r>
            <w:r w:rsidR="00EA1EBB" w:rsidRPr="006E725C">
              <w:rPr>
                <w:spacing w:val="-4"/>
                <w:lang w:val="en-GB" w:eastAsia="en-US"/>
              </w:rPr>
              <w:t>a</w:t>
            </w:r>
            <w:r w:rsidR="005F3B48" w:rsidRPr="006E725C">
              <w:rPr>
                <w:spacing w:val="-4"/>
                <w:lang w:val="en-GB" w:eastAsia="en-US"/>
              </w:rPr>
              <w:t xml:space="preserve">nd thus improved by </w:t>
            </w:r>
            <w:r w:rsidR="00EA1EBB" w:rsidRPr="006E725C">
              <w:rPr>
                <w:spacing w:val="-4"/>
                <w:lang w:val="en-GB" w:eastAsia="en-US"/>
              </w:rPr>
              <w:t>103</w:t>
            </w:r>
            <w:r w:rsidR="005F3B48" w:rsidRPr="006E725C">
              <w:rPr>
                <w:spacing w:val="-4"/>
                <w:lang w:val="en-GB" w:eastAsia="en-US"/>
              </w:rPr>
              <w:t>.</w:t>
            </w:r>
            <w:r w:rsidR="00EA1EBB" w:rsidRPr="006E725C">
              <w:rPr>
                <w:spacing w:val="-4"/>
                <w:lang w:val="en-GB" w:eastAsia="en-US"/>
              </w:rPr>
              <w:t>5</w:t>
            </w:r>
            <w:r w:rsidR="005F3B48" w:rsidRPr="006E725C">
              <w:rPr>
                <w:spacing w:val="-4"/>
                <w:lang w:val="en-GB" w:eastAsia="en-US"/>
              </w:rPr>
              <w:t xml:space="preserve"> </w:t>
            </w:r>
            <w:proofErr w:type="spellStart"/>
            <w:r w:rsidR="005F3B48" w:rsidRPr="006E725C">
              <w:rPr>
                <w:spacing w:val="-4"/>
                <w:lang w:val="en-GB" w:eastAsia="en-US"/>
              </w:rPr>
              <w:t>bn</w:t>
            </w:r>
            <w:proofErr w:type="spellEnd"/>
            <w:r w:rsidR="005F3B48" w:rsidRPr="006E725C">
              <w:rPr>
                <w:spacing w:val="-4"/>
                <w:lang w:val="en-GB" w:eastAsia="en-US"/>
              </w:rPr>
              <w:t xml:space="preserve"> year-on-year</w:t>
            </w:r>
            <w:r w:rsidR="00EA1EBB" w:rsidRPr="006E725C">
              <w:rPr>
                <w:spacing w:val="-4"/>
                <w:lang w:val="en-GB" w:eastAsia="en-US"/>
              </w:rPr>
              <w:t>. Se</w:t>
            </w:r>
            <w:r w:rsidR="0094537F" w:rsidRPr="006E725C">
              <w:rPr>
                <w:spacing w:val="-4"/>
                <w:lang w:val="en-GB" w:eastAsia="en-US"/>
              </w:rPr>
              <w:t xml:space="preserve">asonally adjusted data </w:t>
            </w:r>
            <w:r w:rsidR="00417DAE" w:rsidRPr="006E725C">
              <w:rPr>
                <w:spacing w:val="-4"/>
                <w:lang w:val="en-GB" w:eastAsia="en-US"/>
              </w:rPr>
              <w:t>confirm</w:t>
            </w:r>
            <w:r w:rsidR="0094537F" w:rsidRPr="006E725C">
              <w:rPr>
                <w:spacing w:val="-4"/>
                <w:lang w:val="en-GB" w:eastAsia="en-US"/>
              </w:rPr>
              <w:t xml:space="preserve"> that </w:t>
            </w:r>
            <w:r w:rsidR="00F35EE5" w:rsidRPr="006E725C">
              <w:rPr>
                <w:spacing w:val="-4"/>
                <w:lang w:val="en-GB" w:eastAsia="en-US"/>
              </w:rPr>
              <w:t>the balance markedly improved after mild quarter-on-quarter deterioration in Q3</w:t>
            </w:r>
            <w:r w:rsidR="00EA1EBB" w:rsidRPr="006E725C">
              <w:rPr>
                <w:spacing w:val="-4"/>
                <w:lang w:val="en-GB" w:eastAsia="en-US"/>
              </w:rPr>
              <w:t xml:space="preserve">. </w:t>
            </w:r>
            <w:r w:rsidR="00417DAE" w:rsidRPr="006E725C">
              <w:rPr>
                <w:spacing w:val="-4"/>
                <w:lang w:val="en-GB" w:eastAsia="en-US"/>
              </w:rPr>
              <w:t xml:space="preserve">Balance of international trade balance of goods improved last year both with the EU </w:t>
            </w:r>
            <w:r w:rsidR="00EA1EBB" w:rsidRPr="006E725C">
              <w:rPr>
                <w:spacing w:val="-4"/>
                <w:lang w:val="en-GB" w:eastAsia="en-US"/>
              </w:rPr>
              <w:t>(+72</w:t>
            </w:r>
            <w:r w:rsidR="00417DAE" w:rsidRPr="006E725C">
              <w:rPr>
                <w:spacing w:val="-4"/>
                <w:lang w:val="en-GB" w:eastAsia="en-US"/>
              </w:rPr>
              <w:t>.</w:t>
            </w:r>
            <w:r w:rsidR="00EA1EBB" w:rsidRPr="006E725C">
              <w:rPr>
                <w:spacing w:val="-4"/>
                <w:lang w:val="en-GB" w:eastAsia="en-US"/>
              </w:rPr>
              <w:t>1</w:t>
            </w:r>
            <w:r w:rsidR="00417DAE"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w:t>
            </w:r>
            <w:r w:rsidR="00417DAE" w:rsidRPr="006E725C">
              <w:rPr>
                <w:spacing w:val="-4"/>
                <w:lang w:val="en-GB" w:eastAsia="en-US"/>
              </w:rPr>
              <w:t xml:space="preserve"> and countries outside the Union </w:t>
            </w:r>
            <w:r w:rsidR="00EA1EBB" w:rsidRPr="006E725C">
              <w:rPr>
                <w:spacing w:val="-4"/>
                <w:lang w:val="en-GB" w:eastAsia="en-US"/>
              </w:rPr>
              <w:t>(+260</w:t>
            </w:r>
            <w:r w:rsidR="00417DAE" w:rsidRPr="006E725C">
              <w:rPr>
                <w:spacing w:val="-4"/>
                <w:lang w:val="en-GB" w:eastAsia="en-US"/>
              </w:rPr>
              <w:t>.</w:t>
            </w:r>
            <w:r w:rsidR="00EA1EBB" w:rsidRPr="006E725C">
              <w:rPr>
                <w:spacing w:val="-4"/>
                <w:lang w:val="en-GB" w:eastAsia="en-US"/>
              </w:rPr>
              <w:t>2</w:t>
            </w:r>
            <w:r w:rsidR="00417DAE" w:rsidRPr="006E725C">
              <w:rPr>
                <w:spacing w:val="-4"/>
                <w:lang w:val="en-GB" w:eastAsia="en-US"/>
              </w:rPr>
              <w:t xml:space="preserve"> </w:t>
            </w:r>
            <w:proofErr w:type="spellStart"/>
            <w:r w:rsidR="00417DAE" w:rsidRPr="006E725C">
              <w:rPr>
                <w:spacing w:val="-4"/>
                <w:lang w:val="en-GB" w:eastAsia="en-US"/>
              </w:rPr>
              <w:t>bn</w:t>
            </w:r>
            <w:proofErr w:type="spellEnd"/>
            <w:r w:rsidR="00EA1EBB" w:rsidRPr="006E725C">
              <w:rPr>
                <w:spacing w:val="-4"/>
                <w:lang w:val="en-GB" w:eastAsia="en-US"/>
              </w:rPr>
              <w:t xml:space="preserve">). </w:t>
            </w:r>
            <w:r w:rsidR="00417256" w:rsidRPr="006E725C">
              <w:rPr>
                <w:spacing w:val="-4"/>
                <w:lang w:val="en-GB" w:eastAsia="en-US"/>
              </w:rPr>
              <w:t xml:space="preserve">The trade with </w:t>
            </w:r>
            <w:r w:rsidR="00EA1EBB" w:rsidRPr="006E725C">
              <w:rPr>
                <w:spacing w:val="-4"/>
                <w:lang w:val="en-GB" w:eastAsia="en-US"/>
              </w:rPr>
              <w:t>(+172</w:t>
            </w:r>
            <w:r w:rsidR="00417256" w:rsidRPr="006E725C">
              <w:rPr>
                <w:spacing w:val="-4"/>
                <w:lang w:val="en-GB" w:eastAsia="en-US"/>
              </w:rPr>
              <w:t>.</w:t>
            </w:r>
            <w:r w:rsidR="00EA1EBB" w:rsidRPr="006E725C">
              <w:rPr>
                <w:spacing w:val="-4"/>
                <w:lang w:val="en-GB" w:eastAsia="en-US"/>
              </w:rPr>
              <w:t>7</w:t>
            </w:r>
            <w:r w:rsidR="00417256"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xml:space="preserve">), </w:t>
            </w:r>
            <w:r w:rsidR="00417256" w:rsidRPr="006E725C">
              <w:rPr>
                <w:spacing w:val="-4"/>
                <w:lang w:val="en-GB" w:eastAsia="en-US"/>
              </w:rPr>
              <w:t xml:space="preserve">China </w:t>
            </w:r>
            <w:r w:rsidR="00EA1EBB" w:rsidRPr="006E725C">
              <w:rPr>
                <w:spacing w:val="-4"/>
                <w:lang w:val="en-GB" w:eastAsia="en-US"/>
              </w:rPr>
              <w:t>(+47</w:t>
            </w:r>
            <w:r w:rsidR="00417256" w:rsidRPr="006E725C">
              <w:rPr>
                <w:spacing w:val="-4"/>
                <w:lang w:val="en-GB" w:eastAsia="en-US"/>
              </w:rPr>
              <w:t>.</w:t>
            </w:r>
            <w:r w:rsidR="00EA1EBB" w:rsidRPr="006E725C">
              <w:rPr>
                <w:spacing w:val="-4"/>
                <w:lang w:val="en-GB" w:eastAsia="en-US"/>
              </w:rPr>
              <w:t>1</w:t>
            </w:r>
            <w:r w:rsidR="00417256" w:rsidRPr="006E725C">
              <w:rPr>
                <w:spacing w:val="-4"/>
                <w:lang w:val="en-GB" w:eastAsia="en-US"/>
              </w:rPr>
              <w:t xml:space="preserve"> </w:t>
            </w:r>
            <w:proofErr w:type="spellStart"/>
            <w:r w:rsidR="00417256" w:rsidRPr="006E725C">
              <w:rPr>
                <w:spacing w:val="-4"/>
                <w:lang w:val="en-GB" w:eastAsia="en-US"/>
              </w:rPr>
              <w:t>bn</w:t>
            </w:r>
            <w:proofErr w:type="spellEnd"/>
            <w:r w:rsidR="00EA1EBB" w:rsidRPr="006E725C">
              <w:rPr>
                <w:spacing w:val="-4"/>
                <w:lang w:val="en-GB" w:eastAsia="en-US"/>
              </w:rPr>
              <w:t>), Pol</w:t>
            </w:r>
            <w:r w:rsidR="00417256" w:rsidRPr="006E725C">
              <w:rPr>
                <w:spacing w:val="-4"/>
                <w:lang w:val="en-GB" w:eastAsia="en-US"/>
              </w:rPr>
              <w:t xml:space="preserve">and </w:t>
            </w:r>
            <w:r w:rsidR="00EA1EBB" w:rsidRPr="006E725C">
              <w:rPr>
                <w:spacing w:val="-4"/>
                <w:lang w:val="en-GB" w:eastAsia="en-US"/>
              </w:rPr>
              <w:t>(+33</w:t>
            </w:r>
            <w:r w:rsidR="00417256" w:rsidRPr="006E725C">
              <w:rPr>
                <w:spacing w:val="-4"/>
                <w:lang w:val="en-GB" w:eastAsia="en-US"/>
              </w:rPr>
              <w:t>.</w:t>
            </w:r>
            <w:r w:rsidR="00EA1EBB" w:rsidRPr="006E725C">
              <w:rPr>
                <w:spacing w:val="-4"/>
                <w:lang w:val="en-GB" w:eastAsia="en-US"/>
              </w:rPr>
              <w:t>2</w:t>
            </w:r>
            <w:r w:rsidR="00417256" w:rsidRPr="006E725C">
              <w:rPr>
                <w:spacing w:val="-4"/>
                <w:lang w:val="en-GB" w:eastAsia="en-US"/>
              </w:rPr>
              <w:t xml:space="preserve"> </w:t>
            </w:r>
            <w:proofErr w:type="spellStart"/>
            <w:r w:rsidR="00417256" w:rsidRPr="006E725C">
              <w:rPr>
                <w:spacing w:val="-4"/>
                <w:lang w:val="en-GB" w:eastAsia="en-US"/>
              </w:rPr>
              <w:t>bn</w:t>
            </w:r>
            <w:proofErr w:type="spellEnd"/>
            <w:r w:rsidR="00EA1EBB" w:rsidRPr="006E725C">
              <w:rPr>
                <w:spacing w:val="-4"/>
                <w:lang w:val="en-GB" w:eastAsia="en-US"/>
              </w:rPr>
              <w:t xml:space="preserve">), </w:t>
            </w:r>
            <w:r w:rsidR="00417256" w:rsidRPr="006E725C">
              <w:rPr>
                <w:spacing w:val="-4"/>
                <w:lang w:val="en-GB" w:eastAsia="en-US"/>
              </w:rPr>
              <w:t xml:space="preserve">Germany </w:t>
            </w:r>
            <w:r w:rsidR="00EA1EBB" w:rsidRPr="006E725C">
              <w:rPr>
                <w:spacing w:val="-4"/>
                <w:lang w:val="en-GB" w:eastAsia="en-US"/>
              </w:rPr>
              <w:t>(+33</w:t>
            </w:r>
            <w:r w:rsidR="00417256" w:rsidRPr="006E725C">
              <w:rPr>
                <w:spacing w:val="-4"/>
                <w:lang w:val="en-GB" w:eastAsia="en-US"/>
              </w:rPr>
              <w:t>.</w:t>
            </w:r>
            <w:r w:rsidR="00EA1EBB" w:rsidRPr="006E725C">
              <w:rPr>
                <w:spacing w:val="-4"/>
                <w:lang w:val="en-GB" w:eastAsia="en-US"/>
              </w:rPr>
              <w:t>4</w:t>
            </w:r>
            <w:r w:rsidR="00417256" w:rsidRPr="006E725C">
              <w:rPr>
                <w:spacing w:val="-4"/>
                <w:lang w:val="en-GB" w:eastAsia="en-US"/>
              </w:rPr>
              <w:t xml:space="preserve"> </w:t>
            </w:r>
            <w:proofErr w:type="spellStart"/>
            <w:r w:rsidR="00417256" w:rsidRPr="006E725C">
              <w:rPr>
                <w:spacing w:val="-4"/>
                <w:lang w:val="en-GB" w:eastAsia="en-US"/>
              </w:rPr>
              <w:t>bn</w:t>
            </w:r>
            <w:proofErr w:type="spellEnd"/>
            <w:r w:rsidR="00EA1EBB" w:rsidRPr="006E725C">
              <w:rPr>
                <w:spacing w:val="-4"/>
                <w:lang w:val="en-GB" w:eastAsia="en-US"/>
              </w:rPr>
              <w:t>), Tur</w:t>
            </w:r>
            <w:r w:rsidR="00417256" w:rsidRPr="006E725C">
              <w:rPr>
                <w:spacing w:val="-4"/>
                <w:lang w:val="en-GB" w:eastAsia="en-US"/>
              </w:rPr>
              <w:t xml:space="preserve">key </w:t>
            </w:r>
            <w:r w:rsidR="00EA1EBB" w:rsidRPr="006E725C">
              <w:rPr>
                <w:spacing w:val="-4"/>
                <w:lang w:val="en-GB" w:eastAsia="en-US"/>
              </w:rPr>
              <w:t>(+18</w:t>
            </w:r>
            <w:r w:rsidR="00417256" w:rsidRPr="006E725C">
              <w:rPr>
                <w:spacing w:val="-4"/>
                <w:lang w:val="en-GB" w:eastAsia="en-US"/>
              </w:rPr>
              <w:t>.</w:t>
            </w:r>
            <w:r w:rsidR="00EA1EBB" w:rsidRPr="006E725C">
              <w:rPr>
                <w:spacing w:val="-4"/>
                <w:lang w:val="en-GB" w:eastAsia="en-US"/>
              </w:rPr>
              <w:t>5</w:t>
            </w:r>
            <w:r w:rsidR="00417256" w:rsidRPr="006E725C">
              <w:rPr>
                <w:spacing w:val="-4"/>
                <w:lang w:val="en-GB" w:eastAsia="en-US"/>
              </w:rPr>
              <w:t xml:space="preserve"> </w:t>
            </w:r>
            <w:proofErr w:type="spellStart"/>
            <w:r w:rsidR="00417256" w:rsidRPr="006E725C">
              <w:rPr>
                <w:spacing w:val="-4"/>
                <w:lang w:val="en-GB" w:eastAsia="en-US"/>
              </w:rPr>
              <w:t>bn</w:t>
            </w:r>
            <w:proofErr w:type="spellEnd"/>
            <w:r w:rsidR="00EA1EBB" w:rsidRPr="006E725C">
              <w:rPr>
                <w:spacing w:val="-4"/>
                <w:lang w:val="en-GB" w:eastAsia="en-US"/>
              </w:rPr>
              <w:t>), Franc</w:t>
            </w:r>
            <w:r w:rsidR="00417256" w:rsidRPr="006E725C">
              <w:rPr>
                <w:spacing w:val="-4"/>
                <w:lang w:val="en-GB" w:eastAsia="en-US"/>
              </w:rPr>
              <w:t xml:space="preserve">e </w:t>
            </w:r>
            <w:r w:rsidR="00EA1EBB" w:rsidRPr="006E725C">
              <w:rPr>
                <w:spacing w:val="-4"/>
                <w:lang w:val="en-GB" w:eastAsia="en-US"/>
              </w:rPr>
              <w:t>(+17</w:t>
            </w:r>
            <w:r w:rsidR="00417256" w:rsidRPr="006E725C">
              <w:rPr>
                <w:spacing w:val="-4"/>
                <w:lang w:val="en-GB" w:eastAsia="en-US"/>
              </w:rPr>
              <w:t>.</w:t>
            </w:r>
            <w:r w:rsidR="00EA1EBB" w:rsidRPr="006E725C">
              <w:rPr>
                <w:spacing w:val="-4"/>
                <w:lang w:val="en-GB" w:eastAsia="en-US"/>
              </w:rPr>
              <w:t>6</w:t>
            </w:r>
            <w:r w:rsidR="00417256" w:rsidRPr="006E725C">
              <w:rPr>
                <w:spacing w:val="-4"/>
                <w:lang w:val="en-GB" w:eastAsia="en-US"/>
              </w:rPr>
              <w:t xml:space="preserve"> </w:t>
            </w:r>
            <w:proofErr w:type="spellStart"/>
            <w:r w:rsidR="00417256" w:rsidRPr="006E725C">
              <w:rPr>
                <w:spacing w:val="-4"/>
                <w:lang w:val="en-GB" w:eastAsia="en-US"/>
              </w:rPr>
              <w:t>bn</w:t>
            </w:r>
            <w:proofErr w:type="spellEnd"/>
            <w:r w:rsidR="00EA1EBB" w:rsidRPr="006E725C">
              <w:rPr>
                <w:spacing w:val="-4"/>
                <w:lang w:val="en-GB" w:eastAsia="en-US"/>
              </w:rPr>
              <w:t>), Ukra</w:t>
            </w:r>
            <w:r w:rsidR="00417256" w:rsidRPr="006E725C">
              <w:rPr>
                <w:spacing w:val="-4"/>
                <w:lang w:val="en-GB" w:eastAsia="en-US"/>
              </w:rPr>
              <w:t xml:space="preserve">ine </w:t>
            </w:r>
            <w:r w:rsidR="00EA1EBB" w:rsidRPr="006E725C">
              <w:rPr>
                <w:spacing w:val="-4"/>
                <w:lang w:val="en-GB" w:eastAsia="en-US"/>
              </w:rPr>
              <w:t>(+14</w:t>
            </w:r>
            <w:r w:rsidR="00417256" w:rsidRPr="006E725C">
              <w:rPr>
                <w:spacing w:val="-4"/>
                <w:lang w:val="en-GB" w:eastAsia="en-US"/>
              </w:rPr>
              <w:t>.</w:t>
            </w:r>
            <w:r w:rsidR="00EA1EBB" w:rsidRPr="006E725C">
              <w:rPr>
                <w:spacing w:val="-4"/>
                <w:lang w:val="en-GB" w:eastAsia="en-US"/>
              </w:rPr>
              <w:t>1</w:t>
            </w:r>
            <w:r w:rsidR="00417256" w:rsidRPr="006E725C">
              <w:rPr>
                <w:spacing w:val="-4"/>
                <w:lang w:val="en-GB" w:eastAsia="en-US"/>
              </w:rPr>
              <w:t xml:space="preserve"> </w:t>
            </w:r>
            <w:proofErr w:type="spellStart"/>
            <w:r w:rsidR="00417256" w:rsidRPr="006E725C">
              <w:rPr>
                <w:spacing w:val="-4"/>
                <w:lang w:val="en-GB" w:eastAsia="en-US"/>
              </w:rPr>
              <w:t>bn</w:t>
            </w:r>
            <w:proofErr w:type="spellEnd"/>
            <w:r w:rsidR="00EA1EBB" w:rsidRPr="006E725C">
              <w:rPr>
                <w:spacing w:val="-4"/>
                <w:lang w:val="en-GB" w:eastAsia="en-US"/>
              </w:rPr>
              <w:t>),</w:t>
            </w:r>
            <w:r w:rsidR="00417256" w:rsidRPr="006E725C">
              <w:rPr>
                <w:spacing w:val="-4"/>
                <w:lang w:val="en-GB" w:eastAsia="en-US"/>
              </w:rPr>
              <w:t xml:space="preserve"> Great Britain </w:t>
            </w:r>
            <w:r w:rsidR="00EA1EBB" w:rsidRPr="006E725C">
              <w:rPr>
                <w:spacing w:val="-4"/>
                <w:lang w:val="en-GB" w:eastAsia="en-US"/>
              </w:rPr>
              <w:t>(+11</w:t>
            </w:r>
            <w:r w:rsidR="00417256" w:rsidRPr="006E725C">
              <w:rPr>
                <w:spacing w:val="-4"/>
                <w:lang w:val="en-GB" w:eastAsia="en-US"/>
              </w:rPr>
              <w:t>.</w:t>
            </w:r>
            <w:r w:rsidR="00EA1EBB" w:rsidRPr="006E725C">
              <w:rPr>
                <w:spacing w:val="-4"/>
                <w:lang w:val="en-GB" w:eastAsia="en-US"/>
              </w:rPr>
              <w:t>5</w:t>
            </w:r>
            <w:r w:rsidR="00417256" w:rsidRPr="006E725C">
              <w:rPr>
                <w:spacing w:val="-4"/>
                <w:lang w:val="en-GB" w:eastAsia="en-US"/>
              </w:rPr>
              <w:t xml:space="preserve"> </w:t>
            </w:r>
            <w:proofErr w:type="spellStart"/>
            <w:r w:rsidR="00417256" w:rsidRPr="006E725C">
              <w:rPr>
                <w:spacing w:val="-4"/>
                <w:lang w:val="en-GB" w:eastAsia="en-US"/>
              </w:rPr>
              <w:t>bn</w:t>
            </w:r>
            <w:proofErr w:type="spellEnd"/>
            <w:r w:rsidR="00EA1EBB" w:rsidRPr="006E725C">
              <w:rPr>
                <w:spacing w:val="-4"/>
                <w:lang w:val="en-GB" w:eastAsia="en-US"/>
              </w:rPr>
              <w:t>), Belg</w:t>
            </w:r>
            <w:r w:rsidR="00417256" w:rsidRPr="006E725C">
              <w:rPr>
                <w:spacing w:val="-4"/>
                <w:lang w:val="en-GB" w:eastAsia="en-US"/>
              </w:rPr>
              <w:t xml:space="preserve">ium </w:t>
            </w:r>
            <w:r w:rsidR="00EA1EBB" w:rsidRPr="006E725C">
              <w:rPr>
                <w:spacing w:val="-4"/>
                <w:lang w:val="en-GB" w:eastAsia="en-US"/>
              </w:rPr>
              <w:t>(+10</w:t>
            </w:r>
            <w:r w:rsidR="00417256" w:rsidRPr="006E725C">
              <w:rPr>
                <w:spacing w:val="-4"/>
                <w:lang w:val="en-GB" w:eastAsia="en-US"/>
              </w:rPr>
              <w:t>.</w:t>
            </w:r>
            <w:r w:rsidR="00EA1EBB" w:rsidRPr="006E725C">
              <w:rPr>
                <w:spacing w:val="-4"/>
                <w:lang w:val="en-GB" w:eastAsia="en-US"/>
              </w:rPr>
              <w:t>3</w:t>
            </w:r>
            <w:r w:rsidR="00417256" w:rsidRPr="006E725C">
              <w:rPr>
                <w:spacing w:val="-4"/>
                <w:lang w:val="en-GB" w:eastAsia="en-US"/>
              </w:rPr>
              <w:t xml:space="preserve"> </w:t>
            </w:r>
            <w:proofErr w:type="spellStart"/>
            <w:r w:rsidR="00417256" w:rsidRPr="006E725C">
              <w:rPr>
                <w:spacing w:val="-4"/>
                <w:lang w:val="en-GB" w:eastAsia="en-US"/>
              </w:rPr>
              <w:t>bn</w:t>
            </w:r>
            <w:proofErr w:type="spellEnd"/>
            <w:r w:rsidR="00EA1EBB" w:rsidRPr="006E725C">
              <w:rPr>
                <w:spacing w:val="-4"/>
                <w:lang w:val="en-GB" w:eastAsia="en-US"/>
              </w:rPr>
              <w:t>) a</w:t>
            </w:r>
            <w:r w:rsidR="00417256" w:rsidRPr="006E725C">
              <w:rPr>
                <w:spacing w:val="-4"/>
                <w:lang w:val="en-GB" w:eastAsia="en-US"/>
              </w:rPr>
              <w:t xml:space="preserve">nd Italy </w:t>
            </w:r>
            <w:r w:rsidR="00EA1EBB" w:rsidRPr="006E725C">
              <w:rPr>
                <w:spacing w:val="-4"/>
                <w:lang w:val="en-GB" w:eastAsia="en-US"/>
              </w:rPr>
              <w:t>(+10</w:t>
            </w:r>
            <w:r w:rsidR="00417256" w:rsidRPr="006E725C">
              <w:rPr>
                <w:spacing w:val="-4"/>
                <w:lang w:val="en-GB" w:eastAsia="en-US"/>
              </w:rPr>
              <w:t>.</w:t>
            </w:r>
            <w:r w:rsidR="00EA1EBB" w:rsidRPr="006E725C">
              <w:rPr>
                <w:spacing w:val="-4"/>
                <w:lang w:val="en-GB" w:eastAsia="en-US"/>
              </w:rPr>
              <w:t>2</w:t>
            </w:r>
            <w:r w:rsidR="00417256" w:rsidRPr="006E725C">
              <w:rPr>
                <w:spacing w:val="-4"/>
                <w:lang w:val="en-GB" w:eastAsia="en-US"/>
              </w:rPr>
              <w:t xml:space="preserve"> </w:t>
            </w:r>
            <w:proofErr w:type="spellStart"/>
            <w:r w:rsidR="00417256" w:rsidRPr="006E725C">
              <w:rPr>
                <w:spacing w:val="-4"/>
                <w:lang w:val="en-GB" w:eastAsia="en-US"/>
              </w:rPr>
              <w:t>bn</w:t>
            </w:r>
            <w:proofErr w:type="spellEnd"/>
            <w:r w:rsidR="00EA1EBB" w:rsidRPr="006E725C">
              <w:rPr>
                <w:spacing w:val="-4"/>
                <w:lang w:val="en-GB" w:eastAsia="en-US"/>
              </w:rPr>
              <w:t>)</w:t>
            </w:r>
            <w:r w:rsidR="00417256" w:rsidRPr="006E725C">
              <w:rPr>
                <w:spacing w:val="-4"/>
                <w:lang w:val="en-GB" w:eastAsia="en-US"/>
              </w:rPr>
              <w:t xml:space="preserve"> worked the most in the direction of balance improvement last year</w:t>
            </w:r>
            <w:r w:rsidR="00EA1EBB" w:rsidRPr="006E725C">
              <w:rPr>
                <w:spacing w:val="-4"/>
                <w:lang w:val="en-GB" w:eastAsia="en-US"/>
              </w:rPr>
              <w:t xml:space="preserve">. </w:t>
            </w:r>
            <w:r w:rsidR="00532C44" w:rsidRPr="006E725C">
              <w:rPr>
                <w:spacing w:val="-4"/>
                <w:lang w:val="en-GB" w:eastAsia="en-US"/>
              </w:rPr>
              <w:t xml:space="preserve">The balance of trade with Norway </w:t>
            </w:r>
            <w:r w:rsidR="00EA1EBB" w:rsidRPr="006E725C">
              <w:rPr>
                <w:spacing w:val="-4"/>
                <w:lang w:val="en-GB" w:eastAsia="en-US"/>
              </w:rPr>
              <w:t>(−39</w:t>
            </w:r>
            <w:r w:rsidR="00532C44" w:rsidRPr="006E725C">
              <w:rPr>
                <w:spacing w:val="-4"/>
                <w:lang w:val="en-GB" w:eastAsia="en-US"/>
              </w:rPr>
              <w:t>.</w:t>
            </w:r>
            <w:r w:rsidR="00EA1EBB" w:rsidRPr="006E725C">
              <w:rPr>
                <w:spacing w:val="-4"/>
                <w:lang w:val="en-GB" w:eastAsia="en-US"/>
              </w:rPr>
              <w:t>6</w:t>
            </w:r>
            <w:r w:rsidR="00532C44"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a</w:t>
            </w:r>
            <w:r w:rsidR="00532C44" w:rsidRPr="006E725C">
              <w:rPr>
                <w:spacing w:val="-4"/>
                <w:lang w:val="en-GB" w:eastAsia="en-US"/>
              </w:rPr>
              <w:t xml:space="preserve">nd with Slovakia </w:t>
            </w:r>
            <w:r w:rsidR="00EA1EBB" w:rsidRPr="006E725C">
              <w:rPr>
                <w:spacing w:val="-4"/>
                <w:lang w:val="en-GB" w:eastAsia="en-US"/>
              </w:rPr>
              <w:t>(−36</w:t>
            </w:r>
            <w:r w:rsidR="00532C44" w:rsidRPr="006E725C">
              <w:rPr>
                <w:spacing w:val="-4"/>
                <w:lang w:val="en-GB" w:eastAsia="en-US"/>
              </w:rPr>
              <w:t>.</w:t>
            </w:r>
            <w:r w:rsidR="00EA1EBB" w:rsidRPr="006E725C">
              <w:rPr>
                <w:spacing w:val="-4"/>
                <w:lang w:val="en-GB" w:eastAsia="en-US"/>
              </w:rPr>
              <w:t>6</w:t>
            </w:r>
            <w:r w:rsidR="00532C44" w:rsidRPr="006E725C">
              <w:rPr>
                <w:spacing w:val="-4"/>
                <w:lang w:val="en-GB" w:eastAsia="en-US"/>
              </w:rPr>
              <w:t xml:space="preserve"> </w:t>
            </w:r>
            <w:proofErr w:type="spellStart"/>
            <w:r w:rsidR="00532C44" w:rsidRPr="006E725C">
              <w:rPr>
                <w:spacing w:val="-4"/>
                <w:lang w:val="en-GB" w:eastAsia="en-US"/>
              </w:rPr>
              <w:t>bn</w:t>
            </w:r>
            <w:proofErr w:type="spellEnd"/>
            <w:r w:rsidR="00EA1EBB" w:rsidRPr="006E725C">
              <w:rPr>
                <w:spacing w:val="-4"/>
                <w:lang w:val="en-GB" w:eastAsia="en-US"/>
              </w:rPr>
              <w:t>)</w:t>
            </w:r>
            <w:r w:rsidR="00532C44" w:rsidRPr="006E725C">
              <w:rPr>
                <w:spacing w:val="-4"/>
                <w:lang w:val="en-GB" w:eastAsia="en-US"/>
              </w:rPr>
              <w:t xml:space="preserve"> on the contrary sharply worsened</w:t>
            </w:r>
            <w:r w:rsidR="00EA1EBB" w:rsidRPr="006E725C">
              <w:rPr>
                <w:spacing w:val="-4"/>
                <w:lang w:val="en-GB" w:eastAsia="en-US"/>
              </w:rPr>
              <w:t xml:space="preserve">. </w:t>
            </w:r>
          </w:p>
        </w:tc>
      </w:tr>
      <w:tr w:rsidR="00EA1EBB" w:rsidRPr="006E725C" w14:paraId="20C46768" w14:textId="77777777" w:rsidTr="00EA1EBB">
        <w:trPr>
          <w:trHeight w:val="145"/>
        </w:trPr>
        <w:tc>
          <w:tcPr>
            <w:tcW w:w="1748" w:type="dxa"/>
            <w:hideMark/>
          </w:tcPr>
          <w:p w14:paraId="5028E9F5" w14:textId="39C90C73" w:rsidR="00EA1EBB" w:rsidRPr="006E725C" w:rsidRDefault="00E25A96">
            <w:pPr>
              <w:pStyle w:val="Marginlie"/>
              <w:rPr>
                <w:lang w:val="en-GB" w:eastAsia="en-US"/>
              </w:rPr>
            </w:pPr>
            <w:r w:rsidRPr="006E725C">
              <w:rPr>
                <w:lang w:val="en-GB" w:eastAsia="en-US"/>
              </w:rPr>
              <w:t>Surplus of balance of trade with the EU countries improved only slightly in Q</w:t>
            </w:r>
            <w:r w:rsidR="00EA1EBB" w:rsidRPr="006E725C">
              <w:rPr>
                <w:lang w:val="en-GB" w:eastAsia="en-US"/>
              </w:rPr>
              <w:t xml:space="preserve">4. </w:t>
            </w:r>
          </w:p>
        </w:tc>
        <w:tc>
          <w:tcPr>
            <w:tcW w:w="221" w:type="dxa"/>
          </w:tcPr>
          <w:p w14:paraId="4CA43325" w14:textId="77777777" w:rsidR="00EA1EBB" w:rsidRPr="006E725C" w:rsidRDefault="00EA1EBB">
            <w:pPr>
              <w:pStyle w:val="Textpoznpodarou"/>
              <w:jc w:val="both"/>
              <w:rPr>
                <w:spacing w:val="-4"/>
                <w:lang w:val="en-GB" w:eastAsia="en-US"/>
              </w:rPr>
            </w:pPr>
          </w:p>
        </w:tc>
        <w:tc>
          <w:tcPr>
            <w:tcW w:w="7670" w:type="dxa"/>
            <w:hideMark/>
          </w:tcPr>
          <w:p w14:paraId="524AF5CC" w14:textId="0DF4F943" w:rsidR="00EA1EBB" w:rsidRPr="006E725C" w:rsidRDefault="00795B47" w:rsidP="00795B47">
            <w:pPr>
              <w:spacing w:after="180"/>
              <w:rPr>
                <w:spacing w:val="-4"/>
                <w:lang w:val="en-GB" w:eastAsia="en-US"/>
              </w:rPr>
            </w:pPr>
            <w:r w:rsidRPr="006E725C">
              <w:rPr>
                <w:spacing w:val="-4"/>
                <w:lang w:val="en-GB" w:eastAsia="en-US"/>
              </w:rPr>
              <w:t xml:space="preserve">Trade with the countries outside the EU </w:t>
            </w:r>
            <w:r w:rsidR="00EA1EBB" w:rsidRPr="006E725C">
              <w:rPr>
                <w:spacing w:val="-4"/>
                <w:lang w:val="en-GB" w:eastAsia="en-US"/>
              </w:rPr>
              <w:t>(+106</w:t>
            </w:r>
            <w:r w:rsidR="000A79B3" w:rsidRPr="006E725C">
              <w:rPr>
                <w:spacing w:val="-4"/>
                <w:lang w:val="en-GB" w:eastAsia="en-US"/>
              </w:rPr>
              <w:t>.</w:t>
            </w:r>
            <w:r w:rsidR="00EA1EBB" w:rsidRPr="006E725C">
              <w:rPr>
                <w:spacing w:val="-4"/>
                <w:lang w:val="en-GB" w:eastAsia="en-US"/>
              </w:rPr>
              <w:t>6</w:t>
            </w:r>
            <w:r w:rsidR="000A79B3"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w:t>
            </w:r>
            <w:r w:rsidRPr="006E725C">
              <w:rPr>
                <w:spacing w:val="-4"/>
                <w:lang w:val="en-GB" w:eastAsia="en-US"/>
              </w:rPr>
              <w:t xml:space="preserve"> participated </w:t>
            </w:r>
            <w:r w:rsidR="000A79B3" w:rsidRPr="006E725C">
              <w:rPr>
                <w:spacing w:val="-4"/>
                <w:lang w:val="en-GB" w:eastAsia="en-US"/>
              </w:rPr>
              <w:t>to a major extent on the year-on-year improvement of the international trade balance</w:t>
            </w:r>
            <w:r w:rsidRPr="006E725C">
              <w:rPr>
                <w:spacing w:val="-4"/>
                <w:lang w:val="en-GB" w:eastAsia="en-US"/>
              </w:rPr>
              <w:t xml:space="preserve"> in Q4</w:t>
            </w:r>
            <w:r w:rsidR="00EA1EBB" w:rsidRPr="006E725C">
              <w:rPr>
                <w:spacing w:val="-4"/>
                <w:lang w:val="en-GB" w:eastAsia="en-US"/>
              </w:rPr>
              <w:t xml:space="preserve">, </w:t>
            </w:r>
            <w:r w:rsidRPr="006E725C">
              <w:rPr>
                <w:spacing w:val="-4"/>
                <w:lang w:val="en-GB" w:eastAsia="en-US"/>
              </w:rPr>
              <w:t xml:space="preserve">while in case of trade with the European Union the positive balance slightly shrank </w:t>
            </w:r>
            <w:r w:rsidR="00EA1EBB" w:rsidRPr="006E725C">
              <w:rPr>
                <w:spacing w:val="-4"/>
                <w:lang w:val="en-GB" w:eastAsia="en-US"/>
              </w:rPr>
              <w:t>(−3</w:t>
            </w:r>
            <w:r w:rsidRPr="006E725C">
              <w:rPr>
                <w:spacing w:val="-4"/>
                <w:lang w:val="en-GB" w:eastAsia="en-US"/>
              </w:rPr>
              <w:t>.</w:t>
            </w:r>
            <w:r w:rsidR="00EA1EBB" w:rsidRPr="006E725C">
              <w:rPr>
                <w:spacing w:val="-4"/>
                <w:lang w:val="en-GB" w:eastAsia="en-US"/>
              </w:rPr>
              <w:t>3</w:t>
            </w:r>
            <w:r w:rsidRPr="006E725C">
              <w:rPr>
                <w:spacing w:val="-4"/>
                <w:lang w:val="en-GB" w:eastAsia="en-US"/>
              </w:rPr>
              <w:t xml:space="preserve"> </w:t>
            </w:r>
            <w:proofErr w:type="spellStart"/>
            <w:r w:rsidRPr="006E725C">
              <w:rPr>
                <w:spacing w:val="-4"/>
                <w:lang w:val="en-GB" w:eastAsia="en-US"/>
              </w:rPr>
              <w:t>bn</w:t>
            </w:r>
            <w:proofErr w:type="spellEnd"/>
            <w:r w:rsidR="00EA1EBB" w:rsidRPr="006E725C">
              <w:rPr>
                <w:spacing w:val="-4"/>
                <w:lang w:val="en-GB" w:eastAsia="en-US"/>
              </w:rPr>
              <w:t xml:space="preserve">). </w:t>
            </w:r>
            <w:r w:rsidRPr="006E725C">
              <w:rPr>
                <w:spacing w:val="-4"/>
                <w:lang w:val="en-GB" w:eastAsia="en-US"/>
              </w:rPr>
              <w:t xml:space="preserve">Balance of trade with </w:t>
            </w:r>
            <w:r w:rsidRPr="006E725C">
              <w:rPr>
                <w:spacing w:val="-4"/>
                <w:lang w:val="en-GB" w:eastAsia="en-US"/>
              </w:rPr>
              <w:lastRenderedPageBreak/>
              <w:t xml:space="preserve">China </w:t>
            </w:r>
            <w:r w:rsidR="00EA1EBB" w:rsidRPr="006E725C">
              <w:rPr>
                <w:spacing w:val="-4"/>
                <w:lang w:val="en-GB" w:eastAsia="en-US"/>
              </w:rPr>
              <w:t>(+49</w:t>
            </w:r>
            <w:r w:rsidR="000A79B3" w:rsidRPr="006E725C">
              <w:rPr>
                <w:spacing w:val="-4"/>
                <w:lang w:val="en-GB" w:eastAsia="en-US"/>
              </w:rPr>
              <w:t>.</w:t>
            </w:r>
            <w:r w:rsidR="00EA1EBB" w:rsidRPr="006E725C">
              <w:rPr>
                <w:spacing w:val="-4"/>
                <w:lang w:val="en-GB" w:eastAsia="en-US"/>
              </w:rPr>
              <w:t>9</w:t>
            </w:r>
            <w:r w:rsidR="000A79B3"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Nor</w:t>
            </w:r>
            <w:r w:rsidR="000A79B3" w:rsidRPr="006E725C">
              <w:rPr>
                <w:spacing w:val="-4"/>
                <w:lang w:val="en-GB" w:eastAsia="en-US"/>
              </w:rPr>
              <w:t xml:space="preserve">way </w:t>
            </w:r>
            <w:r w:rsidR="00EA1EBB" w:rsidRPr="006E725C">
              <w:rPr>
                <w:spacing w:val="-4"/>
                <w:lang w:val="en-GB" w:eastAsia="en-US"/>
              </w:rPr>
              <w:t>(+20</w:t>
            </w:r>
            <w:r w:rsidR="000A79B3" w:rsidRPr="006E725C">
              <w:rPr>
                <w:spacing w:val="-4"/>
                <w:lang w:val="en-GB" w:eastAsia="en-US"/>
              </w:rPr>
              <w:t>.</w:t>
            </w:r>
            <w:r w:rsidR="00EA1EBB" w:rsidRPr="006E725C">
              <w:rPr>
                <w:spacing w:val="-4"/>
                <w:lang w:val="en-GB" w:eastAsia="en-US"/>
              </w:rPr>
              <w:t>7</w:t>
            </w:r>
            <w:r w:rsidR="000A79B3" w:rsidRPr="006E725C">
              <w:rPr>
                <w:spacing w:val="-4"/>
                <w:lang w:val="en-GB" w:eastAsia="en-US"/>
              </w:rPr>
              <w:t xml:space="preserve"> </w:t>
            </w:r>
            <w:proofErr w:type="spellStart"/>
            <w:r w:rsidR="000A79B3" w:rsidRPr="006E725C">
              <w:rPr>
                <w:spacing w:val="-4"/>
                <w:lang w:val="en-GB" w:eastAsia="en-US"/>
              </w:rPr>
              <w:t>bn</w:t>
            </w:r>
            <w:proofErr w:type="spellEnd"/>
            <w:r w:rsidR="00EA1EBB" w:rsidRPr="006E725C">
              <w:rPr>
                <w:spacing w:val="-4"/>
                <w:lang w:val="en-GB" w:eastAsia="en-US"/>
              </w:rPr>
              <w:t>) a</w:t>
            </w:r>
            <w:r w:rsidR="000A79B3" w:rsidRPr="006E725C">
              <w:rPr>
                <w:spacing w:val="-4"/>
                <w:lang w:val="en-GB" w:eastAsia="en-US"/>
              </w:rPr>
              <w:t xml:space="preserve">nd Poland </w:t>
            </w:r>
            <w:r w:rsidR="00EA1EBB" w:rsidRPr="006E725C">
              <w:rPr>
                <w:spacing w:val="-4"/>
                <w:lang w:val="en-GB" w:eastAsia="en-US"/>
              </w:rPr>
              <w:t>(+9</w:t>
            </w:r>
            <w:r w:rsidR="000A79B3" w:rsidRPr="006E725C">
              <w:rPr>
                <w:spacing w:val="-4"/>
                <w:lang w:val="en-GB" w:eastAsia="en-US"/>
              </w:rPr>
              <w:t>.</w:t>
            </w:r>
            <w:r w:rsidR="00EA1EBB" w:rsidRPr="006E725C">
              <w:rPr>
                <w:spacing w:val="-4"/>
                <w:lang w:val="en-GB" w:eastAsia="en-US"/>
              </w:rPr>
              <w:t>7</w:t>
            </w:r>
            <w:r w:rsidR="000A79B3" w:rsidRPr="006E725C">
              <w:rPr>
                <w:spacing w:val="-4"/>
                <w:lang w:val="en-GB" w:eastAsia="en-US"/>
              </w:rPr>
              <w:t xml:space="preserve"> </w:t>
            </w:r>
            <w:proofErr w:type="spellStart"/>
            <w:r w:rsidR="000A79B3" w:rsidRPr="006E725C">
              <w:rPr>
                <w:spacing w:val="-4"/>
                <w:lang w:val="en-GB" w:eastAsia="en-US"/>
              </w:rPr>
              <w:t>bn</w:t>
            </w:r>
            <w:proofErr w:type="spellEnd"/>
            <w:r w:rsidR="00EA1EBB" w:rsidRPr="006E725C">
              <w:rPr>
                <w:spacing w:val="-4"/>
                <w:lang w:val="en-GB" w:eastAsia="en-US"/>
              </w:rPr>
              <w:t>)</w:t>
            </w:r>
            <w:r w:rsidRPr="006E725C">
              <w:rPr>
                <w:spacing w:val="-4"/>
                <w:lang w:val="en-GB" w:eastAsia="en-US"/>
              </w:rPr>
              <w:t xml:space="preserve"> improved year-on-year the most</w:t>
            </w:r>
            <w:r w:rsidR="00EA1EBB" w:rsidRPr="006E725C">
              <w:rPr>
                <w:spacing w:val="-4"/>
                <w:lang w:val="en-GB" w:eastAsia="en-US"/>
              </w:rPr>
              <w:t xml:space="preserve">. </w:t>
            </w:r>
            <w:r w:rsidRPr="006E725C">
              <w:rPr>
                <w:spacing w:val="-4"/>
                <w:lang w:val="en-GB" w:eastAsia="en-US"/>
              </w:rPr>
              <w:t xml:space="preserve">International trade result was </w:t>
            </w:r>
            <w:r w:rsidR="000A79B3" w:rsidRPr="006E725C">
              <w:rPr>
                <w:spacing w:val="-4"/>
                <w:lang w:val="en-GB" w:eastAsia="en-US"/>
              </w:rPr>
              <w:t>also</w:t>
            </w:r>
            <w:r w:rsidRPr="006E725C">
              <w:rPr>
                <w:spacing w:val="-4"/>
                <w:lang w:val="en-GB" w:eastAsia="en-US"/>
              </w:rPr>
              <w:t xml:space="preserve"> better in case of Great Britain </w:t>
            </w:r>
            <w:r w:rsidR="00EA1EBB" w:rsidRPr="006E725C">
              <w:rPr>
                <w:spacing w:val="-4"/>
                <w:lang w:val="en-GB" w:eastAsia="en-US"/>
              </w:rPr>
              <w:t>(+6</w:t>
            </w:r>
            <w:r w:rsidRPr="006E725C">
              <w:rPr>
                <w:spacing w:val="-4"/>
                <w:lang w:val="en-GB" w:eastAsia="en-US"/>
              </w:rPr>
              <w:t>.</w:t>
            </w:r>
            <w:r w:rsidR="00EA1EBB" w:rsidRPr="006E725C">
              <w:rPr>
                <w:spacing w:val="-4"/>
                <w:lang w:val="en-GB" w:eastAsia="en-US"/>
              </w:rPr>
              <w:t>5</w:t>
            </w:r>
            <w:r w:rsidRPr="006E725C">
              <w:rPr>
                <w:spacing w:val="-4"/>
                <w:lang w:val="en-GB" w:eastAsia="en-US"/>
              </w:rPr>
              <w:t xml:space="preserve"> </w:t>
            </w:r>
            <w:proofErr w:type="spellStart"/>
            <w:r w:rsidRPr="006E725C">
              <w:rPr>
                <w:spacing w:val="-4"/>
                <w:lang w:val="en-GB" w:eastAsia="en-US"/>
              </w:rPr>
              <w:t>bn</w:t>
            </w:r>
            <w:proofErr w:type="spellEnd"/>
            <w:r w:rsidR="00EA1EBB" w:rsidRPr="006E725C">
              <w:rPr>
                <w:spacing w:val="-4"/>
                <w:lang w:val="en-GB" w:eastAsia="en-US"/>
              </w:rPr>
              <w:t>), Tur</w:t>
            </w:r>
            <w:r w:rsidRPr="006E725C">
              <w:rPr>
                <w:spacing w:val="-4"/>
                <w:lang w:val="en-GB" w:eastAsia="en-US"/>
              </w:rPr>
              <w:t xml:space="preserve">key </w:t>
            </w:r>
            <w:r w:rsidR="00EA1EBB" w:rsidRPr="006E725C">
              <w:rPr>
                <w:spacing w:val="-4"/>
                <w:lang w:val="en-GB" w:eastAsia="en-US"/>
              </w:rPr>
              <w:t>(+5</w:t>
            </w:r>
            <w:r w:rsidRPr="006E725C">
              <w:rPr>
                <w:spacing w:val="-4"/>
                <w:lang w:val="en-GB" w:eastAsia="en-US"/>
              </w:rPr>
              <w:t>.</w:t>
            </w:r>
            <w:r w:rsidR="00EA1EBB" w:rsidRPr="006E725C">
              <w:rPr>
                <w:spacing w:val="-4"/>
                <w:lang w:val="en-GB" w:eastAsia="en-US"/>
              </w:rPr>
              <w:t>9</w:t>
            </w:r>
            <w:r w:rsidRPr="006E725C">
              <w:rPr>
                <w:spacing w:val="-4"/>
                <w:lang w:val="en-GB" w:eastAsia="en-US"/>
              </w:rPr>
              <w:t xml:space="preserve"> </w:t>
            </w:r>
            <w:proofErr w:type="spellStart"/>
            <w:r w:rsidRPr="006E725C">
              <w:rPr>
                <w:spacing w:val="-4"/>
                <w:lang w:val="en-GB" w:eastAsia="en-US"/>
              </w:rPr>
              <w:t>bn</w:t>
            </w:r>
            <w:proofErr w:type="spellEnd"/>
            <w:r w:rsidR="00EA1EBB" w:rsidRPr="006E725C">
              <w:rPr>
                <w:spacing w:val="-4"/>
                <w:lang w:val="en-GB" w:eastAsia="en-US"/>
              </w:rPr>
              <w:t>), Franc</w:t>
            </w:r>
            <w:r w:rsidRPr="006E725C">
              <w:rPr>
                <w:spacing w:val="-4"/>
                <w:lang w:val="en-GB" w:eastAsia="en-US"/>
              </w:rPr>
              <w:t xml:space="preserve">e </w:t>
            </w:r>
            <w:r w:rsidR="00EA1EBB" w:rsidRPr="006E725C">
              <w:rPr>
                <w:spacing w:val="-4"/>
                <w:lang w:val="en-GB" w:eastAsia="en-US"/>
              </w:rPr>
              <w:t>(+4</w:t>
            </w:r>
            <w:r w:rsidRPr="006E725C">
              <w:rPr>
                <w:spacing w:val="-4"/>
                <w:lang w:val="en-GB" w:eastAsia="en-US"/>
              </w:rPr>
              <w:t>.</w:t>
            </w:r>
            <w:r w:rsidR="00EA1EBB" w:rsidRPr="006E725C">
              <w:rPr>
                <w:spacing w:val="-4"/>
                <w:lang w:val="en-GB" w:eastAsia="en-US"/>
              </w:rPr>
              <w:t>6</w:t>
            </w:r>
            <w:r w:rsidRPr="006E725C">
              <w:rPr>
                <w:spacing w:val="-4"/>
                <w:lang w:val="en-GB" w:eastAsia="en-US"/>
              </w:rPr>
              <w:t xml:space="preserve"> </w:t>
            </w:r>
            <w:proofErr w:type="spellStart"/>
            <w:r w:rsidRPr="006E725C">
              <w:rPr>
                <w:spacing w:val="-4"/>
                <w:lang w:val="en-GB" w:eastAsia="en-US"/>
              </w:rPr>
              <w:t>bn</w:t>
            </w:r>
            <w:proofErr w:type="spellEnd"/>
            <w:r w:rsidR="00EA1EBB" w:rsidRPr="006E725C">
              <w:rPr>
                <w:spacing w:val="-4"/>
                <w:lang w:val="en-GB" w:eastAsia="en-US"/>
              </w:rPr>
              <w:t>), Ukra</w:t>
            </w:r>
            <w:r w:rsidRPr="006E725C">
              <w:rPr>
                <w:spacing w:val="-4"/>
                <w:lang w:val="en-GB" w:eastAsia="en-US"/>
              </w:rPr>
              <w:t xml:space="preserve">ine </w:t>
            </w:r>
            <w:r w:rsidR="00EA1EBB" w:rsidRPr="006E725C">
              <w:rPr>
                <w:spacing w:val="-4"/>
                <w:lang w:val="en-GB" w:eastAsia="en-US"/>
              </w:rPr>
              <w:t>(+4</w:t>
            </w:r>
            <w:r w:rsidRPr="006E725C">
              <w:rPr>
                <w:spacing w:val="-4"/>
                <w:lang w:val="en-GB" w:eastAsia="en-US"/>
              </w:rPr>
              <w:t>.</w:t>
            </w:r>
            <w:r w:rsidR="00EA1EBB" w:rsidRPr="006E725C">
              <w:rPr>
                <w:spacing w:val="-4"/>
                <w:lang w:val="en-GB" w:eastAsia="en-US"/>
              </w:rPr>
              <w:t>4</w:t>
            </w:r>
            <w:r w:rsidRPr="006E725C">
              <w:rPr>
                <w:spacing w:val="-4"/>
                <w:lang w:val="en-GB" w:eastAsia="en-US"/>
              </w:rPr>
              <w:t xml:space="preserve"> </w:t>
            </w:r>
            <w:proofErr w:type="spellStart"/>
            <w:r w:rsidRPr="006E725C">
              <w:rPr>
                <w:spacing w:val="-4"/>
                <w:lang w:val="en-GB" w:eastAsia="en-US"/>
              </w:rPr>
              <w:t>bn</w:t>
            </w:r>
            <w:proofErr w:type="spellEnd"/>
            <w:r w:rsidR="00EA1EBB" w:rsidRPr="006E725C">
              <w:rPr>
                <w:spacing w:val="-4"/>
                <w:lang w:val="en-GB" w:eastAsia="en-US"/>
              </w:rPr>
              <w:t>),</w:t>
            </w:r>
            <w:r w:rsidRPr="006E725C">
              <w:rPr>
                <w:spacing w:val="-4"/>
                <w:lang w:val="en-GB" w:eastAsia="en-US"/>
              </w:rPr>
              <w:t xml:space="preserve"> the United States </w:t>
            </w:r>
            <w:r w:rsidR="00EA1EBB" w:rsidRPr="006E725C">
              <w:rPr>
                <w:spacing w:val="-4"/>
                <w:lang w:val="en-GB" w:eastAsia="en-US"/>
              </w:rPr>
              <w:t>(+4</w:t>
            </w:r>
            <w:r w:rsidRPr="006E725C">
              <w:rPr>
                <w:spacing w:val="-4"/>
                <w:lang w:val="en-GB" w:eastAsia="en-US"/>
              </w:rPr>
              <w:t>.</w:t>
            </w:r>
            <w:r w:rsidR="00EA1EBB" w:rsidRPr="006E725C">
              <w:rPr>
                <w:spacing w:val="-4"/>
                <w:lang w:val="en-GB" w:eastAsia="en-US"/>
              </w:rPr>
              <w:t>3</w:t>
            </w:r>
            <w:r w:rsidRPr="006E725C">
              <w:rPr>
                <w:spacing w:val="-4"/>
                <w:lang w:val="en-GB" w:eastAsia="en-US"/>
              </w:rPr>
              <w:t xml:space="preserve"> </w:t>
            </w:r>
            <w:proofErr w:type="spellStart"/>
            <w:r w:rsidRPr="006E725C">
              <w:rPr>
                <w:spacing w:val="-4"/>
                <w:lang w:val="en-GB" w:eastAsia="en-US"/>
              </w:rPr>
              <w:t>bn</w:t>
            </w:r>
            <w:proofErr w:type="spellEnd"/>
            <w:r w:rsidR="00EA1EBB" w:rsidRPr="006E725C">
              <w:rPr>
                <w:spacing w:val="-4"/>
                <w:lang w:val="en-GB" w:eastAsia="en-US"/>
              </w:rPr>
              <w:t>)</w:t>
            </w:r>
            <w:r w:rsidRPr="006E725C">
              <w:rPr>
                <w:spacing w:val="-4"/>
                <w:lang w:val="en-GB" w:eastAsia="en-US"/>
              </w:rPr>
              <w:t xml:space="preserve"> or Japan </w:t>
            </w:r>
            <w:r w:rsidR="00EA1EBB" w:rsidRPr="006E725C">
              <w:rPr>
                <w:spacing w:val="-4"/>
                <w:lang w:val="en-GB" w:eastAsia="en-US"/>
              </w:rPr>
              <w:t>(+3</w:t>
            </w:r>
            <w:r w:rsidRPr="006E725C">
              <w:rPr>
                <w:spacing w:val="-4"/>
                <w:lang w:val="en-GB" w:eastAsia="en-US"/>
              </w:rPr>
              <w:t>.</w:t>
            </w:r>
            <w:r w:rsidR="00EA1EBB" w:rsidRPr="006E725C">
              <w:rPr>
                <w:spacing w:val="-4"/>
                <w:lang w:val="en-GB" w:eastAsia="en-US"/>
              </w:rPr>
              <w:t>2</w:t>
            </w:r>
            <w:r w:rsidRPr="006E725C">
              <w:rPr>
                <w:spacing w:val="-4"/>
                <w:lang w:val="en-GB" w:eastAsia="en-US"/>
              </w:rPr>
              <w:t xml:space="preserve"> </w:t>
            </w:r>
            <w:proofErr w:type="spellStart"/>
            <w:r w:rsidRPr="006E725C">
              <w:rPr>
                <w:spacing w:val="-4"/>
                <w:lang w:val="en-GB" w:eastAsia="en-US"/>
              </w:rPr>
              <w:t>bn</w:t>
            </w:r>
            <w:proofErr w:type="spellEnd"/>
            <w:r w:rsidR="00EA1EBB" w:rsidRPr="006E725C">
              <w:rPr>
                <w:spacing w:val="-4"/>
                <w:lang w:val="en-GB" w:eastAsia="en-US"/>
              </w:rPr>
              <w:t xml:space="preserve">). </w:t>
            </w:r>
            <w:r w:rsidR="004E5C94" w:rsidRPr="006E725C">
              <w:rPr>
                <w:spacing w:val="-4"/>
                <w:lang w:val="en-GB" w:eastAsia="en-US"/>
              </w:rPr>
              <w:t xml:space="preserve">Above stated development of balance with the EU was affected by the international worsening of positive balance of trade with Germany </w:t>
            </w:r>
            <w:r w:rsidR="00EA1EBB" w:rsidRPr="006E725C">
              <w:rPr>
                <w:spacing w:val="-4"/>
                <w:lang w:val="en-GB" w:eastAsia="en-US"/>
              </w:rPr>
              <w:t>(−11</w:t>
            </w:r>
            <w:r w:rsidR="004E5C94" w:rsidRPr="006E725C">
              <w:rPr>
                <w:spacing w:val="-4"/>
                <w:lang w:val="en-GB" w:eastAsia="en-US"/>
              </w:rPr>
              <w:t>.</w:t>
            </w:r>
            <w:r w:rsidR="00EA1EBB" w:rsidRPr="006E725C">
              <w:rPr>
                <w:spacing w:val="-4"/>
                <w:lang w:val="en-GB" w:eastAsia="en-US"/>
              </w:rPr>
              <w:t>4</w:t>
            </w:r>
            <w:r w:rsidR="004E5C94"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Slov</w:t>
            </w:r>
            <w:r w:rsidR="004E5C94" w:rsidRPr="006E725C">
              <w:rPr>
                <w:spacing w:val="-4"/>
                <w:lang w:val="en-GB" w:eastAsia="en-US"/>
              </w:rPr>
              <w:t xml:space="preserve">akia </w:t>
            </w:r>
            <w:r w:rsidR="00EA1EBB" w:rsidRPr="006E725C">
              <w:rPr>
                <w:spacing w:val="-4"/>
                <w:lang w:val="en-GB" w:eastAsia="en-US"/>
              </w:rPr>
              <w:t>(−4</w:t>
            </w:r>
            <w:r w:rsidR="004E5C94" w:rsidRPr="006E725C">
              <w:rPr>
                <w:spacing w:val="-4"/>
                <w:lang w:val="en-GB" w:eastAsia="en-US"/>
              </w:rPr>
              <w:t>.</w:t>
            </w:r>
            <w:r w:rsidR="00EA1EBB" w:rsidRPr="006E725C">
              <w:rPr>
                <w:spacing w:val="-4"/>
                <w:lang w:val="en-GB" w:eastAsia="en-US"/>
              </w:rPr>
              <w:t>6</w:t>
            </w:r>
            <w:r w:rsidR="004E5C94" w:rsidRPr="006E725C">
              <w:rPr>
                <w:spacing w:val="-4"/>
                <w:lang w:val="en-GB" w:eastAsia="en-US"/>
              </w:rPr>
              <w:t xml:space="preserve"> </w:t>
            </w:r>
            <w:proofErr w:type="spellStart"/>
            <w:r w:rsidR="004E5C94" w:rsidRPr="006E725C">
              <w:rPr>
                <w:spacing w:val="-4"/>
                <w:lang w:val="en-GB" w:eastAsia="en-US"/>
              </w:rPr>
              <w:t>bn</w:t>
            </w:r>
            <w:proofErr w:type="spellEnd"/>
            <w:r w:rsidR="00EA1EBB" w:rsidRPr="006E725C">
              <w:rPr>
                <w:spacing w:val="-4"/>
                <w:lang w:val="en-GB" w:eastAsia="en-US"/>
              </w:rPr>
              <w:t>),</w:t>
            </w:r>
            <w:r w:rsidR="004E5C94" w:rsidRPr="006E725C">
              <w:rPr>
                <w:spacing w:val="-4"/>
                <w:lang w:val="en-GB" w:eastAsia="en-US"/>
              </w:rPr>
              <w:t xml:space="preserve"> Spain </w:t>
            </w:r>
            <w:r w:rsidR="00EA1EBB" w:rsidRPr="006E725C">
              <w:rPr>
                <w:spacing w:val="-4"/>
                <w:lang w:val="en-GB" w:eastAsia="en-US"/>
              </w:rPr>
              <w:t>(−4</w:t>
            </w:r>
            <w:r w:rsidR="004E5C94" w:rsidRPr="006E725C">
              <w:rPr>
                <w:spacing w:val="-4"/>
                <w:lang w:val="en-GB" w:eastAsia="en-US"/>
              </w:rPr>
              <w:t>.</w:t>
            </w:r>
            <w:r w:rsidR="00EA1EBB" w:rsidRPr="006E725C">
              <w:rPr>
                <w:spacing w:val="-4"/>
                <w:lang w:val="en-GB" w:eastAsia="en-US"/>
              </w:rPr>
              <w:t>3</w:t>
            </w:r>
            <w:r w:rsidR="004E5C94" w:rsidRPr="006E725C">
              <w:rPr>
                <w:spacing w:val="-4"/>
                <w:lang w:val="en-GB" w:eastAsia="en-US"/>
              </w:rPr>
              <w:t xml:space="preserve"> </w:t>
            </w:r>
            <w:proofErr w:type="spellStart"/>
            <w:r w:rsidR="004E5C94" w:rsidRPr="006E725C">
              <w:rPr>
                <w:spacing w:val="-4"/>
                <w:lang w:val="en-GB" w:eastAsia="en-US"/>
              </w:rPr>
              <w:t>bn</w:t>
            </w:r>
            <w:proofErr w:type="spellEnd"/>
            <w:r w:rsidR="00EA1EBB" w:rsidRPr="006E725C">
              <w:rPr>
                <w:spacing w:val="-4"/>
                <w:lang w:val="en-GB" w:eastAsia="en-US"/>
              </w:rPr>
              <w:t>)</w:t>
            </w:r>
            <w:r w:rsidR="004E5C94" w:rsidRPr="006E725C">
              <w:rPr>
                <w:spacing w:val="-4"/>
                <w:lang w:val="en-GB" w:eastAsia="en-US"/>
              </w:rPr>
              <w:t xml:space="preserve"> or Austria </w:t>
            </w:r>
            <w:r w:rsidR="00EA1EBB" w:rsidRPr="006E725C">
              <w:rPr>
                <w:spacing w:val="-4"/>
                <w:lang w:val="en-GB" w:eastAsia="en-US"/>
              </w:rPr>
              <w:t>(−3</w:t>
            </w:r>
            <w:r w:rsidR="004E5C94" w:rsidRPr="006E725C">
              <w:rPr>
                <w:spacing w:val="-4"/>
                <w:lang w:val="en-GB" w:eastAsia="en-US"/>
              </w:rPr>
              <w:t>.</w:t>
            </w:r>
            <w:r w:rsidR="00EA1EBB" w:rsidRPr="006E725C">
              <w:rPr>
                <w:spacing w:val="-4"/>
                <w:lang w:val="en-GB" w:eastAsia="en-US"/>
              </w:rPr>
              <w:t>3</w:t>
            </w:r>
            <w:r w:rsidR="004E5C94" w:rsidRPr="006E725C">
              <w:rPr>
                <w:spacing w:val="-4"/>
                <w:lang w:val="en-GB" w:eastAsia="en-US"/>
              </w:rPr>
              <w:t xml:space="preserve"> </w:t>
            </w:r>
            <w:proofErr w:type="spellStart"/>
            <w:r w:rsidR="004E5C94" w:rsidRPr="006E725C">
              <w:rPr>
                <w:spacing w:val="-4"/>
                <w:lang w:val="en-GB" w:eastAsia="en-US"/>
              </w:rPr>
              <w:t>bn</w:t>
            </w:r>
            <w:proofErr w:type="spellEnd"/>
            <w:r w:rsidR="00EA1EBB" w:rsidRPr="006E725C">
              <w:rPr>
                <w:spacing w:val="-4"/>
                <w:lang w:val="en-GB" w:eastAsia="en-US"/>
              </w:rPr>
              <w:t xml:space="preserve">). </w:t>
            </w:r>
            <w:r w:rsidR="00D068A0" w:rsidRPr="006E725C">
              <w:rPr>
                <w:spacing w:val="-4"/>
                <w:lang w:val="en-GB" w:eastAsia="en-US"/>
              </w:rPr>
              <w:t xml:space="preserve">Among the countries outside the </w:t>
            </w:r>
            <w:r w:rsidR="00A800D7" w:rsidRPr="006E725C">
              <w:rPr>
                <w:spacing w:val="-4"/>
                <w:lang w:val="en-GB" w:eastAsia="en-US"/>
              </w:rPr>
              <w:t>Union,</w:t>
            </w:r>
            <w:r w:rsidR="00D068A0" w:rsidRPr="006E725C">
              <w:rPr>
                <w:spacing w:val="-4"/>
                <w:lang w:val="en-GB" w:eastAsia="en-US"/>
              </w:rPr>
              <w:t xml:space="preserve"> mainly trade with Kazakhstan </w:t>
            </w:r>
            <w:r w:rsidR="00EA1EBB" w:rsidRPr="006E725C">
              <w:rPr>
                <w:spacing w:val="-4"/>
                <w:lang w:val="en-GB" w:eastAsia="en-US"/>
              </w:rPr>
              <w:t>(−2</w:t>
            </w:r>
            <w:r w:rsidR="00D068A0" w:rsidRPr="006E725C">
              <w:rPr>
                <w:spacing w:val="-4"/>
                <w:lang w:val="en-GB" w:eastAsia="en-US"/>
              </w:rPr>
              <w:t>.</w:t>
            </w:r>
            <w:r w:rsidR="00EA1EBB" w:rsidRPr="006E725C">
              <w:rPr>
                <w:spacing w:val="-4"/>
                <w:lang w:val="en-GB" w:eastAsia="en-US"/>
              </w:rPr>
              <w:t>8</w:t>
            </w:r>
            <w:r w:rsidR="00D068A0"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w:t>
            </w:r>
            <w:r w:rsidR="00D068A0" w:rsidRPr="006E725C">
              <w:rPr>
                <w:spacing w:val="-4"/>
                <w:lang w:val="en-GB" w:eastAsia="en-US"/>
              </w:rPr>
              <w:t xml:space="preserve"> had more notable contribution in the direction of total balance worsening</w:t>
            </w:r>
            <w:r w:rsidR="00EA1EBB" w:rsidRPr="006E725C">
              <w:rPr>
                <w:spacing w:val="-4"/>
                <w:lang w:val="en-GB" w:eastAsia="en-US"/>
              </w:rPr>
              <w:t xml:space="preserve">.  </w:t>
            </w:r>
          </w:p>
        </w:tc>
      </w:tr>
      <w:tr w:rsidR="00EA1EBB" w:rsidRPr="006E725C" w14:paraId="5DE8C4C7" w14:textId="77777777" w:rsidTr="00EA1EBB">
        <w:trPr>
          <w:trHeight w:val="150"/>
        </w:trPr>
        <w:tc>
          <w:tcPr>
            <w:tcW w:w="1748" w:type="dxa"/>
            <w:vMerge w:val="restart"/>
          </w:tcPr>
          <w:p w14:paraId="29BFC185" w14:textId="77777777" w:rsidR="00EA1EBB" w:rsidRPr="006E725C" w:rsidRDefault="00EA1EBB">
            <w:pPr>
              <w:pStyle w:val="Marginlie"/>
              <w:rPr>
                <w:lang w:val="en-GB" w:eastAsia="en-US"/>
              </w:rPr>
            </w:pPr>
          </w:p>
        </w:tc>
        <w:tc>
          <w:tcPr>
            <w:tcW w:w="221" w:type="dxa"/>
            <w:vMerge w:val="restart"/>
          </w:tcPr>
          <w:p w14:paraId="3C6FE2C2" w14:textId="77777777" w:rsidR="00EA1EBB" w:rsidRPr="006E725C" w:rsidRDefault="00EA1EBB">
            <w:pPr>
              <w:pStyle w:val="Textpoznpodarou"/>
              <w:jc w:val="both"/>
              <w:rPr>
                <w:spacing w:val="-4"/>
                <w:lang w:val="en-GB" w:eastAsia="en-US"/>
              </w:rPr>
            </w:pPr>
          </w:p>
        </w:tc>
        <w:tc>
          <w:tcPr>
            <w:tcW w:w="7670" w:type="dxa"/>
            <w:hideMark/>
          </w:tcPr>
          <w:p w14:paraId="2B5B0558" w14:textId="779E0477" w:rsidR="00EA1EBB" w:rsidRPr="006E725C" w:rsidRDefault="005650DC" w:rsidP="00174ED1">
            <w:pPr>
              <w:spacing w:after="0"/>
              <w:rPr>
                <w:spacing w:val="-4"/>
                <w:lang w:val="en-GB" w:eastAsia="en-US"/>
              </w:rPr>
            </w:pPr>
            <w:r w:rsidRPr="006E725C">
              <w:rPr>
                <w:rFonts w:cs="Arial"/>
                <w:b/>
                <w:bCs/>
                <w:color w:val="000000"/>
                <w:szCs w:val="20"/>
                <w:lang w:val="en-GB" w:eastAsia="en-US"/>
              </w:rPr>
              <w:t xml:space="preserve">Chart </w:t>
            </w:r>
            <w:r w:rsidR="00174ED1" w:rsidRPr="006E725C">
              <w:rPr>
                <w:rFonts w:cs="Arial"/>
                <w:b/>
                <w:bCs/>
                <w:color w:val="000000"/>
                <w:szCs w:val="20"/>
                <w:lang w:val="en-GB" w:eastAsia="en-US"/>
              </w:rPr>
              <w:t>10</w:t>
            </w:r>
            <w:r w:rsidR="00EA1EBB" w:rsidRPr="006E725C">
              <w:rPr>
                <w:rFonts w:cs="Arial"/>
                <w:b/>
                <w:bCs/>
                <w:color w:val="000000"/>
                <w:szCs w:val="20"/>
                <w:lang w:val="en-GB" w:eastAsia="en-US"/>
              </w:rPr>
              <w:t xml:space="preserve"> </w:t>
            </w:r>
            <w:r w:rsidR="00220362" w:rsidRPr="006E725C">
              <w:rPr>
                <w:rFonts w:cs="Arial"/>
                <w:b/>
                <w:bCs/>
                <w:color w:val="000000"/>
                <w:szCs w:val="20"/>
                <w:lang w:val="en-GB"/>
              </w:rPr>
              <w:t xml:space="preserve">Balance of </w:t>
            </w:r>
            <w:r w:rsidR="00A800D7" w:rsidRPr="006E725C">
              <w:rPr>
                <w:rFonts w:cs="Arial"/>
                <w:b/>
                <w:bCs/>
                <w:color w:val="000000"/>
                <w:szCs w:val="20"/>
                <w:lang w:val="en-GB"/>
              </w:rPr>
              <w:t>international</w:t>
            </w:r>
            <w:r w:rsidR="00220362" w:rsidRPr="006E725C">
              <w:rPr>
                <w:rFonts w:cs="Arial"/>
                <w:b/>
                <w:bCs/>
                <w:color w:val="000000"/>
                <w:szCs w:val="20"/>
                <w:lang w:val="en-GB"/>
              </w:rPr>
              <w:t xml:space="preserve"> trade with goods in international trade statistics </w:t>
            </w:r>
            <w:r w:rsidR="00220362" w:rsidRPr="006E725C">
              <w:rPr>
                <w:rFonts w:cs="Arial"/>
                <w:color w:val="000000"/>
                <w:szCs w:val="20"/>
                <w:lang w:val="en-GB"/>
              </w:rPr>
              <w:t>(</w:t>
            </w:r>
            <w:proofErr w:type="spellStart"/>
            <w:r w:rsidR="00220362" w:rsidRPr="006E725C">
              <w:rPr>
                <w:rFonts w:cs="Arial"/>
                <w:color w:val="000000"/>
                <w:szCs w:val="20"/>
                <w:lang w:val="en-GB"/>
              </w:rPr>
              <w:t>cumulation</w:t>
            </w:r>
            <w:proofErr w:type="spellEnd"/>
            <w:r w:rsidR="00220362" w:rsidRPr="006E725C">
              <w:rPr>
                <w:rFonts w:cs="Arial"/>
                <w:color w:val="000000"/>
                <w:szCs w:val="20"/>
                <w:lang w:val="en-GB"/>
              </w:rPr>
              <w:t xml:space="preserve"> of year 2023, in </w:t>
            </w:r>
            <w:r w:rsidR="009C0832">
              <w:rPr>
                <w:rFonts w:cs="Arial"/>
                <w:color w:val="000000"/>
                <w:szCs w:val="20"/>
                <w:lang w:val="en-GB"/>
              </w:rPr>
              <w:t xml:space="preserve">CZK </w:t>
            </w:r>
            <w:proofErr w:type="spellStart"/>
            <w:r w:rsidR="009C0832">
              <w:rPr>
                <w:rFonts w:cs="Arial"/>
                <w:color w:val="000000"/>
                <w:szCs w:val="20"/>
                <w:lang w:val="en-GB"/>
              </w:rPr>
              <w:t>bn</w:t>
            </w:r>
            <w:proofErr w:type="spellEnd"/>
            <w:r w:rsidR="00220362" w:rsidRPr="006E725C">
              <w:rPr>
                <w:rFonts w:cs="Arial"/>
                <w:color w:val="000000"/>
                <w:szCs w:val="20"/>
                <w:lang w:val="en-GB"/>
              </w:rPr>
              <w:t xml:space="preserve">, selected divisions of the CPA classification) </w:t>
            </w:r>
          </w:p>
        </w:tc>
      </w:tr>
      <w:tr w:rsidR="00EA1EBB" w:rsidRPr="006E725C" w14:paraId="0820E437" w14:textId="77777777" w:rsidTr="0079457A">
        <w:tblPrEx>
          <w:tblCellMar>
            <w:left w:w="70" w:type="dxa"/>
            <w:right w:w="70" w:type="dxa"/>
          </w:tblCellMar>
        </w:tblPrEx>
        <w:trPr>
          <w:trHeight w:val="150"/>
        </w:trPr>
        <w:tc>
          <w:tcPr>
            <w:tcW w:w="1748" w:type="dxa"/>
            <w:vMerge/>
            <w:vAlign w:val="center"/>
            <w:hideMark/>
          </w:tcPr>
          <w:p w14:paraId="45D1EEE5" w14:textId="77777777" w:rsidR="00EA1EBB" w:rsidRPr="006E725C" w:rsidRDefault="00EA1EBB">
            <w:pPr>
              <w:spacing w:after="0" w:line="240" w:lineRule="auto"/>
              <w:jc w:val="left"/>
              <w:rPr>
                <w:spacing w:val="-2"/>
                <w:sz w:val="16"/>
                <w:szCs w:val="16"/>
                <w:lang w:val="en-GB" w:eastAsia="en-US"/>
              </w:rPr>
            </w:pPr>
          </w:p>
        </w:tc>
        <w:tc>
          <w:tcPr>
            <w:tcW w:w="221" w:type="dxa"/>
            <w:vMerge/>
            <w:vAlign w:val="center"/>
            <w:hideMark/>
          </w:tcPr>
          <w:p w14:paraId="21C6908C" w14:textId="77777777" w:rsidR="00EA1EBB" w:rsidRPr="006E725C" w:rsidRDefault="00EA1EBB">
            <w:pPr>
              <w:spacing w:after="0" w:line="240" w:lineRule="auto"/>
              <w:jc w:val="left"/>
              <w:rPr>
                <w:rFonts w:eastAsia="Calibri"/>
                <w:spacing w:val="-4"/>
                <w:szCs w:val="20"/>
                <w:lang w:val="en-GB" w:eastAsia="en-US"/>
              </w:rPr>
            </w:pPr>
          </w:p>
        </w:tc>
        <w:tc>
          <w:tcPr>
            <w:tcW w:w="7670" w:type="dxa"/>
            <w:hideMark/>
          </w:tcPr>
          <w:p w14:paraId="59A41E07" w14:textId="602D6DD9" w:rsidR="00EA1EBB" w:rsidRPr="006E725C" w:rsidRDefault="0079457A">
            <w:pPr>
              <w:spacing w:after="0"/>
              <w:rPr>
                <w:spacing w:val="-4"/>
                <w:lang w:val="en-GB" w:eastAsia="en-US"/>
              </w:rPr>
            </w:pPr>
            <w:r>
              <w:rPr>
                <w:noProof/>
              </w:rPr>
              <w:drawing>
                <wp:inline distT="0" distB="0" distL="0" distR="0" wp14:anchorId="49DBF8B8" wp14:editId="015AA4DA">
                  <wp:extent cx="4737600" cy="3553200"/>
                  <wp:effectExtent l="0" t="0" r="6350" b="0"/>
                  <wp:docPr id="20" name="Graf 20">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EA1EBB" w:rsidRPr="006E725C" w14:paraId="1E64FFEB" w14:textId="77777777" w:rsidTr="00EA1EBB">
        <w:trPr>
          <w:trHeight w:val="150"/>
        </w:trPr>
        <w:tc>
          <w:tcPr>
            <w:tcW w:w="0" w:type="auto"/>
            <w:vMerge/>
            <w:vAlign w:val="center"/>
            <w:hideMark/>
          </w:tcPr>
          <w:p w14:paraId="70DFB425" w14:textId="77777777" w:rsidR="00EA1EBB" w:rsidRPr="006E725C" w:rsidRDefault="00EA1EBB">
            <w:pPr>
              <w:spacing w:after="0" w:line="240" w:lineRule="auto"/>
              <w:jc w:val="left"/>
              <w:rPr>
                <w:spacing w:val="-2"/>
                <w:sz w:val="16"/>
                <w:szCs w:val="16"/>
                <w:lang w:val="en-GB" w:eastAsia="en-US"/>
              </w:rPr>
            </w:pPr>
          </w:p>
        </w:tc>
        <w:tc>
          <w:tcPr>
            <w:tcW w:w="0" w:type="auto"/>
            <w:vMerge/>
            <w:vAlign w:val="center"/>
            <w:hideMark/>
          </w:tcPr>
          <w:p w14:paraId="510EE90D" w14:textId="77777777" w:rsidR="00EA1EBB" w:rsidRPr="006E725C" w:rsidRDefault="00EA1EBB">
            <w:pPr>
              <w:spacing w:after="0" w:line="240" w:lineRule="auto"/>
              <w:jc w:val="left"/>
              <w:rPr>
                <w:rFonts w:eastAsia="Calibri"/>
                <w:spacing w:val="-4"/>
                <w:szCs w:val="20"/>
                <w:lang w:val="en-GB" w:eastAsia="en-US"/>
              </w:rPr>
            </w:pPr>
          </w:p>
        </w:tc>
        <w:tc>
          <w:tcPr>
            <w:tcW w:w="7670" w:type="dxa"/>
            <w:hideMark/>
          </w:tcPr>
          <w:p w14:paraId="440F6A12" w14:textId="714AD407" w:rsidR="004E5C94" w:rsidRPr="006E725C" w:rsidRDefault="005650DC" w:rsidP="0079457A">
            <w:pPr>
              <w:rPr>
                <w:b/>
                <w:bCs/>
                <w:spacing w:val="-4"/>
                <w:sz w:val="16"/>
                <w:szCs w:val="16"/>
                <w:lang w:val="en-GB" w:eastAsia="en-US"/>
              </w:rPr>
            </w:pPr>
            <w:r w:rsidRPr="006E725C">
              <w:rPr>
                <w:sz w:val="14"/>
                <w:szCs w:val="14"/>
                <w:lang w:val="en-GB" w:eastAsia="en-US"/>
              </w:rPr>
              <w:t>Source</w:t>
            </w:r>
            <w:r w:rsidR="00EA1EBB" w:rsidRPr="006E725C">
              <w:rPr>
                <w:sz w:val="14"/>
                <w:szCs w:val="14"/>
                <w:lang w:val="en-GB" w:eastAsia="en-US"/>
              </w:rPr>
              <w:t xml:space="preserve">: </w:t>
            </w:r>
            <w:r w:rsidRPr="006E725C">
              <w:rPr>
                <w:sz w:val="14"/>
                <w:szCs w:val="14"/>
                <w:lang w:val="en-GB" w:eastAsia="en-US"/>
              </w:rPr>
              <w:t>CZSO</w:t>
            </w:r>
          </w:p>
        </w:tc>
      </w:tr>
      <w:tr w:rsidR="00EA1EBB" w:rsidRPr="006E725C" w14:paraId="2EFBB4AD" w14:textId="77777777" w:rsidTr="00EA1EBB">
        <w:trPr>
          <w:trHeight w:val="477"/>
        </w:trPr>
        <w:tc>
          <w:tcPr>
            <w:tcW w:w="1748" w:type="dxa"/>
            <w:hideMark/>
          </w:tcPr>
          <w:p w14:paraId="23BAA9DF" w14:textId="4CA8F99E" w:rsidR="00EA1EBB" w:rsidRPr="006E725C" w:rsidRDefault="00320336">
            <w:pPr>
              <w:pStyle w:val="Marginlie"/>
              <w:rPr>
                <w:lang w:val="en-GB" w:eastAsia="en-US"/>
              </w:rPr>
            </w:pPr>
            <w:r w:rsidRPr="006E725C">
              <w:rPr>
                <w:lang w:val="en-GB" w:eastAsia="en-US"/>
              </w:rPr>
              <w:t xml:space="preserve">Balance of trade with </w:t>
            </w:r>
            <w:r w:rsidR="00455AE3" w:rsidRPr="006E725C">
              <w:rPr>
                <w:lang w:val="en-GB" w:eastAsia="en-US"/>
              </w:rPr>
              <w:t xml:space="preserve">petroleum </w:t>
            </w:r>
            <w:r w:rsidRPr="006E725C">
              <w:rPr>
                <w:lang w:val="en-GB" w:eastAsia="en-US"/>
              </w:rPr>
              <w:t xml:space="preserve">and natural gas and motor vehicles improved the most last year. </w:t>
            </w:r>
          </w:p>
        </w:tc>
        <w:tc>
          <w:tcPr>
            <w:tcW w:w="221" w:type="dxa"/>
          </w:tcPr>
          <w:p w14:paraId="4B139F23" w14:textId="77777777" w:rsidR="00EA1EBB" w:rsidRPr="006E725C" w:rsidRDefault="00EA1EBB">
            <w:pPr>
              <w:pStyle w:val="Textpoznpodarou"/>
              <w:jc w:val="both"/>
              <w:rPr>
                <w:spacing w:val="-4"/>
                <w:lang w:val="en-GB" w:eastAsia="en-US"/>
              </w:rPr>
            </w:pPr>
          </w:p>
        </w:tc>
        <w:tc>
          <w:tcPr>
            <w:tcW w:w="7670" w:type="dxa"/>
            <w:hideMark/>
          </w:tcPr>
          <w:p w14:paraId="4ACCD45C" w14:textId="04EE5546" w:rsidR="00EA1EBB" w:rsidRPr="006E725C" w:rsidRDefault="0032525E" w:rsidP="00BF5759">
            <w:pPr>
              <w:spacing w:after="0"/>
              <w:rPr>
                <w:spacing w:val="-4"/>
                <w:lang w:val="en-GB" w:eastAsia="en-US"/>
              </w:rPr>
            </w:pPr>
            <w:r w:rsidRPr="006E725C">
              <w:rPr>
                <w:spacing w:val="-4"/>
                <w:lang w:val="en-GB" w:eastAsia="en-US"/>
              </w:rPr>
              <w:t xml:space="preserve">Moderation of the deficit in the trade with </w:t>
            </w:r>
            <w:r w:rsidR="00455AE3" w:rsidRPr="006E725C">
              <w:rPr>
                <w:spacing w:val="-4"/>
                <w:lang w:val="en-GB" w:eastAsia="en-US"/>
              </w:rPr>
              <w:t xml:space="preserve">petroleum </w:t>
            </w:r>
            <w:r w:rsidRPr="006E725C">
              <w:rPr>
                <w:spacing w:val="-4"/>
                <w:lang w:val="en-GB" w:eastAsia="en-US"/>
              </w:rPr>
              <w:t>and natural gas</w:t>
            </w:r>
            <w:r w:rsidR="0041018E" w:rsidRPr="006E725C">
              <w:rPr>
                <w:spacing w:val="-4"/>
                <w:lang w:val="en-GB" w:eastAsia="en-US"/>
              </w:rPr>
              <w:t xml:space="preserve"> (+148.2 </w:t>
            </w:r>
            <w:r w:rsidR="009C0832">
              <w:rPr>
                <w:spacing w:val="-4"/>
                <w:lang w:val="en-GB" w:eastAsia="en-US"/>
              </w:rPr>
              <w:t xml:space="preserve">CZK </w:t>
            </w:r>
            <w:proofErr w:type="spellStart"/>
            <w:r w:rsidR="009C0832">
              <w:rPr>
                <w:spacing w:val="-4"/>
                <w:lang w:val="en-GB" w:eastAsia="en-US"/>
              </w:rPr>
              <w:t>bn</w:t>
            </w:r>
            <w:proofErr w:type="spellEnd"/>
            <w:r w:rsidR="004D7804" w:rsidRPr="006E725C">
              <w:rPr>
                <w:spacing w:val="-4"/>
                <w:lang w:val="en-GB" w:eastAsia="en-US"/>
              </w:rPr>
              <w:t>) influenced</w:t>
            </w:r>
            <w:r w:rsidRPr="006E725C">
              <w:rPr>
                <w:spacing w:val="-4"/>
                <w:lang w:val="en-GB" w:eastAsia="en-US"/>
              </w:rPr>
              <w:t xml:space="preserve"> by the decrease of prices </w:t>
            </w:r>
            <w:r w:rsidR="00EA1EBB" w:rsidRPr="006E725C">
              <w:rPr>
                <w:spacing w:val="-4"/>
                <w:lang w:val="en-GB" w:eastAsia="en-US"/>
              </w:rPr>
              <w:t>a</w:t>
            </w:r>
            <w:r w:rsidR="0041018E" w:rsidRPr="006E725C">
              <w:rPr>
                <w:spacing w:val="-4"/>
                <w:lang w:val="en-GB" w:eastAsia="en-US"/>
              </w:rPr>
              <w:t xml:space="preserve">nd improvement of the surplus of trade with motor vehicles </w:t>
            </w:r>
            <w:r w:rsidR="00EA1EBB" w:rsidRPr="006E725C">
              <w:rPr>
                <w:spacing w:val="-4"/>
                <w:lang w:val="en-GB" w:eastAsia="en-US"/>
              </w:rPr>
              <w:t>(+112</w:t>
            </w:r>
            <w:r w:rsidR="0041018E" w:rsidRPr="006E725C">
              <w:rPr>
                <w:spacing w:val="-4"/>
                <w:lang w:val="en-GB" w:eastAsia="en-US"/>
              </w:rPr>
              <w:t>.</w:t>
            </w:r>
            <w:r w:rsidR="00EA1EBB" w:rsidRPr="006E725C">
              <w:rPr>
                <w:spacing w:val="-4"/>
                <w:lang w:val="en-GB" w:eastAsia="en-US"/>
              </w:rPr>
              <w:t>6</w:t>
            </w:r>
            <w:r w:rsidR="0041018E" w:rsidRPr="006E725C">
              <w:rPr>
                <w:spacing w:val="-4"/>
                <w:lang w:val="en-GB" w:eastAsia="en-US"/>
              </w:rPr>
              <w:t xml:space="preserve"> </w:t>
            </w:r>
            <w:proofErr w:type="spellStart"/>
            <w:r w:rsidR="0041018E" w:rsidRPr="006E725C">
              <w:rPr>
                <w:spacing w:val="-4"/>
                <w:lang w:val="en-GB" w:eastAsia="en-US"/>
              </w:rPr>
              <w:t>bn</w:t>
            </w:r>
            <w:proofErr w:type="spellEnd"/>
            <w:r w:rsidR="00EA1EBB" w:rsidRPr="006E725C">
              <w:rPr>
                <w:spacing w:val="-4"/>
                <w:lang w:val="en-GB" w:eastAsia="en-US"/>
              </w:rPr>
              <w:t xml:space="preserve">) </w:t>
            </w:r>
            <w:r w:rsidR="00F1243F" w:rsidRPr="006E725C">
              <w:rPr>
                <w:spacing w:val="-4"/>
                <w:lang w:val="en-GB" w:eastAsia="en-US"/>
              </w:rPr>
              <w:t xml:space="preserve">associated with the continuing revival in the branch, had the largest share on the </w:t>
            </w:r>
            <w:r w:rsidR="0041018E" w:rsidRPr="006E725C">
              <w:rPr>
                <w:spacing w:val="-4"/>
                <w:lang w:val="en-GB" w:eastAsia="en-US"/>
              </w:rPr>
              <w:t>last year’s massive balance improvement</w:t>
            </w:r>
            <w:r w:rsidR="00EA1EBB" w:rsidRPr="006E725C">
              <w:rPr>
                <w:spacing w:val="-4"/>
                <w:lang w:val="en-GB" w:eastAsia="en-US"/>
              </w:rPr>
              <w:t xml:space="preserve">. </w:t>
            </w:r>
            <w:r w:rsidR="00F1243F" w:rsidRPr="006E725C">
              <w:rPr>
                <w:spacing w:val="-4"/>
                <w:lang w:val="en-GB" w:eastAsia="en-US"/>
              </w:rPr>
              <w:t xml:space="preserve">Balance of trade with basic metals </w:t>
            </w:r>
            <w:r w:rsidR="00EA1EBB" w:rsidRPr="006E725C">
              <w:rPr>
                <w:spacing w:val="-4"/>
                <w:lang w:val="en-GB" w:eastAsia="en-US"/>
              </w:rPr>
              <w:t>(+26</w:t>
            </w:r>
            <w:r w:rsidR="00F1243F" w:rsidRPr="006E725C">
              <w:rPr>
                <w:spacing w:val="-4"/>
                <w:lang w:val="en-GB" w:eastAsia="en-US"/>
              </w:rPr>
              <w:t>.</w:t>
            </w:r>
            <w:r w:rsidR="00EA1EBB" w:rsidRPr="006E725C">
              <w:rPr>
                <w:spacing w:val="-4"/>
                <w:lang w:val="en-GB" w:eastAsia="en-US"/>
              </w:rPr>
              <w:t>4</w:t>
            </w:r>
            <w:r w:rsidR="00F1243F"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xml:space="preserve">), </w:t>
            </w:r>
            <w:r w:rsidR="00F1243F" w:rsidRPr="006E725C">
              <w:rPr>
                <w:spacing w:val="-4"/>
                <w:lang w:val="en-GB" w:eastAsia="en-US"/>
              </w:rPr>
              <w:t xml:space="preserve">machinery and equipment </w:t>
            </w:r>
            <w:r w:rsidR="00EA1EBB" w:rsidRPr="006E725C">
              <w:rPr>
                <w:spacing w:val="-4"/>
                <w:lang w:val="en-GB" w:eastAsia="en-US"/>
              </w:rPr>
              <w:t>(+24</w:t>
            </w:r>
            <w:r w:rsidR="00F1243F" w:rsidRPr="006E725C">
              <w:rPr>
                <w:spacing w:val="-4"/>
                <w:lang w:val="en-GB" w:eastAsia="en-US"/>
              </w:rPr>
              <w:t>.</w:t>
            </w:r>
            <w:r w:rsidR="00EA1EBB" w:rsidRPr="006E725C">
              <w:rPr>
                <w:spacing w:val="-4"/>
                <w:lang w:val="en-GB" w:eastAsia="en-US"/>
              </w:rPr>
              <w:t xml:space="preserve">7 </w:t>
            </w:r>
            <w:proofErr w:type="spellStart"/>
            <w:r w:rsidR="00F1243F" w:rsidRPr="006E725C">
              <w:rPr>
                <w:spacing w:val="-4"/>
                <w:lang w:val="en-GB" w:eastAsia="en-US"/>
              </w:rPr>
              <w:t>bn</w:t>
            </w:r>
            <w:proofErr w:type="spellEnd"/>
            <w:r w:rsidR="00EA1EBB" w:rsidRPr="006E725C">
              <w:rPr>
                <w:spacing w:val="-4"/>
                <w:lang w:val="en-GB" w:eastAsia="en-US"/>
              </w:rPr>
              <w:t>), chemic</w:t>
            </w:r>
            <w:r w:rsidR="00F1243F" w:rsidRPr="006E725C">
              <w:rPr>
                <w:spacing w:val="-4"/>
                <w:lang w:val="en-GB" w:eastAsia="en-US"/>
              </w:rPr>
              <w:t xml:space="preserve">al substances and products </w:t>
            </w:r>
            <w:r w:rsidR="00EA1EBB" w:rsidRPr="006E725C">
              <w:rPr>
                <w:spacing w:val="-4"/>
                <w:lang w:val="en-GB" w:eastAsia="en-US"/>
              </w:rPr>
              <w:t>(+18</w:t>
            </w:r>
            <w:r w:rsidR="00F1243F" w:rsidRPr="006E725C">
              <w:rPr>
                <w:spacing w:val="-4"/>
                <w:lang w:val="en-GB" w:eastAsia="en-US"/>
              </w:rPr>
              <w:t>.</w:t>
            </w:r>
            <w:r w:rsidR="00EA1EBB" w:rsidRPr="006E725C">
              <w:rPr>
                <w:spacing w:val="-4"/>
                <w:lang w:val="en-GB" w:eastAsia="en-US"/>
              </w:rPr>
              <w:t>8</w:t>
            </w:r>
            <w:r w:rsidR="00F1243F" w:rsidRPr="006E725C">
              <w:rPr>
                <w:spacing w:val="-4"/>
                <w:lang w:val="en-GB" w:eastAsia="en-US"/>
              </w:rPr>
              <w:t xml:space="preserve"> </w:t>
            </w:r>
            <w:proofErr w:type="spellStart"/>
            <w:r w:rsidR="00F1243F" w:rsidRPr="006E725C">
              <w:rPr>
                <w:spacing w:val="-4"/>
                <w:lang w:val="en-GB" w:eastAsia="en-US"/>
              </w:rPr>
              <w:t>bn</w:t>
            </w:r>
            <w:proofErr w:type="spellEnd"/>
            <w:r w:rsidR="00EA1EBB" w:rsidRPr="006E725C">
              <w:rPr>
                <w:spacing w:val="-4"/>
                <w:lang w:val="en-GB" w:eastAsia="en-US"/>
              </w:rPr>
              <w:t xml:space="preserve">), </w:t>
            </w:r>
            <w:r w:rsidR="00F1243F" w:rsidRPr="006E725C">
              <w:rPr>
                <w:spacing w:val="-4"/>
                <w:lang w:val="en-GB" w:eastAsia="en-US"/>
              </w:rPr>
              <w:t xml:space="preserve">electrical equipment </w:t>
            </w:r>
            <w:r w:rsidR="00EA1EBB" w:rsidRPr="006E725C">
              <w:rPr>
                <w:spacing w:val="-4"/>
                <w:lang w:val="en-GB" w:eastAsia="en-US"/>
              </w:rPr>
              <w:t>(+20</w:t>
            </w:r>
            <w:r w:rsidR="00F1243F" w:rsidRPr="006E725C">
              <w:rPr>
                <w:spacing w:val="-4"/>
                <w:lang w:val="en-GB" w:eastAsia="en-US"/>
              </w:rPr>
              <w:t>.</w:t>
            </w:r>
            <w:r w:rsidR="00EA1EBB" w:rsidRPr="006E725C">
              <w:rPr>
                <w:spacing w:val="-4"/>
                <w:lang w:val="en-GB" w:eastAsia="en-US"/>
              </w:rPr>
              <w:t>0</w:t>
            </w:r>
            <w:r w:rsidR="00F1243F" w:rsidRPr="006E725C">
              <w:rPr>
                <w:spacing w:val="-4"/>
                <w:lang w:val="en-GB" w:eastAsia="en-US"/>
              </w:rPr>
              <w:t xml:space="preserve"> </w:t>
            </w:r>
            <w:proofErr w:type="spellStart"/>
            <w:r w:rsidR="00F1243F" w:rsidRPr="006E725C">
              <w:rPr>
                <w:spacing w:val="-4"/>
                <w:lang w:val="en-GB" w:eastAsia="en-US"/>
              </w:rPr>
              <w:t>bn</w:t>
            </w:r>
            <w:proofErr w:type="spellEnd"/>
            <w:r w:rsidR="00EA1EBB" w:rsidRPr="006E725C">
              <w:rPr>
                <w:spacing w:val="-4"/>
                <w:lang w:val="en-GB" w:eastAsia="en-US"/>
              </w:rPr>
              <w:t>),</w:t>
            </w:r>
            <w:r w:rsidR="00F1243F" w:rsidRPr="006E725C">
              <w:rPr>
                <w:spacing w:val="-4"/>
                <w:lang w:val="en-GB" w:eastAsia="en-US"/>
              </w:rPr>
              <w:t xml:space="preserve"> other manufacturing products </w:t>
            </w:r>
            <w:r w:rsidR="00EA1EBB" w:rsidRPr="006E725C">
              <w:rPr>
                <w:spacing w:val="-4"/>
                <w:lang w:val="en-GB" w:eastAsia="en-US"/>
              </w:rPr>
              <w:t>(+12</w:t>
            </w:r>
            <w:r w:rsidR="00F1243F" w:rsidRPr="006E725C">
              <w:rPr>
                <w:spacing w:val="-4"/>
                <w:lang w:val="en-GB" w:eastAsia="en-US"/>
              </w:rPr>
              <w:t>.</w:t>
            </w:r>
            <w:r w:rsidR="00EA1EBB" w:rsidRPr="006E725C">
              <w:rPr>
                <w:spacing w:val="-4"/>
                <w:lang w:val="en-GB" w:eastAsia="en-US"/>
              </w:rPr>
              <w:t>2</w:t>
            </w:r>
            <w:r w:rsidR="00F1243F" w:rsidRPr="006E725C">
              <w:rPr>
                <w:spacing w:val="-4"/>
                <w:lang w:val="en-GB" w:eastAsia="en-US"/>
              </w:rPr>
              <w:t xml:space="preserve"> </w:t>
            </w:r>
            <w:proofErr w:type="spellStart"/>
            <w:r w:rsidR="00F1243F" w:rsidRPr="006E725C">
              <w:rPr>
                <w:spacing w:val="-4"/>
                <w:lang w:val="en-GB" w:eastAsia="en-US"/>
              </w:rPr>
              <w:t>bn</w:t>
            </w:r>
            <w:proofErr w:type="spellEnd"/>
            <w:r w:rsidR="00EA1EBB" w:rsidRPr="006E725C">
              <w:rPr>
                <w:spacing w:val="-4"/>
                <w:lang w:val="en-GB" w:eastAsia="en-US"/>
              </w:rPr>
              <w:t xml:space="preserve">), </w:t>
            </w:r>
            <w:r w:rsidR="00F1243F" w:rsidRPr="006E725C">
              <w:rPr>
                <w:spacing w:val="-4"/>
                <w:lang w:val="en-GB" w:eastAsia="en-US"/>
              </w:rPr>
              <w:t xml:space="preserve">coke and refined </w:t>
            </w:r>
            <w:r w:rsidR="00455AE3" w:rsidRPr="006E725C">
              <w:rPr>
                <w:spacing w:val="-4"/>
                <w:lang w:val="en-GB" w:eastAsia="en-US"/>
              </w:rPr>
              <w:t>petroleum p</w:t>
            </w:r>
            <w:r w:rsidR="00F1243F" w:rsidRPr="006E725C">
              <w:rPr>
                <w:spacing w:val="-4"/>
                <w:lang w:val="en-GB" w:eastAsia="en-US"/>
              </w:rPr>
              <w:t xml:space="preserve">roducts </w:t>
            </w:r>
            <w:r w:rsidR="00EA1EBB" w:rsidRPr="006E725C">
              <w:rPr>
                <w:spacing w:val="-4"/>
                <w:lang w:val="en-GB" w:eastAsia="en-US"/>
              </w:rPr>
              <w:t>(+9</w:t>
            </w:r>
            <w:r w:rsidR="00F1243F" w:rsidRPr="006E725C">
              <w:rPr>
                <w:spacing w:val="-4"/>
                <w:lang w:val="en-GB" w:eastAsia="en-US"/>
              </w:rPr>
              <w:t>.</w:t>
            </w:r>
            <w:r w:rsidR="00EA1EBB" w:rsidRPr="006E725C">
              <w:rPr>
                <w:spacing w:val="-4"/>
                <w:lang w:val="en-GB" w:eastAsia="en-US"/>
              </w:rPr>
              <w:t>8</w:t>
            </w:r>
            <w:r w:rsidR="00F1243F" w:rsidRPr="006E725C">
              <w:rPr>
                <w:spacing w:val="-4"/>
                <w:lang w:val="en-GB" w:eastAsia="en-US"/>
              </w:rPr>
              <w:t xml:space="preserve"> </w:t>
            </w:r>
            <w:proofErr w:type="spellStart"/>
            <w:r w:rsidR="00F1243F" w:rsidRPr="006E725C">
              <w:rPr>
                <w:spacing w:val="-4"/>
                <w:lang w:val="en-GB" w:eastAsia="en-US"/>
              </w:rPr>
              <w:t>bn</w:t>
            </w:r>
            <w:proofErr w:type="spellEnd"/>
            <w:r w:rsidR="00EA1EBB" w:rsidRPr="006E725C">
              <w:rPr>
                <w:spacing w:val="-4"/>
                <w:lang w:val="en-GB" w:eastAsia="en-US"/>
              </w:rPr>
              <w:t>),</w:t>
            </w:r>
            <w:r w:rsidR="00F1243F" w:rsidRPr="006E725C">
              <w:rPr>
                <w:spacing w:val="-4"/>
                <w:lang w:val="en-GB" w:eastAsia="en-US"/>
              </w:rPr>
              <w:t xml:space="preserve">basic pharmaceutical products </w:t>
            </w:r>
            <w:r w:rsidR="00EA1EBB" w:rsidRPr="006E725C">
              <w:rPr>
                <w:spacing w:val="-4"/>
                <w:lang w:val="en-GB" w:eastAsia="en-US"/>
              </w:rPr>
              <w:t>(+8</w:t>
            </w:r>
            <w:r w:rsidR="00F1243F" w:rsidRPr="006E725C">
              <w:rPr>
                <w:spacing w:val="-4"/>
                <w:lang w:val="en-GB" w:eastAsia="en-US"/>
              </w:rPr>
              <w:t>.</w:t>
            </w:r>
            <w:r w:rsidR="00EA1EBB" w:rsidRPr="006E725C">
              <w:rPr>
                <w:spacing w:val="-4"/>
                <w:lang w:val="en-GB" w:eastAsia="en-US"/>
              </w:rPr>
              <w:t>6</w:t>
            </w:r>
            <w:r w:rsidR="00F1243F" w:rsidRPr="006E725C">
              <w:rPr>
                <w:spacing w:val="-4"/>
                <w:lang w:val="en-GB" w:eastAsia="en-US"/>
              </w:rPr>
              <w:t xml:space="preserve"> </w:t>
            </w:r>
            <w:proofErr w:type="spellStart"/>
            <w:r w:rsidR="00F1243F" w:rsidRPr="006E725C">
              <w:rPr>
                <w:spacing w:val="-4"/>
                <w:lang w:val="en-GB" w:eastAsia="en-US"/>
              </w:rPr>
              <w:t>bn</w:t>
            </w:r>
            <w:proofErr w:type="spellEnd"/>
            <w:r w:rsidR="00EA1EBB" w:rsidRPr="006E725C">
              <w:rPr>
                <w:spacing w:val="-4"/>
                <w:lang w:val="en-GB" w:eastAsia="en-US"/>
              </w:rPr>
              <w:t xml:space="preserve">), </w:t>
            </w:r>
            <w:r w:rsidR="00F1243F" w:rsidRPr="006E725C">
              <w:rPr>
                <w:spacing w:val="-4"/>
                <w:lang w:val="en-GB" w:eastAsia="en-US"/>
              </w:rPr>
              <w:t xml:space="preserve">rubber and plastic products </w:t>
            </w:r>
            <w:r w:rsidR="00EA1EBB" w:rsidRPr="006E725C">
              <w:rPr>
                <w:spacing w:val="-4"/>
                <w:lang w:val="en-GB" w:eastAsia="en-US"/>
              </w:rPr>
              <w:t>(+7</w:t>
            </w:r>
            <w:r w:rsidR="00F1243F" w:rsidRPr="006E725C">
              <w:rPr>
                <w:spacing w:val="-4"/>
                <w:lang w:val="en-GB" w:eastAsia="en-US"/>
              </w:rPr>
              <w:t>.</w:t>
            </w:r>
            <w:r w:rsidR="00EA1EBB" w:rsidRPr="006E725C">
              <w:rPr>
                <w:spacing w:val="-4"/>
                <w:lang w:val="en-GB" w:eastAsia="en-US"/>
              </w:rPr>
              <w:t>7</w:t>
            </w:r>
            <w:r w:rsidR="00F1243F" w:rsidRPr="006E725C">
              <w:rPr>
                <w:spacing w:val="-4"/>
                <w:lang w:val="en-GB" w:eastAsia="en-US"/>
              </w:rPr>
              <w:t xml:space="preserve"> </w:t>
            </w:r>
            <w:proofErr w:type="spellStart"/>
            <w:r w:rsidR="00F1243F" w:rsidRPr="006E725C">
              <w:rPr>
                <w:spacing w:val="-4"/>
                <w:lang w:val="en-GB" w:eastAsia="en-US"/>
              </w:rPr>
              <w:t>bn</w:t>
            </w:r>
            <w:proofErr w:type="spellEnd"/>
            <w:r w:rsidR="00EA1EBB" w:rsidRPr="006E725C">
              <w:rPr>
                <w:spacing w:val="-4"/>
                <w:lang w:val="en-GB" w:eastAsia="en-US"/>
              </w:rPr>
              <w:t xml:space="preserve">), </w:t>
            </w:r>
            <w:r w:rsidR="00C90F18">
              <w:rPr>
                <w:spacing w:val="-4"/>
                <w:lang w:val="en-GB" w:eastAsia="en-US"/>
              </w:rPr>
              <w:t>clothing</w:t>
            </w:r>
            <w:r w:rsidR="00F1243F" w:rsidRPr="006E725C">
              <w:rPr>
                <w:spacing w:val="-4"/>
                <w:lang w:val="en-GB" w:eastAsia="en-US"/>
              </w:rPr>
              <w:t xml:space="preserve"> </w:t>
            </w:r>
            <w:r w:rsidR="00EA1EBB" w:rsidRPr="006E725C">
              <w:rPr>
                <w:spacing w:val="-4"/>
                <w:lang w:val="en-GB" w:eastAsia="en-US"/>
              </w:rPr>
              <w:t>(+7</w:t>
            </w:r>
            <w:r w:rsidR="00F1243F" w:rsidRPr="006E725C">
              <w:rPr>
                <w:spacing w:val="-4"/>
                <w:lang w:val="en-GB" w:eastAsia="en-US"/>
              </w:rPr>
              <w:t>.</w:t>
            </w:r>
            <w:r w:rsidR="00EA1EBB" w:rsidRPr="006E725C">
              <w:rPr>
                <w:spacing w:val="-4"/>
                <w:lang w:val="en-GB" w:eastAsia="en-US"/>
              </w:rPr>
              <w:t>5</w:t>
            </w:r>
            <w:r w:rsidR="00F1243F" w:rsidRPr="006E725C">
              <w:rPr>
                <w:spacing w:val="-4"/>
                <w:lang w:val="en-GB" w:eastAsia="en-US"/>
              </w:rPr>
              <w:t xml:space="preserve"> </w:t>
            </w:r>
            <w:proofErr w:type="spellStart"/>
            <w:r w:rsidR="00F1243F" w:rsidRPr="006E725C">
              <w:rPr>
                <w:spacing w:val="-4"/>
                <w:lang w:val="en-GB" w:eastAsia="en-US"/>
              </w:rPr>
              <w:t>bn</w:t>
            </w:r>
            <w:proofErr w:type="spellEnd"/>
            <w:r w:rsidR="00EA1EBB" w:rsidRPr="006E725C">
              <w:rPr>
                <w:spacing w:val="-4"/>
                <w:lang w:val="en-GB" w:eastAsia="en-US"/>
              </w:rPr>
              <w:t xml:space="preserve">), </w:t>
            </w:r>
            <w:r w:rsidR="00F1243F" w:rsidRPr="006E725C">
              <w:rPr>
                <w:spacing w:val="-4"/>
                <w:lang w:val="en-GB" w:eastAsia="en-US"/>
              </w:rPr>
              <w:t xml:space="preserve">black and brown coal and lignite </w:t>
            </w:r>
            <w:r w:rsidR="00EA1EBB" w:rsidRPr="006E725C">
              <w:rPr>
                <w:spacing w:val="-4"/>
                <w:lang w:val="en-GB" w:eastAsia="en-US"/>
              </w:rPr>
              <w:t>(+7</w:t>
            </w:r>
            <w:r w:rsidR="00F1243F" w:rsidRPr="006E725C">
              <w:rPr>
                <w:spacing w:val="-4"/>
                <w:lang w:val="en-GB" w:eastAsia="en-US"/>
              </w:rPr>
              <w:t>.</w:t>
            </w:r>
            <w:r w:rsidR="00EA1EBB" w:rsidRPr="006E725C">
              <w:rPr>
                <w:spacing w:val="-4"/>
                <w:lang w:val="en-GB" w:eastAsia="en-US"/>
              </w:rPr>
              <w:t>3</w:t>
            </w:r>
            <w:r w:rsidR="00F1243F" w:rsidRPr="006E725C">
              <w:rPr>
                <w:spacing w:val="-4"/>
                <w:lang w:val="en-GB" w:eastAsia="en-US"/>
              </w:rPr>
              <w:t xml:space="preserve"> </w:t>
            </w:r>
            <w:proofErr w:type="spellStart"/>
            <w:r w:rsidR="00F1243F" w:rsidRPr="006E725C">
              <w:rPr>
                <w:spacing w:val="-4"/>
                <w:lang w:val="en-GB" w:eastAsia="en-US"/>
              </w:rPr>
              <w:t>bn</w:t>
            </w:r>
            <w:proofErr w:type="spellEnd"/>
            <w:r w:rsidR="00EA1EBB" w:rsidRPr="006E725C">
              <w:rPr>
                <w:spacing w:val="-4"/>
                <w:lang w:val="en-GB" w:eastAsia="en-US"/>
              </w:rPr>
              <w:t xml:space="preserve">), </w:t>
            </w:r>
            <w:r w:rsidR="00F1243F" w:rsidRPr="006E725C">
              <w:rPr>
                <w:spacing w:val="-4"/>
                <w:lang w:val="en-GB" w:eastAsia="en-US"/>
              </w:rPr>
              <w:t xml:space="preserve">food products </w:t>
            </w:r>
            <w:r w:rsidR="00EA1EBB" w:rsidRPr="006E725C">
              <w:rPr>
                <w:spacing w:val="-4"/>
                <w:lang w:val="en-GB" w:eastAsia="en-US"/>
              </w:rPr>
              <w:t>(+7</w:t>
            </w:r>
            <w:r w:rsidR="00F1243F" w:rsidRPr="006E725C">
              <w:rPr>
                <w:spacing w:val="-4"/>
                <w:lang w:val="en-GB" w:eastAsia="en-US"/>
              </w:rPr>
              <w:t>.</w:t>
            </w:r>
            <w:r w:rsidR="00EA1EBB" w:rsidRPr="006E725C">
              <w:rPr>
                <w:spacing w:val="-4"/>
                <w:lang w:val="en-GB" w:eastAsia="en-US"/>
              </w:rPr>
              <w:t>1</w:t>
            </w:r>
            <w:r w:rsidR="00F1243F" w:rsidRPr="006E725C">
              <w:rPr>
                <w:spacing w:val="-4"/>
                <w:lang w:val="en-GB" w:eastAsia="en-US"/>
              </w:rPr>
              <w:t xml:space="preserve"> </w:t>
            </w:r>
            <w:proofErr w:type="spellStart"/>
            <w:r w:rsidR="00F1243F" w:rsidRPr="006E725C">
              <w:rPr>
                <w:spacing w:val="-4"/>
                <w:lang w:val="en-GB" w:eastAsia="en-US"/>
              </w:rPr>
              <w:t>bn</w:t>
            </w:r>
            <w:proofErr w:type="spellEnd"/>
            <w:r w:rsidR="00EA1EBB" w:rsidRPr="006E725C">
              <w:rPr>
                <w:spacing w:val="-4"/>
                <w:lang w:val="en-GB" w:eastAsia="en-US"/>
              </w:rPr>
              <w:t>), pap</w:t>
            </w:r>
            <w:r w:rsidR="00F1243F" w:rsidRPr="006E725C">
              <w:rPr>
                <w:spacing w:val="-4"/>
                <w:lang w:val="en-GB" w:eastAsia="en-US"/>
              </w:rPr>
              <w:t xml:space="preserve">er and paper products </w:t>
            </w:r>
            <w:r w:rsidR="00EA1EBB" w:rsidRPr="006E725C">
              <w:rPr>
                <w:spacing w:val="-4"/>
                <w:lang w:val="en-GB" w:eastAsia="en-US"/>
              </w:rPr>
              <w:t>(+7</w:t>
            </w:r>
            <w:r w:rsidR="00F1243F" w:rsidRPr="006E725C">
              <w:rPr>
                <w:spacing w:val="-4"/>
                <w:lang w:val="en-GB" w:eastAsia="en-US"/>
              </w:rPr>
              <w:t>.</w:t>
            </w:r>
            <w:r w:rsidR="00EA1EBB" w:rsidRPr="006E725C">
              <w:rPr>
                <w:spacing w:val="-4"/>
                <w:lang w:val="en-GB" w:eastAsia="en-US"/>
              </w:rPr>
              <w:t>1</w:t>
            </w:r>
            <w:r w:rsidR="00F1243F" w:rsidRPr="006E725C">
              <w:rPr>
                <w:spacing w:val="-4"/>
                <w:lang w:val="en-GB" w:eastAsia="en-US"/>
              </w:rPr>
              <w:t xml:space="preserve"> </w:t>
            </w:r>
            <w:proofErr w:type="spellStart"/>
            <w:r w:rsidR="00F1243F" w:rsidRPr="006E725C">
              <w:rPr>
                <w:spacing w:val="-4"/>
                <w:lang w:val="en-GB" w:eastAsia="en-US"/>
              </w:rPr>
              <w:t>bn</w:t>
            </w:r>
            <w:proofErr w:type="spellEnd"/>
            <w:r w:rsidR="00EA1EBB" w:rsidRPr="006E725C">
              <w:rPr>
                <w:spacing w:val="-4"/>
                <w:lang w:val="en-GB" w:eastAsia="en-US"/>
              </w:rPr>
              <w:t xml:space="preserve">) </w:t>
            </w:r>
            <w:r w:rsidR="00F1243F" w:rsidRPr="006E725C">
              <w:rPr>
                <w:spacing w:val="-4"/>
                <w:lang w:val="en-GB" w:eastAsia="en-US"/>
              </w:rPr>
              <w:t xml:space="preserve">or ores </w:t>
            </w:r>
            <w:r w:rsidR="00EA1EBB" w:rsidRPr="006E725C">
              <w:rPr>
                <w:spacing w:val="-4"/>
                <w:lang w:val="en-GB" w:eastAsia="en-US"/>
              </w:rPr>
              <w:t>(+6</w:t>
            </w:r>
            <w:r w:rsidR="00F1243F" w:rsidRPr="006E725C">
              <w:rPr>
                <w:spacing w:val="-4"/>
                <w:lang w:val="en-GB" w:eastAsia="en-US"/>
              </w:rPr>
              <w:t>.</w:t>
            </w:r>
            <w:r w:rsidR="00EA1EBB" w:rsidRPr="006E725C">
              <w:rPr>
                <w:spacing w:val="-4"/>
                <w:lang w:val="en-GB" w:eastAsia="en-US"/>
              </w:rPr>
              <w:t>3</w:t>
            </w:r>
            <w:r w:rsidR="00F1243F" w:rsidRPr="006E725C">
              <w:rPr>
                <w:spacing w:val="-4"/>
                <w:lang w:val="en-GB" w:eastAsia="en-US"/>
              </w:rPr>
              <w:t xml:space="preserve"> </w:t>
            </w:r>
            <w:proofErr w:type="spellStart"/>
            <w:r w:rsidR="00F1243F" w:rsidRPr="006E725C">
              <w:rPr>
                <w:spacing w:val="-4"/>
                <w:lang w:val="en-GB" w:eastAsia="en-US"/>
              </w:rPr>
              <w:t>bn</w:t>
            </w:r>
            <w:proofErr w:type="spellEnd"/>
            <w:r w:rsidR="00EA1EBB" w:rsidRPr="006E725C">
              <w:rPr>
                <w:spacing w:val="-4"/>
                <w:lang w:val="en-GB" w:eastAsia="en-US"/>
              </w:rPr>
              <w:t>)</w:t>
            </w:r>
            <w:r w:rsidR="00F1243F" w:rsidRPr="006E725C">
              <w:rPr>
                <w:spacing w:val="-4"/>
                <w:lang w:val="en-GB" w:eastAsia="en-US"/>
              </w:rPr>
              <w:t xml:space="preserve"> also worked strongly in the direction of improvement last year. </w:t>
            </w:r>
            <w:r w:rsidR="00006BF3" w:rsidRPr="006E725C">
              <w:rPr>
                <w:spacing w:val="-4"/>
                <w:lang w:val="en-GB" w:eastAsia="en-US"/>
              </w:rPr>
              <w:t xml:space="preserve">The balance was improving year-on-year for </w:t>
            </w:r>
            <w:r w:rsidR="000E5DB7" w:rsidRPr="006E725C">
              <w:rPr>
                <w:spacing w:val="-4"/>
                <w:lang w:val="en-GB" w:eastAsia="en-US"/>
              </w:rPr>
              <w:t>a</w:t>
            </w:r>
            <w:r w:rsidR="00006BF3" w:rsidRPr="006E725C">
              <w:rPr>
                <w:spacing w:val="-4"/>
                <w:lang w:val="en-GB" w:eastAsia="en-US"/>
              </w:rPr>
              <w:t xml:space="preserve"> major part of commodities. Trade with electricity, gas, steam and air conditioning </w:t>
            </w:r>
            <w:r w:rsidR="00EA1EBB" w:rsidRPr="006E725C">
              <w:rPr>
                <w:spacing w:val="-4"/>
                <w:lang w:val="en-GB" w:eastAsia="en-US"/>
              </w:rPr>
              <w:t>(−51</w:t>
            </w:r>
            <w:r w:rsidR="00006BF3" w:rsidRPr="006E725C">
              <w:rPr>
                <w:spacing w:val="-4"/>
                <w:lang w:val="en-GB" w:eastAsia="en-US"/>
              </w:rPr>
              <w:t>.</w:t>
            </w:r>
            <w:r w:rsidR="00EA1EBB" w:rsidRPr="006E725C">
              <w:rPr>
                <w:spacing w:val="-4"/>
                <w:lang w:val="en-GB" w:eastAsia="en-US"/>
              </w:rPr>
              <w:t>9</w:t>
            </w:r>
            <w:r w:rsidR="00006BF3"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produ</w:t>
            </w:r>
            <w:r w:rsidR="00006BF3" w:rsidRPr="006E725C">
              <w:rPr>
                <w:spacing w:val="-4"/>
                <w:lang w:val="en-GB" w:eastAsia="en-US"/>
              </w:rPr>
              <w:t xml:space="preserve">cts of forestry and wood logging </w:t>
            </w:r>
            <w:r w:rsidR="00EA1EBB" w:rsidRPr="006E725C">
              <w:rPr>
                <w:spacing w:val="-4"/>
                <w:lang w:val="en-GB" w:eastAsia="en-US"/>
              </w:rPr>
              <w:t>(−11</w:t>
            </w:r>
            <w:r w:rsidR="00006BF3" w:rsidRPr="006E725C">
              <w:rPr>
                <w:spacing w:val="-4"/>
                <w:lang w:val="en-GB" w:eastAsia="en-US"/>
              </w:rPr>
              <w:t>.</w:t>
            </w:r>
            <w:r w:rsidR="00EA1EBB" w:rsidRPr="006E725C">
              <w:rPr>
                <w:spacing w:val="-4"/>
                <w:lang w:val="en-GB" w:eastAsia="en-US"/>
              </w:rPr>
              <w:t>1</w:t>
            </w:r>
            <w:r w:rsidR="00006BF3" w:rsidRPr="006E725C">
              <w:rPr>
                <w:spacing w:val="-4"/>
                <w:lang w:val="en-GB" w:eastAsia="en-US"/>
              </w:rPr>
              <w:t xml:space="preserve"> </w:t>
            </w:r>
            <w:proofErr w:type="spellStart"/>
            <w:r w:rsidR="00006BF3" w:rsidRPr="006E725C">
              <w:rPr>
                <w:spacing w:val="-4"/>
                <w:lang w:val="en-GB" w:eastAsia="en-US"/>
              </w:rPr>
              <w:t>bn</w:t>
            </w:r>
            <w:proofErr w:type="spellEnd"/>
            <w:r w:rsidR="00EA1EBB" w:rsidRPr="006E725C">
              <w:rPr>
                <w:spacing w:val="-4"/>
                <w:lang w:val="en-GB" w:eastAsia="en-US"/>
              </w:rPr>
              <w:t>), produ</w:t>
            </w:r>
            <w:r w:rsidR="00006BF3" w:rsidRPr="006E725C">
              <w:rPr>
                <w:spacing w:val="-4"/>
                <w:lang w:val="en-GB" w:eastAsia="en-US"/>
              </w:rPr>
              <w:t xml:space="preserve">cts of agriculture and hunting </w:t>
            </w:r>
            <w:r w:rsidR="00EA1EBB" w:rsidRPr="006E725C">
              <w:rPr>
                <w:spacing w:val="-4"/>
                <w:lang w:val="en-GB" w:eastAsia="en-US"/>
              </w:rPr>
              <w:t>(−10</w:t>
            </w:r>
            <w:r w:rsidR="00006BF3" w:rsidRPr="006E725C">
              <w:rPr>
                <w:spacing w:val="-4"/>
                <w:lang w:val="en-GB" w:eastAsia="en-US"/>
              </w:rPr>
              <w:t>.</w:t>
            </w:r>
            <w:r w:rsidR="00EA1EBB" w:rsidRPr="006E725C">
              <w:rPr>
                <w:spacing w:val="-4"/>
                <w:lang w:val="en-GB" w:eastAsia="en-US"/>
              </w:rPr>
              <w:t>1</w:t>
            </w:r>
            <w:r w:rsidR="00006BF3" w:rsidRPr="006E725C">
              <w:rPr>
                <w:spacing w:val="-4"/>
                <w:lang w:val="en-GB" w:eastAsia="en-US"/>
              </w:rPr>
              <w:t xml:space="preserve"> </w:t>
            </w:r>
            <w:proofErr w:type="spellStart"/>
            <w:r w:rsidR="00006BF3" w:rsidRPr="006E725C">
              <w:rPr>
                <w:spacing w:val="-4"/>
                <w:lang w:val="en-GB" w:eastAsia="en-US"/>
              </w:rPr>
              <w:t>bn</w:t>
            </w:r>
            <w:proofErr w:type="spellEnd"/>
            <w:r w:rsidR="00EA1EBB" w:rsidRPr="006E725C">
              <w:rPr>
                <w:spacing w:val="-4"/>
                <w:lang w:val="en-GB" w:eastAsia="en-US"/>
              </w:rPr>
              <w:t>) a</w:t>
            </w:r>
            <w:r w:rsidR="00006BF3" w:rsidRPr="006E725C">
              <w:rPr>
                <w:spacing w:val="-4"/>
                <w:lang w:val="en-GB" w:eastAsia="en-US"/>
              </w:rPr>
              <w:t xml:space="preserve">nd wood and wood products </w:t>
            </w:r>
            <w:r w:rsidR="00EA1EBB" w:rsidRPr="006E725C">
              <w:rPr>
                <w:spacing w:val="-4"/>
                <w:lang w:val="en-GB" w:eastAsia="en-US"/>
              </w:rPr>
              <w:t>(−7</w:t>
            </w:r>
            <w:r w:rsidR="00006BF3" w:rsidRPr="006E725C">
              <w:rPr>
                <w:spacing w:val="-4"/>
                <w:lang w:val="en-GB" w:eastAsia="en-US"/>
              </w:rPr>
              <w:t>.</w:t>
            </w:r>
            <w:r w:rsidR="00EA1EBB" w:rsidRPr="006E725C">
              <w:rPr>
                <w:spacing w:val="-4"/>
                <w:lang w:val="en-GB" w:eastAsia="en-US"/>
              </w:rPr>
              <w:t>9</w:t>
            </w:r>
            <w:r w:rsidR="00006BF3" w:rsidRPr="006E725C">
              <w:rPr>
                <w:spacing w:val="-4"/>
                <w:lang w:val="en-GB" w:eastAsia="en-US"/>
              </w:rPr>
              <w:t xml:space="preserve"> </w:t>
            </w:r>
            <w:proofErr w:type="spellStart"/>
            <w:r w:rsidR="00006BF3" w:rsidRPr="006E725C">
              <w:rPr>
                <w:spacing w:val="-4"/>
                <w:lang w:val="en-GB" w:eastAsia="en-US"/>
              </w:rPr>
              <w:t>bn</w:t>
            </w:r>
            <w:proofErr w:type="spellEnd"/>
            <w:r w:rsidR="00EA1EBB" w:rsidRPr="006E725C">
              <w:rPr>
                <w:spacing w:val="-4"/>
                <w:lang w:val="en-GB" w:eastAsia="en-US"/>
              </w:rPr>
              <w:t>)</w:t>
            </w:r>
            <w:r w:rsidR="00006BF3" w:rsidRPr="006E725C">
              <w:rPr>
                <w:spacing w:val="-4"/>
                <w:lang w:val="en-GB" w:eastAsia="en-US"/>
              </w:rPr>
              <w:t xml:space="preserve"> were strong exceptions</w:t>
            </w:r>
            <w:r w:rsidR="00EA1EBB" w:rsidRPr="006E725C">
              <w:rPr>
                <w:spacing w:val="-4"/>
                <w:lang w:val="en-GB" w:eastAsia="en-US"/>
              </w:rPr>
              <w:t xml:space="preserve">. </w:t>
            </w:r>
            <w:r w:rsidR="004F36FA" w:rsidRPr="006E725C">
              <w:rPr>
                <w:spacing w:val="-4"/>
                <w:lang w:val="en-GB" w:eastAsia="en-US"/>
              </w:rPr>
              <w:t xml:space="preserve">Balance of trade with motor vehicles </w:t>
            </w:r>
            <w:r w:rsidR="00EA1EBB" w:rsidRPr="006E725C">
              <w:rPr>
                <w:spacing w:val="-4"/>
                <w:lang w:val="en-GB" w:eastAsia="en-US"/>
              </w:rPr>
              <w:t>(+33</w:t>
            </w:r>
            <w:r w:rsidR="004F36FA" w:rsidRPr="006E725C">
              <w:rPr>
                <w:spacing w:val="-4"/>
                <w:lang w:val="en-GB" w:eastAsia="en-US"/>
              </w:rPr>
              <w:t>.</w:t>
            </w:r>
            <w:r w:rsidR="00EA1EBB" w:rsidRPr="006E725C">
              <w:rPr>
                <w:spacing w:val="-4"/>
                <w:lang w:val="en-GB" w:eastAsia="en-US"/>
              </w:rPr>
              <w:t>7</w:t>
            </w:r>
            <w:r w:rsidR="004F36FA"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 </w:t>
            </w:r>
            <w:r w:rsidR="00455AE3" w:rsidRPr="006E725C">
              <w:rPr>
                <w:spacing w:val="-4"/>
                <w:lang w:val="en-GB" w:eastAsia="en-US"/>
              </w:rPr>
              <w:t xml:space="preserve">petroleum </w:t>
            </w:r>
            <w:r w:rsidR="004F36FA" w:rsidRPr="006E725C">
              <w:rPr>
                <w:spacing w:val="-4"/>
                <w:lang w:val="en-GB" w:eastAsia="en-US"/>
              </w:rPr>
              <w:t xml:space="preserve">and natural gas </w:t>
            </w:r>
            <w:r w:rsidR="00EA1EBB" w:rsidRPr="006E725C">
              <w:rPr>
                <w:spacing w:val="-4"/>
                <w:lang w:val="en-GB" w:eastAsia="en-US"/>
              </w:rPr>
              <w:t>(+28</w:t>
            </w:r>
            <w:r w:rsidR="004F36FA" w:rsidRPr="006E725C">
              <w:rPr>
                <w:spacing w:val="-4"/>
                <w:lang w:val="en-GB" w:eastAsia="en-US"/>
              </w:rPr>
              <w:t>.</w:t>
            </w:r>
            <w:r w:rsidR="00EA1EBB" w:rsidRPr="006E725C">
              <w:rPr>
                <w:spacing w:val="-4"/>
                <w:lang w:val="en-GB" w:eastAsia="en-US"/>
              </w:rPr>
              <w:t>1</w:t>
            </w:r>
            <w:r w:rsidR="004F36FA" w:rsidRPr="006E725C">
              <w:rPr>
                <w:spacing w:val="-4"/>
                <w:lang w:val="en-GB" w:eastAsia="en-US"/>
              </w:rPr>
              <w:t xml:space="preserve"> </w:t>
            </w:r>
            <w:proofErr w:type="spellStart"/>
            <w:r w:rsidR="004F36FA" w:rsidRPr="006E725C">
              <w:rPr>
                <w:spacing w:val="-4"/>
                <w:lang w:val="en-GB" w:eastAsia="en-US"/>
              </w:rPr>
              <w:t>bn</w:t>
            </w:r>
            <w:proofErr w:type="spellEnd"/>
            <w:r w:rsidR="00EA1EBB" w:rsidRPr="006E725C">
              <w:rPr>
                <w:spacing w:val="-4"/>
                <w:lang w:val="en-GB" w:eastAsia="en-US"/>
              </w:rPr>
              <w:t>)</w:t>
            </w:r>
            <w:r w:rsidR="004F36FA" w:rsidRPr="006E725C">
              <w:rPr>
                <w:spacing w:val="-4"/>
                <w:lang w:val="en-GB" w:eastAsia="en-US"/>
              </w:rPr>
              <w:t xml:space="preserve"> and electrical appliances </w:t>
            </w:r>
            <w:r w:rsidR="00EA1EBB" w:rsidRPr="006E725C">
              <w:rPr>
                <w:spacing w:val="-4"/>
                <w:lang w:val="en-GB" w:eastAsia="en-US"/>
              </w:rPr>
              <w:t>(+19</w:t>
            </w:r>
            <w:r w:rsidR="004F36FA" w:rsidRPr="006E725C">
              <w:rPr>
                <w:spacing w:val="-4"/>
                <w:lang w:val="en-GB" w:eastAsia="en-US"/>
              </w:rPr>
              <w:t>.</w:t>
            </w:r>
            <w:r w:rsidR="00EA1EBB" w:rsidRPr="006E725C">
              <w:rPr>
                <w:spacing w:val="-4"/>
                <w:lang w:val="en-GB" w:eastAsia="en-US"/>
              </w:rPr>
              <w:t>2</w:t>
            </w:r>
            <w:r w:rsidR="004F36FA" w:rsidRPr="006E725C">
              <w:rPr>
                <w:spacing w:val="-4"/>
                <w:lang w:val="en-GB" w:eastAsia="en-US"/>
              </w:rPr>
              <w:t xml:space="preserve"> </w:t>
            </w:r>
            <w:proofErr w:type="spellStart"/>
            <w:r w:rsidR="004F36FA" w:rsidRPr="006E725C">
              <w:rPr>
                <w:spacing w:val="-4"/>
                <w:lang w:val="en-GB" w:eastAsia="en-US"/>
              </w:rPr>
              <w:t>bn</w:t>
            </w:r>
            <w:proofErr w:type="spellEnd"/>
            <w:r w:rsidR="00EA1EBB" w:rsidRPr="006E725C">
              <w:rPr>
                <w:spacing w:val="-4"/>
                <w:lang w:val="en-GB" w:eastAsia="en-US"/>
              </w:rPr>
              <w:t>)</w:t>
            </w:r>
            <w:r w:rsidR="004F36FA" w:rsidRPr="006E725C">
              <w:rPr>
                <w:spacing w:val="-4"/>
                <w:lang w:val="en-GB" w:eastAsia="en-US"/>
              </w:rPr>
              <w:t xml:space="preserve"> improved the most year-on-year in Q4 itself</w:t>
            </w:r>
            <w:r w:rsidR="00EA1EBB" w:rsidRPr="006E725C">
              <w:rPr>
                <w:spacing w:val="-4"/>
                <w:lang w:val="en-GB" w:eastAsia="en-US"/>
              </w:rPr>
              <w:t xml:space="preserve">. </w:t>
            </w:r>
            <w:r w:rsidR="004F36FA" w:rsidRPr="006E725C">
              <w:rPr>
                <w:spacing w:val="-4"/>
                <w:lang w:val="en-GB" w:eastAsia="en-US"/>
              </w:rPr>
              <w:t xml:space="preserve">Trade with machinery and equipment </w:t>
            </w:r>
            <w:r w:rsidR="00EA1EBB" w:rsidRPr="006E725C">
              <w:rPr>
                <w:spacing w:val="-4"/>
                <w:lang w:val="en-GB" w:eastAsia="en-US"/>
              </w:rPr>
              <w:t>(+7</w:t>
            </w:r>
            <w:r w:rsidR="004F36FA" w:rsidRPr="006E725C">
              <w:rPr>
                <w:spacing w:val="-4"/>
                <w:lang w:val="en-GB" w:eastAsia="en-US"/>
              </w:rPr>
              <w:t>.</w:t>
            </w:r>
            <w:r w:rsidR="00EA1EBB" w:rsidRPr="006E725C">
              <w:rPr>
                <w:spacing w:val="-4"/>
                <w:lang w:val="en-GB" w:eastAsia="en-US"/>
              </w:rPr>
              <w:t>0</w:t>
            </w:r>
            <w:r w:rsidR="004F36FA"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w:t>
            </w:r>
            <w:r w:rsidR="004F36FA" w:rsidRPr="006E725C">
              <w:rPr>
                <w:spacing w:val="-4"/>
                <w:lang w:val="en-GB" w:eastAsia="en-US"/>
              </w:rPr>
              <w:t xml:space="preserve"> </w:t>
            </w:r>
            <w:r w:rsidR="00C90F18">
              <w:rPr>
                <w:spacing w:val="-4"/>
                <w:lang w:val="en-GB" w:eastAsia="en-US"/>
              </w:rPr>
              <w:t>clothing</w:t>
            </w:r>
            <w:r w:rsidR="004F36FA" w:rsidRPr="006E725C">
              <w:rPr>
                <w:spacing w:val="-4"/>
                <w:lang w:val="en-GB" w:eastAsia="en-US"/>
              </w:rPr>
              <w:t xml:space="preserve"> </w:t>
            </w:r>
            <w:r w:rsidR="00EA1EBB" w:rsidRPr="006E725C">
              <w:rPr>
                <w:spacing w:val="-4"/>
                <w:lang w:val="en-GB" w:eastAsia="en-US"/>
              </w:rPr>
              <w:t>(+4</w:t>
            </w:r>
            <w:r w:rsidR="004F36FA" w:rsidRPr="006E725C">
              <w:rPr>
                <w:spacing w:val="-4"/>
                <w:lang w:val="en-GB" w:eastAsia="en-US"/>
              </w:rPr>
              <w:t>.</w:t>
            </w:r>
            <w:r w:rsidR="00EA1EBB" w:rsidRPr="006E725C">
              <w:rPr>
                <w:spacing w:val="-4"/>
                <w:lang w:val="en-GB" w:eastAsia="en-US"/>
              </w:rPr>
              <w:t>6</w:t>
            </w:r>
            <w:r w:rsidR="004F36FA" w:rsidRPr="006E725C">
              <w:rPr>
                <w:spacing w:val="-4"/>
                <w:lang w:val="en-GB" w:eastAsia="en-US"/>
              </w:rPr>
              <w:t xml:space="preserve"> </w:t>
            </w:r>
            <w:proofErr w:type="spellStart"/>
            <w:r w:rsidR="004F36FA" w:rsidRPr="006E725C">
              <w:rPr>
                <w:spacing w:val="-4"/>
                <w:lang w:val="en-GB" w:eastAsia="en-US"/>
              </w:rPr>
              <w:t>bn</w:t>
            </w:r>
            <w:proofErr w:type="spellEnd"/>
            <w:r w:rsidR="00EA1EBB" w:rsidRPr="006E725C">
              <w:rPr>
                <w:spacing w:val="-4"/>
                <w:lang w:val="en-GB" w:eastAsia="en-US"/>
              </w:rPr>
              <w:t>), chemic</w:t>
            </w:r>
            <w:r w:rsidR="004F36FA" w:rsidRPr="006E725C">
              <w:rPr>
                <w:spacing w:val="-4"/>
                <w:lang w:val="en-GB" w:eastAsia="en-US"/>
              </w:rPr>
              <w:t xml:space="preserve">al substances and products </w:t>
            </w:r>
            <w:r w:rsidR="00EA1EBB" w:rsidRPr="006E725C">
              <w:rPr>
                <w:spacing w:val="-4"/>
                <w:lang w:val="en-GB" w:eastAsia="en-US"/>
              </w:rPr>
              <w:t>(+4</w:t>
            </w:r>
            <w:r w:rsidR="004F36FA" w:rsidRPr="006E725C">
              <w:rPr>
                <w:spacing w:val="-4"/>
                <w:lang w:val="en-GB" w:eastAsia="en-US"/>
              </w:rPr>
              <w:t>.</w:t>
            </w:r>
            <w:r w:rsidR="00EA1EBB" w:rsidRPr="006E725C">
              <w:rPr>
                <w:spacing w:val="-4"/>
                <w:lang w:val="en-GB" w:eastAsia="en-US"/>
              </w:rPr>
              <w:t>5</w:t>
            </w:r>
            <w:r w:rsidR="004F36FA" w:rsidRPr="006E725C">
              <w:rPr>
                <w:spacing w:val="-4"/>
                <w:lang w:val="en-GB" w:eastAsia="en-US"/>
              </w:rPr>
              <w:t xml:space="preserve"> </w:t>
            </w:r>
            <w:proofErr w:type="spellStart"/>
            <w:r w:rsidR="004F36FA" w:rsidRPr="006E725C">
              <w:rPr>
                <w:spacing w:val="-4"/>
                <w:lang w:val="en-GB" w:eastAsia="en-US"/>
              </w:rPr>
              <w:t>bn</w:t>
            </w:r>
            <w:proofErr w:type="spellEnd"/>
            <w:r w:rsidR="00EA1EBB" w:rsidRPr="006E725C">
              <w:rPr>
                <w:spacing w:val="-4"/>
                <w:lang w:val="en-GB" w:eastAsia="en-US"/>
              </w:rPr>
              <w:t xml:space="preserve">), </w:t>
            </w:r>
            <w:r w:rsidR="004F36FA" w:rsidRPr="006E725C">
              <w:rPr>
                <w:spacing w:val="-4"/>
                <w:lang w:val="en-GB" w:eastAsia="en-US"/>
              </w:rPr>
              <w:t xml:space="preserve">basic metals </w:t>
            </w:r>
            <w:r w:rsidR="00EA1EBB" w:rsidRPr="006E725C">
              <w:rPr>
                <w:spacing w:val="-4"/>
                <w:lang w:val="en-GB" w:eastAsia="en-US"/>
              </w:rPr>
              <w:t>(+4</w:t>
            </w:r>
            <w:r w:rsidR="004F36FA" w:rsidRPr="006E725C">
              <w:rPr>
                <w:spacing w:val="-4"/>
                <w:lang w:val="en-GB" w:eastAsia="en-US"/>
              </w:rPr>
              <w:t>.</w:t>
            </w:r>
            <w:r w:rsidR="00EA1EBB" w:rsidRPr="006E725C">
              <w:rPr>
                <w:spacing w:val="-4"/>
                <w:lang w:val="en-GB" w:eastAsia="en-US"/>
              </w:rPr>
              <w:t>3</w:t>
            </w:r>
            <w:r w:rsidR="004F36FA" w:rsidRPr="006E725C">
              <w:rPr>
                <w:spacing w:val="-4"/>
                <w:lang w:val="en-GB" w:eastAsia="en-US"/>
              </w:rPr>
              <w:t xml:space="preserve"> </w:t>
            </w:r>
            <w:proofErr w:type="spellStart"/>
            <w:r w:rsidR="004F36FA" w:rsidRPr="006E725C">
              <w:rPr>
                <w:spacing w:val="-4"/>
                <w:lang w:val="en-GB" w:eastAsia="en-US"/>
              </w:rPr>
              <w:t>bn</w:t>
            </w:r>
            <w:proofErr w:type="spellEnd"/>
            <w:r w:rsidR="00EA1EBB" w:rsidRPr="006E725C">
              <w:rPr>
                <w:spacing w:val="-4"/>
                <w:lang w:val="en-GB" w:eastAsia="en-US"/>
              </w:rPr>
              <w:t xml:space="preserve">), </w:t>
            </w:r>
            <w:r w:rsidR="004F36FA" w:rsidRPr="006E725C">
              <w:rPr>
                <w:spacing w:val="-4"/>
                <w:lang w:val="en-GB" w:eastAsia="en-US"/>
              </w:rPr>
              <w:t xml:space="preserve">basic pharmaceutical products </w:t>
            </w:r>
            <w:r w:rsidR="00EA1EBB" w:rsidRPr="006E725C">
              <w:rPr>
                <w:spacing w:val="-4"/>
                <w:lang w:val="en-GB" w:eastAsia="en-US"/>
              </w:rPr>
              <w:t>(+4</w:t>
            </w:r>
            <w:r w:rsidR="004F36FA" w:rsidRPr="006E725C">
              <w:rPr>
                <w:spacing w:val="-4"/>
                <w:lang w:val="en-GB" w:eastAsia="en-US"/>
              </w:rPr>
              <w:t>.</w:t>
            </w:r>
            <w:r w:rsidR="00EA1EBB" w:rsidRPr="006E725C">
              <w:rPr>
                <w:spacing w:val="-4"/>
                <w:lang w:val="en-GB" w:eastAsia="en-US"/>
              </w:rPr>
              <w:t>1</w:t>
            </w:r>
            <w:r w:rsidR="004F36FA" w:rsidRPr="006E725C">
              <w:rPr>
                <w:spacing w:val="-4"/>
                <w:lang w:val="en-GB" w:eastAsia="en-US"/>
              </w:rPr>
              <w:t xml:space="preserve"> </w:t>
            </w:r>
            <w:proofErr w:type="spellStart"/>
            <w:r w:rsidR="004F36FA" w:rsidRPr="006E725C">
              <w:rPr>
                <w:spacing w:val="-4"/>
                <w:lang w:val="en-GB" w:eastAsia="en-US"/>
              </w:rPr>
              <w:t>bn</w:t>
            </w:r>
            <w:proofErr w:type="spellEnd"/>
            <w:r w:rsidR="00EA1EBB" w:rsidRPr="006E725C">
              <w:rPr>
                <w:spacing w:val="-4"/>
                <w:lang w:val="en-GB" w:eastAsia="en-US"/>
              </w:rPr>
              <w:t>)</w:t>
            </w:r>
            <w:r w:rsidR="004F36FA" w:rsidRPr="006E725C">
              <w:rPr>
                <w:spacing w:val="-4"/>
                <w:lang w:val="en-GB" w:eastAsia="en-US"/>
              </w:rPr>
              <w:t xml:space="preserve"> or other manufacturing products </w:t>
            </w:r>
            <w:r w:rsidR="00EA1EBB" w:rsidRPr="006E725C">
              <w:rPr>
                <w:spacing w:val="-4"/>
                <w:lang w:val="en-GB" w:eastAsia="en-US"/>
              </w:rPr>
              <w:t>(+3</w:t>
            </w:r>
            <w:r w:rsidR="004F36FA" w:rsidRPr="006E725C">
              <w:rPr>
                <w:spacing w:val="-4"/>
                <w:lang w:val="en-GB" w:eastAsia="en-US"/>
              </w:rPr>
              <w:t>.</w:t>
            </w:r>
            <w:r w:rsidR="00EA1EBB" w:rsidRPr="006E725C">
              <w:rPr>
                <w:spacing w:val="-4"/>
                <w:lang w:val="en-GB" w:eastAsia="en-US"/>
              </w:rPr>
              <w:t>2</w:t>
            </w:r>
            <w:r w:rsidR="004F36FA" w:rsidRPr="006E725C">
              <w:rPr>
                <w:spacing w:val="-4"/>
                <w:lang w:val="en-GB" w:eastAsia="en-US"/>
              </w:rPr>
              <w:t xml:space="preserve"> </w:t>
            </w:r>
            <w:proofErr w:type="spellStart"/>
            <w:r w:rsidR="004F36FA" w:rsidRPr="006E725C">
              <w:rPr>
                <w:spacing w:val="-4"/>
                <w:lang w:val="en-GB" w:eastAsia="en-US"/>
              </w:rPr>
              <w:t>bn</w:t>
            </w:r>
            <w:proofErr w:type="spellEnd"/>
            <w:r w:rsidR="00EA1EBB" w:rsidRPr="006E725C">
              <w:rPr>
                <w:spacing w:val="-4"/>
                <w:lang w:val="en-GB" w:eastAsia="en-US"/>
              </w:rPr>
              <w:t>)</w:t>
            </w:r>
            <w:r w:rsidR="00F1243F" w:rsidRPr="006E725C">
              <w:rPr>
                <w:spacing w:val="-4"/>
                <w:lang w:val="en-GB" w:eastAsia="en-US"/>
              </w:rPr>
              <w:t xml:space="preserve"> also had a favourable effect on the balance. Worsening of balance for electricity, gas, steam and air conditioning </w:t>
            </w:r>
            <w:r w:rsidR="00EA1EBB" w:rsidRPr="006E725C">
              <w:rPr>
                <w:spacing w:val="-4"/>
                <w:lang w:val="en-GB" w:eastAsia="en-US"/>
              </w:rPr>
              <w:t>(−13</w:t>
            </w:r>
            <w:r w:rsidR="00F1243F" w:rsidRPr="006E725C">
              <w:rPr>
                <w:spacing w:val="-4"/>
                <w:lang w:val="en-GB" w:eastAsia="en-US"/>
              </w:rPr>
              <w:t>.</w:t>
            </w:r>
            <w:r w:rsidR="00EA1EBB" w:rsidRPr="006E725C">
              <w:rPr>
                <w:spacing w:val="-4"/>
                <w:lang w:val="en-GB" w:eastAsia="en-US"/>
              </w:rPr>
              <w:t>7</w:t>
            </w:r>
            <w:r w:rsidR="00F1243F" w:rsidRPr="006E725C">
              <w:rPr>
                <w:spacing w:val="-4"/>
                <w:lang w:val="en-GB" w:eastAsia="en-US"/>
              </w:rPr>
              <w:t xml:space="preserve"> </w:t>
            </w:r>
            <w:r w:rsidR="009C0832">
              <w:rPr>
                <w:spacing w:val="-4"/>
                <w:lang w:val="en-GB" w:eastAsia="en-US"/>
              </w:rPr>
              <w:t xml:space="preserve">CZK </w:t>
            </w:r>
            <w:proofErr w:type="spellStart"/>
            <w:r w:rsidR="009C0832">
              <w:rPr>
                <w:spacing w:val="-4"/>
                <w:lang w:val="en-GB" w:eastAsia="en-US"/>
              </w:rPr>
              <w:t>bn</w:t>
            </w:r>
            <w:proofErr w:type="spellEnd"/>
            <w:r w:rsidR="00EA1EBB" w:rsidRPr="006E725C">
              <w:rPr>
                <w:spacing w:val="-4"/>
                <w:lang w:val="en-GB" w:eastAsia="en-US"/>
              </w:rPr>
              <w:t>)</w:t>
            </w:r>
            <w:r w:rsidR="00F1243F" w:rsidRPr="006E725C">
              <w:rPr>
                <w:spacing w:val="-4"/>
                <w:lang w:val="en-GB" w:eastAsia="en-US"/>
              </w:rPr>
              <w:t xml:space="preserve"> was the largest factor in the year-on-year worsening of balance in Q4</w:t>
            </w:r>
            <w:r w:rsidR="00EA1EBB" w:rsidRPr="006E725C">
              <w:rPr>
                <w:spacing w:val="-4"/>
                <w:lang w:val="en-GB" w:eastAsia="en-US"/>
              </w:rPr>
              <w:t>.</w:t>
            </w:r>
          </w:p>
        </w:tc>
      </w:tr>
      <w:bookmarkEnd w:id="37"/>
      <w:bookmarkEnd w:id="38"/>
      <w:bookmarkEnd w:id="39"/>
    </w:tbl>
    <w:p w14:paraId="2A58EC35" w14:textId="77777777" w:rsidR="00EA1EBB" w:rsidRPr="006E725C" w:rsidRDefault="00EA1EBB" w:rsidP="00EA1EBB">
      <w:pPr>
        <w:spacing w:after="0" w:line="240" w:lineRule="auto"/>
        <w:jc w:val="left"/>
        <w:rPr>
          <w:rFonts w:eastAsia="MS Gothic"/>
          <w:bCs/>
          <w:color w:val="71818C"/>
          <w:sz w:val="2"/>
          <w:szCs w:val="2"/>
          <w:lang w:val="en-GB"/>
        </w:rPr>
      </w:pPr>
    </w:p>
    <w:p w14:paraId="0D65C287" w14:textId="233E1152" w:rsidR="00EA1EBB" w:rsidRPr="006E725C" w:rsidRDefault="00EA1EBB" w:rsidP="00EA1EBB">
      <w:pPr>
        <w:pStyle w:val="Nadpis11"/>
        <w:rPr>
          <w:lang w:val="en-GB"/>
        </w:rPr>
      </w:pPr>
      <w:bookmarkStart w:id="40" w:name="_Toc153531177"/>
      <w:bookmarkStart w:id="41" w:name="_Toc164682187"/>
      <w:bookmarkEnd w:id="31"/>
      <w:r w:rsidRPr="006E725C">
        <w:rPr>
          <w:lang w:val="en-GB"/>
        </w:rPr>
        <w:lastRenderedPageBreak/>
        <w:t>5. </w:t>
      </w:r>
      <w:r w:rsidR="005650DC" w:rsidRPr="006E725C">
        <w:rPr>
          <w:lang w:val="en-GB"/>
        </w:rPr>
        <w:t>Prices</w:t>
      </w:r>
      <w:bookmarkEnd w:id="40"/>
      <w:bookmarkEnd w:id="41"/>
    </w:p>
    <w:tbl>
      <w:tblPr>
        <w:tblW w:w="9639" w:type="dxa"/>
        <w:tblInd w:w="-15" w:type="dxa"/>
        <w:tblCellMar>
          <w:left w:w="0" w:type="dxa"/>
          <w:right w:w="0" w:type="dxa"/>
        </w:tblCellMar>
        <w:tblLook w:val="00A0" w:firstRow="1" w:lastRow="0" w:firstColumn="1" w:lastColumn="0" w:noHBand="0" w:noVBand="0"/>
      </w:tblPr>
      <w:tblGrid>
        <w:gridCol w:w="1804"/>
        <w:gridCol w:w="224"/>
        <w:gridCol w:w="7611"/>
      </w:tblGrid>
      <w:tr w:rsidR="00EA1EBB" w:rsidRPr="006E725C" w14:paraId="71473CC2" w14:textId="77777777" w:rsidTr="00EA1EBB">
        <w:trPr>
          <w:trHeight w:val="145"/>
        </w:trPr>
        <w:tc>
          <w:tcPr>
            <w:tcW w:w="1804" w:type="dxa"/>
            <w:hideMark/>
          </w:tcPr>
          <w:p w14:paraId="13E46214" w14:textId="49F83087" w:rsidR="00EA1EBB" w:rsidRPr="006E725C" w:rsidRDefault="005650DC">
            <w:pPr>
              <w:pStyle w:val="Marginlie"/>
              <w:rPr>
                <w:spacing w:val="0"/>
                <w:lang w:val="en-GB" w:eastAsia="en-US"/>
              </w:rPr>
            </w:pPr>
            <w:r w:rsidRPr="006E725C">
              <w:rPr>
                <w:spacing w:val="0"/>
                <w:lang w:val="en-GB" w:eastAsia="en-US"/>
              </w:rPr>
              <w:t xml:space="preserve">Total price level strongly grew last year. </w:t>
            </w:r>
          </w:p>
        </w:tc>
        <w:tc>
          <w:tcPr>
            <w:tcW w:w="224" w:type="dxa"/>
          </w:tcPr>
          <w:p w14:paraId="3B93531C" w14:textId="77777777" w:rsidR="00EA1EBB" w:rsidRPr="006E725C" w:rsidRDefault="00EA1EBB">
            <w:pPr>
              <w:pStyle w:val="Textpoznpodarou1"/>
              <w:jc w:val="both"/>
              <w:rPr>
                <w:lang w:val="en-GB" w:eastAsia="en-US"/>
              </w:rPr>
            </w:pPr>
          </w:p>
        </w:tc>
        <w:tc>
          <w:tcPr>
            <w:tcW w:w="7611" w:type="dxa"/>
            <w:hideMark/>
          </w:tcPr>
          <w:p w14:paraId="1DE83BB4" w14:textId="711CE8B3" w:rsidR="00EA1EBB" w:rsidRPr="006E725C" w:rsidRDefault="007C6319">
            <w:pPr>
              <w:rPr>
                <w:szCs w:val="20"/>
                <w:lang w:val="en-GB" w:eastAsia="en-US"/>
              </w:rPr>
            </w:pPr>
            <w:r w:rsidRPr="006E725C">
              <w:rPr>
                <w:szCs w:val="20"/>
                <w:lang w:val="en-GB" w:eastAsia="en-US"/>
              </w:rPr>
              <w:t xml:space="preserve">Total price level gauged by the GDP deflator increased by 8.6% in the economy for the whole year </w:t>
            </w:r>
            <w:r w:rsidR="00EA1EBB" w:rsidRPr="006E725C">
              <w:rPr>
                <w:szCs w:val="20"/>
                <w:lang w:val="en-GB" w:eastAsia="en-US"/>
              </w:rPr>
              <w:t>2023</w:t>
            </w:r>
            <w:r w:rsidRPr="006E725C">
              <w:rPr>
                <w:szCs w:val="20"/>
                <w:lang w:val="en-GB" w:eastAsia="en-US"/>
              </w:rPr>
              <w:t xml:space="preserve">. Prices of </w:t>
            </w:r>
            <w:r w:rsidR="004C5F7F" w:rsidRPr="006E725C">
              <w:rPr>
                <w:szCs w:val="20"/>
                <w:lang w:val="en-GB" w:eastAsia="en-US"/>
              </w:rPr>
              <w:t>consumption</w:t>
            </w:r>
            <w:r w:rsidRPr="006E725C">
              <w:rPr>
                <w:szCs w:val="20"/>
                <w:lang w:val="en-GB" w:eastAsia="en-US"/>
              </w:rPr>
              <w:t xml:space="preserve"> were by </w:t>
            </w:r>
            <w:r w:rsidR="00EA1EBB" w:rsidRPr="006E725C">
              <w:rPr>
                <w:szCs w:val="20"/>
                <w:lang w:val="en-GB" w:eastAsia="en-US"/>
              </w:rPr>
              <w:t>8</w:t>
            </w:r>
            <w:r w:rsidRPr="006E725C">
              <w:rPr>
                <w:szCs w:val="20"/>
                <w:lang w:val="en-GB" w:eastAsia="en-US"/>
              </w:rPr>
              <w:t>.</w:t>
            </w:r>
            <w:r w:rsidR="00EA1EBB" w:rsidRPr="006E725C">
              <w:rPr>
                <w:szCs w:val="20"/>
                <w:lang w:val="en-GB" w:eastAsia="en-US"/>
              </w:rPr>
              <w:t>2%</w:t>
            </w:r>
            <w:r w:rsidRPr="006E725C">
              <w:rPr>
                <w:szCs w:val="20"/>
                <w:lang w:val="en-GB" w:eastAsia="en-US"/>
              </w:rPr>
              <w:t xml:space="preserve"> higher</w:t>
            </w:r>
            <w:r w:rsidR="00EA1EBB" w:rsidRPr="006E725C">
              <w:rPr>
                <w:szCs w:val="20"/>
                <w:lang w:val="en-GB" w:eastAsia="en-US"/>
              </w:rPr>
              <w:t xml:space="preserve">, </w:t>
            </w:r>
            <w:r w:rsidR="00781B70" w:rsidRPr="006E725C">
              <w:rPr>
                <w:szCs w:val="20"/>
                <w:lang w:val="en-GB" w:eastAsia="en-US"/>
              </w:rPr>
              <w:t>while the growth weakened to 9.3% for the household consumption a</w:t>
            </w:r>
            <w:r w:rsidRPr="006E725C">
              <w:rPr>
                <w:szCs w:val="20"/>
                <w:lang w:val="en-GB" w:eastAsia="en-US"/>
              </w:rPr>
              <w:t xml:space="preserve">nd price level of goods </w:t>
            </w:r>
            <w:r w:rsidR="004C5F7F" w:rsidRPr="006E725C">
              <w:rPr>
                <w:szCs w:val="20"/>
                <w:lang w:val="en-GB" w:eastAsia="en-US"/>
              </w:rPr>
              <w:t>consumed</w:t>
            </w:r>
            <w:r w:rsidRPr="006E725C">
              <w:rPr>
                <w:szCs w:val="20"/>
                <w:lang w:val="en-GB" w:eastAsia="en-US"/>
              </w:rPr>
              <w:t xml:space="preserve"> by the sector of</w:t>
            </w:r>
            <w:r w:rsidR="004C5F7F" w:rsidRPr="006E725C">
              <w:rPr>
                <w:szCs w:val="20"/>
                <w:lang w:val="en-GB" w:eastAsia="en-US"/>
              </w:rPr>
              <w:t xml:space="preserve"> general government increased by </w:t>
            </w:r>
            <w:r w:rsidR="00EA1EBB" w:rsidRPr="006E725C">
              <w:rPr>
                <w:szCs w:val="20"/>
                <w:lang w:val="en-GB" w:eastAsia="en-US"/>
              </w:rPr>
              <w:t>5</w:t>
            </w:r>
            <w:r w:rsidR="004C5F7F" w:rsidRPr="006E725C">
              <w:rPr>
                <w:szCs w:val="20"/>
                <w:lang w:val="en-GB" w:eastAsia="en-US"/>
              </w:rPr>
              <w:t>.</w:t>
            </w:r>
            <w:r w:rsidR="00EA1EBB" w:rsidRPr="006E725C">
              <w:rPr>
                <w:szCs w:val="20"/>
                <w:lang w:val="en-GB" w:eastAsia="en-US"/>
              </w:rPr>
              <w:t xml:space="preserve">8%. </w:t>
            </w:r>
            <w:r w:rsidR="006C2B31" w:rsidRPr="006E725C">
              <w:rPr>
                <w:szCs w:val="20"/>
                <w:lang w:val="en-GB" w:eastAsia="en-US"/>
              </w:rPr>
              <w:t xml:space="preserve">Prices of capital goods </w:t>
            </w:r>
            <w:r w:rsidR="00EA1EBB" w:rsidRPr="006E725C">
              <w:rPr>
                <w:szCs w:val="20"/>
                <w:lang w:val="en-GB" w:eastAsia="en-US"/>
              </w:rPr>
              <w:t>(4</w:t>
            </w:r>
            <w:r w:rsidR="006C2B31" w:rsidRPr="006E725C">
              <w:rPr>
                <w:szCs w:val="20"/>
                <w:lang w:val="en-GB" w:eastAsia="en-US"/>
              </w:rPr>
              <w:t>.</w:t>
            </w:r>
            <w:r w:rsidR="00EA1EBB" w:rsidRPr="006E725C">
              <w:rPr>
                <w:szCs w:val="20"/>
                <w:lang w:val="en-GB" w:eastAsia="en-US"/>
              </w:rPr>
              <w:t>2%)</w:t>
            </w:r>
            <w:r w:rsidR="006C2B31" w:rsidRPr="006E725C">
              <w:rPr>
                <w:szCs w:val="20"/>
                <w:lang w:val="en-GB" w:eastAsia="en-US"/>
              </w:rPr>
              <w:t xml:space="preserve"> grew slower</w:t>
            </w:r>
            <w:r w:rsidR="00F85894" w:rsidRPr="006E725C">
              <w:rPr>
                <w:szCs w:val="20"/>
                <w:lang w:val="en-GB" w:eastAsia="en-US"/>
              </w:rPr>
              <w:t xml:space="preserve"> against the whole economy</w:t>
            </w:r>
            <w:r w:rsidR="00EA1EBB" w:rsidRPr="006E725C">
              <w:rPr>
                <w:szCs w:val="20"/>
                <w:lang w:val="en-GB" w:eastAsia="en-US"/>
              </w:rPr>
              <w:t>.</w:t>
            </w:r>
            <w:r w:rsidR="00F85894" w:rsidRPr="006E725C">
              <w:rPr>
                <w:szCs w:val="20"/>
                <w:lang w:val="en-GB" w:eastAsia="en-US"/>
              </w:rPr>
              <w:t xml:space="preserve"> Import prices of goods and services slumped more markedly than prices of export last year, which led to </w:t>
            </w:r>
            <w:r w:rsidR="006C2B31" w:rsidRPr="006E725C">
              <w:rPr>
                <w:szCs w:val="20"/>
                <w:lang w:val="en-GB" w:eastAsia="en-US"/>
              </w:rPr>
              <w:t xml:space="preserve">considerably positive terms of trade, which arrived at </w:t>
            </w:r>
            <w:r w:rsidR="00EA1EBB" w:rsidRPr="006E725C">
              <w:rPr>
                <w:szCs w:val="20"/>
                <w:lang w:val="en-GB" w:eastAsia="en-US"/>
              </w:rPr>
              <w:t>102</w:t>
            </w:r>
            <w:r w:rsidR="006C2B31" w:rsidRPr="006E725C">
              <w:rPr>
                <w:szCs w:val="20"/>
                <w:lang w:val="en-GB" w:eastAsia="en-US"/>
              </w:rPr>
              <w:t>.</w:t>
            </w:r>
            <w:r w:rsidR="00EA1EBB" w:rsidRPr="006E725C">
              <w:rPr>
                <w:szCs w:val="20"/>
                <w:lang w:val="en-GB" w:eastAsia="en-US"/>
              </w:rPr>
              <w:t xml:space="preserve">7%. </w:t>
            </w:r>
            <w:r w:rsidR="00F350EC" w:rsidRPr="006E725C">
              <w:rPr>
                <w:szCs w:val="20"/>
                <w:lang w:val="en-GB" w:eastAsia="en-US"/>
              </w:rPr>
              <w:t>The price level climbed up by 6.0% year-on-year in Q</w:t>
            </w:r>
            <w:r w:rsidR="00EA1EBB" w:rsidRPr="006E725C">
              <w:rPr>
                <w:szCs w:val="20"/>
                <w:lang w:val="en-GB" w:eastAsia="en-US"/>
              </w:rPr>
              <w:t>4</w:t>
            </w:r>
            <w:r w:rsidR="00F350EC" w:rsidRPr="006E725C">
              <w:rPr>
                <w:szCs w:val="20"/>
                <w:lang w:val="en-GB" w:eastAsia="en-US"/>
              </w:rPr>
              <w:t xml:space="preserve"> </w:t>
            </w:r>
            <w:r w:rsidR="00EA1EBB" w:rsidRPr="006E725C">
              <w:rPr>
                <w:szCs w:val="20"/>
                <w:lang w:val="en-GB" w:eastAsia="en-US"/>
              </w:rPr>
              <w:t xml:space="preserve">2023, </w:t>
            </w:r>
            <w:r w:rsidR="00F350EC" w:rsidRPr="006E725C">
              <w:rPr>
                <w:szCs w:val="20"/>
                <w:lang w:val="en-GB" w:eastAsia="en-US"/>
              </w:rPr>
              <w:t xml:space="preserve">the slowest since the end of year </w:t>
            </w:r>
            <w:r w:rsidR="00EA1EBB" w:rsidRPr="006E725C">
              <w:rPr>
                <w:szCs w:val="20"/>
                <w:lang w:val="en-GB" w:eastAsia="en-US"/>
              </w:rPr>
              <w:t xml:space="preserve">2021. </w:t>
            </w:r>
            <w:r w:rsidR="00F350EC" w:rsidRPr="006E725C">
              <w:rPr>
                <w:szCs w:val="20"/>
                <w:lang w:val="en-GB" w:eastAsia="en-US"/>
              </w:rPr>
              <w:t>Consumer prices were by</w:t>
            </w:r>
            <w:r w:rsidR="00EA1EBB" w:rsidRPr="006E725C">
              <w:rPr>
                <w:szCs w:val="20"/>
                <w:lang w:val="en-GB" w:eastAsia="en-US"/>
              </w:rPr>
              <w:t xml:space="preserve"> 5</w:t>
            </w:r>
            <w:r w:rsidR="00F350EC" w:rsidRPr="006E725C">
              <w:rPr>
                <w:szCs w:val="20"/>
                <w:lang w:val="en-GB" w:eastAsia="en-US"/>
              </w:rPr>
              <w:t>.</w:t>
            </w:r>
            <w:r w:rsidR="00EA1EBB" w:rsidRPr="006E725C">
              <w:rPr>
                <w:szCs w:val="20"/>
                <w:lang w:val="en-GB" w:eastAsia="en-US"/>
              </w:rPr>
              <w:t>0%</w:t>
            </w:r>
            <w:r w:rsidR="00F350EC" w:rsidRPr="006E725C">
              <w:rPr>
                <w:szCs w:val="20"/>
                <w:lang w:val="en-GB" w:eastAsia="en-US"/>
              </w:rPr>
              <w:t xml:space="preserve"> higher year-on-year</w:t>
            </w:r>
            <w:r w:rsidR="00EA1EBB" w:rsidRPr="006E725C">
              <w:rPr>
                <w:szCs w:val="20"/>
                <w:lang w:val="en-GB" w:eastAsia="en-US"/>
              </w:rPr>
              <w:t>,</w:t>
            </w:r>
            <w:r w:rsidR="00F350EC" w:rsidRPr="006E725C">
              <w:rPr>
                <w:szCs w:val="20"/>
                <w:lang w:val="en-GB" w:eastAsia="en-US"/>
              </w:rPr>
              <w:t xml:space="preserve"> in that by </w:t>
            </w:r>
            <w:r w:rsidR="00EA1EBB" w:rsidRPr="006E725C">
              <w:rPr>
                <w:szCs w:val="20"/>
                <w:lang w:val="en-GB" w:eastAsia="en-US"/>
              </w:rPr>
              <w:t>6</w:t>
            </w:r>
            <w:r w:rsidR="00F350EC" w:rsidRPr="006E725C">
              <w:rPr>
                <w:szCs w:val="20"/>
                <w:lang w:val="en-GB" w:eastAsia="en-US"/>
              </w:rPr>
              <w:t>.</w:t>
            </w:r>
            <w:r w:rsidR="00EA1EBB" w:rsidRPr="006E725C">
              <w:rPr>
                <w:szCs w:val="20"/>
                <w:lang w:val="en-GB" w:eastAsia="en-US"/>
              </w:rPr>
              <w:t>0%</w:t>
            </w:r>
            <w:r w:rsidR="00F350EC" w:rsidRPr="006E725C">
              <w:rPr>
                <w:szCs w:val="20"/>
                <w:lang w:val="en-GB" w:eastAsia="en-US"/>
              </w:rPr>
              <w:t xml:space="preserve"> for households and by </w:t>
            </w:r>
            <w:r w:rsidR="00EA1EBB" w:rsidRPr="006E725C">
              <w:rPr>
                <w:szCs w:val="20"/>
                <w:lang w:val="en-GB" w:eastAsia="en-US"/>
              </w:rPr>
              <w:t>2</w:t>
            </w:r>
            <w:r w:rsidR="00F350EC" w:rsidRPr="006E725C">
              <w:rPr>
                <w:szCs w:val="20"/>
                <w:lang w:val="en-GB" w:eastAsia="en-US"/>
              </w:rPr>
              <w:t>.</w:t>
            </w:r>
            <w:r w:rsidR="00EA1EBB" w:rsidRPr="006E725C">
              <w:rPr>
                <w:szCs w:val="20"/>
                <w:lang w:val="en-GB" w:eastAsia="en-US"/>
              </w:rPr>
              <w:t>5%</w:t>
            </w:r>
            <w:r w:rsidR="00F350EC" w:rsidRPr="006E725C">
              <w:rPr>
                <w:szCs w:val="20"/>
                <w:lang w:val="en-GB" w:eastAsia="en-US"/>
              </w:rPr>
              <w:t xml:space="preserve"> for government</w:t>
            </w:r>
            <w:r w:rsidR="00EA1EBB" w:rsidRPr="006E725C">
              <w:rPr>
                <w:szCs w:val="20"/>
                <w:lang w:val="en-GB" w:eastAsia="en-US"/>
              </w:rPr>
              <w:t xml:space="preserve">. </w:t>
            </w:r>
            <w:r w:rsidR="000845BB" w:rsidRPr="006E725C">
              <w:rPr>
                <w:szCs w:val="20"/>
                <w:lang w:val="en-GB" w:eastAsia="en-US"/>
              </w:rPr>
              <w:t>Growth of prices of capital goods strengthened to 3.5% in Q</w:t>
            </w:r>
            <w:r w:rsidR="00EA1EBB" w:rsidRPr="006E725C">
              <w:rPr>
                <w:szCs w:val="20"/>
                <w:lang w:val="en-GB" w:eastAsia="en-US"/>
              </w:rPr>
              <w:t>4</w:t>
            </w:r>
            <w:r w:rsidR="000845BB" w:rsidRPr="006E725C">
              <w:rPr>
                <w:szCs w:val="20"/>
                <w:lang w:val="en-GB" w:eastAsia="en-US"/>
              </w:rPr>
              <w:t xml:space="preserve">. Terms of trade remained positive and reached </w:t>
            </w:r>
            <w:r w:rsidR="00EA1EBB" w:rsidRPr="006E725C">
              <w:rPr>
                <w:szCs w:val="20"/>
                <w:lang w:val="en-GB" w:eastAsia="en-US"/>
              </w:rPr>
              <w:t>102</w:t>
            </w:r>
            <w:r w:rsidR="000845BB" w:rsidRPr="006E725C">
              <w:rPr>
                <w:szCs w:val="20"/>
                <w:lang w:val="en-GB" w:eastAsia="en-US"/>
              </w:rPr>
              <w:t>.</w:t>
            </w:r>
            <w:r w:rsidR="00EA1EBB" w:rsidRPr="006E725C">
              <w:rPr>
                <w:szCs w:val="20"/>
                <w:lang w:val="en-GB" w:eastAsia="en-US"/>
              </w:rPr>
              <w:t xml:space="preserve">5%. </w:t>
            </w:r>
            <w:r w:rsidR="000845BB" w:rsidRPr="006E725C">
              <w:rPr>
                <w:szCs w:val="20"/>
                <w:lang w:val="en-GB" w:eastAsia="en-US"/>
              </w:rPr>
              <w:t xml:space="preserve">Terms of trade of the international trade with goods reached </w:t>
            </w:r>
            <w:r w:rsidR="00EA1EBB" w:rsidRPr="006E725C">
              <w:rPr>
                <w:szCs w:val="20"/>
                <w:lang w:val="en-GB" w:eastAsia="en-US"/>
              </w:rPr>
              <w:t>102</w:t>
            </w:r>
            <w:r w:rsidR="000845BB" w:rsidRPr="006E725C">
              <w:rPr>
                <w:szCs w:val="20"/>
                <w:lang w:val="en-GB" w:eastAsia="en-US"/>
              </w:rPr>
              <w:t>.</w:t>
            </w:r>
            <w:r w:rsidR="00EA1EBB" w:rsidRPr="006E725C">
              <w:rPr>
                <w:szCs w:val="20"/>
                <w:lang w:val="en-GB" w:eastAsia="en-US"/>
              </w:rPr>
              <w:t xml:space="preserve">0%, </w:t>
            </w:r>
            <w:r w:rsidR="000845BB" w:rsidRPr="006E725C">
              <w:rPr>
                <w:szCs w:val="20"/>
                <w:lang w:val="en-GB" w:eastAsia="en-US"/>
              </w:rPr>
              <w:t xml:space="preserve">while it was </w:t>
            </w:r>
            <w:r w:rsidR="00EA1EBB" w:rsidRPr="006E725C">
              <w:rPr>
                <w:szCs w:val="20"/>
                <w:lang w:val="en-GB" w:eastAsia="en-US"/>
              </w:rPr>
              <w:t>105</w:t>
            </w:r>
            <w:r w:rsidR="000845BB" w:rsidRPr="006E725C">
              <w:rPr>
                <w:szCs w:val="20"/>
                <w:lang w:val="en-GB" w:eastAsia="en-US"/>
              </w:rPr>
              <w:t>.</w:t>
            </w:r>
            <w:r w:rsidR="00EA1EBB" w:rsidRPr="006E725C">
              <w:rPr>
                <w:szCs w:val="20"/>
                <w:lang w:val="en-GB" w:eastAsia="en-US"/>
              </w:rPr>
              <w:t>2%</w:t>
            </w:r>
            <w:r w:rsidR="000845BB" w:rsidRPr="006E725C">
              <w:rPr>
                <w:szCs w:val="20"/>
                <w:lang w:val="en-GB" w:eastAsia="en-US"/>
              </w:rPr>
              <w:t xml:space="preserve"> for services</w:t>
            </w:r>
            <w:r w:rsidR="00EA1EBB" w:rsidRPr="006E725C">
              <w:rPr>
                <w:szCs w:val="20"/>
                <w:lang w:val="en-GB" w:eastAsia="en-US"/>
              </w:rPr>
              <w:t xml:space="preserve">. </w:t>
            </w:r>
            <w:r w:rsidR="00795367" w:rsidRPr="006E725C">
              <w:rPr>
                <w:szCs w:val="20"/>
                <w:lang w:val="en-GB" w:eastAsia="en-US"/>
              </w:rPr>
              <w:t>Quarter-on-quarter, the total price level did not change in Q</w:t>
            </w:r>
            <w:r w:rsidR="00EA1EBB" w:rsidRPr="006E725C">
              <w:rPr>
                <w:szCs w:val="20"/>
                <w:lang w:val="en-GB" w:eastAsia="en-US"/>
              </w:rPr>
              <w:t xml:space="preserve">4. </w:t>
            </w:r>
            <w:r w:rsidR="00776783" w:rsidRPr="006E725C">
              <w:rPr>
                <w:szCs w:val="20"/>
                <w:lang w:val="en-GB" w:eastAsia="en-US"/>
              </w:rPr>
              <w:t xml:space="preserve">Consumption experienced growth of </w:t>
            </w:r>
            <w:r w:rsidR="00EA1EBB" w:rsidRPr="006E725C">
              <w:rPr>
                <w:szCs w:val="20"/>
                <w:lang w:val="en-GB" w:eastAsia="en-US"/>
              </w:rPr>
              <w:t>0</w:t>
            </w:r>
            <w:r w:rsidR="00776783" w:rsidRPr="006E725C">
              <w:rPr>
                <w:szCs w:val="20"/>
                <w:lang w:val="en-GB" w:eastAsia="en-US"/>
              </w:rPr>
              <w:t>.</w:t>
            </w:r>
            <w:r w:rsidR="00EA1EBB" w:rsidRPr="006E725C">
              <w:rPr>
                <w:szCs w:val="20"/>
                <w:lang w:val="en-GB" w:eastAsia="en-US"/>
              </w:rPr>
              <w:t>4% a</w:t>
            </w:r>
            <w:r w:rsidR="00776783" w:rsidRPr="006E725C">
              <w:rPr>
                <w:szCs w:val="20"/>
                <w:lang w:val="en-GB" w:eastAsia="en-US"/>
              </w:rPr>
              <w:t xml:space="preserve">nd prices of capital goods were raised by </w:t>
            </w:r>
            <w:r w:rsidR="00EA1EBB" w:rsidRPr="006E725C">
              <w:rPr>
                <w:szCs w:val="20"/>
                <w:lang w:val="en-GB" w:eastAsia="en-US"/>
              </w:rPr>
              <w:t>3</w:t>
            </w:r>
            <w:r w:rsidR="00776783" w:rsidRPr="006E725C">
              <w:rPr>
                <w:szCs w:val="20"/>
                <w:lang w:val="en-GB" w:eastAsia="en-US"/>
              </w:rPr>
              <w:t>.</w:t>
            </w:r>
            <w:r w:rsidR="00EA1EBB" w:rsidRPr="006E725C">
              <w:rPr>
                <w:szCs w:val="20"/>
                <w:lang w:val="en-GB" w:eastAsia="en-US"/>
              </w:rPr>
              <w:t xml:space="preserve">6%. </w:t>
            </w:r>
            <w:r w:rsidR="00795367" w:rsidRPr="006E725C">
              <w:rPr>
                <w:szCs w:val="20"/>
                <w:lang w:val="en-GB" w:eastAsia="en-US"/>
              </w:rPr>
              <w:t xml:space="preserve">Quarter-on-quarter terms of trade were however negative and reached </w:t>
            </w:r>
            <w:r w:rsidR="00EA1EBB" w:rsidRPr="006E725C">
              <w:rPr>
                <w:szCs w:val="20"/>
                <w:lang w:val="en-GB" w:eastAsia="en-US"/>
              </w:rPr>
              <w:t>98</w:t>
            </w:r>
            <w:r w:rsidR="00795367" w:rsidRPr="006E725C">
              <w:rPr>
                <w:szCs w:val="20"/>
                <w:lang w:val="en-GB" w:eastAsia="en-US"/>
              </w:rPr>
              <w:t>.</w:t>
            </w:r>
            <w:r w:rsidR="00EA1EBB" w:rsidRPr="006E725C">
              <w:rPr>
                <w:szCs w:val="20"/>
                <w:lang w:val="en-GB" w:eastAsia="en-US"/>
              </w:rPr>
              <w:t xml:space="preserve">4%.    </w:t>
            </w:r>
          </w:p>
        </w:tc>
      </w:tr>
      <w:tr w:rsidR="00EA1EBB" w:rsidRPr="006E725C" w14:paraId="3E701DD2" w14:textId="77777777" w:rsidTr="00EA1EBB">
        <w:trPr>
          <w:trHeight w:val="170"/>
        </w:trPr>
        <w:tc>
          <w:tcPr>
            <w:tcW w:w="1804" w:type="dxa"/>
            <w:vMerge w:val="restart"/>
          </w:tcPr>
          <w:p w14:paraId="54F2CC8C" w14:textId="77777777" w:rsidR="00EA1EBB" w:rsidRPr="006E725C" w:rsidRDefault="00EA1EBB">
            <w:pPr>
              <w:pStyle w:val="Marginlie"/>
              <w:rPr>
                <w:spacing w:val="0"/>
                <w:lang w:val="en-GB" w:eastAsia="en-US"/>
              </w:rPr>
            </w:pPr>
          </w:p>
        </w:tc>
        <w:tc>
          <w:tcPr>
            <w:tcW w:w="224" w:type="dxa"/>
            <w:vMerge w:val="restart"/>
          </w:tcPr>
          <w:p w14:paraId="019DEA42" w14:textId="77777777" w:rsidR="00EA1EBB" w:rsidRPr="006E725C" w:rsidRDefault="00EA1EBB">
            <w:pPr>
              <w:pStyle w:val="Textpoznpodarou1"/>
              <w:jc w:val="both"/>
              <w:rPr>
                <w:lang w:val="en-GB" w:eastAsia="en-US"/>
              </w:rPr>
            </w:pPr>
          </w:p>
        </w:tc>
        <w:tc>
          <w:tcPr>
            <w:tcW w:w="7611" w:type="dxa"/>
            <w:hideMark/>
          </w:tcPr>
          <w:p w14:paraId="22309FD3" w14:textId="173E9336" w:rsidR="00EA1EBB" w:rsidRPr="006E725C" w:rsidRDefault="005650DC" w:rsidP="00174ED1">
            <w:pPr>
              <w:spacing w:after="0"/>
              <w:rPr>
                <w:lang w:val="en-GB" w:eastAsia="en-US"/>
              </w:rPr>
            </w:pPr>
            <w:r w:rsidRPr="006E725C">
              <w:rPr>
                <w:rFonts w:cs="Arial"/>
                <w:b/>
                <w:bCs/>
                <w:color w:val="000000"/>
                <w:sz w:val="18"/>
                <w:szCs w:val="18"/>
                <w:lang w:val="en-GB" w:eastAsia="en-US"/>
              </w:rPr>
              <w:t xml:space="preserve">Chart </w:t>
            </w:r>
            <w:r w:rsidR="00EA1EBB" w:rsidRPr="006E725C">
              <w:rPr>
                <w:rFonts w:cs="Arial"/>
                <w:b/>
                <w:bCs/>
                <w:color w:val="000000"/>
                <w:sz w:val="18"/>
                <w:szCs w:val="18"/>
                <w:lang w:val="en-GB" w:eastAsia="en-US"/>
              </w:rPr>
              <w:t>1</w:t>
            </w:r>
            <w:r w:rsidR="00174ED1" w:rsidRPr="006E725C">
              <w:rPr>
                <w:rFonts w:cs="Arial"/>
                <w:b/>
                <w:bCs/>
                <w:color w:val="000000"/>
                <w:sz w:val="18"/>
                <w:szCs w:val="18"/>
                <w:lang w:val="en-GB" w:eastAsia="en-US"/>
              </w:rPr>
              <w:t>1</w:t>
            </w:r>
            <w:r w:rsidR="00EA1EBB" w:rsidRPr="006E725C">
              <w:rPr>
                <w:rFonts w:cs="Arial"/>
                <w:b/>
                <w:bCs/>
                <w:color w:val="000000"/>
                <w:sz w:val="18"/>
                <w:szCs w:val="18"/>
                <w:lang w:val="en-GB" w:eastAsia="en-US"/>
              </w:rPr>
              <w:t xml:space="preserve"> </w:t>
            </w:r>
            <w:r w:rsidR="00093093" w:rsidRPr="006E725C">
              <w:rPr>
                <w:rFonts w:cs="Arial"/>
                <w:b/>
                <w:bCs/>
                <w:color w:val="000000"/>
                <w:sz w:val="18"/>
                <w:szCs w:val="18"/>
                <w:lang w:val="en-GB"/>
              </w:rPr>
              <w:t xml:space="preserve">Prices in the selected divisions of the consumer price index </w:t>
            </w:r>
            <w:r w:rsidR="00093093" w:rsidRPr="006E725C">
              <w:rPr>
                <w:rFonts w:cs="Arial"/>
                <w:color w:val="000000"/>
                <w:sz w:val="18"/>
                <w:szCs w:val="18"/>
                <w:lang w:val="en-GB"/>
              </w:rPr>
              <w:t>(year-on-year in %)</w:t>
            </w:r>
          </w:p>
        </w:tc>
      </w:tr>
      <w:tr w:rsidR="00EA1EBB" w:rsidRPr="006E725C" w14:paraId="02F64EB3" w14:textId="77777777" w:rsidTr="0079457A">
        <w:tblPrEx>
          <w:tblCellMar>
            <w:left w:w="70" w:type="dxa"/>
            <w:right w:w="70" w:type="dxa"/>
          </w:tblCellMar>
        </w:tblPrEx>
        <w:trPr>
          <w:trHeight w:val="170"/>
        </w:trPr>
        <w:tc>
          <w:tcPr>
            <w:tcW w:w="1804" w:type="dxa"/>
            <w:vMerge/>
            <w:vAlign w:val="center"/>
            <w:hideMark/>
          </w:tcPr>
          <w:p w14:paraId="6E34E128" w14:textId="77777777" w:rsidR="00EA1EBB" w:rsidRPr="006E725C" w:rsidRDefault="00EA1EBB">
            <w:pPr>
              <w:spacing w:after="0" w:line="240" w:lineRule="auto"/>
              <w:jc w:val="left"/>
              <w:rPr>
                <w:sz w:val="16"/>
                <w:szCs w:val="16"/>
                <w:lang w:val="en-GB" w:eastAsia="en-US"/>
              </w:rPr>
            </w:pPr>
          </w:p>
        </w:tc>
        <w:tc>
          <w:tcPr>
            <w:tcW w:w="224" w:type="dxa"/>
            <w:vMerge/>
            <w:vAlign w:val="center"/>
            <w:hideMark/>
          </w:tcPr>
          <w:p w14:paraId="7DAEB835" w14:textId="77777777" w:rsidR="00EA1EBB" w:rsidRPr="006E725C" w:rsidRDefault="00EA1EBB">
            <w:pPr>
              <w:spacing w:after="0" w:line="240" w:lineRule="auto"/>
              <w:jc w:val="left"/>
              <w:rPr>
                <w:rFonts w:eastAsia="Calibri"/>
                <w:szCs w:val="20"/>
                <w:lang w:val="en-GB" w:eastAsia="en-US"/>
              </w:rPr>
            </w:pPr>
          </w:p>
        </w:tc>
        <w:tc>
          <w:tcPr>
            <w:tcW w:w="7611" w:type="dxa"/>
            <w:hideMark/>
          </w:tcPr>
          <w:p w14:paraId="32DDD30C" w14:textId="13951A4F" w:rsidR="00EA1EBB" w:rsidRPr="006E725C" w:rsidRDefault="0079457A">
            <w:pPr>
              <w:spacing w:after="0"/>
              <w:rPr>
                <w:lang w:val="en-GB" w:eastAsia="en-US"/>
              </w:rPr>
            </w:pPr>
            <w:r>
              <w:rPr>
                <w:noProof/>
              </w:rPr>
              <w:drawing>
                <wp:inline distT="0" distB="0" distL="0" distR="0" wp14:anchorId="5A1EFE0C" wp14:editId="5EEBF9EA">
                  <wp:extent cx="4737600" cy="3556375"/>
                  <wp:effectExtent l="0" t="0" r="6350" b="6350"/>
                  <wp:docPr id="27" name="Graf 2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EA1EBB" w:rsidRPr="006E725C" w14:paraId="345C2603" w14:textId="77777777" w:rsidTr="00EA1EBB">
        <w:trPr>
          <w:trHeight w:val="170"/>
        </w:trPr>
        <w:tc>
          <w:tcPr>
            <w:tcW w:w="0" w:type="auto"/>
            <w:vMerge/>
            <w:vAlign w:val="center"/>
            <w:hideMark/>
          </w:tcPr>
          <w:p w14:paraId="3E35EC9D" w14:textId="77777777" w:rsidR="00EA1EBB" w:rsidRPr="006E725C" w:rsidRDefault="00EA1EBB">
            <w:pPr>
              <w:spacing w:after="0" w:line="240" w:lineRule="auto"/>
              <w:jc w:val="left"/>
              <w:rPr>
                <w:sz w:val="16"/>
                <w:szCs w:val="16"/>
                <w:lang w:val="en-GB" w:eastAsia="en-US"/>
              </w:rPr>
            </w:pPr>
          </w:p>
        </w:tc>
        <w:tc>
          <w:tcPr>
            <w:tcW w:w="0" w:type="auto"/>
            <w:vMerge/>
            <w:vAlign w:val="center"/>
            <w:hideMark/>
          </w:tcPr>
          <w:p w14:paraId="35C316BC" w14:textId="77777777" w:rsidR="00EA1EBB" w:rsidRPr="006E725C" w:rsidRDefault="00EA1EBB">
            <w:pPr>
              <w:spacing w:after="0" w:line="240" w:lineRule="auto"/>
              <w:jc w:val="left"/>
              <w:rPr>
                <w:rFonts w:eastAsia="Calibri"/>
                <w:szCs w:val="20"/>
                <w:lang w:val="en-GB" w:eastAsia="en-US"/>
              </w:rPr>
            </w:pPr>
          </w:p>
        </w:tc>
        <w:tc>
          <w:tcPr>
            <w:tcW w:w="7611" w:type="dxa"/>
            <w:hideMark/>
          </w:tcPr>
          <w:p w14:paraId="184BF0A8" w14:textId="6112ED16" w:rsidR="00776783" w:rsidRPr="006E725C" w:rsidRDefault="005650DC" w:rsidP="0079457A">
            <w:pPr>
              <w:rPr>
                <w:b/>
                <w:bCs/>
                <w:sz w:val="16"/>
                <w:szCs w:val="16"/>
                <w:lang w:val="en-GB" w:eastAsia="en-US"/>
              </w:rPr>
            </w:pPr>
            <w:r w:rsidRPr="006E725C">
              <w:rPr>
                <w:sz w:val="14"/>
                <w:szCs w:val="14"/>
                <w:lang w:val="en-GB" w:eastAsia="en-US"/>
              </w:rPr>
              <w:t>Source</w:t>
            </w:r>
            <w:r w:rsidR="00EA1EBB" w:rsidRPr="006E725C">
              <w:rPr>
                <w:sz w:val="14"/>
                <w:szCs w:val="14"/>
                <w:lang w:val="en-GB" w:eastAsia="en-US"/>
              </w:rPr>
              <w:t xml:space="preserve">: </w:t>
            </w:r>
            <w:r w:rsidRPr="006E725C">
              <w:rPr>
                <w:sz w:val="14"/>
                <w:szCs w:val="14"/>
                <w:lang w:val="en-GB" w:eastAsia="en-US"/>
              </w:rPr>
              <w:t>CZSO</w:t>
            </w:r>
          </w:p>
        </w:tc>
      </w:tr>
      <w:tr w:rsidR="00EA1EBB" w:rsidRPr="006E725C" w14:paraId="59B389BB" w14:textId="77777777" w:rsidTr="00EA1EBB">
        <w:trPr>
          <w:trHeight w:val="145"/>
        </w:trPr>
        <w:tc>
          <w:tcPr>
            <w:tcW w:w="1804" w:type="dxa"/>
            <w:hideMark/>
          </w:tcPr>
          <w:p w14:paraId="4E2B17C8" w14:textId="3A79F291" w:rsidR="00EA1EBB" w:rsidRPr="006E725C" w:rsidRDefault="005650DC">
            <w:pPr>
              <w:pStyle w:val="Marginlie"/>
              <w:rPr>
                <w:spacing w:val="0"/>
                <w:lang w:val="en-GB" w:eastAsia="en-US"/>
              </w:rPr>
            </w:pPr>
            <w:r w:rsidRPr="006E725C">
              <w:rPr>
                <w:spacing w:val="0"/>
                <w:lang w:val="en-GB" w:eastAsia="en-US"/>
              </w:rPr>
              <w:t xml:space="preserve">Year-on-year growth of consumer prices slowed its pace during the year. </w:t>
            </w:r>
          </w:p>
        </w:tc>
        <w:tc>
          <w:tcPr>
            <w:tcW w:w="224" w:type="dxa"/>
          </w:tcPr>
          <w:p w14:paraId="663C3390" w14:textId="77777777" w:rsidR="00EA1EBB" w:rsidRPr="006E725C" w:rsidRDefault="00EA1EBB">
            <w:pPr>
              <w:pStyle w:val="Textpoznpodarou1"/>
              <w:jc w:val="both"/>
              <w:rPr>
                <w:lang w:val="en-GB" w:eastAsia="en-US"/>
              </w:rPr>
            </w:pPr>
          </w:p>
        </w:tc>
        <w:tc>
          <w:tcPr>
            <w:tcW w:w="7611" w:type="dxa"/>
            <w:hideMark/>
          </w:tcPr>
          <w:p w14:paraId="2E930856" w14:textId="2416EAD6" w:rsidR="00EA1EBB" w:rsidRPr="006E725C" w:rsidRDefault="0023290A">
            <w:pPr>
              <w:rPr>
                <w:lang w:val="en-GB" w:eastAsia="en-US"/>
              </w:rPr>
            </w:pPr>
            <w:r w:rsidRPr="006E725C">
              <w:rPr>
                <w:lang w:val="en-GB" w:eastAsia="en-US"/>
              </w:rPr>
              <w:t xml:space="preserve">Year-on-year growth of the consumer prices gradually slowed down during the year </w:t>
            </w:r>
            <w:r w:rsidR="00EA1EBB" w:rsidRPr="006E725C">
              <w:rPr>
                <w:lang w:val="en-GB" w:eastAsia="en-US"/>
              </w:rPr>
              <w:t>2023</w:t>
            </w:r>
            <w:r w:rsidRPr="006E725C">
              <w:rPr>
                <w:lang w:val="en-GB" w:eastAsia="en-US"/>
              </w:rPr>
              <w:t xml:space="preserve"> </w:t>
            </w:r>
            <w:r w:rsidR="00EA1EBB" w:rsidRPr="006E725C">
              <w:rPr>
                <w:lang w:val="en-GB" w:eastAsia="en-US"/>
              </w:rPr>
              <w:t>(16</w:t>
            </w:r>
            <w:r w:rsidRPr="006E725C">
              <w:rPr>
                <w:lang w:val="en-GB" w:eastAsia="en-US"/>
              </w:rPr>
              <w:t>.</w:t>
            </w:r>
            <w:r w:rsidR="00EA1EBB" w:rsidRPr="006E725C">
              <w:rPr>
                <w:lang w:val="en-GB" w:eastAsia="en-US"/>
              </w:rPr>
              <w:t>4%, 11</w:t>
            </w:r>
            <w:r w:rsidRPr="006E725C">
              <w:rPr>
                <w:lang w:val="en-GB" w:eastAsia="en-US"/>
              </w:rPr>
              <w:t>.</w:t>
            </w:r>
            <w:r w:rsidR="00EA1EBB" w:rsidRPr="006E725C">
              <w:rPr>
                <w:lang w:val="en-GB" w:eastAsia="en-US"/>
              </w:rPr>
              <w:t>1% a</w:t>
            </w:r>
            <w:r w:rsidRPr="006E725C">
              <w:rPr>
                <w:lang w:val="en-GB" w:eastAsia="en-US"/>
              </w:rPr>
              <w:t>nd</w:t>
            </w:r>
            <w:r w:rsidR="00EA1EBB" w:rsidRPr="006E725C">
              <w:rPr>
                <w:lang w:val="en-GB" w:eastAsia="en-US"/>
              </w:rPr>
              <w:t xml:space="preserve"> 8</w:t>
            </w:r>
            <w:r w:rsidRPr="006E725C">
              <w:rPr>
                <w:lang w:val="en-GB" w:eastAsia="en-US"/>
              </w:rPr>
              <w:t>.</w:t>
            </w:r>
            <w:r w:rsidR="00EA1EBB" w:rsidRPr="006E725C">
              <w:rPr>
                <w:lang w:val="en-GB" w:eastAsia="en-US"/>
              </w:rPr>
              <w:t xml:space="preserve">0% </w:t>
            </w:r>
            <w:r w:rsidRPr="006E725C">
              <w:rPr>
                <w:lang w:val="en-GB" w:eastAsia="en-US"/>
              </w:rPr>
              <w:t>in Q</w:t>
            </w:r>
            <w:r w:rsidR="00EA1EBB" w:rsidRPr="006E725C">
              <w:rPr>
                <w:lang w:val="en-GB" w:eastAsia="en-US"/>
              </w:rPr>
              <w:t xml:space="preserve">1, </w:t>
            </w:r>
            <w:r w:rsidRPr="006E725C">
              <w:rPr>
                <w:lang w:val="en-GB" w:eastAsia="en-US"/>
              </w:rPr>
              <w:t>Q</w:t>
            </w:r>
            <w:r w:rsidR="00EA1EBB" w:rsidRPr="006E725C">
              <w:rPr>
                <w:lang w:val="en-GB" w:eastAsia="en-US"/>
              </w:rPr>
              <w:t>2</w:t>
            </w:r>
            <w:r w:rsidRPr="006E725C">
              <w:rPr>
                <w:lang w:val="en-GB" w:eastAsia="en-US"/>
              </w:rPr>
              <w:t xml:space="preserve"> and Q</w:t>
            </w:r>
            <w:r w:rsidR="00EA1EBB" w:rsidRPr="006E725C">
              <w:rPr>
                <w:lang w:val="en-GB" w:eastAsia="en-US"/>
              </w:rPr>
              <w:t>3) a</w:t>
            </w:r>
            <w:r w:rsidRPr="006E725C">
              <w:rPr>
                <w:lang w:val="en-GB" w:eastAsia="en-US"/>
              </w:rPr>
              <w:t>nd the end of the year was not an exception. The consumer price index increased by 7.6% year-on-year in Q</w:t>
            </w:r>
            <w:r w:rsidR="00EA1EBB" w:rsidRPr="006E725C">
              <w:rPr>
                <w:lang w:val="en-GB" w:eastAsia="en-US"/>
              </w:rPr>
              <w:t>4</w:t>
            </w:r>
            <w:r w:rsidRPr="006E725C">
              <w:rPr>
                <w:lang w:val="en-GB" w:eastAsia="en-US"/>
              </w:rPr>
              <w:t xml:space="preserve"> </w:t>
            </w:r>
            <w:r w:rsidR="00EA1EBB" w:rsidRPr="006E725C">
              <w:rPr>
                <w:lang w:val="en-GB" w:eastAsia="en-US"/>
              </w:rPr>
              <w:t>2023</w:t>
            </w:r>
            <w:r w:rsidRPr="006E725C">
              <w:rPr>
                <w:lang w:val="en-GB" w:eastAsia="en-US"/>
              </w:rPr>
              <w:t>. The year-on-year dynamics of the absolute majority of consumer basket divisions slowed down against Q</w:t>
            </w:r>
            <w:r w:rsidR="00EA1EBB" w:rsidRPr="006E725C">
              <w:rPr>
                <w:lang w:val="en-GB" w:eastAsia="en-US"/>
              </w:rPr>
              <w:t>3.</w:t>
            </w:r>
            <w:r w:rsidRPr="006E725C">
              <w:rPr>
                <w:lang w:val="en-GB" w:eastAsia="en-US"/>
              </w:rPr>
              <w:t xml:space="preserve"> Housing, water, energies and fuels formed the exception, the comparative basis from the end of year 2022, where the inflation calculation included the saving </w:t>
            </w:r>
            <w:r w:rsidR="004F63C1" w:rsidRPr="006E725C">
              <w:rPr>
                <w:lang w:val="en-GB" w:eastAsia="en-US"/>
              </w:rPr>
              <w:t xml:space="preserve">tariff and the prices of energies thus </w:t>
            </w:r>
            <w:r w:rsidR="004E0434" w:rsidRPr="006E725C">
              <w:rPr>
                <w:lang w:val="en-GB" w:eastAsia="en-US"/>
              </w:rPr>
              <w:t>suddenly</w:t>
            </w:r>
            <w:r w:rsidR="004F63C1" w:rsidRPr="006E725C">
              <w:rPr>
                <w:lang w:val="en-GB" w:eastAsia="en-US"/>
              </w:rPr>
              <w:t xml:space="preserve"> fell,</w:t>
            </w:r>
            <w:r w:rsidRPr="006E725C">
              <w:rPr>
                <w:lang w:val="en-GB" w:eastAsia="en-US"/>
              </w:rPr>
              <w:t xml:space="preserve"> was evident there</w:t>
            </w:r>
            <w:r w:rsidR="004F63C1" w:rsidRPr="006E725C">
              <w:rPr>
                <w:lang w:val="en-GB" w:eastAsia="en-US"/>
              </w:rPr>
              <w:t xml:space="preserve">. </w:t>
            </w:r>
            <w:r w:rsidR="004E0434" w:rsidRPr="006E725C">
              <w:rPr>
                <w:lang w:val="en-GB" w:eastAsia="en-US"/>
              </w:rPr>
              <w:t xml:space="preserve">The slump of prices of </w:t>
            </w:r>
            <w:r w:rsidR="00B3732D">
              <w:rPr>
                <w:lang w:val="en-GB" w:eastAsia="en-US"/>
              </w:rPr>
              <w:t>transport</w:t>
            </w:r>
            <w:r w:rsidR="004E0434" w:rsidRPr="006E725C">
              <w:rPr>
                <w:lang w:val="en-GB" w:eastAsia="en-US"/>
              </w:rPr>
              <w:t xml:space="preserve"> also moderated. </w:t>
            </w:r>
            <w:r w:rsidR="002019B5" w:rsidRPr="006E725C">
              <w:rPr>
                <w:lang w:val="en-GB" w:eastAsia="en-US"/>
              </w:rPr>
              <w:t xml:space="preserve">Housing and energies, recreation and culture, restaurants and hotels and alcoholic beverages and tobacco </w:t>
            </w:r>
            <w:r w:rsidR="004E0434" w:rsidRPr="006E725C">
              <w:rPr>
                <w:lang w:val="en-GB" w:eastAsia="en-US"/>
              </w:rPr>
              <w:t>the most contributed to the year-on-year growth of the consumer prices in Q4 2023</w:t>
            </w:r>
            <w:r w:rsidR="00EA1EBB" w:rsidRPr="006E725C">
              <w:rPr>
                <w:lang w:val="en-GB" w:eastAsia="en-US"/>
              </w:rPr>
              <w:t xml:space="preserve">. </w:t>
            </w:r>
            <w:r w:rsidR="004E0434" w:rsidRPr="006E725C">
              <w:rPr>
                <w:lang w:val="en-GB" w:eastAsia="en-US"/>
              </w:rPr>
              <w:t xml:space="preserve">The effect of food and non-alcoholic beverages, which stimulated the price growth in the previous quarters, sharply fell. </w:t>
            </w:r>
            <w:r w:rsidR="002019B5" w:rsidRPr="006E725C">
              <w:rPr>
                <w:lang w:val="en-GB" w:eastAsia="en-US"/>
              </w:rPr>
              <w:t xml:space="preserve">Only prices of </w:t>
            </w:r>
            <w:r w:rsidR="00B3732D">
              <w:rPr>
                <w:lang w:val="en-GB" w:eastAsia="en-US"/>
              </w:rPr>
              <w:t>transport</w:t>
            </w:r>
            <w:r w:rsidR="002019B5" w:rsidRPr="006E725C">
              <w:rPr>
                <w:lang w:val="en-GB" w:eastAsia="en-US"/>
              </w:rPr>
              <w:t xml:space="preserve"> were falling year-on-year</w:t>
            </w:r>
            <w:r w:rsidR="00EA1EBB" w:rsidRPr="006E725C">
              <w:rPr>
                <w:lang w:val="en-GB" w:eastAsia="en-US"/>
              </w:rPr>
              <w:t xml:space="preserve">. </w:t>
            </w:r>
            <w:r w:rsidR="00E9180C" w:rsidRPr="006E725C">
              <w:rPr>
                <w:lang w:val="en-GB" w:eastAsia="en-US"/>
              </w:rPr>
              <w:t xml:space="preserve">Consumer </w:t>
            </w:r>
            <w:r w:rsidR="00E9180C" w:rsidRPr="006E725C">
              <w:rPr>
                <w:lang w:val="en-GB" w:eastAsia="en-US"/>
              </w:rPr>
              <w:lastRenderedPageBreak/>
              <w:t xml:space="preserve">prices decreased quarter-on-quarter by </w:t>
            </w:r>
            <w:r w:rsidR="00EA1EBB" w:rsidRPr="006E725C">
              <w:rPr>
                <w:lang w:val="en-GB" w:eastAsia="en-US"/>
              </w:rPr>
              <w:t>0</w:t>
            </w:r>
            <w:r w:rsidR="00E9180C" w:rsidRPr="006E725C">
              <w:rPr>
                <w:lang w:val="en-GB" w:eastAsia="en-US"/>
              </w:rPr>
              <w:t>.</w:t>
            </w:r>
            <w:r w:rsidR="00EA1EBB" w:rsidRPr="006E725C">
              <w:rPr>
                <w:lang w:val="en-GB" w:eastAsia="en-US"/>
              </w:rPr>
              <w:t>4%</w:t>
            </w:r>
            <w:r w:rsidR="00E9180C" w:rsidRPr="006E725C">
              <w:rPr>
                <w:lang w:val="en-GB" w:eastAsia="en-US"/>
              </w:rPr>
              <w:t xml:space="preserve"> in Q4</w:t>
            </w:r>
            <w:r w:rsidR="00EA1EBB" w:rsidRPr="006E725C">
              <w:rPr>
                <w:lang w:val="en-GB" w:eastAsia="en-US"/>
              </w:rPr>
              <w:t xml:space="preserve">. </w:t>
            </w:r>
            <w:r w:rsidR="00E9180C" w:rsidRPr="006E725C">
              <w:rPr>
                <w:lang w:val="en-GB" w:eastAsia="en-US"/>
              </w:rPr>
              <w:t xml:space="preserve">The increase of consumer prices reached </w:t>
            </w:r>
            <w:r w:rsidR="00EA1EBB" w:rsidRPr="006E725C">
              <w:rPr>
                <w:lang w:val="en-GB" w:eastAsia="en-US"/>
              </w:rPr>
              <w:t>10</w:t>
            </w:r>
            <w:r w:rsidR="00E9180C" w:rsidRPr="006E725C">
              <w:rPr>
                <w:lang w:val="en-GB" w:eastAsia="en-US"/>
              </w:rPr>
              <w:t>.</w:t>
            </w:r>
            <w:r w:rsidR="00EA1EBB" w:rsidRPr="006E725C">
              <w:rPr>
                <w:lang w:val="en-GB" w:eastAsia="en-US"/>
              </w:rPr>
              <w:t>7%</w:t>
            </w:r>
            <w:r w:rsidR="00E9180C" w:rsidRPr="006E725C">
              <w:rPr>
                <w:lang w:val="en-GB" w:eastAsia="en-US"/>
              </w:rPr>
              <w:t xml:space="preserve"> for the whole year 2023</w:t>
            </w:r>
            <w:r w:rsidR="00EA1EBB" w:rsidRPr="006E725C">
              <w:rPr>
                <w:lang w:val="en-GB" w:eastAsia="en-US"/>
              </w:rPr>
              <w:t>.</w:t>
            </w:r>
            <w:r w:rsidR="00E9180C" w:rsidRPr="006E725C">
              <w:rPr>
                <w:lang w:val="en-GB" w:eastAsia="en-US"/>
              </w:rPr>
              <w:t xml:space="preserve"> Compared to year </w:t>
            </w:r>
            <w:r w:rsidR="00EA1EBB" w:rsidRPr="006E725C">
              <w:rPr>
                <w:lang w:val="en-GB" w:eastAsia="en-US"/>
              </w:rPr>
              <w:t>2022</w:t>
            </w:r>
            <w:r w:rsidR="00E9180C" w:rsidRPr="006E725C">
              <w:rPr>
                <w:lang w:val="en-GB" w:eastAsia="en-US"/>
              </w:rPr>
              <w:t xml:space="preserve">, the increase moderated by </w:t>
            </w:r>
            <w:r w:rsidR="00EA1EBB" w:rsidRPr="006E725C">
              <w:rPr>
                <w:lang w:val="en-GB" w:eastAsia="en-US"/>
              </w:rPr>
              <w:t>4</w:t>
            </w:r>
            <w:r w:rsidR="00E9180C" w:rsidRPr="006E725C">
              <w:rPr>
                <w:lang w:val="en-GB" w:eastAsia="en-US"/>
              </w:rPr>
              <w:t>.</w:t>
            </w:r>
            <w:r w:rsidR="00EA1EBB" w:rsidRPr="006E725C">
              <w:rPr>
                <w:lang w:val="en-GB" w:eastAsia="en-US"/>
              </w:rPr>
              <w:t>4 p.</w:t>
            </w:r>
            <w:r w:rsidR="00E9180C" w:rsidRPr="006E725C">
              <w:rPr>
                <w:lang w:val="en-GB" w:eastAsia="en-US"/>
              </w:rPr>
              <w:t>p</w:t>
            </w:r>
            <w:r w:rsidR="00EA1EBB" w:rsidRPr="006E725C">
              <w:rPr>
                <w:lang w:val="en-GB" w:eastAsia="en-US"/>
              </w:rPr>
              <w:t xml:space="preserve">. </w:t>
            </w:r>
            <w:r w:rsidR="00852B1F" w:rsidRPr="006E725C">
              <w:rPr>
                <w:lang w:val="en-GB" w:eastAsia="en-US"/>
              </w:rPr>
              <w:t>Development of prices of housing and energies, food and non-alcoholic beverages, recreation and culture and restaurants and hotels contributed the most to the total increase of prices</w:t>
            </w:r>
            <w:r w:rsidR="00EA1EBB" w:rsidRPr="006E725C">
              <w:rPr>
                <w:lang w:val="en-GB" w:eastAsia="en-US"/>
              </w:rPr>
              <w:t xml:space="preserve">. </w:t>
            </w:r>
            <w:r w:rsidR="00852B1F" w:rsidRPr="006E725C">
              <w:rPr>
                <w:lang w:val="en-GB" w:eastAsia="en-US"/>
              </w:rPr>
              <w:t xml:space="preserve">Only prices of </w:t>
            </w:r>
            <w:r w:rsidR="00B3732D">
              <w:rPr>
                <w:lang w:val="en-GB" w:eastAsia="en-US"/>
              </w:rPr>
              <w:t>transport</w:t>
            </w:r>
            <w:r w:rsidR="00852B1F" w:rsidRPr="006E725C">
              <w:rPr>
                <w:lang w:val="en-GB" w:eastAsia="en-US"/>
              </w:rPr>
              <w:t xml:space="preserve"> decreased last year. </w:t>
            </w:r>
          </w:p>
        </w:tc>
      </w:tr>
      <w:tr w:rsidR="00EA1EBB" w:rsidRPr="006E725C" w14:paraId="55367628" w14:textId="77777777" w:rsidTr="00EA1EBB">
        <w:trPr>
          <w:trHeight w:val="145"/>
        </w:trPr>
        <w:tc>
          <w:tcPr>
            <w:tcW w:w="1804" w:type="dxa"/>
            <w:hideMark/>
          </w:tcPr>
          <w:p w14:paraId="57B7B781" w14:textId="3D1302DA" w:rsidR="00EA1EBB" w:rsidRPr="006E725C" w:rsidRDefault="002019B5">
            <w:pPr>
              <w:pStyle w:val="Marginlie"/>
              <w:rPr>
                <w:spacing w:val="0"/>
                <w:lang w:val="en-GB" w:eastAsia="en-US"/>
              </w:rPr>
            </w:pPr>
            <w:r w:rsidRPr="006E725C">
              <w:rPr>
                <w:spacing w:val="0"/>
                <w:lang w:val="en-GB" w:eastAsia="en-US"/>
              </w:rPr>
              <w:lastRenderedPageBreak/>
              <w:t xml:space="preserve">In contrast to the rest of prices in the consumer basket, housing and energies recorded acceleration of the year-on-year growth towards the end of the year. </w:t>
            </w:r>
          </w:p>
        </w:tc>
        <w:tc>
          <w:tcPr>
            <w:tcW w:w="224" w:type="dxa"/>
          </w:tcPr>
          <w:p w14:paraId="3E07B145" w14:textId="77777777" w:rsidR="00EA1EBB" w:rsidRPr="006E725C" w:rsidRDefault="00EA1EBB">
            <w:pPr>
              <w:pStyle w:val="Textpoznpodarou1"/>
              <w:jc w:val="both"/>
              <w:rPr>
                <w:lang w:val="en-GB" w:eastAsia="en-US"/>
              </w:rPr>
            </w:pPr>
          </w:p>
        </w:tc>
        <w:tc>
          <w:tcPr>
            <w:tcW w:w="7611" w:type="dxa"/>
            <w:hideMark/>
          </w:tcPr>
          <w:p w14:paraId="48288300" w14:textId="06B71705" w:rsidR="00EA1EBB" w:rsidRPr="006E725C" w:rsidRDefault="0023290A">
            <w:pPr>
              <w:rPr>
                <w:lang w:val="en-GB" w:eastAsia="en-US"/>
              </w:rPr>
            </w:pPr>
            <w:r w:rsidRPr="006E725C">
              <w:rPr>
                <w:lang w:val="en-GB" w:eastAsia="en-US"/>
              </w:rPr>
              <w:t>As already mentioned, prices of housing and energies were the only division of the consumer basket in Q</w:t>
            </w:r>
            <w:r w:rsidR="00EA1EBB" w:rsidRPr="006E725C">
              <w:rPr>
                <w:lang w:val="en-GB" w:eastAsia="en-US"/>
              </w:rPr>
              <w:t>4</w:t>
            </w:r>
            <w:r w:rsidRPr="006E725C">
              <w:rPr>
                <w:lang w:val="en-GB" w:eastAsia="en-US"/>
              </w:rPr>
              <w:t xml:space="preserve">, </w:t>
            </w:r>
            <w:r w:rsidR="003A2BCE" w:rsidRPr="006E725C">
              <w:rPr>
                <w:lang w:val="en-GB" w:eastAsia="en-US"/>
              </w:rPr>
              <w:t xml:space="preserve">which experienced the acceleration of the year-on-year price growth. The increase surged to </w:t>
            </w:r>
            <w:r w:rsidR="00EA1EBB" w:rsidRPr="006E725C">
              <w:rPr>
                <w:lang w:val="en-GB" w:eastAsia="en-US"/>
              </w:rPr>
              <w:t>17</w:t>
            </w:r>
            <w:r w:rsidR="003A2BCE" w:rsidRPr="006E725C">
              <w:rPr>
                <w:lang w:val="en-GB" w:eastAsia="en-US"/>
              </w:rPr>
              <w:t>.</w:t>
            </w:r>
            <w:r w:rsidR="00EA1EBB" w:rsidRPr="006E725C">
              <w:rPr>
                <w:lang w:val="en-GB" w:eastAsia="en-US"/>
              </w:rPr>
              <w:t xml:space="preserve">8%. </w:t>
            </w:r>
            <w:r w:rsidR="002D495E" w:rsidRPr="006E725C">
              <w:rPr>
                <w:lang w:val="en-GB" w:eastAsia="en-US"/>
              </w:rPr>
              <w:t xml:space="preserve">Year-on-year increase of </w:t>
            </w:r>
            <w:r w:rsidR="00952BEF" w:rsidRPr="006E725C">
              <w:rPr>
                <w:lang w:val="en-GB" w:eastAsia="en-US"/>
              </w:rPr>
              <w:t xml:space="preserve">rentals for housing </w:t>
            </w:r>
            <w:r w:rsidR="00EA1EBB" w:rsidRPr="006E725C">
              <w:rPr>
                <w:lang w:val="en-GB" w:eastAsia="en-US"/>
              </w:rPr>
              <w:t>(7</w:t>
            </w:r>
            <w:r w:rsidR="00952BEF" w:rsidRPr="006E725C">
              <w:rPr>
                <w:lang w:val="en-GB" w:eastAsia="en-US"/>
              </w:rPr>
              <w:t>.</w:t>
            </w:r>
            <w:r w:rsidR="00EA1EBB" w:rsidRPr="006E725C">
              <w:rPr>
                <w:lang w:val="en-GB" w:eastAsia="en-US"/>
              </w:rPr>
              <w:t xml:space="preserve">5%), </w:t>
            </w:r>
            <w:r w:rsidR="002D495E" w:rsidRPr="006E725C">
              <w:rPr>
                <w:lang w:val="en-GB" w:eastAsia="en-US"/>
              </w:rPr>
              <w:t xml:space="preserve">common maintenance and repairs </w:t>
            </w:r>
            <w:r w:rsidR="00EA1EBB" w:rsidRPr="006E725C">
              <w:rPr>
                <w:lang w:val="en-GB" w:eastAsia="en-US"/>
              </w:rPr>
              <w:t>(6</w:t>
            </w:r>
            <w:r w:rsidR="002D495E" w:rsidRPr="006E725C">
              <w:rPr>
                <w:lang w:val="en-GB" w:eastAsia="en-US"/>
              </w:rPr>
              <w:t>.</w:t>
            </w:r>
            <w:r w:rsidR="00EA1EBB" w:rsidRPr="006E725C">
              <w:rPr>
                <w:lang w:val="en-GB" w:eastAsia="en-US"/>
              </w:rPr>
              <w:t>2%), imput</w:t>
            </w:r>
            <w:r w:rsidR="002D495E" w:rsidRPr="006E725C">
              <w:rPr>
                <w:lang w:val="en-GB" w:eastAsia="en-US"/>
              </w:rPr>
              <w:t>ed rentals</w:t>
            </w:r>
            <w:r w:rsidR="00EA1EBB" w:rsidRPr="006E725C">
              <w:rPr>
                <w:rStyle w:val="Znakapoznpodarou"/>
                <w:lang w:val="en-GB" w:eastAsia="en-US"/>
              </w:rPr>
              <w:footnoteReference w:id="60"/>
            </w:r>
            <w:r w:rsidR="00EA1EBB" w:rsidRPr="006E725C">
              <w:rPr>
                <w:lang w:val="en-GB" w:eastAsia="en-US"/>
              </w:rPr>
              <w:t xml:space="preserve"> (0</w:t>
            </w:r>
            <w:r w:rsidR="002D495E" w:rsidRPr="006E725C">
              <w:rPr>
                <w:lang w:val="en-GB" w:eastAsia="en-US"/>
              </w:rPr>
              <w:t>.</w:t>
            </w:r>
            <w:r w:rsidR="00EA1EBB" w:rsidRPr="006E725C">
              <w:rPr>
                <w:lang w:val="en-GB" w:eastAsia="en-US"/>
              </w:rPr>
              <w:t>3%)</w:t>
            </w:r>
            <w:r w:rsidR="002D495E" w:rsidRPr="006E725C">
              <w:rPr>
                <w:lang w:val="en-GB" w:eastAsia="en-US"/>
              </w:rPr>
              <w:t xml:space="preserve"> was milder and </w:t>
            </w:r>
            <w:r w:rsidR="00952BEF" w:rsidRPr="006E725C">
              <w:rPr>
                <w:lang w:val="en-GB" w:eastAsia="en-US"/>
              </w:rPr>
              <w:t xml:space="preserve">the increase of prices for other services associated with dwelling </w:t>
            </w:r>
            <w:r w:rsidR="00EA1EBB" w:rsidRPr="006E725C">
              <w:rPr>
                <w:lang w:val="en-GB" w:eastAsia="en-US"/>
              </w:rPr>
              <w:t>(15</w:t>
            </w:r>
            <w:r w:rsidR="00952BEF" w:rsidRPr="006E725C">
              <w:rPr>
                <w:lang w:val="en-GB" w:eastAsia="en-US"/>
              </w:rPr>
              <w:t>.</w:t>
            </w:r>
            <w:r w:rsidR="00EA1EBB" w:rsidRPr="006E725C">
              <w:rPr>
                <w:lang w:val="en-GB" w:eastAsia="en-US"/>
              </w:rPr>
              <w:t>3%)</w:t>
            </w:r>
            <w:r w:rsidR="00952BEF" w:rsidRPr="006E725C">
              <w:rPr>
                <w:lang w:val="en-GB" w:eastAsia="en-US"/>
              </w:rPr>
              <w:t xml:space="preserve"> stayed the same</w:t>
            </w:r>
            <w:r w:rsidR="00EA1EBB" w:rsidRPr="006E725C">
              <w:rPr>
                <w:lang w:val="en-GB" w:eastAsia="en-US"/>
              </w:rPr>
              <w:t xml:space="preserve">. </w:t>
            </w:r>
            <w:r w:rsidR="002752AD" w:rsidRPr="006E725C">
              <w:rPr>
                <w:lang w:val="en-GB" w:eastAsia="en-US"/>
              </w:rPr>
              <w:t xml:space="preserve">The increase of prices of electrical and heating energy, gas and other fuels nevertheless surged last year in Q4 (47.1%) due to the comparative basis of the end of year 2022. Quarter-on-quarter, the prices of housing, water, energy and fuels lowered by </w:t>
            </w:r>
            <w:r w:rsidR="00EA1EBB" w:rsidRPr="006E725C">
              <w:rPr>
                <w:lang w:val="en-GB" w:eastAsia="en-US"/>
              </w:rPr>
              <w:t>0</w:t>
            </w:r>
            <w:r w:rsidR="002752AD" w:rsidRPr="006E725C">
              <w:rPr>
                <w:lang w:val="en-GB" w:eastAsia="en-US"/>
              </w:rPr>
              <w:t>.</w:t>
            </w:r>
            <w:r w:rsidR="00EA1EBB" w:rsidRPr="006E725C">
              <w:rPr>
                <w:lang w:val="en-GB" w:eastAsia="en-US"/>
              </w:rPr>
              <w:t xml:space="preserve">4%. </w:t>
            </w:r>
            <w:r w:rsidR="00E42326" w:rsidRPr="006E725C">
              <w:rPr>
                <w:lang w:val="en-GB" w:eastAsia="en-US"/>
              </w:rPr>
              <w:t xml:space="preserve">The price increased for the whole year </w:t>
            </w:r>
            <w:r w:rsidR="00EA1EBB" w:rsidRPr="006E725C">
              <w:rPr>
                <w:lang w:val="en-GB" w:eastAsia="en-US"/>
              </w:rPr>
              <w:t>2023</w:t>
            </w:r>
            <w:r w:rsidR="00E42326" w:rsidRPr="006E725C">
              <w:rPr>
                <w:lang w:val="en-GB" w:eastAsia="en-US"/>
              </w:rPr>
              <w:t xml:space="preserve"> in this division arrived at </w:t>
            </w:r>
            <w:r w:rsidR="00EA1EBB" w:rsidRPr="006E725C">
              <w:rPr>
                <w:lang w:val="en-GB" w:eastAsia="en-US"/>
              </w:rPr>
              <w:t>16</w:t>
            </w:r>
            <w:r w:rsidR="00E42326" w:rsidRPr="006E725C">
              <w:rPr>
                <w:lang w:val="en-GB" w:eastAsia="en-US"/>
              </w:rPr>
              <w:t>.</w:t>
            </w:r>
            <w:r w:rsidR="00EA1EBB" w:rsidRPr="006E725C">
              <w:rPr>
                <w:lang w:val="en-GB" w:eastAsia="en-US"/>
              </w:rPr>
              <w:t xml:space="preserve">8%. </w:t>
            </w:r>
            <w:r w:rsidR="002D495E" w:rsidRPr="006E725C">
              <w:rPr>
                <w:lang w:val="en-GB" w:eastAsia="en-US"/>
              </w:rPr>
              <w:t xml:space="preserve">The increase of prices of energies and fuels </w:t>
            </w:r>
            <w:r w:rsidR="00EA1EBB" w:rsidRPr="006E725C">
              <w:rPr>
                <w:lang w:val="en-GB" w:eastAsia="en-US"/>
              </w:rPr>
              <w:t>(37</w:t>
            </w:r>
            <w:r w:rsidR="002D495E" w:rsidRPr="006E725C">
              <w:rPr>
                <w:lang w:val="en-GB" w:eastAsia="en-US"/>
              </w:rPr>
              <w:t>.</w:t>
            </w:r>
            <w:r w:rsidR="00EA1EBB" w:rsidRPr="006E725C">
              <w:rPr>
                <w:lang w:val="en-GB" w:eastAsia="en-US"/>
              </w:rPr>
              <w:t>2%)</w:t>
            </w:r>
            <w:r w:rsidR="002D495E" w:rsidRPr="006E725C">
              <w:rPr>
                <w:lang w:val="en-GB" w:eastAsia="en-US"/>
              </w:rPr>
              <w:t xml:space="preserve"> stood behind it to a major part</w:t>
            </w:r>
            <w:r w:rsidR="00EA1EBB" w:rsidRPr="006E725C">
              <w:rPr>
                <w:lang w:val="en-GB" w:eastAsia="en-US"/>
              </w:rPr>
              <w:t xml:space="preserve">, </w:t>
            </w:r>
            <w:r w:rsidR="00E42326" w:rsidRPr="006E725C">
              <w:rPr>
                <w:lang w:val="en-GB" w:eastAsia="en-US"/>
              </w:rPr>
              <w:t xml:space="preserve">nevertheless prices of other items were also higher. </w:t>
            </w:r>
            <w:r w:rsidR="00EA1EBB" w:rsidRPr="006E725C">
              <w:rPr>
                <w:lang w:val="en-GB" w:eastAsia="en-US"/>
              </w:rPr>
              <w:t xml:space="preserve">   </w:t>
            </w:r>
          </w:p>
        </w:tc>
      </w:tr>
      <w:tr w:rsidR="00EA1EBB" w:rsidRPr="006E725C" w14:paraId="1E28AA6D" w14:textId="77777777" w:rsidTr="00EA1EBB">
        <w:trPr>
          <w:trHeight w:val="145"/>
        </w:trPr>
        <w:tc>
          <w:tcPr>
            <w:tcW w:w="1804" w:type="dxa"/>
            <w:hideMark/>
          </w:tcPr>
          <w:p w14:paraId="255FD099" w14:textId="473EDA35" w:rsidR="00EA1EBB" w:rsidRPr="006E725C" w:rsidRDefault="00407911">
            <w:pPr>
              <w:pStyle w:val="Marginlie"/>
              <w:rPr>
                <w:spacing w:val="0"/>
                <w:lang w:val="en-GB" w:eastAsia="en-US"/>
              </w:rPr>
            </w:pPr>
            <w:r w:rsidRPr="006E725C">
              <w:rPr>
                <w:spacing w:val="0"/>
                <w:lang w:val="en-GB" w:eastAsia="en-US"/>
              </w:rPr>
              <w:t>Year-on-year growth of prices of food markedly slowed down in Q</w:t>
            </w:r>
            <w:r w:rsidR="00EA1EBB" w:rsidRPr="006E725C">
              <w:rPr>
                <w:spacing w:val="0"/>
                <w:lang w:val="en-GB" w:eastAsia="en-US"/>
              </w:rPr>
              <w:t>4.</w:t>
            </w:r>
          </w:p>
        </w:tc>
        <w:tc>
          <w:tcPr>
            <w:tcW w:w="224" w:type="dxa"/>
          </w:tcPr>
          <w:p w14:paraId="67D23EEB" w14:textId="77777777" w:rsidR="00EA1EBB" w:rsidRPr="006E725C" w:rsidRDefault="00EA1EBB">
            <w:pPr>
              <w:pStyle w:val="Textpoznpodarou1"/>
              <w:jc w:val="both"/>
              <w:rPr>
                <w:lang w:val="en-GB" w:eastAsia="en-US"/>
              </w:rPr>
            </w:pPr>
          </w:p>
        </w:tc>
        <w:tc>
          <w:tcPr>
            <w:tcW w:w="7611" w:type="dxa"/>
            <w:hideMark/>
          </w:tcPr>
          <w:p w14:paraId="07C4A633" w14:textId="4E2601DA" w:rsidR="00EA1EBB" w:rsidRPr="006E725C" w:rsidRDefault="00407911">
            <w:pPr>
              <w:rPr>
                <w:lang w:val="en-GB" w:eastAsia="en-US"/>
              </w:rPr>
            </w:pPr>
            <w:r w:rsidRPr="006E725C">
              <w:rPr>
                <w:lang w:val="en-GB" w:eastAsia="en-US"/>
              </w:rPr>
              <w:t xml:space="preserve">The growth of prices </w:t>
            </w:r>
            <w:r w:rsidR="00C90F18">
              <w:rPr>
                <w:lang w:val="en-GB" w:eastAsia="en-US"/>
              </w:rPr>
              <w:t xml:space="preserve">of food </w:t>
            </w:r>
            <w:r w:rsidRPr="006E725C">
              <w:rPr>
                <w:lang w:val="en-GB" w:eastAsia="en-US"/>
              </w:rPr>
              <w:t>and non-alcoholic beverages further slowed down considerably year-on-year in Q</w:t>
            </w:r>
            <w:r w:rsidR="00EA1EBB" w:rsidRPr="006E725C">
              <w:rPr>
                <w:lang w:val="en-GB" w:eastAsia="en-US"/>
              </w:rPr>
              <w:t>4</w:t>
            </w:r>
            <w:r w:rsidRPr="006E725C">
              <w:rPr>
                <w:lang w:val="en-GB" w:eastAsia="en-US"/>
              </w:rPr>
              <w:t xml:space="preserve"> </w:t>
            </w:r>
            <w:r w:rsidR="00EA1EBB" w:rsidRPr="006E725C">
              <w:rPr>
                <w:lang w:val="en-GB" w:eastAsia="en-US"/>
              </w:rPr>
              <w:t>(</w:t>
            </w:r>
            <w:r w:rsidRPr="006E725C">
              <w:rPr>
                <w:lang w:val="en-GB" w:eastAsia="en-US"/>
              </w:rPr>
              <w:t>decrease occurred already in December</w:t>
            </w:r>
            <w:r w:rsidR="001F3021" w:rsidRPr="006E725C">
              <w:rPr>
                <w:lang w:val="en-GB" w:eastAsia="en-US"/>
              </w:rPr>
              <w:t>),</w:t>
            </w:r>
            <w:r w:rsidR="00EA1EBB" w:rsidRPr="006E725C">
              <w:rPr>
                <w:lang w:val="en-GB" w:eastAsia="en-US"/>
              </w:rPr>
              <w:t xml:space="preserve"> a</w:t>
            </w:r>
            <w:r w:rsidRPr="006E725C">
              <w:rPr>
                <w:lang w:val="en-GB" w:eastAsia="en-US"/>
              </w:rPr>
              <w:t xml:space="preserve">nd the increase reached </w:t>
            </w:r>
            <w:r w:rsidR="00EA1EBB" w:rsidRPr="006E725C">
              <w:rPr>
                <w:lang w:val="en-GB" w:eastAsia="en-US"/>
              </w:rPr>
              <w:t>1</w:t>
            </w:r>
            <w:r w:rsidRPr="006E725C">
              <w:rPr>
                <w:lang w:val="en-GB" w:eastAsia="en-US"/>
              </w:rPr>
              <w:t>.</w:t>
            </w:r>
            <w:r w:rsidR="00EA1EBB" w:rsidRPr="006E725C">
              <w:rPr>
                <w:lang w:val="en-GB" w:eastAsia="en-US"/>
              </w:rPr>
              <w:t>6%</w:t>
            </w:r>
            <w:r w:rsidRPr="006E725C">
              <w:rPr>
                <w:lang w:val="en-GB" w:eastAsia="en-US"/>
              </w:rPr>
              <w:t xml:space="preserve"> for the whole quarter</w:t>
            </w:r>
            <w:r w:rsidR="00EA1EBB" w:rsidRPr="006E725C">
              <w:rPr>
                <w:lang w:val="en-GB" w:eastAsia="en-US"/>
              </w:rPr>
              <w:t xml:space="preserve">. </w:t>
            </w:r>
            <w:r w:rsidR="00B663A1" w:rsidRPr="006E725C">
              <w:rPr>
                <w:lang w:val="en-GB" w:eastAsia="en-US"/>
              </w:rPr>
              <w:t xml:space="preserve">Year-on-year increase of prices of </w:t>
            </w:r>
            <w:r w:rsidR="00C90F18">
              <w:rPr>
                <w:lang w:val="en-GB" w:eastAsia="en-US"/>
              </w:rPr>
              <w:t>bread</w:t>
            </w:r>
            <w:r w:rsidR="00B663A1" w:rsidRPr="006E725C">
              <w:rPr>
                <w:lang w:val="en-GB" w:eastAsia="en-US"/>
              </w:rPr>
              <w:t xml:space="preserve"> and cereals </w:t>
            </w:r>
            <w:r w:rsidR="00EA1EBB" w:rsidRPr="006E725C">
              <w:rPr>
                <w:lang w:val="en-GB" w:eastAsia="en-US"/>
              </w:rPr>
              <w:t>(3</w:t>
            </w:r>
            <w:r w:rsidR="00B663A1" w:rsidRPr="006E725C">
              <w:rPr>
                <w:lang w:val="en-GB" w:eastAsia="en-US"/>
              </w:rPr>
              <w:t>.</w:t>
            </w:r>
            <w:r w:rsidR="00EA1EBB" w:rsidRPr="006E725C">
              <w:rPr>
                <w:lang w:val="en-GB" w:eastAsia="en-US"/>
              </w:rPr>
              <w:t xml:space="preserve">0%), </w:t>
            </w:r>
            <w:r w:rsidR="00B663A1" w:rsidRPr="006E725C">
              <w:rPr>
                <w:lang w:val="en-GB" w:eastAsia="en-US"/>
              </w:rPr>
              <w:t xml:space="preserve">vegetables </w:t>
            </w:r>
            <w:r w:rsidR="00EA1EBB" w:rsidRPr="006E725C">
              <w:rPr>
                <w:lang w:val="en-GB" w:eastAsia="en-US"/>
              </w:rPr>
              <w:t>(16</w:t>
            </w:r>
            <w:r w:rsidR="00B663A1" w:rsidRPr="006E725C">
              <w:rPr>
                <w:lang w:val="en-GB" w:eastAsia="en-US"/>
              </w:rPr>
              <w:t>.</w:t>
            </w:r>
            <w:r w:rsidR="00EA1EBB" w:rsidRPr="006E725C">
              <w:rPr>
                <w:lang w:val="en-GB" w:eastAsia="en-US"/>
              </w:rPr>
              <w:t xml:space="preserve">6%), </w:t>
            </w:r>
            <w:r w:rsidR="00B663A1" w:rsidRPr="006E725C">
              <w:rPr>
                <w:lang w:val="en-GB" w:eastAsia="en-US"/>
              </w:rPr>
              <w:t xml:space="preserve">fruit </w:t>
            </w:r>
            <w:r w:rsidR="00EA1EBB" w:rsidRPr="006E725C">
              <w:rPr>
                <w:lang w:val="en-GB" w:eastAsia="en-US"/>
              </w:rPr>
              <w:t>(8</w:t>
            </w:r>
            <w:r w:rsidR="00B663A1" w:rsidRPr="006E725C">
              <w:rPr>
                <w:lang w:val="en-GB" w:eastAsia="en-US"/>
              </w:rPr>
              <w:t>.</w:t>
            </w:r>
            <w:r w:rsidR="00EA1EBB" w:rsidRPr="006E725C">
              <w:rPr>
                <w:lang w:val="en-GB" w:eastAsia="en-US"/>
              </w:rPr>
              <w:t>2%),</w:t>
            </w:r>
            <w:r w:rsidR="00B663A1" w:rsidRPr="006E725C">
              <w:rPr>
                <w:lang w:val="en-GB" w:eastAsia="en-US"/>
              </w:rPr>
              <w:t xml:space="preserve"> sugar and associated products </w:t>
            </w:r>
            <w:r w:rsidR="00EA1EBB" w:rsidRPr="006E725C">
              <w:rPr>
                <w:lang w:val="en-GB" w:eastAsia="en-US"/>
              </w:rPr>
              <w:t>(4</w:t>
            </w:r>
            <w:r w:rsidR="00B663A1" w:rsidRPr="006E725C">
              <w:rPr>
                <w:lang w:val="en-GB" w:eastAsia="en-US"/>
              </w:rPr>
              <w:t>.</w:t>
            </w:r>
            <w:r w:rsidR="00EA1EBB" w:rsidRPr="006E725C">
              <w:rPr>
                <w:lang w:val="en-GB" w:eastAsia="en-US"/>
              </w:rPr>
              <w:t>4%)</w:t>
            </w:r>
            <w:r w:rsidR="00B663A1" w:rsidRPr="006E725C">
              <w:rPr>
                <w:lang w:val="en-GB" w:eastAsia="en-US"/>
              </w:rPr>
              <w:t xml:space="preserve"> as well as other food products </w:t>
            </w:r>
            <w:r w:rsidR="00EA1EBB" w:rsidRPr="006E725C">
              <w:rPr>
                <w:lang w:val="en-GB" w:eastAsia="en-US"/>
              </w:rPr>
              <w:t>(7</w:t>
            </w:r>
            <w:r w:rsidR="00B663A1" w:rsidRPr="006E725C">
              <w:rPr>
                <w:lang w:val="en-GB" w:eastAsia="en-US"/>
              </w:rPr>
              <w:t>.</w:t>
            </w:r>
            <w:r w:rsidR="00EA1EBB" w:rsidRPr="006E725C">
              <w:rPr>
                <w:lang w:val="en-GB" w:eastAsia="en-US"/>
              </w:rPr>
              <w:t>0%)</w:t>
            </w:r>
            <w:r w:rsidR="00B663A1" w:rsidRPr="006E725C">
              <w:rPr>
                <w:lang w:val="en-GB" w:eastAsia="en-US"/>
              </w:rPr>
              <w:t xml:space="preserve"> was milder</w:t>
            </w:r>
            <w:r w:rsidR="00EA1EBB" w:rsidRPr="006E725C">
              <w:rPr>
                <w:lang w:val="en-GB" w:eastAsia="en-US"/>
              </w:rPr>
              <w:t xml:space="preserve">. </w:t>
            </w:r>
            <w:r w:rsidR="00AE1579" w:rsidRPr="006E725C">
              <w:rPr>
                <w:lang w:val="en-GB" w:eastAsia="en-US"/>
              </w:rPr>
              <w:t>Development of prices of</w:t>
            </w:r>
            <w:r w:rsidR="001F3021" w:rsidRPr="006E725C">
              <w:rPr>
                <w:lang w:val="en-GB" w:eastAsia="en-US"/>
              </w:rPr>
              <w:t xml:space="preserve"> meat </w:t>
            </w:r>
            <w:r w:rsidR="00EA1EBB" w:rsidRPr="006E725C">
              <w:rPr>
                <w:lang w:val="en-GB" w:eastAsia="en-US"/>
              </w:rPr>
              <w:t>(−1</w:t>
            </w:r>
            <w:r w:rsidR="00AE1579" w:rsidRPr="006E725C">
              <w:rPr>
                <w:lang w:val="en-GB" w:eastAsia="en-US"/>
              </w:rPr>
              <w:t>.</w:t>
            </w:r>
            <w:r w:rsidR="00EA1EBB" w:rsidRPr="006E725C">
              <w:rPr>
                <w:lang w:val="en-GB" w:eastAsia="en-US"/>
              </w:rPr>
              <w:t>5%) a</w:t>
            </w:r>
            <w:r w:rsidR="00AE1579" w:rsidRPr="006E725C">
              <w:rPr>
                <w:lang w:val="en-GB" w:eastAsia="en-US"/>
              </w:rPr>
              <w:t xml:space="preserve">nd milk, cheese and eggs </w:t>
            </w:r>
            <w:r w:rsidR="00EA1EBB" w:rsidRPr="006E725C">
              <w:rPr>
                <w:lang w:val="en-GB" w:eastAsia="en-US"/>
              </w:rPr>
              <w:t>(−7</w:t>
            </w:r>
            <w:r w:rsidR="00AE1579" w:rsidRPr="006E725C">
              <w:rPr>
                <w:lang w:val="en-GB" w:eastAsia="en-US"/>
              </w:rPr>
              <w:t>.</w:t>
            </w:r>
            <w:r w:rsidR="00EA1EBB" w:rsidRPr="006E725C">
              <w:rPr>
                <w:lang w:val="en-GB" w:eastAsia="en-US"/>
              </w:rPr>
              <w:t>0%)</w:t>
            </w:r>
            <w:r w:rsidR="00AE1579" w:rsidRPr="006E725C">
              <w:rPr>
                <w:lang w:val="en-GB" w:eastAsia="en-US"/>
              </w:rPr>
              <w:t xml:space="preserve"> got from growth into decrease in Q4</w:t>
            </w:r>
            <w:r w:rsidR="00EA1EBB" w:rsidRPr="006E725C">
              <w:rPr>
                <w:lang w:val="en-GB" w:eastAsia="en-US"/>
              </w:rPr>
              <w:t xml:space="preserve">. </w:t>
            </w:r>
            <w:r w:rsidR="00D3185C" w:rsidRPr="006E725C">
              <w:rPr>
                <w:lang w:val="en-GB" w:eastAsia="en-US"/>
              </w:rPr>
              <w:t xml:space="preserve">Prices of oils and fats remained in deep decline </w:t>
            </w:r>
            <w:r w:rsidR="00EA1EBB" w:rsidRPr="006E725C">
              <w:rPr>
                <w:lang w:val="en-GB" w:eastAsia="en-US"/>
              </w:rPr>
              <w:t>(−10</w:t>
            </w:r>
            <w:r w:rsidR="00D3185C" w:rsidRPr="006E725C">
              <w:rPr>
                <w:lang w:val="en-GB" w:eastAsia="en-US"/>
              </w:rPr>
              <w:t>.</w:t>
            </w:r>
            <w:r w:rsidR="00EA1EBB" w:rsidRPr="006E725C">
              <w:rPr>
                <w:lang w:val="en-GB" w:eastAsia="en-US"/>
              </w:rPr>
              <w:t xml:space="preserve">0%). </w:t>
            </w:r>
            <w:r w:rsidR="00D3185C" w:rsidRPr="006E725C">
              <w:rPr>
                <w:lang w:val="en-GB" w:eastAsia="en-US"/>
              </w:rPr>
              <w:t xml:space="preserve">Prices of food and non-alcoholic beverages decreased by </w:t>
            </w:r>
            <w:r w:rsidR="00EA1EBB" w:rsidRPr="006E725C">
              <w:rPr>
                <w:lang w:val="en-GB" w:eastAsia="en-US"/>
              </w:rPr>
              <w:t>1</w:t>
            </w:r>
            <w:r w:rsidR="00D3185C" w:rsidRPr="006E725C">
              <w:rPr>
                <w:lang w:val="en-GB" w:eastAsia="en-US"/>
              </w:rPr>
              <w:t>.</w:t>
            </w:r>
            <w:r w:rsidR="00EA1EBB" w:rsidRPr="006E725C">
              <w:rPr>
                <w:lang w:val="en-GB" w:eastAsia="en-US"/>
              </w:rPr>
              <w:t>4%</w:t>
            </w:r>
            <w:r w:rsidR="00D3185C" w:rsidRPr="006E725C">
              <w:rPr>
                <w:lang w:val="en-GB" w:eastAsia="en-US"/>
              </w:rPr>
              <w:t xml:space="preserve"> quarter-on-quarter</w:t>
            </w:r>
            <w:r w:rsidR="00EA1EBB" w:rsidRPr="006E725C">
              <w:rPr>
                <w:lang w:val="en-GB" w:eastAsia="en-US"/>
              </w:rPr>
              <w:t xml:space="preserve">. </w:t>
            </w:r>
            <w:r w:rsidR="00D3185C" w:rsidRPr="006E725C">
              <w:rPr>
                <w:lang w:val="en-GB" w:eastAsia="en-US"/>
              </w:rPr>
              <w:t xml:space="preserve">Prices of food and non-alcoholic beverages rose by </w:t>
            </w:r>
            <w:r w:rsidR="00EA1EBB" w:rsidRPr="006E725C">
              <w:rPr>
                <w:lang w:val="en-GB" w:eastAsia="en-US"/>
              </w:rPr>
              <w:t>11</w:t>
            </w:r>
            <w:r w:rsidR="00D3185C" w:rsidRPr="006E725C">
              <w:rPr>
                <w:lang w:val="en-GB" w:eastAsia="en-US"/>
              </w:rPr>
              <w:t>.</w:t>
            </w:r>
            <w:r w:rsidR="00EA1EBB" w:rsidRPr="006E725C">
              <w:rPr>
                <w:lang w:val="en-GB" w:eastAsia="en-US"/>
              </w:rPr>
              <w:t>5%</w:t>
            </w:r>
            <w:r w:rsidR="00D3185C" w:rsidRPr="006E725C">
              <w:rPr>
                <w:lang w:val="en-GB" w:eastAsia="en-US"/>
              </w:rPr>
              <w:t xml:space="preserve"> for the whole year 2023 and the increase thus reduced by 5.2 p.p. against year </w:t>
            </w:r>
            <w:r w:rsidR="00EA1EBB" w:rsidRPr="006E725C">
              <w:rPr>
                <w:lang w:val="en-GB" w:eastAsia="en-US"/>
              </w:rPr>
              <w:t>2022.</w:t>
            </w:r>
            <w:r w:rsidR="0050736A" w:rsidRPr="006E725C">
              <w:rPr>
                <w:lang w:val="en-GB" w:eastAsia="en-US"/>
              </w:rPr>
              <w:t xml:space="preserve"> Prices in this division thus surged by 30.1% in the last two years. </w:t>
            </w:r>
            <w:r w:rsidR="006B5F9A" w:rsidRPr="006E725C">
              <w:rPr>
                <w:lang w:val="en-GB" w:eastAsia="en-US"/>
              </w:rPr>
              <w:t xml:space="preserve">Prices of </w:t>
            </w:r>
            <w:r w:rsidR="00C90F18">
              <w:rPr>
                <w:lang w:val="en-GB" w:eastAsia="en-US"/>
              </w:rPr>
              <w:t>bread</w:t>
            </w:r>
            <w:r w:rsidR="006B5F9A" w:rsidRPr="006E725C">
              <w:rPr>
                <w:lang w:val="en-GB" w:eastAsia="en-US"/>
              </w:rPr>
              <w:t xml:space="preserve"> </w:t>
            </w:r>
            <w:r w:rsidR="00EA1EBB" w:rsidRPr="006E725C">
              <w:rPr>
                <w:lang w:val="en-GB" w:eastAsia="en-US"/>
              </w:rPr>
              <w:t>(13</w:t>
            </w:r>
            <w:r w:rsidR="006B5F9A" w:rsidRPr="006E725C">
              <w:rPr>
                <w:lang w:val="en-GB" w:eastAsia="en-US"/>
              </w:rPr>
              <w:t>.</w:t>
            </w:r>
            <w:r w:rsidR="00EA1EBB" w:rsidRPr="006E725C">
              <w:rPr>
                <w:lang w:val="en-GB" w:eastAsia="en-US"/>
              </w:rPr>
              <w:t>6%), m</w:t>
            </w:r>
            <w:r w:rsidR="006B5F9A" w:rsidRPr="006E725C">
              <w:rPr>
                <w:lang w:val="en-GB" w:eastAsia="en-US"/>
              </w:rPr>
              <w:t xml:space="preserve">eat </w:t>
            </w:r>
            <w:r w:rsidR="00EA1EBB" w:rsidRPr="006E725C">
              <w:rPr>
                <w:lang w:val="en-GB" w:eastAsia="en-US"/>
              </w:rPr>
              <w:t>(7</w:t>
            </w:r>
            <w:r w:rsidR="006B5F9A" w:rsidRPr="006E725C">
              <w:rPr>
                <w:lang w:val="en-GB" w:eastAsia="en-US"/>
              </w:rPr>
              <w:t>.</w:t>
            </w:r>
            <w:r w:rsidR="00EA1EBB" w:rsidRPr="006E725C">
              <w:rPr>
                <w:lang w:val="en-GB" w:eastAsia="en-US"/>
              </w:rPr>
              <w:t>7%),</w:t>
            </w:r>
            <w:r w:rsidR="006B5F9A" w:rsidRPr="006E725C">
              <w:rPr>
                <w:lang w:val="en-GB" w:eastAsia="en-US"/>
              </w:rPr>
              <w:t xml:space="preserve"> milk, cheese and eggs </w:t>
            </w:r>
            <w:r w:rsidR="00EA1EBB" w:rsidRPr="006E725C">
              <w:rPr>
                <w:lang w:val="en-GB" w:eastAsia="en-US"/>
              </w:rPr>
              <w:t>(10</w:t>
            </w:r>
            <w:r w:rsidR="006B5F9A" w:rsidRPr="006E725C">
              <w:rPr>
                <w:lang w:val="en-GB" w:eastAsia="en-US"/>
              </w:rPr>
              <w:t>.</w:t>
            </w:r>
            <w:r w:rsidR="00EA1EBB" w:rsidRPr="006E725C">
              <w:rPr>
                <w:lang w:val="en-GB" w:eastAsia="en-US"/>
              </w:rPr>
              <w:t>6%) a</w:t>
            </w:r>
            <w:r w:rsidR="006B5F9A" w:rsidRPr="006E725C">
              <w:rPr>
                <w:lang w:val="en-GB" w:eastAsia="en-US"/>
              </w:rPr>
              <w:t xml:space="preserve">nd vegetables </w:t>
            </w:r>
            <w:r w:rsidR="00EA1EBB" w:rsidRPr="006E725C">
              <w:rPr>
                <w:lang w:val="en-GB" w:eastAsia="en-US"/>
              </w:rPr>
              <w:t>(21</w:t>
            </w:r>
            <w:r w:rsidR="006B5F9A" w:rsidRPr="006E725C">
              <w:rPr>
                <w:lang w:val="en-GB" w:eastAsia="en-US"/>
              </w:rPr>
              <w:t>.</w:t>
            </w:r>
            <w:r w:rsidR="00EA1EBB" w:rsidRPr="006E725C">
              <w:rPr>
                <w:lang w:val="en-GB" w:eastAsia="en-US"/>
              </w:rPr>
              <w:t>5%)</w:t>
            </w:r>
            <w:r w:rsidR="006B5F9A" w:rsidRPr="006E725C">
              <w:rPr>
                <w:lang w:val="en-GB" w:eastAsia="en-US"/>
              </w:rPr>
              <w:t xml:space="preserve"> influenced the most last year’s increase of prices of food and non-alcoholic beverages</w:t>
            </w:r>
            <w:r w:rsidR="00EA1EBB" w:rsidRPr="006E725C">
              <w:rPr>
                <w:lang w:val="en-GB" w:eastAsia="en-US"/>
              </w:rPr>
              <w:t>.</w:t>
            </w:r>
          </w:p>
        </w:tc>
      </w:tr>
      <w:tr w:rsidR="00EA1EBB" w:rsidRPr="006E725C" w14:paraId="79FFDF48" w14:textId="77777777" w:rsidTr="00EA1EBB">
        <w:trPr>
          <w:trHeight w:val="145"/>
        </w:trPr>
        <w:tc>
          <w:tcPr>
            <w:tcW w:w="1804" w:type="dxa"/>
            <w:hideMark/>
          </w:tcPr>
          <w:p w14:paraId="191EDE68" w14:textId="348F4C2A" w:rsidR="00EA1EBB" w:rsidRPr="006E725C" w:rsidRDefault="001F3021">
            <w:pPr>
              <w:pStyle w:val="Marginlie"/>
              <w:rPr>
                <w:spacing w:val="0"/>
                <w:lang w:val="en-GB" w:eastAsia="en-US"/>
              </w:rPr>
            </w:pPr>
            <w:r w:rsidRPr="006E725C">
              <w:rPr>
                <w:spacing w:val="0"/>
                <w:lang w:val="en-GB" w:eastAsia="en-US"/>
              </w:rPr>
              <w:t>I</w:t>
            </w:r>
            <w:r w:rsidR="00407911" w:rsidRPr="006E725C">
              <w:rPr>
                <w:spacing w:val="0"/>
                <w:lang w:val="en-GB" w:eastAsia="en-US"/>
              </w:rPr>
              <w:t xml:space="preserve">ncrease of prices of various services remained robust. </w:t>
            </w:r>
          </w:p>
        </w:tc>
        <w:tc>
          <w:tcPr>
            <w:tcW w:w="224" w:type="dxa"/>
          </w:tcPr>
          <w:p w14:paraId="50470835" w14:textId="77777777" w:rsidR="00EA1EBB" w:rsidRPr="006E725C" w:rsidRDefault="00EA1EBB">
            <w:pPr>
              <w:pStyle w:val="Textpoznpodarou1"/>
              <w:jc w:val="both"/>
              <w:rPr>
                <w:lang w:val="en-GB" w:eastAsia="en-US"/>
              </w:rPr>
            </w:pPr>
          </w:p>
        </w:tc>
        <w:tc>
          <w:tcPr>
            <w:tcW w:w="7611" w:type="dxa"/>
            <w:hideMark/>
          </w:tcPr>
          <w:p w14:paraId="5012BD95" w14:textId="49E7BF30" w:rsidR="00EA1EBB" w:rsidRPr="006E725C" w:rsidRDefault="004D0C17" w:rsidP="00BC7941">
            <w:pPr>
              <w:rPr>
                <w:lang w:val="en-GB" w:eastAsia="en-US"/>
              </w:rPr>
            </w:pPr>
            <w:r w:rsidRPr="006E725C">
              <w:rPr>
                <w:lang w:val="en-GB" w:eastAsia="en-US"/>
              </w:rPr>
              <w:t xml:space="preserve">Recreation and culture, whose prices increased by 6.9% year-on-year belonged among consumer basket divisions, which contributed the most to the total growth of consumer prices in Q4. </w:t>
            </w:r>
            <w:r w:rsidR="00FA3AE5" w:rsidRPr="006E725C">
              <w:rPr>
                <w:lang w:val="en-GB" w:eastAsia="en-US"/>
              </w:rPr>
              <w:t xml:space="preserve">Prices of recreation with complex services </w:t>
            </w:r>
            <w:r w:rsidR="00EA1EBB" w:rsidRPr="006E725C">
              <w:rPr>
                <w:lang w:val="en-GB" w:eastAsia="en-US"/>
              </w:rPr>
              <w:t>(9</w:t>
            </w:r>
            <w:r w:rsidR="00FA3AE5" w:rsidRPr="006E725C">
              <w:rPr>
                <w:lang w:val="en-GB" w:eastAsia="en-US"/>
              </w:rPr>
              <w:t>.</w:t>
            </w:r>
            <w:r w:rsidR="00EA1EBB" w:rsidRPr="006E725C">
              <w:rPr>
                <w:lang w:val="en-GB" w:eastAsia="en-US"/>
              </w:rPr>
              <w:t xml:space="preserve">7%) </w:t>
            </w:r>
            <w:r w:rsidR="00FA3AE5" w:rsidRPr="006E725C">
              <w:rPr>
                <w:lang w:val="en-GB" w:eastAsia="en-US"/>
              </w:rPr>
              <w:t xml:space="preserve">and recreation and cultural services </w:t>
            </w:r>
            <w:r w:rsidR="00EA1EBB" w:rsidRPr="006E725C">
              <w:rPr>
                <w:lang w:val="en-GB" w:eastAsia="en-US"/>
              </w:rPr>
              <w:t>(8</w:t>
            </w:r>
            <w:r w:rsidR="00FA3AE5" w:rsidRPr="006E725C">
              <w:rPr>
                <w:lang w:val="en-GB" w:eastAsia="en-US"/>
              </w:rPr>
              <w:t>.</w:t>
            </w:r>
            <w:r w:rsidR="00EA1EBB" w:rsidRPr="006E725C">
              <w:rPr>
                <w:lang w:val="en-GB" w:eastAsia="en-US"/>
              </w:rPr>
              <w:t>6%)</w:t>
            </w:r>
            <w:r w:rsidR="00FA3AE5" w:rsidRPr="006E725C">
              <w:rPr>
                <w:lang w:val="en-GB" w:eastAsia="en-US"/>
              </w:rPr>
              <w:t xml:space="preserve"> held the largest proportion of this increase</w:t>
            </w:r>
            <w:r w:rsidR="00EA1EBB" w:rsidRPr="006E725C">
              <w:rPr>
                <w:lang w:val="en-GB" w:eastAsia="en-US"/>
              </w:rPr>
              <w:t xml:space="preserve">. </w:t>
            </w:r>
            <w:r w:rsidR="00FA3AE5" w:rsidRPr="006E725C">
              <w:rPr>
                <w:lang w:val="en-GB" w:eastAsia="en-US"/>
              </w:rPr>
              <w:t>Prices of recreation and culture decreased by notable 3.6% quarter-on-quarter. This division belonged to the significant drives of the price growth also from the view of the whole year 2</w:t>
            </w:r>
            <w:r w:rsidR="00EA1EBB" w:rsidRPr="006E725C">
              <w:rPr>
                <w:lang w:val="en-GB" w:eastAsia="en-US"/>
              </w:rPr>
              <w:t>023.</w:t>
            </w:r>
            <w:r w:rsidR="00FA3AE5" w:rsidRPr="006E725C">
              <w:rPr>
                <w:lang w:val="en-GB" w:eastAsia="en-US"/>
              </w:rPr>
              <w:t xml:space="preserve"> Prices increased in total by </w:t>
            </w:r>
            <w:r w:rsidR="00EA1EBB" w:rsidRPr="006E725C">
              <w:rPr>
                <w:lang w:val="en-GB" w:eastAsia="en-US"/>
              </w:rPr>
              <w:t>10</w:t>
            </w:r>
            <w:r w:rsidR="00FA3AE5" w:rsidRPr="006E725C">
              <w:rPr>
                <w:lang w:val="en-GB" w:eastAsia="en-US"/>
              </w:rPr>
              <w:t>.</w:t>
            </w:r>
            <w:r w:rsidR="00EA1EBB" w:rsidRPr="006E725C">
              <w:rPr>
                <w:lang w:val="en-GB" w:eastAsia="en-US"/>
              </w:rPr>
              <w:t>5%</w:t>
            </w:r>
            <w:r w:rsidR="00FA3AE5" w:rsidRPr="006E725C">
              <w:rPr>
                <w:lang w:val="en-GB" w:eastAsia="en-US"/>
              </w:rPr>
              <w:t xml:space="preserve"> here last year, mainly under the influence of recreation with complex services </w:t>
            </w:r>
            <w:r w:rsidR="00EA1EBB" w:rsidRPr="006E725C">
              <w:rPr>
                <w:lang w:val="en-GB" w:eastAsia="en-US"/>
              </w:rPr>
              <w:t>(15</w:t>
            </w:r>
            <w:r w:rsidR="00FA3AE5" w:rsidRPr="006E725C">
              <w:rPr>
                <w:lang w:val="en-GB" w:eastAsia="en-US"/>
              </w:rPr>
              <w:t>.</w:t>
            </w:r>
            <w:r w:rsidR="00EA1EBB" w:rsidRPr="006E725C">
              <w:rPr>
                <w:lang w:val="en-GB" w:eastAsia="en-US"/>
              </w:rPr>
              <w:t>3%).</w:t>
            </w:r>
            <w:r w:rsidR="00FA3AE5" w:rsidRPr="006E725C">
              <w:rPr>
                <w:lang w:val="en-GB" w:eastAsia="en-US"/>
              </w:rPr>
              <w:t xml:space="preserve"> Also, the prices of restaurants and hotels significantly spoke into the year-on-year consumer inflation in Q</w:t>
            </w:r>
            <w:r w:rsidR="00EA1EBB" w:rsidRPr="006E725C">
              <w:rPr>
                <w:lang w:val="en-GB" w:eastAsia="en-US"/>
              </w:rPr>
              <w:t>4</w:t>
            </w:r>
            <w:r w:rsidR="00FA3AE5" w:rsidRPr="006E725C">
              <w:rPr>
                <w:lang w:val="en-GB" w:eastAsia="en-US"/>
              </w:rPr>
              <w:t xml:space="preserve"> as well as for the whole year </w:t>
            </w:r>
            <w:r w:rsidR="00EA1EBB" w:rsidRPr="006E725C">
              <w:rPr>
                <w:lang w:val="en-GB" w:eastAsia="en-US"/>
              </w:rPr>
              <w:t>2023</w:t>
            </w:r>
            <w:r w:rsidR="00FA3AE5" w:rsidRPr="006E725C">
              <w:rPr>
                <w:lang w:val="en-GB" w:eastAsia="en-US"/>
              </w:rPr>
              <w:t xml:space="preserve">. Their year-on-year increase slowed to 8.8% in Q4 but kept further growing relatively substantially quarter-on-quarter </w:t>
            </w:r>
            <w:r w:rsidR="00EA1EBB" w:rsidRPr="006E725C">
              <w:rPr>
                <w:lang w:val="en-GB" w:eastAsia="en-US"/>
              </w:rPr>
              <w:t>(1</w:t>
            </w:r>
            <w:r w:rsidR="00FA3AE5" w:rsidRPr="006E725C">
              <w:rPr>
                <w:lang w:val="en-GB" w:eastAsia="en-US"/>
              </w:rPr>
              <w:t>.</w:t>
            </w:r>
            <w:r w:rsidR="00EA1EBB" w:rsidRPr="006E725C">
              <w:rPr>
                <w:lang w:val="en-GB" w:eastAsia="en-US"/>
              </w:rPr>
              <w:t xml:space="preserve">1%). </w:t>
            </w:r>
            <w:r w:rsidR="00FA3AE5" w:rsidRPr="006E725C">
              <w:rPr>
                <w:lang w:val="en-GB" w:eastAsia="en-US"/>
              </w:rPr>
              <w:t xml:space="preserve">Prices of restaurants and hotels increased by 14.2% for the whole year </w:t>
            </w:r>
            <w:r w:rsidR="00EA1EBB" w:rsidRPr="006E725C">
              <w:rPr>
                <w:lang w:val="en-GB" w:eastAsia="en-US"/>
              </w:rPr>
              <w:t>2023</w:t>
            </w:r>
            <w:r w:rsidR="00FA3AE5" w:rsidRPr="006E725C">
              <w:rPr>
                <w:lang w:val="en-GB" w:eastAsia="en-US"/>
              </w:rPr>
              <w:t xml:space="preserve">. </w:t>
            </w:r>
            <w:r w:rsidR="00BC7941" w:rsidRPr="006E725C">
              <w:rPr>
                <w:lang w:val="en-GB" w:eastAsia="en-US"/>
              </w:rPr>
              <w:t>Prices of alcoholic beverages and tobacco held steadily strong influence over the year-on-year growth of the consumer prices. They increased by 5.9% year-on-year in Q</w:t>
            </w:r>
            <w:r w:rsidR="00EA1EBB" w:rsidRPr="006E725C">
              <w:rPr>
                <w:lang w:val="en-GB" w:eastAsia="en-US"/>
              </w:rPr>
              <w:t>4</w:t>
            </w:r>
            <w:r w:rsidR="00BC7941" w:rsidRPr="006E725C">
              <w:rPr>
                <w:lang w:val="en-GB" w:eastAsia="en-US"/>
              </w:rPr>
              <w:t xml:space="preserve">, decreased by 0.3% quarter-on-quarter and were by 6.6% higher for the whole year. </w:t>
            </w:r>
          </w:p>
        </w:tc>
      </w:tr>
      <w:tr w:rsidR="00EA1EBB" w:rsidRPr="006E725C" w14:paraId="12B46305" w14:textId="77777777" w:rsidTr="00EA1EBB">
        <w:trPr>
          <w:trHeight w:val="145"/>
        </w:trPr>
        <w:tc>
          <w:tcPr>
            <w:tcW w:w="1804" w:type="dxa"/>
            <w:hideMark/>
          </w:tcPr>
          <w:p w14:paraId="6825CB69" w14:textId="39B86179" w:rsidR="00EA1EBB" w:rsidRPr="006E725C" w:rsidRDefault="00F53721">
            <w:pPr>
              <w:pStyle w:val="Marginlie"/>
              <w:rPr>
                <w:spacing w:val="0"/>
                <w:lang w:val="en-GB" w:eastAsia="en-US"/>
              </w:rPr>
            </w:pPr>
            <w:r w:rsidRPr="006E725C">
              <w:rPr>
                <w:spacing w:val="0"/>
                <w:lang w:val="en-GB" w:eastAsia="en-US"/>
              </w:rPr>
              <w:t xml:space="preserve">Year-on-year dynamics of prices of </w:t>
            </w:r>
            <w:r w:rsidR="00C90F18">
              <w:rPr>
                <w:spacing w:val="0"/>
                <w:lang w:val="en-GB" w:eastAsia="en-US"/>
              </w:rPr>
              <w:t>clothing</w:t>
            </w:r>
            <w:r w:rsidRPr="006E725C">
              <w:rPr>
                <w:spacing w:val="0"/>
                <w:lang w:val="en-GB" w:eastAsia="en-US"/>
              </w:rPr>
              <w:t xml:space="preserve"> and footwear slowed down. </w:t>
            </w:r>
          </w:p>
        </w:tc>
        <w:tc>
          <w:tcPr>
            <w:tcW w:w="224" w:type="dxa"/>
          </w:tcPr>
          <w:p w14:paraId="0CF95789" w14:textId="77777777" w:rsidR="00EA1EBB" w:rsidRPr="006E725C" w:rsidRDefault="00EA1EBB">
            <w:pPr>
              <w:pStyle w:val="Textpoznpodarou1"/>
              <w:jc w:val="both"/>
              <w:rPr>
                <w:lang w:val="en-GB" w:eastAsia="en-US"/>
              </w:rPr>
            </w:pPr>
          </w:p>
        </w:tc>
        <w:tc>
          <w:tcPr>
            <w:tcW w:w="7611" w:type="dxa"/>
            <w:hideMark/>
          </w:tcPr>
          <w:p w14:paraId="549FD4D2" w14:textId="56ED82B4" w:rsidR="00EA1EBB" w:rsidRPr="006E725C" w:rsidRDefault="0083245D" w:rsidP="00C90F18">
            <w:pPr>
              <w:rPr>
                <w:lang w:val="en-GB" w:eastAsia="en-US"/>
              </w:rPr>
            </w:pPr>
            <w:r w:rsidRPr="006E725C">
              <w:rPr>
                <w:lang w:val="en-GB" w:eastAsia="en-US"/>
              </w:rPr>
              <w:t xml:space="preserve">Prices of </w:t>
            </w:r>
            <w:r w:rsidR="00C90F18">
              <w:rPr>
                <w:lang w:val="en-GB" w:eastAsia="en-US"/>
              </w:rPr>
              <w:t>clothing</w:t>
            </w:r>
            <w:r w:rsidRPr="006E725C">
              <w:rPr>
                <w:lang w:val="en-GB" w:eastAsia="en-US"/>
              </w:rPr>
              <w:t xml:space="preserve"> and footwear as well as the </w:t>
            </w:r>
            <w:r w:rsidR="00C90F18">
              <w:rPr>
                <w:lang w:val="en-GB" w:eastAsia="en-US"/>
              </w:rPr>
              <w:t xml:space="preserve">furnishings, household equipment and maintenance </w:t>
            </w:r>
            <w:r w:rsidR="00493E8B" w:rsidRPr="006E725C">
              <w:rPr>
                <w:lang w:val="en-GB" w:eastAsia="en-US"/>
              </w:rPr>
              <w:t xml:space="preserve">experienced sharp surge in year </w:t>
            </w:r>
            <w:r w:rsidR="00CE6992" w:rsidRPr="006E725C">
              <w:rPr>
                <w:lang w:val="en-GB" w:eastAsia="en-US"/>
              </w:rPr>
              <w:t xml:space="preserve">driven by the renewed consumer demand. </w:t>
            </w:r>
            <w:r w:rsidR="00F26B48" w:rsidRPr="006E725C">
              <w:rPr>
                <w:lang w:val="en-GB" w:eastAsia="en-US"/>
              </w:rPr>
              <w:t xml:space="preserve">A gradual </w:t>
            </w:r>
            <w:r w:rsidR="00B6718D" w:rsidRPr="006E725C">
              <w:rPr>
                <w:lang w:val="en-GB" w:eastAsia="en-US"/>
              </w:rPr>
              <w:t xml:space="preserve">decline of the year-on-year price dynamics however occurred </w:t>
            </w:r>
            <w:r w:rsidR="004D75BC" w:rsidRPr="006E725C">
              <w:rPr>
                <w:lang w:val="en-GB" w:eastAsia="en-US"/>
              </w:rPr>
              <w:t xml:space="preserve">here </w:t>
            </w:r>
            <w:r w:rsidR="000B1A37" w:rsidRPr="006E725C">
              <w:rPr>
                <w:lang w:val="en-GB" w:eastAsia="en-US"/>
              </w:rPr>
              <w:lastRenderedPageBreak/>
              <w:t>during the last year</w:t>
            </w:r>
            <w:r w:rsidR="00EA1EBB" w:rsidRPr="006E725C">
              <w:rPr>
                <w:lang w:val="en-GB" w:eastAsia="en-US"/>
              </w:rPr>
              <w:t>.</w:t>
            </w:r>
            <w:r w:rsidR="000B1A37" w:rsidRPr="006E725C">
              <w:rPr>
                <w:lang w:val="en-GB" w:eastAsia="en-US"/>
              </w:rPr>
              <w:t xml:space="preserve"> Prices of </w:t>
            </w:r>
            <w:r w:rsidR="00C90F18">
              <w:rPr>
                <w:lang w:val="en-GB" w:eastAsia="en-US"/>
              </w:rPr>
              <w:t>clothing</w:t>
            </w:r>
            <w:r w:rsidR="000B1A37" w:rsidRPr="006E725C">
              <w:rPr>
                <w:lang w:val="en-GB" w:eastAsia="en-US"/>
              </w:rPr>
              <w:t xml:space="preserve"> and footwear were raised by 7.1% </w:t>
            </w:r>
            <w:r w:rsidR="005A0BB3" w:rsidRPr="006E725C">
              <w:rPr>
                <w:lang w:val="en-GB" w:eastAsia="en-US"/>
              </w:rPr>
              <w:t>year-on-year in Q4 and by 3.9% quarter-on-quarter and</w:t>
            </w:r>
            <w:r w:rsidR="001D1D2C" w:rsidRPr="006E725C">
              <w:rPr>
                <w:lang w:val="en-GB" w:eastAsia="en-US"/>
              </w:rPr>
              <w:t xml:space="preserve"> prices of </w:t>
            </w:r>
            <w:r w:rsidR="00C90F18">
              <w:rPr>
                <w:lang w:val="en-GB" w:eastAsia="en-US"/>
              </w:rPr>
              <w:t>furnishings, household equipment and maintenance w</w:t>
            </w:r>
            <w:r w:rsidR="0004219A" w:rsidRPr="006E725C">
              <w:rPr>
                <w:lang w:val="en-GB" w:eastAsia="en-US"/>
              </w:rPr>
              <w:t xml:space="preserve">ere by 2.7% higher year-on-year and stagnated quarter-on-quarter. </w:t>
            </w:r>
            <w:r w:rsidR="007132CA" w:rsidRPr="006E725C">
              <w:rPr>
                <w:lang w:val="en-GB" w:eastAsia="en-US"/>
              </w:rPr>
              <w:t xml:space="preserve">Prices of </w:t>
            </w:r>
            <w:r w:rsidR="00C90F18">
              <w:rPr>
                <w:lang w:val="en-GB" w:eastAsia="en-US"/>
              </w:rPr>
              <w:t>clothing</w:t>
            </w:r>
            <w:r w:rsidR="007132CA" w:rsidRPr="006E725C">
              <w:rPr>
                <w:lang w:val="en-GB" w:eastAsia="en-US"/>
              </w:rPr>
              <w:t xml:space="preserve"> and footwear rose by 11.1% for the whole year </w:t>
            </w:r>
            <w:r w:rsidR="00EA1EBB" w:rsidRPr="006E725C">
              <w:rPr>
                <w:lang w:val="en-GB" w:eastAsia="en-US"/>
              </w:rPr>
              <w:t>2023</w:t>
            </w:r>
            <w:r w:rsidR="007132CA" w:rsidRPr="006E725C">
              <w:rPr>
                <w:lang w:val="en-GB" w:eastAsia="en-US"/>
              </w:rPr>
              <w:t xml:space="preserve"> </w:t>
            </w:r>
            <w:r w:rsidR="00EA1EBB" w:rsidRPr="006E725C">
              <w:rPr>
                <w:lang w:val="en-GB" w:eastAsia="en-US"/>
              </w:rPr>
              <w:t>(</w:t>
            </w:r>
            <w:r w:rsidR="007132CA" w:rsidRPr="006E725C">
              <w:rPr>
                <w:lang w:val="en-GB" w:eastAsia="en-US"/>
              </w:rPr>
              <w:t xml:space="preserve">moderation against year </w:t>
            </w:r>
            <w:r w:rsidR="00EA1EBB" w:rsidRPr="006E725C">
              <w:rPr>
                <w:lang w:val="en-GB" w:eastAsia="en-US"/>
              </w:rPr>
              <w:t>2022</w:t>
            </w:r>
            <w:r w:rsidR="007132CA" w:rsidRPr="006E725C">
              <w:rPr>
                <w:lang w:val="en-GB" w:eastAsia="en-US"/>
              </w:rPr>
              <w:t xml:space="preserve"> by </w:t>
            </w:r>
            <w:r w:rsidR="00EA1EBB" w:rsidRPr="006E725C">
              <w:rPr>
                <w:lang w:val="en-GB" w:eastAsia="en-US"/>
              </w:rPr>
              <w:t>7</w:t>
            </w:r>
            <w:r w:rsidR="007132CA" w:rsidRPr="006E725C">
              <w:rPr>
                <w:lang w:val="en-GB" w:eastAsia="en-US"/>
              </w:rPr>
              <w:t>.</w:t>
            </w:r>
            <w:r w:rsidR="00EA1EBB" w:rsidRPr="006E725C">
              <w:rPr>
                <w:lang w:val="en-GB" w:eastAsia="en-US"/>
              </w:rPr>
              <w:t>5 p.</w:t>
            </w:r>
            <w:r w:rsidR="007132CA" w:rsidRPr="006E725C">
              <w:rPr>
                <w:lang w:val="en-GB" w:eastAsia="en-US"/>
              </w:rPr>
              <w:t>p</w:t>
            </w:r>
            <w:r w:rsidR="00EA1EBB" w:rsidRPr="006E725C">
              <w:rPr>
                <w:lang w:val="en-GB" w:eastAsia="en-US"/>
              </w:rPr>
              <w:t>.) a</w:t>
            </w:r>
            <w:r w:rsidR="007132CA" w:rsidRPr="006E725C">
              <w:rPr>
                <w:lang w:val="en-GB" w:eastAsia="en-US"/>
              </w:rPr>
              <w:t xml:space="preserve">nd </w:t>
            </w:r>
            <w:r w:rsidR="0034741E" w:rsidRPr="006E725C">
              <w:rPr>
                <w:lang w:val="en-GB" w:eastAsia="en-US"/>
              </w:rPr>
              <w:t xml:space="preserve">prices of </w:t>
            </w:r>
            <w:r w:rsidR="00C90F18">
              <w:rPr>
                <w:lang w:val="en-GB" w:eastAsia="en-US"/>
              </w:rPr>
              <w:t>f</w:t>
            </w:r>
            <w:r w:rsidR="00C90F18" w:rsidRPr="00C90F18">
              <w:rPr>
                <w:lang w:val="en-GB" w:eastAsia="en-US"/>
              </w:rPr>
              <w:t>urnishings, household equipment and maintenance</w:t>
            </w:r>
            <w:r w:rsidR="0034741E" w:rsidRPr="006E725C">
              <w:rPr>
                <w:lang w:val="en-GB" w:eastAsia="en-US"/>
              </w:rPr>
              <w:t xml:space="preserve"> by </w:t>
            </w:r>
            <w:r w:rsidR="00EA1EBB" w:rsidRPr="006E725C">
              <w:rPr>
                <w:lang w:val="en-GB" w:eastAsia="en-US"/>
              </w:rPr>
              <w:t>7</w:t>
            </w:r>
            <w:r w:rsidR="0034741E" w:rsidRPr="006E725C">
              <w:rPr>
                <w:lang w:val="en-GB" w:eastAsia="en-US"/>
              </w:rPr>
              <w:t>.</w:t>
            </w:r>
            <w:r w:rsidR="00EA1EBB" w:rsidRPr="006E725C">
              <w:rPr>
                <w:lang w:val="en-GB" w:eastAsia="en-US"/>
              </w:rPr>
              <w:t>6% (−4</w:t>
            </w:r>
            <w:r w:rsidR="0034741E" w:rsidRPr="006E725C">
              <w:rPr>
                <w:lang w:val="en-GB" w:eastAsia="en-US"/>
              </w:rPr>
              <w:t>.</w:t>
            </w:r>
            <w:r w:rsidR="00EA1EBB" w:rsidRPr="006E725C">
              <w:rPr>
                <w:lang w:val="en-GB" w:eastAsia="en-US"/>
              </w:rPr>
              <w:t>4 p.</w:t>
            </w:r>
            <w:r w:rsidR="0034741E" w:rsidRPr="006E725C">
              <w:rPr>
                <w:lang w:val="en-GB" w:eastAsia="en-US"/>
              </w:rPr>
              <w:t>p</w:t>
            </w:r>
            <w:r w:rsidR="00EA1EBB" w:rsidRPr="006E725C">
              <w:rPr>
                <w:lang w:val="en-GB" w:eastAsia="en-US"/>
              </w:rPr>
              <w:t xml:space="preserve">.). </w:t>
            </w:r>
            <w:r w:rsidR="00146B27" w:rsidRPr="006E725C">
              <w:rPr>
                <w:lang w:val="en-GB" w:eastAsia="en-US"/>
              </w:rPr>
              <w:t>Prices of other goods and services</w:t>
            </w:r>
            <w:r w:rsidR="00EA1EBB" w:rsidRPr="006E725C">
              <w:rPr>
                <w:rStyle w:val="Znakapoznpodarou"/>
                <w:lang w:val="en-GB" w:eastAsia="en-US"/>
              </w:rPr>
              <w:footnoteReference w:id="61"/>
            </w:r>
            <w:r w:rsidR="00146B27" w:rsidRPr="006E725C">
              <w:rPr>
                <w:lang w:val="en-GB" w:eastAsia="en-US"/>
              </w:rPr>
              <w:t xml:space="preserve"> also considerably grew in the last two years </w:t>
            </w:r>
            <w:r w:rsidR="00D27995" w:rsidRPr="006E725C">
              <w:rPr>
                <w:lang w:val="en-GB" w:eastAsia="en-US"/>
              </w:rPr>
              <w:t>in connection to the post-pandemic revival of demand and their year-on-year dynamics weakened to 5.5% in Q</w:t>
            </w:r>
            <w:r w:rsidR="00EA1EBB" w:rsidRPr="006E725C">
              <w:rPr>
                <w:lang w:val="en-GB" w:eastAsia="en-US"/>
              </w:rPr>
              <w:t>4</w:t>
            </w:r>
            <w:r w:rsidR="00D27995" w:rsidRPr="006E725C">
              <w:rPr>
                <w:lang w:val="en-GB" w:eastAsia="en-US"/>
              </w:rPr>
              <w:t xml:space="preserve"> </w:t>
            </w:r>
            <w:r w:rsidR="00EA1EBB" w:rsidRPr="006E725C">
              <w:rPr>
                <w:lang w:val="en-GB" w:eastAsia="en-US"/>
              </w:rPr>
              <w:t xml:space="preserve">2023. </w:t>
            </w:r>
            <w:r w:rsidR="00146B27" w:rsidRPr="006E725C">
              <w:rPr>
                <w:lang w:val="en-GB" w:eastAsia="en-US"/>
              </w:rPr>
              <w:t>They were by 0.3% higher quarter-on-quarter and increased by 9.4%</w:t>
            </w:r>
            <w:r w:rsidR="001E34DC" w:rsidRPr="006E725C">
              <w:rPr>
                <w:lang w:val="en-GB" w:eastAsia="en-US"/>
              </w:rPr>
              <w:t xml:space="preserve"> for the whole year </w:t>
            </w:r>
            <w:r w:rsidR="00EA1EBB" w:rsidRPr="006E725C">
              <w:rPr>
                <w:lang w:val="en-GB" w:eastAsia="en-US"/>
              </w:rPr>
              <w:t xml:space="preserve">2023. </w:t>
            </w:r>
            <w:r w:rsidR="00B94A14" w:rsidRPr="006E725C">
              <w:rPr>
                <w:lang w:val="en-GB" w:eastAsia="en-US"/>
              </w:rPr>
              <w:t xml:space="preserve">Less weight significant items maintained a considerable price growth for the whole year </w:t>
            </w:r>
            <w:r w:rsidR="00EA1EBB" w:rsidRPr="006E725C">
              <w:rPr>
                <w:lang w:val="en-GB" w:eastAsia="en-US"/>
              </w:rPr>
              <w:t>2023</w:t>
            </w:r>
            <w:r w:rsidR="00B94A14" w:rsidRPr="006E725C">
              <w:rPr>
                <w:lang w:val="en-GB" w:eastAsia="en-US"/>
              </w:rPr>
              <w:t xml:space="preserve"> </w:t>
            </w:r>
            <w:r w:rsidR="00EA1EBB" w:rsidRPr="006E725C">
              <w:rPr>
                <w:lang w:val="en-GB" w:eastAsia="en-US"/>
              </w:rPr>
              <w:t xml:space="preserve">– </w:t>
            </w:r>
            <w:r w:rsidR="000B4461" w:rsidRPr="006E725C">
              <w:rPr>
                <w:lang w:val="en-GB" w:eastAsia="en-US"/>
              </w:rPr>
              <w:t>post</w:t>
            </w:r>
            <w:r w:rsidR="00FA71B2" w:rsidRPr="006E725C">
              <w:rPr>
                <w:lang w:val="en-GB" w:eastAsia="en-US"/>
              </w:rPr>
              <w:t xml:space="preserve"> and </w:t>
            </w:r>
            <w:r w:rsidR="00C3707B" w:rsidRPr="006E725C">
              <w:rPr>
                <w:lang w:val="en-GB" w:eastAsia="en-US"/>
              </w:rPr>
              <w:t>telecommunications</w:t>
            </w:r>
            <w:r w:rsidR="00FA71B2" w:rsidRPr="006E725C">
              <w:rPr>
                <w:lang w:val="en-GB" w:eastAsia="en-US"/>
              </w:rPr>
              <w:t xml:space="preserve"> </w:t>
            </w:r>
            <w:r w:rsidR="00EA1EBB" w:rsidRPr="006E725C">
              <w:rPr>
                <w:lang w:val="en-GB" w:eastAsia="en-US"/>
              </w:rPr>
              <w:t>(3</w:t>
            </w:r>
            <w:r w:rsidR="00FA71B2" w:rsidRPr="006E725C">
              <w:rPr>
                <w:lang w:val="en-GB" w:eastAsia="en-US"/>
              </w:rPr>
              <w:t>.</w:t>
            </w:r>
            <w:r w:rsidR="00EA1EBB" w:rsidRPr="006E725C">
              <w:rPr>
                <w:lang w:val="en-GB" w:eastAsia="en-US"/>
              </w:rPr>
              <w:t>6%</w:t>
            </w:r>
            <w:r w:rsidR="00FA71B2" w:rsidRPr="006E725C">
              <w:rPr>
                <w:lang w:val="en-GB" w:eastAsia="en-US"/>
              </w:rPr>
              <w:t xml:space="preserve"> for the whole year</w:t>
            </w:r>
            <w:r w:rsidR="00EA1EBB" w:rsidRPr="006E725C">
              <w:rPr>
                <w:lang w:val="en-GB" w:eastAsia="en-US"/>
              </w:rPr>
              <w:t xml:space="preserve">), </w:t>
            </w:r>
            <w:r w:rsidR="00FA71B2" w:rsidRPr="006E725C">
              <w:rPr>
                <w:lang w:val="en-GB" w:eastAsia="en-US"/>
              </w:rPr>
              <w:t xml:space="preserve">health </w:t>
            </w:r>
            <w:r w:rsidR="00EA1EBB" w:rsidRPr="006E725C">
              <w:rPr>
                <w:lang w:val="en-GB" w:eastAsia="en-US"/>
              </w:rPr>
              <w:t>(8</w:t>
            </w:r>
            <w:r w:rsidR="00FA71B2" w:rsidRPr="006E725C">
              <w:rPr>
                <w:lang w:val="en-GB" w:eastAsia="en-US"/>
              </w:rPr>
              <w:t>.</w:t>
            </w:r>
            <w:r w:rsidR="00EA1EBB" w:rsidRPr="006E725C">
              <w:rPr>
                <w:lang w:val="en-GB" w:eastAsia="en-US"/>
              </w:rPr>
              <w:t>8%) a</w:t>
            </w:r>
            <w:r w:rsidR="00FA71B2" w:rsidRPr="006E725C">
              <w:rPr>
                <w:lang w:val="en-GB" w:eastAsia="en-US"/>
              </w:rPr>
              <w:t xml:space="preserve">nd education </w:t>
            </w:r>
            <w:r w:rsidR="00EA1EBB" w:rsidRPr="006E725C">
              <w:rPr>
                <w:lang w:val="en-GB" w:eastAsia="en-US"/>
              </w:rPr>
              <w:t>(7</w:t>
            </w:r>
            <w:r w:rsidR="00FA71B2" w:rsidRPr="006E725C">
              <w:rPr>
                <w:lang w:val="en-GB" w:eastAsia="en-US"/>
              </w:rPr>
              <w:t>.</w:t>
            </w:r>
            <w:r w:rsidR="00EA1EBB" w:rsidRPr="006E725C">
              <w:rPr>
                <w:lang w:val="en-GB" w:eastAsia="en-US"/>
              </w:rPr>
              <w:t>0%).</w:t>
            </w:r>
          </w:p>
        </w:tc>
      </w:tr>
      <w:tr w:rsidR="00EA1EBB" w:rsidRPr="006E725C" w14:paraId="54E69A1B" w14:textId="77777777" w:rsidTr="00EA1EBB">
        <w:trPr>
          <w:trHeight w:val="145"/>
        </w:trPr>
        <w:tc>
          <w:tcPr>
            <w:tcW w:w="1804" w:type="dxa"/>
            <w:hideMark/>
          </w:tcPr>
          <w:p w14:paraId="2D476B6B" w14:textId="75C5B493" w:rsidR="00EA1EBB" w:rsidRPr="006E725C" w:rsidRDefault="00BC7941">
            <w:pPr>
              <w:pStyle w:val="Marginlie"/>
              <w:rPr>
                <w:spacing w:val="0"/>
                <w:lang w:val="en-GB" w:eastAsia="en-US"/>
              </w:rPr>
            </w:pPr>
            <w:r w:rsidRPr="006E725C">
              <w:rPr>
                <w:spacing w:val="0"/>
                <w:lang w:val="en-GB" w:eastAsia="en-US"/>
              </w:rPr>
              <w:lastRenderedPageBreak/>
              <w:t xml:space="preserve">Prices of </w:t>
            </w:r>
            <w:r w:rsidR="00B3732D">
              <w:rPr>
                <w:spacing w:val="0"/>
                <w:lang w:val="en-GB" w:eastAsia="en-US"/>
              </w:rPr>
              <w:t>transport</w:t>
            </w:r>
            <w:r w:rsidRPr="006E725C">
              <w:rPr>
                <w:spacing w:val="0"/>
                <w:lang w:val="en-GB" w:eastAsia="en-US"/>
              </w:rPr>
              <w:t xml:space="preserve"> in total decreased last year. </w:t>
            </w:r>
          </w:p>
        </w:tc>
        <w:tc>
          <w:tcPr>
            <w:tcW w:w="224" w:type="dxa"/>
          </w:tcPr>
          <w:p w14:paraId="27F0AEFB" w14:textId="77777777" w:rsidR="00EA1EBB" w:rsidRPr="006E725C" w:rsidRDefault="00EA1EBB">
            <w:pPr>
              <w:pStyle w:val="Textpoznpodarou1"/>
              <w:jc w:val="both"/>
              <w:rPr>
                <w:lang w:val="en-GB" w:eastAsia="en-US"/>
              </w:rPr>
            </w:pPr>
          </w:p>
        </w:tc>
        <w:tc>
          <w:tcPr>
            <w:tcW w:w="7611" w:type="dxa"/>
            <w:hideMark/>
          </w:tcPr>
          <w:p w14:paraId="5775951F" w14:textId="053D0595" w:rsidR="00EA1EBB" w:rsidRPr="006E725C" w:rsidRDefault="00C3707B" w:rsidP="00C90F18">
            <w:pPr>
              <w:rPr>
                <w:lang w:val="en-GB" w:eastAsia="en-US"/>
              </w:rPr>
            </w:pPr>
            <w:r w:rsidRPr="006E725C">
              <w:rPr>
                <w:lang w:val="en-GB" w:eastAsia="en-US"/>
              </w:rPr>
              <w:t xml:space="preserve">Prices of </w:t>
            </w:r>
            <w:r w:rsidR="00B3732D">
              <w:rPr>
                <w:lang w:val="en-GB" w:eastAsia="en-US"/>
              </w:rPr>
              <w:t>transport</w:t>
            </w:r>
            <w:r w:rsidRPr="006E725C">
              <w:rPr>
                <w:lang w:val="en-GB" w:eastAsia="en-US"/>
              </w:rPr>
              <w:t xml:space="preserve"> </w:t>
            </w:r>
            <w:r w:rsidR="00A716AC" w:rsidRPr="006E725C">
              <w:rPr>
                <w:lang w:val="en-GB" w:eastAsia="en-US"/>
              </w:rPr>
              <w:t xml:space="preserve">were falling year-on-year except for the first quarter of the year. Their fall slowed down to 1.6% </w:t>
            </w:r>
            <w:r w:rsidR="00207414" w:rsidRPr="006E725C">
              <w:rPr>
                <w:lang w:val="en-GB" w:eastAsia="en-US"/>
              </w:rPr>
              <w:t>in Q</w:t>
            </w:r>
            <w:r w:rsidR="00EA1EBB" w:rsidRPr="006E725C">
              <w:rPr>
                <w:lang w:val="en-GB" w:eastAsia="en-US"/>
              </w:rPr>
              <w:t>4.</w:t>
            </w:r>
            <w:r w:rsidR="00207414" w:rsidRPr="006E725C">
              <w:rPr>
                <w:lang w:val="en-GB" w:eastAsia="en-US"/>
              </w:rPr>
              <w:t xml:space="preserve"> </w:t>
            </w:r>
            <w:r w:rsidR="00384CB8" w:rsidRPr="006E725C">
              <w:rPr>
                <w:lang w:val="en-GB" w:eastAsia="en-US"/>
              </w:rPr>
              <w:t xml:space="preserve">The only item in the division, where the prices grew year-on-year were the </w:t>
            </w:r>
            <w:r w:rsidR="00B3732D">
              <w:rPr>
                <w:lang w:val="en-GB" w:eastAsia="en-US"/>
              </w:rPr>
              <w:t>transport</w:t>
            </w:r>
            <w:r w:rsidR="00384CB8" w:rsidRPr="006E725C">
              <w:rPr>
                <w:lang w:val="en-GB" w:eastAsia="en-US"/>
              </w:rPr>
              <w:t xml:space="preserve"> </w:t>
            </w:r>
            <w:r w:rsidR="00615EA5" w:rsidRPr="006E725C">
              <w:rPr>
                <w:lang w:val="en-GB" w:eastAsia="en-US"/>
              </w:rPr>
              <w:t xml:space="preserve">services </w:t>
            </w:r>
            <w:r w:rsidR="00EA1EBB" w:rsidRPr="006E725C">
              <w:rPr>
                <w:lang w:val="en-GB" w:eastAsia="en-US"/>
              </w:rPr>
              <w:t>(7</w:t>
            </w:r>
            <w:r w:rsidR="00615EA5" w:rsidRPr="006E725C">
              <w:rPr>
                <w:lang w:val="en-GB" w:eastAsia="en-US"/>
              </w:rPr>
              <w:t>.</w:t>
            </w:r>
            <w:r w:rsidR="00EA1EBB" w:rsidRPr="006E725C">
              <w:rPr>
                <w:lang w:val="en-GB" w:eastAsia="en-US"/>
              </w:rPr>
              <w:t xml:space="preserve">9%). </w:t>
            </w:r>
            <w:r w:rsidR="009664D8" w:rsidRPr="006E725C">
              <w:rPr>
                <w:lang w:val="en-GB" w:eastAsia="en-US"/>
              </w:rPr>
              <w:t xml:space="preserve">The year-on-year decrease of prices of </w:t>
            </w:r>
            <w:r w:rsidR="00C90F18">
              <w:rPr>
                <w:lang w:val="en-GB" w:eastAsia="en-US"/>
              </w:rPr>
              <w:t>purchase of vehicles</w:t>
            </w:r>
            <w:r w:rsidR="009664D8" w:rsidRPr="006E725C">
              <w:rPr>
                <w:lang w:val="en-GB" w:eastAsia="en-US"/>
              </w:rPr>
              <w:t xml:space="preserve"> deepened </w:t>
            </w:r>
            <w:r w:rsidR="00EA1EBB" w:rsidRPr="006E725C">
              <w:rPr>
                <w:lang w:val="en-GB" w:eastAsia="en-US"/>
              </w:rPr>
              <w:t>(−3</w:t>
            </w:r>
            <w:r w:rsidR="009664D8" w:rsidRPr="006E725C">
              <w:rPr>
                <w:lang w:val="en-GB" w:eastAsia="en-US"/>
              </w:rPr>
              <w:t>.</w:t>
            </w:r>
            <w:r w:rsidR="00EA1EBB" w:rsidRPr="006E725C">
              <w:rPr>
                <w:lang w:val="en-GB" w:eastAsia="en-US"/>
              </w:rPr>
              <w:t xml:space="preserve">8%). </w:t>
            </w:r>
            <w:r w:rsidR="00AB1ACD" w:rsidRPr="006E725C">
              <w:rPr>
                <w:lang w:val="en-GB" w:eastAsia="en-US"/>
              </w:rPr>
              <w:t xml:space="preserve">The decrease however slowed down in case of costs of their operations </w:t>
            </w:r>
            <w:r w:rsidR="00EA1EBB" w:rsidRPr="006E725C">
              <w:rPr>
                <w:lang w:val="en-GB" w:eastAsia="en-US"/>
              </w:rPr>
              <w:t>(−1</w:t>
            </w:r>
            <w:r w:rsidR="00AB1ACD" w:rsidRPr="006E725C">
              <w:rPr>
                <w:lang w:val="en-GB" w:eastAsia="en-US"/>
              </w:rPr>
              <w:t>.</w:t>
            </w:r>
            <w:r w:rsidR="00EA1EBB" w:rsidRPr="006E725C">
              <w:rPr>
                <w:lang w:val="en-GB" w:eastAsia="en-US"/>
              </w:rPr>
              <w:t>5%),</w:t>
            </w:r>
            <w:r w:rsidR="00AB1ACD" w:rsidRPr="006E725C">
              <w:rPr>
                <w:lang w:val="en-GB" w:eastAsia="en-US"/>
              </w:rPr>
              <w:t xml:space="preserve"> in that decrease of prices of fuels reached </w:t>
            </w:r>
            <w:r w:rsidR="00EA1EBB" w:rsidRPr="006E725C">
              <w:rPr>
                <w:lang w:val="en-GB" w:eastAsia="en-US"/>
              </w:rPr>
              <w:t>6</w:t>
            </w:r>
            <w:r w:rsidR="00AB1ACD" w:rsidRPr="006E725C">
              <w:rPr>
                <w:lang w:val="en-GB" w:eastAsia="en-US"/>
              </w:rPr>
              <w:t>.</w:t>
            </w:r>
            <w:r w:rsidR="00EA1EBB" w:rsidRPr="006E725C">
              <w:rPr>
                <w:lang w:val="en-GB" w:eastAsia="en-US"/>
              </w:rPr>
              <w:t xml:space="preserve">5%. </w:t>
            </w:r>
            <w:r w:rsidR="00932E00" w:rsidRPr="006E725C">
              <w:rPr>
                <w:lang w:val="en-GB" w:eastAsia="en-US"/>
              </w:rPr>
              <w:t xml:space="preserve">Prices of </w:t>
            </w:r>
            <w:r w:rsidR="00B3732D">
              <w:rPr>
                <w:lang w:val="en-GB" w:eastAsia="en-US"/>
              </w:rPr>
              <w:t>transport</w:t>
            </w:r>
            <w:r w:rsidR="00932E00" w:rsidRPr="006E725C">
              <w:rPr>
                <w:lang w:val="en-GB" w:eastAsia="en-US"/>
              </w:rPr>
              <w:t xml:space="preserve"> lowered by 0.3% quarter-on-quarter. Prices of </w:t>
            </w:r>
            <w:r w:rsidR="00B3732D">
              <w:rPr>
                <w:lang w:val="en-GB" w:eastAsia="en-US"/>
              </w:rPr>
              <w:t>transport</w:t>
            </w:r>
            <w:r w:rsidR="00932E00" w:rsidRPr="006E725C">
              <w:rPr>
                <w:lang w:val="en-GB" w:eastAsia="en-US"/>
              </w:rPr>
              <w:t xml:space="preserve"> fell by 4.1% for the whole year </w:t>
            </w:r>
            <w:r w:rsidR="00EA1EBB" w:rsidRPr="006E725C">
              <w:rPr>
                <w:lang w:val="en-GB" w:eastAsia="en-US"/>
              </w:rPr>
              <w:t xml:space="preserve">2023. </w:t>
            </w:r>
            <w:r w:rsidR="00932E00" w:rsidRPr="006E725C">
              <w:rPr>
                <w:lang w:val="en-GB" w:eastAsia="en-US"/>
              </w:rPr>
              <w:t>In that</w:t>
            </w:r>
            <w:r w:rsidR="00F31475" w:rsidRPr="006E725C">
              <w:rPr>
                <w:lang w:val="en-GB" w:eastAsia="en-US"/>
              </w:rPr>
              <w:t xml:space="preserve">, </w:t>
            </w:r>
            <w:r w:rsidR="00932E00" w:rsidRPr="006E725C">
              <w:rPr>
                <w:lang w:val="en-GB" w:eastAsia="en-US"/>
              </w:rPr>
              <w:t xml:space="preserve">prices of operation of personal transport equipment dropped by </w:t>
            </w:r>
            <w:r w:rsidR="00EA1EBB" w:rsidRPr="006E725C">
              <w:rPr>
                <w:lang w:val="en-GB" w:eastAsia="en-US"/>
              </w:rPr>
              <w:t>4</w:t>
            </w:r>
            <w:r w:rsidR="00932E00" w:rsidRPr="006E725C">
              <w:rPr>
                <w:lang w:val="en-GB" w:eastAsia="en-US"/>
              </w:rPr>
              <w:t>.</w:t>
            </w:r>
            <w:r w:rsidR="00EA1EBB" w:rsidRPr="006E725C">
              <w:rPr>
                <w:lang w:val="en-GB" w:eastAsia="en-US"/>
              </w:rPr>
              <w:t>1% (</w:t>
            </w:r>
            <w:r w:rsidR="00932E00" w:rsidRPr="006E725C">
              <w:rPr>
                <w:lang w:val="en-GB" w:eastAsia="en-US"/>
              </w:rPr>
              <w:t>fuels –</w:t>
            </w:r>
            <w:r w:rsidR="00EA1EBB" w:rsidRPr="006E725C">
              <w:rPr>
                <w:lang w:val="en-GB" w:eastAsia="en-US"/>
              </w:rPr>
              <w:t>12</w:t>
            </w:r>
            <w:r w:rsidR="00932E00" w:rsidRPr="006E725C">
              <w:rPr>
                <w:lang w:val="en-GB" w:eastAsia="en-US"/>
              </w:rPr>
              <w:t>.</w:t>
            </w:r>
            <w:r w:rsidR="00EA1EBB" w:rsidRPr="006E725C">
              <w:rPr>
                <w:lang w:val="en-GB" w:eastAsia="en-US"/>
              </w:rPr>
              <w:t>0%),</w:t>
            </w:r>
            <w:r w:rsidR="00932E00" w:rsidRPr="006E725C">
              <w:rPr>
                <w:lang w:val="en-GB" w:eastAsia="en-US"/>
              </w:rPr>
              <w:t xml:space="preserve"> prices of </w:t>
            </w:r>
            <w:r w:rsidR="00C90F18">
              <w:rPr>
                <w:lang w:val="en-GB" w:eastAsia="en-US"/>
              </w:rPr>
              <w:t>purchase of vehicles</w:t>
            </w:r>
            <w:r w:rsidR="00932E00" w:rsidRPr="006E725C">
              <w:rPr>
                <w:lang w:val="en-GB" w:eastAsia="en-US"/>
              </w:rPr>
              <w:t xml:space="preserve"> itself practically stagnated </w:t>
            </w:r>
            <w:r w:rsidR="00EA1EBB" w:rsidRPr="006E725C">
              <w:rPr>
                <w:lang w:val="en-GB" w:eastAsia="en-US"/>
              </w:rPr>
              <w:t>(0</w:t>
            </w:r>
            <w:r w:rsidR="00932E00" w:rsidRPr="006E725C">
              <w:rPr>
                <w:lang w:val="en-GB" w:eastAsia="en-US"/>
              </w:rPr>
              <w:t>.</w:t>
            </w:r>
            <w:r w:rsidR="00EA1EBB" w:rsidRPr="006E725C">
              <w:rPr>
                <w:lang w:val="en-GB" w:eastAsia="en-US"/>
              </w:rPr>
              <w:t>1%) a</w:t>
            </w:r>
            <w:r w:rsidR="00932E00" w:rsidRPr="006E725C">
              <w:rPr>
                <w:lang w:val="en-GB" w:eastAsia="en-US"/>
              </w:rPr>
              <w:t>nd prices of transport services were by 12.0% higher</w:t>
            </w:r>
            <w:r w:rsidR="00EA1EBB" w:rsidRPr="006E725C">
              <w:rPr>
                <w:lang w:val="en-GB" w:eastAsia="en-US"/>
              </w:rPr>
              <w:t>.</w:t>
            </w:r>
            <w:r w:rsidR="00FA3AE5" w:rsidRPr="006E725C">
              <w:rPr>
                <w:lang w:val="en-GB" w:eastAsia="en-US"/>
              </w:rPr>
              <w:t xml:space="preserve"> </w:t>
            </w:r>
          </w:p>
        </w:tc>
      </w:tr>
      <w:tr w:rsidR="00EA1EBB" w:rsidRPr="006E725C" w14:paraId="29042C68" w14:textId="77777777" w:rsidTr="00EA1EBB">
        <w:trPr>
          <w:trHeight w:val="145"/>
        </w:trPr>
        <w:tc>
          <w:tcPr>
            <w:tcW w:w="1804" w:type="dxa"/>
            <w:hideMark/>
          </w:tcPr>
          <w:p w14:paraId="2DB2E177" w14:textId="698B5085" w:rsidR="00EA1EBB" w:rsidRPr="006E725C" w:rsidRDefault="008B1860">
            <w:pPr>
              <w:pStyle w:val="Marginlie"/>
              <w:rPr>
                <w:spacing w:val="0"/>
                <w:lang w:val="en-GB" w:eastAsia="en-US"/>
              </w:rPr>
            </w:pPr>
            <w:r w:rsidRPr="006E725C">
              <w:rPr>
                <w:spacing w:val="0"/>
                <w:lang w:val="en-GB" w:eastAsia="en-US"/>
              </w:rPr>
              <w:t xml:space="preserve">Year-on-year growth of consumer prices in the EU gradually slowed down. </w:t>
            </w:r>
          </w:p>
        </w:tc>
        <w:tc>
          <w:tcPr>
            <w:tcW w:w="224" w:type="dxa"/>
          </w:tcPr>
          <w:p w14:paraId="42805C09" w14:textId="77777777" w:rsidR="00EA1EBB" w:rsidRPr="006E725C" w:rsidRDefault="00EA1EBB">
            <w:pPr>
              <w:pStyle w:val="Textpoznpodarou1"/>
              <w:jc w:val="both"/>
              <w:rPr>
                <w:lang w:val="en-GB" w:eastAsia="en-US"/>
              </w:rPr>
            </w:pPr>
          </w:p>
        </w:tc>
        <w:tc>
          <w:tcPr>
            <w:tcW w:w="7611" w:type="dxa"/>
            <w:hideMark/>
          </w:tcPr>
          <w:p w14:paraId="51579BE3" w14:textId="6431EE66" w:rsidR="00EA1EBB" w:rsidRPr="006E725C" w:rsidRDefault="003E6597">
            <w:pPr>
              <w:rPr>
                <w:lang w:val="en-GB" w:eastAsia="en-US"/>
              </w:rPr>
            </w:pPr>
            <w:r w:rsidRPr="006E725C">
              <w:rPr>
                <w:lang w:val="en-GB"/>
              </w:rPr>
              <w:t xml:space="preserve">Harmonized index of consumer prices </w:t>
            </w:r>
            <w:r w:rsidR="00EA1EBB" w:rsidRPr="006E725C">
              <w:rPr>
                <w:lang w:val="en-GB" w:eastAsia="en-US"/>
              </w:rPr>
              <w:t xml:space="preserve">(HICP) </w:t>
            </w:r>
            <w:r w:rsidRPr="006E725C">
              <w:rPr>
                <w:lang w:val="en-GB" w:eastAsia="en-US"/>
              </w:rPr>
              <w:t>in the EU</w:t>
            </w:r>
            <w:r w:rsidR="00EA1EBB" w:rsidRPr="006E725C">
              <w:rPr>
                <w:rStyle w:val="Znakapoznpodarou"/>
                <w:lang w:val="en-GB" w:eastAsia="en-US"/>
              </w:rPr>
              <w:footnoteReference w:id="62"/>
            </w:r>
            <w:r w:rsidR="00EA1EBB" w:rsidRPr="006E725C">
              <w:rPr>
                <w:lang w:val="en-GB" w:eastAsia="en-US"/>
              </w:rPr>
              <w:t xml:space="preserve"> </w:t>
            </w:r>
            <w:r w:rsidRPr="006E725C">
              <w:rPr>
                <w:lang w:val="en-GB" w:eastAsia="en-US"/>
              </w:rPr>
              <w:t xml:space="preserve">increased by </w:t>
            </w:r>
            <w:r w:rsidR="00EA1EBB" w:rsidRPr="006E725C">
              <w:rPr>
                <w:lang w:val="en-GB" w:eastAsia="en-US"/>
              </w:rPr>
              <w:t>6</w:t>
            </w:r>
            <w:r w:rsidRPr="006E725C">
              <w:rPr>
                <w:lang w:val="en-GB" w:eastAsia="en-US"/>
              </w:rPr>
              <w:t>.</w:t>
            </w:r>
            <w:r w:rsidR="00EA1EBB" w:rsidRPr="006E725C">
              <w:rPr>
                <w:lang w:val="en-GB" w:eastAsia="en-US"/>
              </w:rPr>
              <w:t>4%</w:t>
            </w:r>
            <w:r w:rsidRPr="006E725C">
              <w:rPr>
                <w:lang w:val="en-GB" w:eastAsia="en-US"/>
              </w:rPr>
              <w:t xml:space="preserve"> in year 2023</w:t>
            </w:r>
            <w:r w:rsidR="00EA1EBB" w:rsidRPr="006E725C">
              <w:rPr>
                <w:lang w:val="en-GB" w:eastAsia="en-US"/>
              </w:rPr>
              <w:t xml:space="preserve">. </w:t>
            </w:r>
            <w:r w:rsidRPr="006E725C">
              <w:rPr>
                <w:lang w:val="en-GB" w:eastAsia="en-US"/>
              </w:rPr>
              <w:t xml:space="preserve">The increase against year </w:t>
            </w:r>
            <w:r w:rsidR="00EA1EBB" w:rsidRPr="006E725C">
              <w:rPr>
                <w:lang w:val="en-GB" w:eastAsia="en-US"/>
              </w:rPr>
              <w:t>2022</w:t>
            </w:r>
            <w:r w:rsidRPr="006E725C">
              <w:rPr>
                <w:lang w:val="en-GB" w:eastAsia="en-US"/>
              </w:rPr>
              <w:t xml:space="preserve"> slowed down </w:t>
            </w:r>
            <w:r w:rsidR="00EA1EBB" w:rsidRPr="006E725C">
              <w:rPr>
                <w:lang w:val="en-GB" w:eastAsia="en-US"/>
              </w:rPr>
              <w:t>(</w:t>
            </w:r>
            <w:r w:rsidRPr="006E725C">
              <w:rPr>
                <w:lang w:val="en-GB" w:eastAsia="en-US"/>
              </w:rPr>
              <w:t xml:space="preserve">from </w:t>
            </w:r>
            <w:r w:rsidR="00EA1EBB" w:rsidRPr="006E725C">
              <w:rPr>
                <w:lang w:val="en-GB" w:eastAsia="en-US"/>
              </w:rPr>
              <w:t>9</w:t>
            </w:r>
            <w:r w:rsidRPr="006E725C">
              <w:rPr>
                <w:lang w:val="en-GB" w:eastAsia="en-US"/>
              </w:rPr>
              <w:t>.</w:t>
            </w:r>
            <w:r w:rsidR="00EA1EBB" w:rsidRPr="006E725C">
              <w:rPr>
                <w:lang w:val="en-GB" w:eastAsia="en-US"/>
              </w:rPr>
              <w:t xml:space="preserve">2%), </w:t>
            </w:r>
            <w:r w:rsidRPr="006E725C">
              <w:rPr>
                <w:lang w:val="en-GB" w:eastAsia="en-US"/>
              </w:rPr>
              <w:t xml:space="preserve">mainly under the effect of </w:t>
            </w:r>
            <w:r w:rsidR="009B6F41" w:rsidRPr="006E725C">
              <w:rPr>
                <w:lang w:val="en-GB" w:eastAsia="en-US"/>
              </w:rPr>
              <w:t xml:space="preserve">weaker growth of prices of energies and fuels, which was mirrored in the milder growth of prices of housing and energies </w:t>
            </w:r>
            <w:r w:rsidR="00EA1EBB" w:rsidRPr="006E725C">
              <w:rPr>
                <w:lang w:val="en-GB" w:eastAsia="en-US"/>
              </w:rPr>
              <w:t>(</w:t>
            </w:r>
            <w:r w:rsidR="009B6F41" w:rsidRPr="006E725C">
              <w:rPr>
                <w:lang w:val="en-GB" w:eastAsia="en-US"/>
              </w:rPr>
              <w:t xml:space="preserve">from </w:t>
            </w:r>
            <w:r w:rsidR="00EA1EBB" w:rsidRPr="006E725C">
              <w:rPr>
                <w:lang w:val="en-GB" w:eastAsia="en-US"/>
              </w:rPr>
              <w:t>18</w:t>
            </w:r>
            <w:r w:rsidR="009B6F41" w:rsidRPr="006E725C">
              <w:rPr>
                <w:lang w:val="en-GB" w:eastAsia="en-US"/>
              </w:rPr>
              <w:t>.</w:t>
            </w:r>
            <w:r w:rsidR="00EA1EBB" w:rsidRPr="006E725C">
              <w:rPr>
                <w:lang w:val="en-GB" w:eastAsia="en-US"/>
              </w:rPr>
              <w:t>0%</w:t>
            </w:r>
            <w:r w:rsidR="009B6F41" w:rsidRPr="006E725C">
              <w:rPr>
                <w:lang w:val="en-GB" w:eastAsia="en-US"/>
              </w:rPr>
              <w:t xml:space="preserve"> to </w:t>
            </w:r>
            <w:r w:rsidR="00EA1EBB" w:rsidRPr="006E725C">
              <w:rPr>
                <w:lang w:val="en-GB" w:eastAsia="en-US"/>
              </w:rPr>
              <w:t>3</w:t>
            </w:r>
            <w:r w:rsidR="009B6F41" w:rsidRPr="006E725C">
              <w:rPr>
                <w:lang w:val="en-GB" w:eastAsia="en-US"/>
              </w:rPr>
              <w:t>.</w:t>
            </w:r>
            <w:r w:rsidR="00EA1EBB" w:rsidRPr="006E725C">
              <w:rPr>
                <w:lang w:val="en-GB" w:eastAsia="en-US"/>
              </w:rPr>
              <w:t>4%) a</w:t>
            </w:r>
            <w:r w:rsidR="009B6F41" w:rsidRPr="006E725C">
              <w:rPr>
                <w:lang w:val="en-GB" w:eastAsia="en-US"/>
              </w:rPr>
              <w:t xml:space="preserve">nd </w:t>
            </w:r>
            <w:r w:rsidR="00B3732D">
              <w:rPr>
                <w:lang w:val="en-GB" w:eastAsia="en-US"/>
              </w:rPr>
              <w:t>transport</w:t>
            </w:r>
            <w:r w:rsidR="009B6F41" w:rsidRPr="006E725C">
              <w:rPr>
                <w:lang w:val="en-GB" w:eastAsia="en-US"/>
              </w:rPr>
              <w:t xml:space="preserve"> </w:t>
            </w:r>
            <w:r w:rsidR="00EA1EBB" w:rsidRPr="006E725C">
              <w:rPr>
                <w:lang w:val="en-GB" w:eastAsia="en-US"/>
              </w:rPr>
              <w:t>(</w:t>
            </w:r>
            <w:r w:rsidR="009B6F41" w:rsidRPr="006E725C">
              <w:rPr>
                <w:lang w:val="en-GB" w:eastAsia="en-US"/>
              </w:rPr>
              <w:t xml:space="preserve">from </w:t>
            </w:r>
            <w:r w:rsidR="00EA1EBB" w:rsidRPr="006E725C">
              <w:rPr>
                <w:lang w:val="en-GB" w:eastAsia="en-US"/>
              </w:rPr>
              <w:t>12</w:t>
            </w:r>
            <w:r w:rsidR="009B6F41" w:rsidRPr="006E725C">
              <w:rPr>
                <w:lang w:val="en-GB" w:eastAsia="en-US"/>
              </w:rPr>
              <w:t>.</w:t>
            </w:r>
            <w:r w:rsidR="00EA1EBB" w:rsidRPr="006E725C">
              <w:rPr>
                <w:lang w:val="en-GB" w:eastAsia="en-US"/>
              </w:rPr>
              <w:t>1%</w:t>
            </w:r>
            <w:r w:rsidR="009B6F41" w:rsidRPr="006E725C">
              <w:rPr>
                <w:lang w:val="en-GB" w:eastAsia="en-US"/>
              </w:rPr>
              <w:t xml:space="preserve"> to </w:t>
            </w:r>
            <w:r w:rsidR="00EA1EBB" w:rsidRPr="006E725C">
              <w:rPr>
                <w:lang w:val="en-GB" w:eastAsia="en-US"/>
              </w:rPr>
              <w:t>2</w:t>
            </w:r>
            <w:r w:rsidR="009B6F41" w:rsidRPr="006E725C">
              <w:rPr>
                <w:lang w:val="en-GB" w:eastAsia="en-US"/>
              </w:rPr>
              <w:t>.</w:t>
            </w:r>
            <w:r w:rsidR="00EA1EBB" w:rsidRPr="006E725C">
              <w:rPr>
                <w:lang w:val="en-GB" w:eastAsia="en-US"/>
              </w:rPr>
              <w:t xml:space="preserve">5%). </w:t>
            </w:r>
            <w:r w:rsidR="00E56BA4" w:rsidRPr="006E725C">
              <w:rPr>
                <w:lang w:val="en-GB" w:eastAsia="en-US"/>
              </w:rPr>
              <w:t xml:space="preserve">Growth of prices of </w:t>
            </w:r>
            <w:r w:rsidR="002638DD" w:rsidRPr="006E725C">
              <w:rPr>
                <w:lang w:val="en-GB" w:eastAsia="en-US"/>
              </w:rPr>
              <w:t xml:space="preserve">food and non-alcoholic beverages </w:t>
            </w:r>
            <w:r w:rsidR="00EA1EBB" w:rsidRPr="006E725C">
              <w:rPr>
                <w:lang w:val="en-GB" w:eastAsia="en-US"/>
              </w:rPr>
              <w:t>(12</w:t>
            </w:r>
            <w:r w:rsidR="002638DD" w:rsidRPr="006E725C">
              <w:rPr>
                <w:lang w:val="en-GB" w:eastAsia="en-US"/>
              </w:rPr>
              <w:t>.</w:t>
            </w:r>
            <w:r w:rsidR="00EA1EBB" w:rsidRPr="006E725C">
              <w:rPr>
                <w:lang w:val="en-GB" w:eastAsia="en-US"/>
              </w:rPr>
              <w:t>6%),</w:t>
            </w:r>
            <w:r w:rsidR="002638DD" w:rsidRPr="006E725C">
              <w:rPr>
                <w:lang w:val="en-GB" w:eastAsia="en-US"/>
              </w:rPr>
              <w:t xml:space="preserve"> hotels and restaurants </w:t>
            </w:r>
            <w:r w:rsidR="00EA1EBB" w:rsidRPr="006E725C">
              <w:rPr>
                <w:lang w:val="en-GB" w:eastAsia="en-US"/>
              </w:rPr>
              <w:t>(8</w:t>
            </w:r>
            <w:r w:rsidR="002638DD" w:rsidRPr="006E725C">
              <w:rPr>
                <w:lang w:val="en-GB" w:eastAsia="en-US"/>
              </w:rPr>
              <w:t>.</w:t>
            </w:r>
            <w:r w:rsidR="00EA1EBB" w:rsidRPr="006E725C">
              <w:rPr>
                <w:lang w:val="en-GB" w:eastAsia="en-US"/>
              </w:rPr>
              <w:t>4%)</w:t>
            </w:r>
            <w:r w:rsidR="00E56BA4" w:rsidRPr="006E725C">
              <w:rPr>
                <w:lang w:val="en-GB" w:eastAsia="en-US"/>
              </w:rPr>
              <w:t xml:space="preserve"> mildly strengthened last year</w:t>
            </w:r>
            <w:r w:rsidR="00EA1EBB" w:rsidRPr="006E725C">
              <w:rPr>
                <w:lang w:val="en-GB" w:eastAsia="en-US"/>
              </w:rPr>
              <w:t xml:space="preserve"> a</w:t>
            </w:r>
            <w:r w:rsidR="00E56BA4" w:rsidRPr="006E725C">
              <w:rPr>
                <w:lang w:val="en-GB" w:eastAsia="en-US"/>
              </w:rPr>
              <w:t>nd</w:t>
            </w:r>
            <w:r w:rsidR="00EA1EBB" w:rsidRPr="006E725C">
              <w:rPr>
                <w:lang w:val="en-GB" w:eastAsia="en-US"/>
              </w:rPr>
              <w:t xml:space="preserve"> </w:t>
            </w:r>
            <w:r w:rsidR="00E56BA4" w:rsidRPr="006E725C">
              <w:rPr>
                <w:lang w:val="en-GB" w:eastAsia="en-US"/>
              </w:rPr>
              <w:t>prices of alcoholic beverage and tobacco</w:t>
            </w:r>
            <w:r w:rsidR="002638DD" w:rsidRPr="006E725C">
              <w:rPr>
                <w:lang w:val="en-GB" w:eastAsia="en-US"/>
              </w:rPr>
              <w:t xml:space="preserve"> (7.8%) and recreation and culture (6.1%)</w:t>
            </w:r>
            <w:r w:rsidR="00E56BA4" w:rsidRPr="006E725C">
              <w:rPr>
                <w:lang w:val="en-GB" w:eastAsia="en-US"/>
              </w:rPr>
              <w:t xml:space="preserve"> </w:t>
            </w:r>
            <w:r w:rsidR="002638DD" w:rsidRPr="006E725C">
              <w:rPr>
                <w:lang w:val="en-GB" w:eastAsia="en-US"/>
              </w:rPr>
              <w:t xml:space="preserve">also grew stronger. </w:t>
            </w:r>
            <w:r w:rsidR="00DD0771" w:rsidRPr="006E725C">
              <w:rPr>
                <w:lang w:val="en-GB" w:eastAsia="en-US"/>
              </w:rPr>
              <w:t xml:space="preserve">Based on the </w:t>
            </w:r>
            <w:r w:rsidR="00EA1EBB" w:rsidRPr="006E725C">
              <w:rPr>
                <w:lang w:val="en-GB" w:eastAsia="en-US"/>
              </w:rPr>
              <w:t>HICP</w:t>
            </w:r>
            <w:r w:rsidR="00DD0771" w:rsidRPr="006E725C">
              <w:rPr>
                <w:lang w:val="en-GB" w:eastAsia="en-US"/>
              </w:rPr>
              <w:t xml:space="preserve">, the consumer prices grew the most in Hungary </w:t>
            </w:r>
            <w:r w:rsidR="00EA1EBB" w:rsidRPr="006E725C">
              <w:rPr>
                <w:lang w:val="en-GB" w:eastAsia="en-US"/>
              </w:rPr>
              <w:t>(17</w:t>
            </w:r>
            <w:r w:rsidR="00DD0771" w:rsidRPr="006E725C">
              <w:rPr>
                <w:lang w:val="en-GB" w:eastAsia="en-US"/>
              </w:rPr>
              <w:t>.</w:t>
            </w:r>
            <w:r w:rsidR="00EA1EBB" w:rsidRPr="006E725C">
              <w:rPr>
                <w:lang w:val="en-GB" w:eastAsia="en-US"/>
              </w:rPr>
              <w:t>0%),</w:t>
            </w:r>
            <w:r w:rsidR="00DD0771" w:rsidRPr="006E725C">
              <w:rPr>
                <w:lang w:val="en-GB" w:eastAsia="en-US"/>
              </w:rPr>
              <w:t xml:space="preserve"> the CR </w:t>
            </w:r>
            <w:r w:rsidR="00EA1EBB" w:rsidRPr="006E725C">
              <w:rPr>
                <w:lang w:val="en-GB" w:eastAsia="en-US"/>
              </w:rPr>
              <w:t>(12</w:t>
            </w:r>
            <w:r w:rsidR="00DD0771" w:rsidRPr="006E725C">
              <w:rPr>
                <w:lang w:val="en-GB" w:eastAsia="en-US"/>
              </w:rPr>
              <w:t>.</w:t>
            </w:r>
            <w:r w:rsidR="00EA1EBB" w:rsidRPr="006E725C">
              <w:rPr>
                <w:lang w:val="en-GB" w:eastAsia="en-US"/>
              </w:rPr>
              <w:t>0%) a</w:t>
            </w:r>
            <w:r w:rsidR="00DD0771" w:rsidRPr="006E725C">
              <w:rPr>
                <w:lang w:val="en-GB" w:eastAsia="en-US"/>
              </w:rPr>
              <w:t xml:space="preserve">nd Slovakia </w:t>
            </w:r>
            <w:r w:rsidR="00EA1EBB" w:rsidRPr="006E725C">
              <w:rPr>
                <w:lang w:val="en-GB" w:eastAsia="en-US"/>
              </w:rPr>
              <w:t>(11</w:t>
            </w:r>
            <w:r w:rsidR="00DD0771" w:rsidRPr="006E725C">
              <w:rPr>
                <w:lang w:val="en-GB" w:eastAsia="en-US"/>
              </w:rPr>
              <w:t>.</w:t>
            </w:r>
            <w:r w:rsidR="00EA1EBB" w:rsidRPr="006E725C">
              <w:rPr>
                <w:lang w:val="en-GB" w:eastAsia="en-US"/>
              </w:rPr>
              <w:t>0%) a</w:t>
            </w:r>
            <w:r w:rsidR="00DD0771" w:rsidRPr="006E725C">
              <w:rPr>
                <w:lang w:val="en-GB" w:eastAsia="en-US"/>
              </w:rPr>
              <w:t>nd</w:t>
            </w:r>
            <w:r w:rsidR="00EA1EBB" w:rsidRPr="006E725C">
              <w:rPr>
                <w:lang w:val="en-GB" w:eastAsia="en-US"/>
              </w:rPr>
              <w:t xml:space="preserve"> </w:t>
            </w:r>
            <w:r w:rsidR="00DD0771" w:rsidRPr="006E725C">
              <w:rPr>
                <w:lang w:val="en-GB" w:eastAsia="en-US"/>
              </w:rPr>
              <w:t xml:space="preserve">the dynamics of prices crossed the </w:t>
            </w:r>
            <w:r w:rsidR="00EA1EBB" w:rsidRPr="006E725C">
              <w:rPr>
                <w:lang w:val="en-GB" w:eastAsia="en-US"/>
              </w:rPr>
              <w:t>10%</w:t>
            </w:r>
            <w:r w:rsidR="00DD0771" w:rsidRPr="006E725C">
              <w:rPr>
                <w:lang w:val="en-GB" w:eastAsia="en-US"/>
              </w:rPr>
              <w:t xml:space="preserve"> boundary also in Poland </w:t>
            </w:r>
            <w:r w:rsidR="00EA1EBB" w:rsidRPr="006E725C">
              <w:rPr>
                <w:lang w:val="en-GB" w:eastAsia="en-US"/>
              </w:rPr>
              <w:t>(10</w:t>
            </w:r>
            <w:r w:rsidR="00DD0771" w:rsidRPr="006E725C">
              <w:rPr>
                <w:lang w:val="en-GB" w:eastAsia="en-US"/>
              </w:rPr>
              <w:t>.</w:t>
            </w:r>
            <w:r w:rsidR="00EA1EBB" w:rsidRPr="006E725C">
              <w:rPr>
                <w:lang w:val="en-GB" w:eastAsia="en-US"/>
              </w:rPr>
              <w:t>9%)</w:t>
            </w:r>
            <w:r w:rsidR="00DD0771" w:rsidRPr="006E725C">
              <w:rPr>
                <w:lang w:val="en-GB" w:eastAsia="en-US"/>
              </w:rPr>
              <w:t xml:space="preserve"> last year</w:t>
            </w:r>
            <w:r w:rsidR="00EA1EBB" w:rsidRPr="006E725C">
              <w:rPr>
                <w:lang w:val="en-GB" w:eastAsia="en-US"/>
              </w:rPr>
              <w:t xml:space="preserve">. </w:t>
            </w:r>
            <w:r w:rsidR="003D60C1" w:rsidRPr="006E725C">
              <w:rPr>
                <w:lang w:val="en-GB" w:eastAsia="en-US"/>
              </w:rPr>
              <w:t xml:space="preserve">Consumer prices increased the least in Belgium </w:t>
            </w:r>
            <w:r w:rsidR="00EA1EBB" w:rsidRPr="006E725C">
              <w:rPr>
                <w:lang w:val="en-GB" w:eastAsia="en-US"/>
              </w:rPr>
              <w:t>(2</w:t>
            </w:r>
            <w:r w:rsidR="003D60C1" w:rsidRPr="006E725C">
              <w:rPr>
                <w:lang w:val="en-GB" w:eastAsia="en-US"/>
              </w:rPr>
              <w:t>.</w:t>
            </w:r>
            <w:r w:rsidR="00EA1EBB" w:rsidRPr="006E725C">
              <w:rPr>
                <w:lang w:val="en-GB" w:eastAsia="en-US"/>
              </w:rPr>
              <w:t>3%),</w:t>
            </w:r>
            <w:r w:rsidR="003D60C1" w:rsidRPr="006E725C">
              <w:rPr>
                <w:lang w:val="en-GB" w:eastAsia="en-US"/>
              </w:rPr>
              <w:t xml:space="preserve"> Luxembourg </w:t>
            </w:r>
            <w:r w:rsidR="00EA1EBB" w:rsidRPr="006E725C">
              <w:rPr>
                <w:lang w:val="en-GB" w:eastAsia="en-US"/>
              </w:rPr>
              <w:t>(2</w:t>
            </w:r>
            <w:r w:rsidR="003D60C1" w:rsidRPr="006E725C">
              <w:rPr>
                <w:lang w:val="en-GB" w:eastAsia="en-US"/>
              </w:rPr>
              <w:t>.</w:t>
            </w:r>
            <w:r w:rsidR="00EA1EBB" w:rsidRPr="006E725C">
              <w:rPr>
                <w:lang w:val="en-GB" w:eastAsia="en-US"/>
              </w:rPr>
              <w:t>9%) a</w:t>
            </w:r>
            <w:r w:rsidR="003D60C1" w:rsidRPr="006E725C">
              <w:rPr>
                <w:lang w:val="en-GB" w:eastAsia="en-US"/>
              </w:rPr>
              <w:t xml:space="preserve">nd similarly by </w:t>
            </w:r>
            <w:r w:rsidR="00EA1EBB" w:rsidRPr="006E725C">
              <w:rPr>
                <w:lang w:val="en-GB" w:eastAsia="en-US"/>
              </w:rPr>
              <w:t>3</w:t>
            </w:r>
            <w:r w:rsidR="003D60C1" w:rsidRPr="006E725C">
              <w:rPr>
                <w:lang w:val="en-GB" w:eastAsia="en-US"/>
              </w:rPr>
              <w:t>.</w:t>
            </w:r>
            <w:r w:rsidR="00EA1EBB" w:rsidRPr="006E725C">
              <w:rPr>
                <w:lang w:val="en-GB" w:eastAsia="en-US"/>
              </w:rPr>
              <w:t xml:space="preserve">4% </w:t>
            </w:r>
            <w:r w:rsidR="003D60C1" w:rsidRPr="006E725C">
              <w:rPr>
                <w:lang w:val="en-GB" w:eastAsia="en-US"/>
              </w:rPr>
              <w:t>in Denmark and Spain last year</w:t>
            </w:r>
            <w:r w:rsidR="00EA1EBB" w:rsidRPr="006E725C">
              <w:rPr>
                <w:lang w:val="en-GB" w:eastAsia="en-US"/>
              </w:rPr>
              <w:t xml:space="preserve">. </w:t>
            </w:r>
            <w:r w:rsidR="008C7303" w:rsidRPr="006E725C">
              <w:rPr>
                <w:lang w:val="en-GB" w:eastAsia="en-US"/>
              </w:rPr>
              <w:t>The year-on-year growth of prices gradually slowed down during the year to 3.4% in the EU in Q</w:t>
            </w:r>
            <w:r w:rsidR="00EA1EBB" w:rsidRPr="006E725C">
              <w:rPr>
                <w:lang w:val="en-GB" w:eastAsia="en-US"/>
              </w:rPr>
              <w:t>4.</w:t>
            </w:r>
            <w:r w:rsidR="008C7303" w:rsidRPr="006E725C">
              <w:rPr>
                <w:lang w:val="en-GB" w:eastAsia="en-US"/>
              </w:rPr>
              <w:t xml:space="preserve"> </w:t>
            </w:r>
            <w:r w:rsidR="006F61FB" w:rsidRPr="006E725C">
              <w:rPr>
                <w:lang w:val="en-GB" w:eastAsia="en-US"/>
              </w:rPr>
              <w:t xml:space="preserve">Prices grew the most in the CR </w:t>
            </w:r>
            <w:r w:rsidR="00EA1EBB" w:rsidRPr="006E725C">
              <w:rPr>
                <w:lang w:val="en-GB" w:eastAsia="en-US"/>
              </w:rPr>
              <w:t>(8</w:t>
            </w:r>
            <w:r w:rsidR="006F61FB" w:rsidRPr="006E725C">
              <w:rPr>
                <w:lang w:val="en-GB" w:eastAsia="en-US"/>
              </w:rPr>
              <w:t>.</w:t>
            </w:r>
            <w:r w:rsidR="00EA1EBB" w:rsidRPr="006E725C">
              <w:rPr>
                <w:lang w:val="en-GB" w:eastAsia="en-US"/>
              </w:rPr>
              <w:t>4%),</w:t>
            </w:r>
            <w:r w:rsidR="006F61FB" w:rsidRPr="006E725C">
              <w:rPr>
                <w:lang w:val="en-GB" w:eastAsia="en-US"/>
              </w:rPr>
              <w:t xml:space="preserve"> Hungary </w:t>
            </w:r>
            <w:r w:rsidR="00EA1EBB" w:rsidRPr="006E725C">
              <w:rPr>
                <w:lang w:val="en-GB" w:eastAsia="en-US"/>
              </w:rPr>
              <w:t>(7</w:t>
            </w:r>
            <w:r w:rsidR="006F61FB" w:rsidRPr="006E725C">
              <w:rPr>
                <w:lang w:val="en-GB" w:eastAsia="en-US"/>
              </w:rPr>
              <w:t>.</w:t>
            </w:r>
            <w:r w:rsidR="00EA1EBB" w:rsidRPr="006E725C">
              <w:rPr>
                <w:lang w:val="en-GB" w:eastAsia="en-US"/>
              </w:rPr>
              <w:t>6%) a</w:t>
            </w:r>
            <w:r w:rsidR="006F61FB" w:rsidRPr="006E725C">
              <w:rPr>
                <w:lang w:val="en-GB" w:eastAsia="en-US"/>
              </w:rPr>
              <w:t xml:space="preserve">nd in Romania </w:t>
            </w:r>
            <w:r w:rsidR="00EA1EBB" w:rsidRPr="006E725C">
              <w:rPr>
                <w:lang w:val="en-GB" w:eastAsia="en-US"/>
              </w:rPr>
              <w:t>(7</w:t>
            </w:r>
            <w:r w:rsidR="006F61FB" w:rsidRPr="006E725C">
              <w:rPr>
                <w:lang w:val="en-GB" w:eastAsia="en-US"/>
              </w:rPr>
              <w:t>.</w:t>
            </w:r>
            <w:r w:rsidR="00EA1EBB" w:rsidRPr="006E725C">
              <w:rPr>
                <w:lang w:val="en-GB" w:eastAsia="en-US"/>
              </w:rPr>
              <w:t xml:space="preserve">4%). </w:t>
            </w:r>
            <w:r w:rsidR="006F61FB" w:rsidRPr="006E725C">
              <w:rPr>
                <w:lang w:val="en-GB" w:eastAsia="en-US"/>
              </w:rPr>
              <w:t>Belgium was the only country, where HICP fell year-on-year in Q</w:t>
            </w:r>
            <w:r w:rsidR="00EA1EBB" w:rsidRPr="006E725C">
              <w:rPr>
                <w:lang w:val="en-GB" w:eastAsia="en-US"/>
              </w:rPr>
              <w:t>4</w:t>
            </w:r>
            <w:r w:rsidR="006F61FB" w:rsidRPr="006E725C">
              <w:rPr>
                <w:lang w:val="en-GB" w:eastAsia="en-US"/>
              </w:rPr>
              <w:t xml:space="preserve"> </w:t>
            </w:r>
            <w:r w:rsidR="00EA1EBB" w:rsidRPr="006E725C">
              <w:rPr>
                <w:lang w:val="en-GB" w:eastAsia="en-US"/>
              </w:rPr>
              <w:t>(−0</w:t>
            </w:r>
            <w:r w:rsidR="006F61FB" w:rsidRPr="006E725C">
              <w:rPr>
                <w:lang w:val="en-GB" w:eastAsia="en-US"/>
              </w:rPr>
              <w:t>.</w:t>
            </w:r>
            <w:r w:rsidR="00EA1EBB" w:rsidRPr="006E725C">
              <w:rPr>
                <w:lang w:val="en-GB" w:eastAsia="en-US"/>
              </w:rPr>
              <w:t xml:space="preserve">6%). </w:t>
            </w:r>
            <w:r w:rsidR="006F61FB" w:rsidRPr="006E725C">
              <w:rPr>
                <w:lang w:val="en-GB" w:eastAsia="en-US"/>
              </w:rPr>
              <w:t xml:space="preserve">Consumer prices grew the slowest year-on-year in Denmark </w:t>
            </w:r>
            <w:r w:rsidR="00EA1EBB" w:rsidRPr="006E725C">
              <w:rPr>
                <w:lang w:val="en-GB" w:eastAsia="en-US"/>
              </w:rPr>
              <w:t>(0</w:t>
            </w:r>
            <w:r w:rsidR="006F61FB" w:rsidRPr="006E725C">
              <w:rPr>
                <w:lang w:val="en-GB" w:eastAsia="en-US"/>
              </w:rPr>
              <w:t>.</w:t>
            </w:r>
            <w:r w:rsidR="00EA1EBB" w:rsidRPr="006E725C">
              <w:rPr>
                <w:lang w:val="en-GB" w:eastAsia="en-US"/>
              </w:rPr>
              <w:t>1%) a</w:t>
            </w:r>
            <w:r w:rsidR="006F61FB" w:rsidRPr="006E725C">
              <w:rPr>
                <w:lang w:val="en-GB" w:eastAsia="en-US"/>
              </w:rPr>
              <w:t xml:space="preserve">nd in the Netherlands </w:t>
            </w:r>
            <w:r w:rsidR="00EA1EBB" w:rsidRPr="006E725C">
              <w:rPr>
                <w:lang w:val="en-GB" w:eastAsia="en-US"/>
              </w:rPr>
              <w:t>(0</w:t>
            </w:r>
            <w:r w:rsidR="006F61FB" w:rsidRPr="006E725C">
              <w:rPr>
                <w:lang w:val="en-GB" w:eastAsia="en-US"/>
              </w:rPr>
              <w:t>.</w:t>
            </w:r>
            <w:r w:rsidR="00EA1EBB" w:rsidRPr="006E725C">
              <w:rPr>
                <w:lang w:val="en-GB" w:eastAsia="en-US"/>
              </w:rPr>
              <w:t>4%). HICP</w:t>
            </w:r>
            <w:r w:rsidR="00E749D9" w:rsidRPr="006E725C">
              <w:rPr>
                <w:lang w:val="en-GB" w:eastAsia="en-US"/>
              </w:rPr>
              <w:t xml:space="preserve"> in the EU increased by 0.2% quarter-on-quarter in Q</w:t>
            </w:r>
            <w:r w:rsidR="00EA1EBB" w:rsidRPr="006E725C">
              <w:rPr>
                <w:lang w:val="en-GB" w:eastAsia="en-US"/>
              </w:rPr>
              <w:t xml:space="preserve">4.   </w:t>
            </w:r>
          </w:p>
        </w:tc>
      </w:tr>
      <w:tr w:rsidR="00BF5759" w:rsidRPr="006E725C" w14:paraId="25EF1D59" w14:textId="77777777" w:rsidTr="00EA1EBB">
        <w:trPr>
          <w:trHeight w:val="145"/>
        </w:trPr>
        <w:tc>
          <w:tcPr>
            <w:tcW w:w="1804" w:type="dxa"/>
          </w:tcPr>
          <w:p w14:paraId="56CA28B7" w14:textId="78A3ED5C" w:rsidR="00BF5759" w:rsidRPr="006E725C" w:rsidRDefault="00BF5759" w:rsidP="00BF5759">
            <w:pPr>
              <w:pStyle w:val="Marginlie"/>
              <w:rPr>
                <w:spacing w:val="0"/>
                <w:lang w:val="en-GB" w:eastAsia="en-US"/>
              </w:rPr>
            </w:pPr>
            <w:r w:rsidRPr="006E725C">
              <w:rPr>
                <w:spacing w:val="0"/>
                <w:lang w:val="en-GB" w:eastAsia="en-US"/>
              </w:rPr>
              <w:t xml:space="preserve">Prices of flats decreased year-on-year. </w:t>
            </w:r>
          </w:p>
        </w:tc>
        <w:tc>
          <w:tcPr>
            <w:tcW w:w="224" w:type="dxa"/>
          </w:tcPr>
          <w:p w14:paraId="2488E014" w14:textId="77777777" w:rsidR="00BF5759" w:rsidRPr="006E725C" w:rsidRDefault="00BF5759" w:rsidP="00BF5759">
            <w:pPr>
              <w:pStyle w:val="Textpoznpodarou1"/>
              <w:jc w:val="both"/>
              <w:rPr>
                <w:lang w:val="en-GB" w:eastAsia="en-US"/>
              </w:rPr>
            </w:pPr>
          </w:p>
        </w:tc>
        <w:tc>
          <w:tcPr>
            <w:tcW w:w="7611" w:type="dxa"/>
          </w:tcPr>
          <w:p w14:paraId="320932D0" w14:textId="1551A7ED" w:rsidR="00BF5759" w:rsidRPr="006E725C" w:rsidRDefault="00BF5759" w:rsidP="00BF5759">
            <w:pPr>
              <w:rPr>
                <w:lang w:val="en-GB"/>
              </w:rPr>
            </w:pPr>
            <w:r w:rsidRPr="006E725C">
              <w:rPr>
                <w:lang w:val="en-GB" w:eastAsia="en-US"/>
              </w:rPr>
              <w:t xml:space="preserve">Catalogue prices of flats continued in their year-on-year decrease in the CR in Q4, which lasted already the third quarter and deepened to −4.2%. Catalogue prices of flats in the CR lowered by 0.4% quarter-on-quarter, for the fourth time in a row. Prices of flats outside Prague sank more notably year-on-year in Q4 (−4.9%), which also fell quarter-on-quarter for the fifth time in a row, specifically by 0.9%. Catalogue prices of flats fell by 3.6% in Prague year-on-year and did not change quarter-on-quarter. Realised prices of older flats in the CR fell by 5.6% year-on-year in Q4 and the decrease thus moderated compared to the previous quarter. At the same time, the realised prices again increased quarter-on-quarter (0.4%) towards the end of year 2023 following four quarters of decreases. Realised prices of flats outside Prague fell by 6.4% year-on-year and their quarter-on-quarter decrease also lasted (−0.3%). Situation in Prague differed </w:t>
            </w:r>
            <w:r w:rsidRPr="006E725C">
              <w:rPr>
                <w:lang w:val="en-GB" w:eastAsia="en-US"/>
              </w:rPr>
              <w:lastRenderedPageBreak/>
              <w:t xml:space="preserve">from the rest of the country in Q4 2023. Realized prices of older flats grew by 3.2% quarter-on-quarter here and their year-on-year decrease thus reduced to −2.6%. Realised prices of new flats, which are survey only for Prague, decreased by 3.3% year-on-year in Q4 and by 1.9% quarter-on-quarter.        </w:t>
            </w:r>
          </w:p>
        </w:tc>
      </w:tr>
      <w:tr w:rsidR="00BF5759" w:rsidRPr="006E725C" w14:paraId="1C2D94F4" w14:textId="77777777" w:rsidTr="00EA1EBB">
        <w:trPr>
          <w:trHeight w:val="170"/>
        </w:trPr>
        <w:tc>
          <w:tcPr>
            <w:tcW w:w="1804" w:type="dxa"/>
            <w:vMerge w:val="restart"/>
          </w:tcPr>
          <w:p w14:paraId="20285C90" w14:textId="77777777" w:rsidR="00BF5759" w:rsidRPr="006E725C" w:rsidRDefault="00BF5759" w:rsidP="00BF5759">
            <w:pPr>
              <w:pStyle w:val="Marginlie"/>
              <w:rPr>
                <w:spacing w:val="0"/>
                <w:lang w:val="en-GB" w:eastAsia="en-US"/>
              </w:rPr>
            </w:pPr>
          </w:p>
        </w:tc>
        <w:tc>
          <w:tcPr>
            <w:tcW w:w="224" w:type="dxa"/>
            <w:vMerge w:val="restart"/>
          </w:tcPr>
          <w:p w14:paraId="4773BE6E" w14:textId="77777777" w:rsidR="00BF5759" w:rsidRPr="006E725C" w:rsidRDefault="00BF5759" w:rsidP="00BF5759">
            <w:pPr>
              <w:pStyle w:val="Textpoznpodarou1"/>
              <w:jc w:val="both"/>
              <w:rPr>
                <w:lang w:val="en-GB" w:eastAsia="en-US"/>
              </w:rPr>
            </w:pPr>
          </w:p>
        </w:tc>
        <w:tc>
          <w:tcPr>
            <w:tcW w:w="7611" w:type="dxa"/>
            <w:hideMark/>
          </w:tcPr>
          <w:p w14:paraId="3E5D4BB1" w14:textId="31E6BEF4" w:rsidR="00BF5759" w:rsidRPr="006E725C" w:rsidRDefault="00BF5759" w:rsidP="00BF5759">
            <w:pPr>
              <w:spacing w:after="0"/>
              <w:rPr>
                <w:lang w:val="en-GB" w:eastAsia="en-US"/>
              </w:rPr>
            </w:pPr>
            <w:r>
              <w:rPr>
                <w:b/>
                <w:sz w:val="18"/>
                <w:szCs w:val="18"/>
                <w:lang w:val="en-GB" w:eastAsia="en-US"/>
              </w:rPr>
              <w:t xml:space="preserve">Chart </w:t>
            </w:r>
            <w:r w:rsidRPr="006E725C">
              <w:rPr>
                <w:b/>
                <w:sz w:val="18"/>
                <w:szCs w:val="18"/>
                <w:lang w:val="en-GB" w:eastAsia="en-US"/>
              </w:rPr>
              <w:t xml:space="preserve">12 Prices of real estate </w:t>
            </w:r>
            <w:r w:rsidRPr="006E725C">
              <w:rPr>
                <w:sz w:val="18"/>
                <w:szCs w:val="18"/>
                <w:lang w:val="en-GB" w:eastAsia="en-US"/>
              </w:rPr>
              <w:t>(year-on-year change, in %)</w:t>
            </w:r>
          </w:p>
        </w:tc>
      </w:tr>
      <w:tr w:rsidR="00BF5759" w:rsidRPr="006E725C" w14:paraId="4DA84CE8" w14:textId="77777777" w:rsidTr="0079457A">
        <w:tblPrEx>
          <w:tblCellMar>
            <w:left w:w="70" w:type="dxa"/>
            <w:right w:w="70" w:type="dxa"/>
          </w:tblCellMar>
        </w:tblPrEx>
        <w:trPr>
          <w:trHeight w:val="170"/>
        </w:trPr>
        <w:tc>
          <w:tcPr>
            <w:tcW w:w="1804" w:type="dxa"/>
            <w:vMerge/>
            <w:vAlign w:val="center"/>
            <w:hideMark/>
          </w:tcPr>
          <w:p w14:paraId="1BB80B57" w14:textId="77777777" w:rsidR="00BF5759" w:rsidRPr="006E725C" w:rsidRDefault="00BF5759" w:rsidP="00BF5759">
            <w:pPr>
              <w:spacing w:after="0" w:line="240" w:lineRule="auto"/>
              <w:jc w:val="left"/>
              <w:rPr>
                <w:sz w:val="16"/>
                <w:szCs w:val="16"/>
                <w:lang w:val="en-GB" w:eastAsia="en-US"/>
              </w:rPr>
            </w:pPr>
          </w:p>
        </w:tc>
        <w:tc>
          <w:tcPr>
            <w:tcW w:w="224" w:type="dxa"/>
            <w:vMerge/>
            <w:vAlign w:val="center"/>
            <w:hideMark/>
          </w:tcPr>
          <w:p w14:paraId="7E97D301" w14:textId="77777777" w:rsidR="00BF5759" w:rsidRPr="006E725C" w:rsidRDefault="00BF5759" w:rsidP="00BF5759">
            <w:pPr>
              <w:spacing w:after="0" w:line="240" w:lineRule="auto"/>
              <w:jc w:val="left"/>
              <w:rPr>
                <w:rFonts w:eastAsia="Calibri"/>
                <w:szCs w:val="20"/>
                <w:lang w:val="en-GB" w:eastAsia="en-US"/>
              </w:rPr>
            </w:pPr>
          </w:p>
        </w:tc>
        <w:tc>
          <w:tcPr>
            <w:tcW w:w="7611" w:type="dxa"/>
            <w:hideMark/>
          </w:tcPr>
          <w:p w14:paraId="2186DBBB" w14:textId="19A97747" w:rsidR="00BF5759" w:rsidRPr="006E725C" w:rsidRDefault="00BF5759" w:rsidP="00BF5759">
            <w:pPr>
              <w:spacing w:after="0"/>
              <w:rPr>
                <w:lang w:val="en-GB" w:eastAsia="en-US"/>
              </w:rPr>
            </w:pPr>
            <w:r>
              <w:rPr>
                <w:noProof/>
              </w:rPr>
              <w:drawing>
                <wp:inline distT="0" distB="0" distL="0" distR="0" wp14:anchorId="295FD88C" wp14:editId="0D1BA75E">
                  <wp:extent cx="4737600" cy="3553200"/>
                  <wp:effectExtent l="0" t="0" r="6350" b="0"/>
                  <wp:docPr id="45" name="Graf 4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BF5759" w:rsidRPr="006E725C" w14:paraId="632C258F" w14:textId="77777777" w:rsidTr="00EA1EBB">
        <w:trPr>
          <w:trHeight w:val="170"/>
        </w:trPr>
        <w:tc>
          <w:tcPr>
            <w:tcW w:w="0" w:type="auto"/>
            <w:vMerge/>
            <w:vAlign w:val="center"/>
            <w:hideMark/>
          </w:tcPr>
          <w:p w14:paraId="4C9B2E0E" w14:textId="77777777" w:rsidR="00BF5759" w:rsidRPr="006E725C" w:rsidRDefault="00BF5759" w:rsidP="00BF5759">
            <w:pPr>
              <w:spacing w:after="0" w:line="240" w:lineRule="auto"/>
              <w:jc w:val="left"/>
              <w:rPr>
                <w:sz w:val="16"/>
                <w:szCs w:val="16"/>
                <w:lang w:val="en-GB" w:eastAsia="en-US"/>
              </w:rPr>
            </w:pPr>
          </w:p>
        </w:tc>
        <w:tc>
          <w:tcPr>
            <w:tcW w:w="0" w:type="auto"/>
            <w:vMerge/>
            <w:vAlign w:val="center"/>
            <w:hideMark/>
          </w:tcPr>
          <w:p w14:paraId="7842BDC0" w14:textId="77777777" w:rsidR="00BF5759" w:rsidRPr="006E725C" w:rsidRDefault="00BF5759" w:rsidP="00BF5759">
            <w:pPr>
              <w:spacing w:after="0" w:line="240" w:lineRule="auto"/>
              <w:jc w:val="left"/>
              <w:rPr>
                <w:rFonts w:eastAsia="Calibri"/>
                <w:szCs w:val="20"/>
                <w:lang w:val="en-GB" w:eastAsia="en-US"/>
              </w:rPr>
            </w:pPr>
          </w:p>
        </w:tc>
        <w:tc>
          <w:tcPr>
            <w:tcW w:w="7611" w:type="dxa"/>
            <w:hideMark/>
          </w:tcPr>
          <w:p w14:paraId="337679D1" w14:textId="3CBE2B47" w:rsidR="00BF5759" w:rsidRPr="006E725C" w:rsidRDefault="00BF5759" w:rsidP="00BF5759">
            <w:pPr>
              <w:rPr>
                <w:b/>
                <w:bCs/>
                <w:sz w:val="16"/>
                <w:szCs w:val="16"/>
                <w:lang w:val="en-GB" w:eastAsia="en-US"/>
              </w:rPr>
            </w:pPr>
            <w:r w:rsidRPr="006E725C">
              <w:rPr>
                <w:sz w:val="14"/>
                <w:szCs w:val="14"/>
                <w:lang w:val="en-GB" w:eastAsia="en-US"/>
              </w:rPr>
              <w:t>Source: CZSO</w:t>
            </w:r>
          </w:p>
        </w:tc>
      </w:tr>
      <w:tr w:rsidR="00BF5759" w:rsidRPr="006E725C" w14:paraId="3FCE32C0" w14:textId="77777777" w:rsidTr="00EA1EBB">
        <w:trPr>
          <w:trHeight w:val="145"/>
        </w:trPr>
        <w:tc>
          <w:tcPr>
            <w:tcW w:w="1804" w:type="dxa"/>
            <w:hideMark/>
          </w:tcPr>
          <w:p w14:paraId="380EF479" w14:textId="7BBDA8B7" w:rsidR="00BF5759" w:rsidRPr="006E725C" w:rsidRDefault="00BF5759" w:rsidP="00BF5759">
            <w:pPr>
              <w:pStyle w:val="Marginlie"/>
              <w:rPr>
                <w:spacing w:val="0"/>
                <w:lang w:val="en-GB" w:eastAsia="en-US"/>
              </w:rPr>
            </w:pPr>
            <w:r w:rsidRPr="006E725C">
              <w:rPr>
                <w:spacing w:val="0"/>
                <w:lang w:val="en-GB" w:eastAsia="en-US"/>
              </w:rPr>
              <w:t xml:space="preserve">Industrial producer prices grew year-on-year for the whole year, the increase nevertheless slowed down during the year. </w:t>
            </w:r>
          </w:p>
        </w:tc>
        <w:tc>
          <w:tcPr>
            <w:tcW w:w="224" w:type="dxa"/>
          </w:tcPr>
          <w:p w14:paraId="30C58546" w14:textId="77777777" w:rsidR="00BF5759" w:rsidRPr="006E725C" w:rsidRDefault="00BF5759" w:rsidP="00BF5759">
            <w:pPr>
              <w:pStyle w:val="Textpoznpodarou1"/>
              <w:jc w:val="both"/>
              <w:rPr>
                <w:lang w:val="en-GB" w:eastAsia="en-US"/>
              </w:rPr>
            </w:pPr>
          </w:p>
        </w:tc>
        <w:tc>
          <w:tcPr>
            <w:tcW w:w="7611" w:type="dxa"/>
            <w:hideMark/>
          </w:tcPr>
          <w:p w14:paraId="24969491" w14:textId="02FB82F2" w:rsidR="00BF5759" w:rsidRPr="006E725C" w:rsidRDefault="00BF5759" w:rsidP="00BF5759">
            <w:pPr>
              <w:rPr>
                <w:lang w:val="en-GB" w:eastAsia="en-US"/>
              </w:rPr>
            </w:pPr>
            <w:r w:rsidRPr="006E725C">
              <w:rPr>
                <w:lang w:val="en-GB" w:eastAsia="en-US"/>
              </w:rPr>
              <w:t xml:space="preserve">Industrial producer prices increased by 0.8% year-on-year in Q4. Their growth markedly slowed down during the last year (15.0%, 3.9% and 1.3% in Q1, Q2 and Q3). Quarter-on-quarter, the industrial producer prices decreased by 0.3% in Q4. Industrial producer prices increased by 5.0% for the whole year 2023. Year-on-year growth of the prices of mining and quarrying (40.2%) stayed at a very high level in Q4 itself. Year-on-year growth of prices of petroleum and natural gas strengthened (40.6%), the increase for black and brown coal and lignite weakened to 61.9% and the dynamics for other mining and quarrying of mineral resources was still substantial (18.6%), including mainly building materials. Strong year-on-year growth of prices of mining and quarrying for the whole year 2023 (in total by 46.4%) was the result of mainly sharp quarter-on-quarter increase in the first quarter of the year. Prices increased by 0.8% in this division quarter-on-quarter in Q4. Also, for the prices of electricity, gas, steam and air conditioning, the year-on-year growth slowed during the year down to 7.1% in Q4. Prices lowered here by 0.5% quarter-on-quarter. Their increase was 15.8% for the whole year 2023. Prices of water distribution and services associated with wastewaters rose by 16.3% in Q4, the same as for the whole last year. </w:t>
            </w:r>
          </w:p>
        </w:tc>
      </w:tr>
      <w:tr w:rsidR="00BF5759" w:rsidRPr="006E725C" w14:paraId="0D3CBDF0" w14:textId="77777777" w:rsidTr="00EA1EBB">
        <w:trPr>
          <w:trHeight w:val="145"/>
        </w:trPr>
        <w:tc>
          <w:tcPr>
            <w:tcW w:w="1804" w:type="dxa"/>
          </w:tcPr>
          <w:p w14:paraId="099266CF" w14:textId="0A69E1C5" w:rsidR="00BF5759" w:rsidRDefault="00BF5759" w:rsidP="00BF5759">
            <w:pPr>
              <w:pStyle w:val="Marginlie"/>
              <w:rPr>
                <w:spacing w:val="0"/>
                <w:lang w:val="en-GB" w:eastAsia="en-US"/>
              </w:rPr>
            </w:pPr>
            <w:r w:rsidRPr="006E725C">
              <w:rPr>
                <w:spacing w:val="0"/>
                <w:lang w:val="en-GB" w:eastAsia="en-US"/>
              </w:rPr>
              <w:t xml:space="preserve">Mainly prices of materials were falling in manufacturing. </w:t>
            </w:r>
          </w:p>
        </w:tc>
        <w:tc>
          <w:tcPr>
            <w:tcW w:w="224" w:type="dxa"/>
          </w:tcPr>
          <w:p w14:paraId="507EB8D0" w14:textId="77777777" w:rsidR="00BF5759" w:rsidRPr="006E725C" w:rsidRDefault="00BF5759" w:rsidP="00BF5759">
            <w:pPr>
              <w:pStyle w:val="Textpoznpodarou1"/>
              <w:jc w:val="both"/>
              <w:rPr>
                <w:lang w:val="en-GB" w:eastAsia="en-US"/>
              </w:rPr>
            </w:pPr>
          </w:p>
        </w:tc>
        <w:tc>
          <w:tcPr>
            <w:tcW w:w="7611" w:type="dxa"/>
          </w:tcPr>
          <w:p w14:paraId="2884E472" w14:textId="661795F9" w:rsidR="00BF5759" w:rsidRPr="006E725C" w:rsidRDefault="00BF5759" w:rsidP="002D2D0C">
            <w:pPr>
              <w:rPr>
                <w:lang w:val="en-GB" w:eastAsia="en-US"/>
              </w:rPr>
            </w:pPr>
            <w:r w:rsidRPr="006E725C">
              <w:rPr>
                <w:lang w:val="en-GB" w:eastAsia="en-US"/>
              </w:rPr>
              <w:t xml:space="preserve">Prices </w:t>
            </w:r>
            <w:r w:rsidR="002D2D0C">
              <w:rPr>
                <w:lang w:val="en-GB" w:eastAsia="en-US"/>
              </w:rPr>
              <w:t xml:space="preserve">of </w:t>
            </w:r>
            <w:r w:rsidRPr="006E725C">
              <w:rPr>
                <w:lang w:val="en-GB" w:eastAsia="en-US"/>
              </w:rPr>
              <w:t>manufacturing decreased (−2.3%) year-on-year in Q4. Quarter-on-quarter, the prices dropped by 0.3% in Q4. Prices of products associated with basic materials, such as wood and wood products (apart from furniture, −22.9%), paper and paper products (−14.5%), basic metals (−14.5 %) or chemical substances and products (−9.2%) were in deep year-on-year decline in Q4. Prices of coke and refined petroleum products were also lower</w:t>
            </w:r>
            <w:r w:rsidRPr="006E725C">
              <w:rPr>
                <w:rStyle w:val="Znakapoznpodarou"/>
                <w:lang w:val="en-GB" w:eastAsia="en-US"/>
              </w:rPr>
              <w:footnoteReference w:id="63"/>
            </w:r>
            <w:r w:rsidRPr="006E725C">
              <w:rPr>
                <w:lang w:val="en-GB" w:eastAsia="en-US"/>
              </w:rPr>
              <w:t xml:space="preserve">. Year-on-year decrease was also recorded for food products </w:t>
            </w:r>
            <w:r w:rsidRPr="006E725C">
              <w:rPr>
                <w:lang w:val="en-GB" w:eastAsia="en-US"/>
              </w:rPr>
              <w:lastRenderedPageBreak/>
              <w:t xml:space="preserve">(−3.1%), rubber and plastic products (−3.0%) or metalworking products (−0.5%). Strong year-on-year increase stayed for prices of repairs, maintenance and installation of machinery and equipment (9.6%) and prices of weight significant types of goods, such machinery and equipment (6.1%), computers, electronic and optical appliances (4.8%), motor vehicles (3.3%) or electrical appliances (0.8%) also increased year-on-year. </w:t>
            </w:r>
          </w:p>
        </w:tc>
      </w:tr>
      <w:tr w:rsidR="00BF5759" w:rsidRPr="006E725C" w14:paraId="633FAC7D" w14:textId="77777777" w:rsidTr="00EA1EBB">
        <w:trPr>
          <w:trHeight w:val="170"/>
        </w:trPr>
        <w:tc>
          <w:tcPr>
            <w:tcW w:w="1804" w:type="dxa"/>
            <w:vMerge w:val="restart"/>
          </w:tcPr>
          <w:p w14:paraId="647DD2CE" w14:textId="77296720" w:rsidR="00BF5759" w:rsidRPr="006E725C" w:rsidRDefault="00BF5759" w:rsidP="00BF5759">
            <w:pPr>
              <w:pStyle w:val="Marginlie"/>
              <w:rPr>
                <w:spacing w:val="0"/>
                <w:lang w:val="en-GB" w:eastAsia="en-US"/>
              </w:rPr>
            </w:pPr>
          </w:p>
        </w:tc>
        <w:tc>
          <w:tcPr>
            <w:tcW w:w="224" w:type="dxa"/>
            <w:vMerge w:val="restart"/>
          </w:tcPr>
          <w:p w14:paraId="4A0D079F" w14:textId="77777777" w:rsidR="00BF5759" w:rsidRPr="006E725C" w:rsidRDefault="00BF5759" w:rsidP="00BF5759">
            <w:pPr>
              <w:pStyle w:val="Textpoznpodarou1"/>
              <w:jc w:val="both"/>
              <w:rPr>
                <w:highlight w:val="yellow"/>
                <w:lang w:val="en-GB" w:eastAsia="en-US"/>
              </w:rPr>
            </w:pPr>
          </w:p>
        </w:tc>
        <w:tc>
          <w:tcPr>
            <w:tcW w:w="7611" w:type="dxa"/>
            <w:hideMark/>
          </w:tcPr>
          <w:p w14:paraId="70EA2FFB" w14:textId="252E2AB7" w:rsidR="00BF5759" w:rsidRPr="006E725C" w:rsidRDefault="00BF5759" w:rsidP="00BF5759">
            <w:pPr>
              <w:spacing w:after="0"/>
              <w:rPr>
                <w:b/>
                <w:szCs w:val="20"/>
                <w:lang w:val="en-GB" w:eastAsia="en-US"/>
              </w:rPr>
            </w:pPr>
            <w:r w:rsidRPr="006E725C">
              <w:rPr>
                <w:b/>
                <w:sz w:val="18"/>
                <w:szCs w:val="18"/>
                <w:lang w:val="en-GB" w:eastAsia="en-US"/>
              </w:rPr>
              <w:t xml:space="preserve">Chart 13 Prices of main groups of industrial producers </w:t>
            </w:r>
            <w:r w:rsidRPr="006E725C">
              <w:rPr>
                <w:bCs/>
                <w:sz w:val="18"/>
                <w:szCs w:val="18"/>
                <w:lang w:val="en-GB" w:eastAsia="en-US"/>
              </w:rPr>
              <w:t>(year-on-year change, in %, based on CPA classification)</w:t>
            </w:r>
            <w:r w:rsidRPr="006E725C">
              <w:rPr>
                <w:b/>
                <w:sz w:val="18"/>
                <w:szCs w:val="18"/>
                <w:lang w:val="en-GB" w:eastAsia="en-US"/>
              </w:rPr>
              <w:t xml:space="preserve"> </w:t>
            </w:r>
          </w:p>
        </w:tc>
      </w:tr>
      <w:tr w:rsidR="00BF5759" w:rsidRPr="006E725C" w14:paraId="77CBB589" w14:textId="77777777" w:rsidTr="0079457A">
        <w:tblPrEx>
          <w:tblCellMar>
            <w:left w:w="70" w:type="dxa"/>
            <w:right w:w="70" w:type="dxa"/>
          </w:tblCellMar>
        </w:tblPrEx>
        <w:trPr>
          <w:trHeight w:val="170"/>
        </w:trPr>
        <w:tc>
          <w:tcPr>
            <w:tcW w:w="1804" w:type="dxa"/>
            <w:vMerge/>
            <w:vAlign w:val="center"/>
            <w:hideMark/>
          </w:tcPr>
          <w:p w14:paraId="1CC91E70" w14:textId="77777777" w:rsidR="00BF5759" w:rsidRPr="006E725C" w:rsidRDefault="00BF5759" w:rsidP="00BF5759">
            <w:pPr>
              <w:spacing w:after="0" w:line="240" w:lineRule="auto"/>
              <w:jc w:val="left"/>
              <w:rPr>
                <w:sz w:val="16"/>
                <w:szCs w:val="16"/>
                <w:lang w:val="en-GB" w:eastAsia="en-US"/>
              </w:rPr>
            </w:pPr>
          </w:p>
        </w:tc>
        <w:tc>
          <w:tcPr>
            <w:tcW w:w="224" w:type="dxa"/>
            <w:vMerge/>
            <w:vAlign w:val="center"/>
            <w:hideMark/>
          </w:tcPr>
          <w:p w14:paraId="6AA17F29" w14:textId="77777777" w:rsidR="00BF5759" w:rsidRPr="006E725C" w:rsidRDefault="00BF5759" w:rsidP="00BF5759">
            <w:pPr>
              <w:spacing w:after="0" w:line="240" w:lineRule="auto"/>
              <w:jc w:val="left"/>
              <w:rPr>
                <w:rFonts w:eastAsia="Calibri"/>
                <w:szCs w:val="20"/>
                <w:highlight w:val="yellow"/>
                <w:lang w:val="en-GB" w:eastAsia="en-US"/>
              </w:rPr>
            </w:pPr>
          </w:p>
        </w:tc>
        <w:tc>
          <w:tcPr>
            <w:tcW w:w="7611" w:type="dxa"/>
            <w:hideMark/>
          </w:tcPr>
          <w:p w14:paraId="509824E1" w14:textId="48DB6E95" w:rsidR="00BF5759" w:rsidRPr="006E725C" w:rsidRDefault="00BF5759" w:rsidP="00BF5759">
            <w:pPr>
              <w:spacing w:after="0"/>
              <w:rPr>
                <w:lang w:val="en-GB" w:eastAsia="en-US"/>
              </w:rPr>
            </w:pPr>
            <w:r>
              <w:rPr>
                <w:noProof/>
              </w:rPr>
              <w:drawing>
                <wp:inline distT="0" distB="0" distL="0" distR="0" wp14:anchorId="157C2246" wp14:editId="38E17346">
                  <wp:extent cx="4722350" cy="3564975"/>
                  <wp:effectExtent l="0" t="0" r="2540" b="0"/>
                  <wp:docPr id="46" name="Graf 46">
                    <a:extLst xmlns:a="http://schemas.openxmlformats.org/drawingml/2006/main">
                      <a:ext uri="{FF2B5EF4-FFF2-40B4-BE49-F238E27FC236}">
                        <a16:creationId xmlns:a16="http://schemas.microsoft.com/office/drawing/2014/main" id="{A96326AA-2E19-A591-4C15-9F538FA2AF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BF5759" w:rsidRPr="006E725C" w14:paraId="2BCEA42A" w14:textId="77777777" w:rsidTr="00EA1EBB">
        <w:trPr>
          <w:trHeight w:val="170"/>
        </w:trPr>
        <w:tc>
          <w:tcPr>
            <w:tcW w:w="0" w:type="auto"/>
            <w:vMerge/>
            <w:vAlign w:val="center"/>
            <w:hideMark/>
          </w:tcPr>
          <w:p w14:paraId="5D0034E4" w14:textId="77777777" w:rsidR="00BF5759" w:rsidRPr="006E725C" w:rsidRDefault="00BF5759" w:rsidP="00BF5759">
            <w:pPr>
              <w:spacing w:after="0" w:line="240" w:lineRule="auto"/>
              <w:jc w:val="left"/>
              <w:rPr>
                <w:sz w:val="16"/>
                <w:szCs w:val="16"/>
                <w:lang w:val="en-GB" w:eastAsia="en-US"/>
              </w:rPr>
            </w:pPr>
          </w:p>
        </w:tc>
        <w:tc>
          <w:tcPr>
            <w:tcW w:w="0" w:type="auto"/>
            <w:vMerge/>
            <w:vAlign w:val="center"/>
            <w:hideMark/>
          </w:tcPr>
          <w:p w14:paraId="6BF9ECDC" w14:textId="77777777" w:rsidR="00BF5759" w:rsidRPr="006E725C" w:rsidRDefault="00BF5759" w:rsidP="00BF5759">
            <w:pPr>
              <w:spacing w:after="0" w:line="240" w:lineRule="auto"/>
              <w:jc w:val="left"/>
              <w:rPr>
                <w:rFonts w:eastAsia="Calibri"/>
                <w:szCs w:val="20"/>
                <w:highlight w:val="yellow"/>
                <w:lang w:val="en-GB" w:eastAsia="en-US"/>
              </w:rPr>
            </w:pPr>
          </w:p>
        </w:tc>
        <w:tc>
          <w:tcPr>
            <w:tcW w:w="7611" w:type="dxa"/>
            <w:hideMark/>
          </w:tcPr>
          <w:p w14:paraId="6E00B28C" w14:textId="2CFBECB5" w:rsidR="00BF5759" w:rsidRPr="006E725C" w:rsidRDefault="00BF5759" w:rsidP="00BF5759">
            <w:pPr>
              <w:rPr>
                <w:b/>
                <w:bCs/>
                <w:sz w:val="16"/>
                <w:szCs w:val="16"/>
                <w:lang w:val="en-GB" w:eastAsia="en-US"/>
              </w:rPr>
            </w:pPr>
            <w:r w:rsidRPr="006E725C">
              <w:rPr>
                <w:sz w:val="14"/>
                <w:szCs w:val="14"/>
                <w:lang w:val="en-GB" w:eastAsia="en-US"/>
              </w:rPr>
              <w:t>Source: CZSO</w:t>
            </w:r>
          </w:p>
        </w:tc>
      </w:tr>
      <w:tr w:rsidR="00BF5759" w:rsidRPr="006E725C" w14:paraId="4F8AFAD6" w14:textId="77777777" w:rsidTr="00EA1EBB">
        <w:trPr>
          <w:trHeight w:val="145"/>
        </w:trPr>
        <w:tc>
          <w:tcPr>
            <w:tcW w:w="1804" w:type="dxa"/>
            <w:hideMark/>
          </w:tcPr>
          <w:p w14:paraId="0F983950" w14:textId="646A9EB1" w:rsidR="00BF5759" w:rsidRPr="006E725C" w:rsidRDefault="00BF5759" w:rsidP="002D2D0C">
            <w:pPr>
              <w:pStyle w:val="Marginlie"/>
              <w:rPr>
                <w:spacing w:val="0"/>
                <w:lang w:val="en-GB" w:eastAsia="en-US"/>
              </w:rPr>
            </w:pPr>
            <w:r w:rsidRPr="006E725C">
              <w:rPr>
                <w:spacing w:val="0"/>
                <w:lang w:val="en-GB" w:eastAsia="en-US"/>
              </w:rPr>
              <w:t xml:space="preserve">Prices of manufacturing in total increased last year. </w:t>
            </w:r>
          </w:p>
        </w:tc>
        <w:tc>
          <w:tcPr>
            <w:tcW w:w="224" w:type="dxa"/>
          </w:tcPr>
          <w:p w14:paraId="5DDB67DC" w14:textId="77777777" w:rsidR="00BF5759" w:rsidRPr="006E725C" w:rsidRDefault="00BF5759" w:rsidP="00BF5759">
            <w:pPr>
              <w:pStyle w:val="Textpoznpodarou1"/>
              <w:jc w:val="both"/>
              <w:rPr>
                <w:lang w:val="en-GB" w:eastAsia="en-US"/>
              </w:rPr>
            </w:pPr>
          </w:p>
        </w:tc>
        <w:tc>
          <w:tcPr>
            <w:tcW w:w="7611" w:type="dxa"/>
            <w:hideMark/>
          </w:tcPr>
          <w:p w14:paraId="452C4CCC" w14:textId="485DF9AC" w:rsidR="00BF5759" w:rsidRPr="006E725C" w:rsidRDefault="00BF5759" w:rsidP="00BF5759">
            <w:pPr>
              <w:rPr>
                <w:lang w:val="en-GB" w:eastAsia="en-US"/>
              </w:rPr>
            </w:pPr>
            <w:r w:rsidRPr="006E725C">
              <w:rPr>
                <w:lang w:val="en-GB" w:eastAsia="en-US"/>
              </w:rPr>
              <w:t xml:space="preserve">Following the strong increase at the beginning of the year (10.3% in Q1), the year-on-year dynamics of prices fell into decrease in manufacturing (−0.9% and −2.4% in Q2 and Q3) and prices in this division increased by 0.9% in total for the whole year. Yearly result in the direction of downturn affected especially the development of prices of materials and associated products, where the high comparative basis of year 2022 played a role – wood and wood products (apart from furniture, −12.7%), basic metals (−9.4%), chemical substances and products (−9.0%), paper and paper products (−4.2%) or prices of coke and refined petroleum products. On the contrary, the prices of beverages considerably increased (12.2%) as well as food products (8.6%), repairs, maintenance and installation of machinery and equipment (9.5%), machinery and equipment (8.0%), computers, electronic and optical appliances (4.0%) or motor vehicles (3.7%). </w:t>
            </w:r>
          </w:p>
        </w:tc>
      </w:tr>
      <w:tr w:rsidR="00BF5759" w:rsidRPr="006E725C" w14:paraId="38F55783" w14:textId="77777777" w:rsidTr="00EA1EBB">
        <w:trPr>
          <w:trHeight w:val="145"/>
        </w:trPr>
        <w:tc>
          <w:tcPr>
            <w:tcW w:w="1804" w:type="dxa"/>
            <w:hideMark/>
          </w:tcPr>
          <w:p w14:paraId="21C5BD95" w14:textId="4B70FB1A" w:rsidR="00BF5759" w:rsidRPr="006E725C" w:rsidRDefault="00BF5759" w:rsidP="00BF5759">
            <w:pPr>
              <w:pStyle w:val="Marginlie"/>
              <w:rPr>
                <w:spacing w:val="0"/>
                <w:lang w:val="en-GB" w:eastAsia="en-US"/>
              </w:rPr>
            </w:pPr>
            <w:r w:rsidRPr="006E725C">
              <w:rPr>
                <w:spacing w:val="0"/>
                <w:lang w:val="en-GB" w:eastAsia="en-US"/>
              </w:rPr>
              <w:t xml:space="preserve">Industrial producer prices decreased in the EU last year. </w:t>
            </w:r>
          </w:p>
        </w:tc>
        <w:tc>
          <w:tcPr>
            <w:tcW w:w="224" w:type="dxa"/>
          </w:tcPr>
          <w:p w14:paraId="3A06CECD" w14:textId="77777777" w:rsidR="00BF5759" w:rsidRPr="006E725C" w:rsidRDefault="00BF5759" w:rsidP="00BF5759">
            <w:pPr>
              <w:pStyle w:val="Textpoznpodarou1"/>
              <w:jc w:val="both"/>
              <w:rPr>
                <w:lang w:val="en-GB" w:eastAsia="en-US"/>
              </w:rPr>
            </w:pPr>
          </w:p>
        </w:tc>
        <w:tc>
          <w:tcPr>
            <w:tcW w:w="7611" w:type="dxa"/>
            <w:hideMark/>
          </w:tcPr>
          <w:p w14:paraId="323867DD" w14:textId="7E1DF4C3" w:rsidR="00BF5759" w:rsidRPr="006E725C" w:rsidRDefault="00BF5759" w:rsidP="002D2D0C">
            <w:pPr>
              <w:rPr>
                <w:lang w:val="en-GB" w:eastAsia="en-US"/>
              </w:rPr>
            </w:pPr>
            <w:r w:rsidRPr="006E725C">
              <w:rPr>
                <w:lang w:val="en-GB" w:eastAsia="en-US"/>
              </w:rPr>
              <w:t>Development of industrial producer prices in the EU</w:t>
            </w:r>
            <w:r w:rsidRPr="006E725C">
              <w:rPr>
                <w:rStyle w:val="Znakapoznpodarou"/>
                <w:lang w:val="en-GB" w:eastAsia="en-US"/>
              </w:rPr>
              <w:footnoteReference w:id="64"/>
            </w:r>
            <w:r w:rsidRPr="006E725C">
              <w:rPr>
                <w:lang w:val="en-GB" w:eastAsia="en-US"/>
              </w:rPr>
              <w:t xml:space="preserve"> was rather varied last year. After the sharp surge from year 2022 (34.4%)</w:t>
            </w:r>
            <w:r>
              <w:rPr>
                <w:lang w:val="en-GB" w:eastAsia="en-US"/>
              </w:rPr>
              <w:t>,</w:t>
            </w:r>
            <w:r w:rsidRPr="006E725C">
              <w:rPr>
                <w:lang w:val="en-GB" w:eastAsia="en-US"/>
              </w:rPr>
              <w:t xml:space="preserve"> industrial producer prices fell in total by 2.1% in the EU last year. While the prices still grew strongly despite pace weakening in some countries – by 21.5% in Hungary, by 17.2% in Luxembourg and by 16.9% in Slovakia, 14 countries observed decrease, the most in Ireland (−25.6%), Bulgaria (−12.5%) and Belgium (−9.3%). In total prices of mining and quarrying (−6.9%) and electricity, gas, steam and air conditioning (−12.7%) sank in the EU last year. On the contrary, prices of manufacturing slightly grew in the EU last year (1.9%). Industrial producer prices fell </w:t>
            </w:r>
            <w:r w:rsidRPr="006E725C">
              <w:rPr>
                <w:lang w:val="en-GB" w:eastAsia="en-US"/>
              </w:rPr>
              <w:lastRenderedPageBreak/>
              <w:t xml:space="preserve">by 8.9% year-on-year in the EU in Q4 itself, while they slightly grew quarter-on-quarter (0.2%). Year-on-year decrease of the industrial producer prices affected all divisions – prices of mining and quarrying were lower by 10.0%, prices of manufacturing by 1.6% and prices of electricity, gas, steam and air conditioning by 26.0%. Industrial producer prices were falling in the majority of EU countries year-on-year in Q4 except for Luxembourg (19.1%), Slovakia (8.1%), Slovenia (2.4%), the CR (0.8%) and Malta (0.8%). In contrast, the industrial producer prices plunged the most year-on-year in Ireland (−22.0%), Bulgaria (−20.3%) and Belgium (−19.2%).    </w:t>
            </w:r>
          </w:p>
        </w:tc>
      </w:tr>
      <w:tr w:rsidR="00BF5759" w:rsidRPr="006E725C" w14:paraId="4C29B5A1" w14:textId="77777777" w:rsidTr="00EA1EBB">
        <w:trPr>
          <w:trHeight w:val="145"/>
        </w:trPr>
        <w:tc>
          <w:tcPr>
            <w:tcW w:w="1804" w:type="dxa"/>
            <w:hideMark/>
          </w:tcPr>
          <w:p w14:paraId="372B0858" w14:textId="3B70A8BE" w:rsidR="00BF5759" w:rsidRPr="006E725C" w:rsidRDefault="00BF5759" w:rsidP="00BF5759">
            <w:pPr>
              <w:pStyle w:val="Marginlie"/>
              <w:rPr>
                <w:spacing w:val="0"/>
                <w:lang w:val="en-GB" w:eastAsia="en-US"/>
              </w:rPr>
            </w:pPr>
            <w:r w:rsidRPr="006E725C">
              <w:rPr>
                <w:spacing w:val="0"/>
                <w:lang w:val="en-GB" w:eastAsia="en-US"/>
              </w:rPr>
              <w:lastRenderedPageBreak/>
              <w:t xml:space="preserve">Prices of materials and goods used in construction grew markedly slower last year than in year 2022. </w:t>
            </w:r>
          </w:p>
        </w:tc>
        <w:tc>
          <w:tcPr>
            <w:tcW w:w="224" w:type="dxa"/>
          </w:tcPr>
          <w:p w14:paraId="08EBE3F3" w14:textId="77777777" w:rsidR="00BF5759" w:rsidRPr="006E725C" w:rsidRDefault="00BF5759" w:rsidP="00BF5759">
            <w:pPr>
              <w:pStyle w:val="Textpoznpodarou1"/>
              <w:jc w:val="both"/>
              <w:rPr>
                <w:lang w:val="en-GB" w:eastAsia="en-US"/>
              </w:rPr>
            </w:pPr>
          </w:p>
        </w:tc>
        <w:tc>
          <w:tcPr>
            <w:tcW w:w="7611" w:type="dxa"/>
            <w:hideMark/>
          </w:tcPr>
          <w:p w14:paraId="5C949BCC" w14:textId="0F47708F" w:rsidR="00BF5759" w:rsidRPr="006E725C" w:rsidRDefault="00BF5759" w:rsidP="001609AE">
            <w:pPr>
              <w:rPr>
                <w:lang w:val="en-GB" w:eastAsia="en-US"/>
              </w:rPr>
            </w:pPr>
            <w:r w:rsidRPr="006E725C">
              <w:rPr>
                <w:lang w:val="en-GB" w:eastAsia="en-US"/>
              </w:rPr>
              <w:t>Year-on-year growth of prices of construction work gradually slowed down during year 2023 and according to estimates reached 3.2% in Q4. Quarter-on-quarter, the price of construction work went up by 0.6%. Prices of construction works then increased by 6.0% for the whole year 2023 (more accurate figure after revision in year 2022 by 12.4%). Prices of material</w:t>
            </w:r>
            <w:r w:rsidR="002D2D0C">
              <w:rPr>
                <w:lang w:val="en-GB" w:eastAsia="en-US"/>
              </w:rPr>
              <w:t xml:space="preserve"> inputs of </w:t>
            </w:r>
            <w:r w:rsidRPr="006E725C">
              <w:rPr>
                <w:lang w:val="en-GB" w:eastAsia="en-US"/>
              </w:rPr>
              <w:t>construction</w:t>
            </w:r>
            <w:r w:rsidR="002D2D0C">
              <w:rPr>
                <w:lang w:val="en-GB" w:eastAsia="en-US"/>
              </w:rPr>
              <w:t xml:space="preserve"> output</w:t>
            </w:r>
            <w:r w:rsidRPr="006E725C">
              <w:rPr>
                <w:lang w:val="en-GB" w:eastAsia="en-US"/>
              </w:rPr>
              <w:t xml:space="preserve"> in contrast fell by 0.3% year-on-year in Q4 and were by 0.7% lower quarter-on-quarter. Prices of </w:t>
            </w:r>
            <w:r w:rsidR="001609AE" w:rsidRPr="006E725C">
              <w:rPr>
                <w:lang w:val="en-GB" w:eastAsia="en-US"/>
              </w:rPr>
              <w:t>material</w:t>
            </w:r>
            <w:r w:rsidR="001609AE">
              <w:rPr>
                <w:lang w:val="en-GB" w:eastAsia="en-US"/>
              </w:rPr>
              <w:t xml:space="preserve"> inputs of </w:t>
            </w:r>
            <w:r w:rsidR="001609AE" w:rsidRPr="006E725C">
              <w:rPr>
                <w:lang w:val="en-GB" w:eastAsia="en-US"/>
              </w:rPr>
              <w:t>construction</w:t>
            </w:r>
            <w:r w:rsidR="001609AE">
              <w:rPr>
                <w:lang w:val="en-GB" w:eastAsia="en-US"/>
              </w:rPr>
              <w:t xml:space="preserve"> output</w:t>
            </w:r>
            <w:r w:rsidR="001609AE" w:rsidRPr="006E725C">
              <w:rPr>
                <w:lang w:val="en-GB" w:eastAsia="en-US"/>
              </w:rPr>
              <w:t xml:space="preserve"> </w:t>
            </w:r>
            <w:r w:rsidRPr="006E725C">
              <w:rPr>
                <w:lang w:val="en-GB" w:eastAsia="en-US"/>
              </w:rPr>
              <w:t xml:space="preserve">increased on average by 3.8% for the whole year 2023. It represents sharp deceleration in comparison to year 2022, when prices of </w:t>
            </w:r>
            <w:r w:rsidR="001609AE" w:rsidRPr="006E725C">
              <w:rPr>
                <w:lang w:val="en-GB" w:eastAsia="en-US"/>
              </w:rPr>
              <w:t>material</w:t>
            </w:r>
            <w:r w:rsidR="001609AE">
              <w:rPr>
                <w:lang w:val="en-GB" w:eastAsia="en-US"/>
              </w:rPr>
              <w:t xml:space="preserve"> inputs of </w:t>
            </w:r>
            <w:r w:rsidR="001609AE" w:rsidRPr="006E725C">
              <w:rPr>
                <w:lang w:val="en-GB" w:eastAsia="en-US"/>
              </w:rPr>
              <w:t>construction</w:t>
            </w:r>
            <w:r w:rsidR="001609AE">
              <w:rPr>
                <w:lang w:val="en-GB" w:eastAsia="en-US"/>
              </w:rPr>
              <w:t xml:space="preserve"> output</w:t>
            </w:r>
            <w:r w:rsidR="001609AE" w:rsidRPr="006E725C">
              <w:rPr>
                <w:lang w:val="en-GB" w:eastAsia="en-US"/>
              </w:rPr>
              <w:t xml:space="preserve"> </w:t>
            </w:r>
            <w:r w:rsidRPr="006E725C">
              <w:rPr>
                <w:lang w:val="en-GB" w:eastAsia="en-US"/>
              </w:rPr>
              <w:t>were raised by 20.7% and the material costs were thus a substantial break on the construction output development.</w:t>
            </w:r>
          </w:p>
        </w:tc>
      </w:tr>
      <w:tr w:rsidR="00BF5759" w:rsidRPr="006E725C" w14:paraId="61E7B8A0" w14:textId="77777777" w:rsidTr="00EA1EBB">
        <w:trPr>
          <w:trHeight w:val="145"/>
        </w:trPr>
        <w:tc>
          <w:tcPr>
            <w:tcW w:w="1804" w:type="dxa"/>
            <w:hideMark/>
          </w:tcPr>
          <w:p w14:paraId="7729B721" w14:textId="27E8C3FF" w:rsidR="00BF5759" w:rsidRPr="006E725C" w:rsidRDefault="00BF5759" w:rsidP="00BF5759">
            <w:pPr>
              <w:pStyle w:val="Marginlie"/>
              <w:rPr>
                <w:spacing w:val="0"/>
                <w:lang w:val="en-GB" w:eastAsia="en-US"/>
              </w:rPr>
            </w:pPr>
            <w:r w:rsidRPr="006E725C">
              <w:rPr>
                <w:spacing w:val="0"/>
                <w:lang w:val="en-GB" w:eastAsia="en-US"/>
              </w:rPr>
              <w:t xml:space="preserve">Growth of prices of market services stayed at high level for the whole year. </w:t>
            </w:r>
          </w:p>
        </w:tc>
        <w:tc>
          <w:tcPr>
            <w:tcW w:w="224" w:type="dxa"/>
          </w:tcPr>
          <w:p w14:paraId="16635E6F" w14:textId="77777777" w:rsidR="00BF5759" w:rsidRPr="006E725C" w:rsidRDefault="00BF5759" w:rsidP="00BF5759">
            <w:pPr>
              <w:pStyle w:val="Textpoznpodarou1"/>
              <w:jc w:val="both"/>
              <w:rPr>
                <w:lang w:val="en-GB" w:eastAsia="en-US"/>
              </w:rPr>
            </w:pPr>
          </w:p>
        </w:tc>
        <w:tc>
          <w:tcPr>
            <w:tcW w:w="7611" w:type="dxa"/>
            <w:hideMark/>
          </w:tcPr>
          <w:p w14:paraId="7D2A7C19" w14:textId="52A02AF1" w:rsidR="00BF5759" w:rsidRPr="006E725C" w:rsidRDefault="00BF5759" w:rsidP="00BF5759">
            <w:pPr>
              <w:rPr>
                <w:lang w:val="en-GB" w:eastAsia="en-US"/>
              </w:rPr>
            </w:pPr>
            <w:r w:rsidRPr="006E725C">
              <w:rPr>
                <w:lang w:val="en-GB" w:eastAsia="en-US"/>
              </w:rPr>
              <w:t xml:space="preserve">Prices of market services increased by 4.9% year-on-year in Q4 and the increase was thus the mildest for the whole year 2023. The prices increased by 1.2% quarter-on-quarter in Q4. Prices of services in the area of real estate (year-on-year increase of 6.7%), services in programming and associated consultancy (6.5%), land transport and transport via pipelines (3.1%) and employment activities (15.6%) worked the most in the direction of the year-on-year growth. Development of prices of cleaning activities (12.9%), postal and courier services (11.7%), information (10.0%), legal and accounting activities (6.8%), advertising and market research (4.3%), warehousing and support activities for </w:t>
            </w:r>
            <w:r w:rsidR="00B3732D">
              <w:rPr>
                <w:lang w:val="en-GB" w:eastAsia="en-US"/>
              </w:rPr>
              <w:t>transport</w:t>
            </w:r>
            <w:r w:rsidRPr="006E725C">
              <w:rPr>
                <w:lang w:val="en-GB" w:eastAsia="en-US"/>
              </w:rPr>
              <w:t xml:space="preserve"> (3.6%) or architectural and engineering activities and technical testing and analysis (2.6%) also had a significant contribution. Year-on-year dynamics of prices of market services remained high and unlike the rest of the economy did not decelerate notably during the year. It manifested the persisting strong nominal growth of wages, which form a key part of costs for services. Prices of market services increased by 5.6% for the whole year 2023. Prices of services in the area of programming and associated consultancy (growth of 8.2%), real estate (6.5%), land transport and transport via pipelines (4.2%) and employment activities (22.1%) contributed the most. </w:t>
            </w:r>
          </w:p>
        </w:tc>
      </w:tr>
      <w:tr w:rsidR="00BF5759" w:rsidRPr="006E725C" w14:paraId="4B22C9D2" w14:textId="77777777" w:rsidTr="00EA1EBB">
        <w:trPr>
          <w:trHeight w:val="145"/>
        </w:trPr>
        <w:tc>
          <w:tcPr>
            <w:tcW w:w="1804" w:type="dxa"/>
            <w:hideMark/>
          </w:tcPr>
          <w:p w14:paraId="11A2C18C" w14:textId="7E5A50E9" w:rsidR="00BF5759" w:rsidRPr="006E725C" w:rsidRDefault="00BF5759" w:rsidP="00BF5759">
            <w:pPr>
              <w:pStyle w:val="Marginlie"/>
              <w:rPr>
                <w:spacing w:val="0"/>
                <w:lang w:val="en-GB" w:eastAsia="en-US"/>
              </w:rPr>
            </w:pPr>
            <w:r w:rsidRPr="006E725C">
              <w:rPr>
                <w:spacing w:val="0"/>
                <w:lang w:val="en-GB" w:eastAsia="en-US"/>
              </w:rPr>
              <w:t>Prices of agricultural producers markedly sank year-on-year in Q4.</w:t>
            </w:r>
          </w:p>
        </w:tc>
        <w:tc>
          <w:tcPr>
            <w:tcW w:w="224" w:type="dxa"/>
          </w:tcPr>
          <w:p w14:paraId="2BE7CF28" w14:textId="77777777" w:rsidR="00BF5759" w:rsidRPr="006E725C" w:rsidRDefault="00BF5759" w:rsidP="00BF5759">
            <w:pPr>
              <w:pStyle w:val="Textpoznpodarou1"/>
              <w:jc w:val="both"/>
              <w:rPr>
                <w:lang w:val="en-GB" w:eastAsia="en-US"/>
              </w:rPr>
            </w:pPr>
          </w:p>
        </w:tc>
        <w:tc>
          <w:tcPr>
            <w:tcW w:w="7611" w:type="dxa"/>
            <w:hideMark/>
          </w:tcPr>
          <w:p w14:paraId="77030D51" w14:textId="02079DC7" w:rsidR="00BF5759" w:rsidRPr="006E725C" w:rsidRDefault="00BF5759" w:rsidP="001609AE">
            <w:pPr>
              <w:rPr>
                <w:lang w:val="en-GB" w:eastAsia="en-US"/>
              </w:rPr>
            </w:pPr>
            <w:r w:rsidRPr="006E725C">
              <w:rPr>
                <w:lang w:val="en-GB" w:eastAsia="en-US"/>
              </w:rPr>
              <w:t>Agricultural producer prices (including fish</w:t>
            </w:r>
            <w:r w:rsidR="001609AE">
              <w:rPr>
                <w:lang w:val="en-GB" w:eastAsia="en-US"/>
              </w:rPr>
              <w:t>es</w:t>
            </w:r>
            <w:r w:rsidRPr="006E725C">
              <w:rPr>
                <w:lang w:val="en-GB" w:eastAsia="en-US"/>
              </w:rPr>
              <w:t xml:space="preserve">) fell by 14.5% year-on-year in Q4 2023 and the depth of the slump thus nearly did not change against Q3. Prices of both </w:t>
            </w:r>
            <w:r w:rsidR="001609AE">
              <w:rPr>
                <w:lang w:val="en-GB" w:eastAsia="en-US"/>
              </w:rPr>
              <w:t>crop</w:t>
            </w:r>
            <w:r w:rsidRPr="006E725C">
              <w:rPr>
                <w:lang w:val="en-GB" w:eastAsia="en-US"/>
              </w:rPr>
              <w:t xml:space="preserve"> (−16.5%) and animal (−10.9%) production were lower year-on-year. Prices of cereals deeply lagged behind the level of the same period of year 2022 (−36.0%). Prices of wheat, rye, barley, </w:t>
            </w:r>
            <w:proofErr w:type="gramStart"/>
            <w:r w:rsidRPr="006E725C">
              <w:rPr>
                <w:lang w:val="en-GB" w:eastAsia="en-US"/>
              </w:rPr>
              <w:t>oats</w:t>
            </w:r>
            <w:proofErr w:type="gramEnd"/>
            <w:r w:rsidRPr="006E725C">
              <w:rPr>
                <w:lang w:val="en-GB" w:eastAsia="en-US"/>
              </w:rPr>
              <w:t xml:space="preserve"> as well as corn plummeted by tens of percentages year-on-year. Prices of industrial </w:t>
            </w:r>
            <w:r w:rsidR="001609AE">
              <w:rPr>
                <w:lang w:val="en-GB" w:eastAsia="en-US"/>
              </w:rPr>
              <w:t>crop</w:t>
            </w:r>
            <w:r w:rsidRPr="006E725C">
              <w:rPr>
                <w:lang w:val="en-GB" w:eastAsia="en-US"/>
              </w:rPr>
              <w:t xml:space="preserve">s were by 16.7% lower, in that oil </w:t>
            </w:r>
            <w:r w:rsidR="001609AE">
              <w:rPr>
                <w:lang w:val="en-GB" w:eastAsia="en-US"/>
              </w:rPr>
              <w:t>seeds</w:t>
            </w:r>
            <w:r w:rsidRPr="006E725C">
              <w:rPr>
                <w:lang w:val="en-GB" w:eastAsia="en-US"/>
              </w:rPr>
              <w:t xml:space="preserve"> by more than one third. On the contrary, prices of sugar beet went up by 14.8%. Prices of fo</w:t>
            </w:r>
            <w:r w:rsidR="001609AE">
              <w:rPr>
                <w:lang w:val="en-GB" w:eastAsia="en-US"/>
              </w:rPr>
              <w:t>rage plants</w:t>
            </w:r>
            <w:r w:rsidRPr="006E725C">
              <w:rPr>
                <w:lang w:val="en-GB" w:eastAsia="en-US"/>
              </w:rPr>
              <w:t xml:space="preserve"> were however raised by 17.9% year-on-year, vegetables and </w:t>
            </w:r>
            <w:r w:rsidR="001609AE">
              <w:rPr>
                <w:lang w:val="en-GB" w:eastAsia="en-US"/>
              </w:rPr>
              <w:t xml:space="preserve">horticultural products </w:t>
            </w:r>
            <w:r w:rsidRPr="006E725C">
              <w:rPr>
                <w:lang w:val="en-GB" w:eastAsia="en-US"/>
              </w:rPr>
              <w:t>by 12.5%, potatoes by 34.7% and fruit</w:t>
            </w:r>
            <w:r w:rsidR="001609AE">
              <w:rPr>
                <w:lang w:val="en-GB" w:eastAsia="en-US"/>
              </w:rPr>
              <w:t>s</w:t>
            </w:r>
            <w:r w:rsidRPr="006E725C">
              <w:rPr>
                <w:lang w:val="en-GB" w:eastAsia="en-US"/>
              </w:rPr>
              <w:t xml:space="preserve"> by 32.8% (mainly apples had an effect with more than one third price increase). Within animal production, prices of live animals stagnated year-on-year in Q4 (0.1%), in that however prices of poultry (−6.9%) and beef cattle (−3.1%) were falling and on the contrary prices of pigs and piglets grew (8.7%). Animal products were on the contrary in deep decline (−17.8%). Milk was cheaper year-on-year by 18.7% and eggs by 10.8%.     </w:t>
            </w:r>
          </w:p>
        </w:tc>
      </w:tr>
      <w:tr w:rsidR="00BF5759" w:rsidRPr="006E725C" w14:paraId="7B7C0B85" w14:textId="77777777" w:rsidTr="00EA1EBB">
        <w:trPr>
          <w:trHeight w:val="145"/>
        </w:trPr>
        <w:tc>
          <w:tcPr>
            <w:tcW w:w="1804" w:type="dxa"/>
            <w:hideMark/>
          </w:tcPr>
          <w:p w14:paraId="10A55EA0" w14:textId="38CC6167" w:rsidR="00BF5759" w:rsidRPr="006E725C" w:rsidRDefault="00BF5759" w:rsidP="00BF5759">
            <w:pPr>
              <w:pStyle w:val="Marginlie"/>
              <w:rPr>
                <w:spacing w:val="0"/>
                <w:lang w:val="en-GB" w:eastAsia="en-US"/>
              </w:rPr>
            </w:pPr>
            <w:r w:rsidRPr="006E725C">
              <w:rPr>
                <w:spacing w:val="0"/>
                <w:lang w:val="en-GB" w:eastAsia="en-US"/>
              </w:rPr>
              <w:lastRenderedPageBreak/>
              <w:t xml:space="preserve">Prices of plant production decreased last year, while the animal production in total recorded an increase. </w:t>
            </w:r>
          </w:p>
        </w:tc>
        <w:tc>
          <w:tcPr>
            <w:tcW w:w="224" w:type="dxa"/>
          </w:tcPr>
          <w:p w14:paraId="332BD1BB" w14:textId="77777777" w:rsidR="00BF5759" w:rsidRPr="006E725C" w:rsidRDefault="00BF5759" w:rsidP="00BF5759">
            <w:pPr>
              <w:pStyle w:val="Textpoznpodarou1"/>
              <w:jc w:val="both"/>
              <w:rPr>
                <w:lang w:val="en-GB" w:eastAsia="en-US"/>
              </w:rPr>
            </w:pPr>
          </w:p>
        </w:tc>
        <w:tc>
          <w:tcPr>
            <w:tcW w:w="7611" w:type="dxa"/>
            <w:hideMark/>
          </w:tcPr>
          <w:p w14:paraId="3319AFDA" w14:textId="3CE8E7BD" w:rsidR="00BF5759" w:rsidRPr="006E725C" w:rsidRDefault="00BF5759" w:rsidP="001609AE">
            <w:pPr>
              <w:rPr>
                <w:lang w:val="en-GB" w:eastAsia="en-US"/>
              </w:rPr>
            </w:pPr>
            <w:r w:rsidRPr="006E725C">
              <w:rPr>
                <w:lang w:val="en-GB" w:eastAsia="en-US"/>
              </w:rPr>
              <w:t>Prices of agricultural production including fish</w:t>
            </w:r>
            <w:r w:rsidR="001609AE">
              <w:rPr>
                <w:lang w:val="en-GB" w:eastAsia="en-US"/>
              </w:rPr>
              <w:t>es</w:t>
            </w:r>
            <w:r w:rsidRPr="006E725C">
              <w:rPr>
                <w:lang w:val="en-GB" w:eastAsia="en-US"/>
              </w:rPr>
              <w:t xml:space="preserve"> still grew year-on-year in Q1 (19.4%) and subsequently went down (−8.1% and −14.7% in Q2 and Q3). Prices of agricultural production were by 6.0% lower for the whole year. The decrease was mainly supported by the development of prices of the </w:t>
            </w:r>
            <w:r w:rsidR="001609AE">
              <w:rPr>
                <w:lang w:val="en-GB" w:eastAsia="en-US"/>
              </w:rPr>
              <w:t xml:space="preserve">crop </w:t>
            </w:r>
            <w:r w:rsidRPr="006E725C">
              <w:rPr>
                <w:lang w:val="en-GB" w:eastAsia="en-US"/>
              </w:rPr>
              <w:t>product</w:t>
            </w:r>
            <w:r w:rsidR="001609AE">
              <w:rPr>
                <w:lang w:val="en-GB" w:eastAsia="en-US"/>
              </w:rPr>
              <w:t>s</w:t>
            </w:r>
            <w:r w:rsidRPr="006E725C">
              <w:rPr>
                <w:lang w:val="en-GB" w:eastAsia="en-US"/>
              </w:rPr>
              <w:t>, which fell by 13.7%. The comparison with year 2022, when the geopolitical affairs led to sharp hike of prices of key plants, was an important factor. Also for this reason, the prices of cereals (−20.4%, in that wheat by 24.0%) as well as industrial crop</w:t>
            </w:r>
            <w:r w:rsidR="001609AE">
              <w:rPr>
                <w:lang w:val="en-GB" w:eastAsia="en-US"/>
              </w:rPr>
              <w:t>s</w:t>
            </w:r>
            <w:r w:rsidRPr="006E725C">
              <w:rPr>
                <w:lang w:val="en-GB" w:eastAsia="en-US"/>
              </w:rPr>
              <w:t xml:space="preserve"> (−21.8%, in that oil </w:t>
            </w:r>
            <w:r w:rsidR="001609AE">
              <w:rPr>
                <w:lang w:val="en-GB" w:eastAsia="en-US"/>
              </w:rPr>
              <w:t>seeds</w:t>
            </w:r>
            <w:r w:rsidRPr="006E725C">
              <w:rPr>
                <w:lang w:val="en-GB" w:eastAsia="en-US"/>
              </w:rPr>
              <w:t xml:space="preserve"> by 28.8%) plunged last year. On the contrary, the prices of vegetables and </w:t>
            </w:r>
            <w:r w:rsidR="001609AE">
              <w:rPr>
                <w:lang w:val="en-GB" w:eastAsia="en-US"/>
              </w:rPr>
              <w:t>horticultural</w:t>
            </w:r>
            <w:r w:rsidRPr="006E725C">
              <w:rPr>
                <w:lang w:val="en-GB" w:eastAsia="en-US"/>
              </w:rPr>
              <w:t xml:space="preserve"> products were by 15.4% larger last year, potatoes by 39.4% and fruit by 10.4%. Prices of animal production on the contrary increased in total by 7.0% in year 2023. Prices of live animals were higher by 12.6%, in that pigs by 25.0%. Prices of animal products increased by 3.3%. While the prices of milk rather stagnated last year (0.5%), eggs recorded an increase of 28.6%. </w:t>
            </w:r>
          </w:p>
        </w:tc>
      </w:tr>
      <w:tr w:rsidR="00BF5759" w:rsidRPr="006E725C" w14:paraId="57497850" w14:textId="77777777" w:rsidTr="00EA1EBB">
        <w:trPr>
          <w:trHeight w:val="145"/>
        </w:trPr>
        <w:tc>
          <w:tcPr>
            <w:tcW w:w="1804" w:type="dxa"/>
            <w:hideMark/>
          </w:tcPr>
          <w:p w14:paraId="60D2D88A" w14:textId="31F126BF" w:rsidR="00BF5759" w:rsidRPr="006E725C" w:rsidRDefault="00BF5759" w:rsidP="00BF5759">
            <w:pPr>
              <w:pStyle w:val="Marginlie"/>
              <w:rPr>
                <w:spacing w:val="0"/>
                <w:lang w:val="en-GB" w:eastAsia="en-US"/>
              </w:rPr>
            </w:pPr>
            <w:r w:rsidRPr="006E725C">
              <w:rPr>
                <w:spacing w:val="0"/>
                <w:lang w:val="en-GB" w:eastAsia="en-US"/>
              </w:rPr>
              <w:t xml:space="preserve">Prices of export fell year-on-year last year. </w:t>
            </w:r>
          </w:p>
        </w:tc>
        <w:tc>
          <w:tcPr>
            <w:tcW w:w="224" w:type="dxa"/>
          </w:tcPr>
          <w:p w14:paraId="13C9FD47" w14:textId="77777777" w:rsidR="00BF5759" w:rsidRPr="006E725C" w:rsidRDefault="00BF5759" w:rsidP="00BF5759">
            <w:pPr>
              <w:pStyle w:val="Textpoznpodarou1"/>
              <w:jc w:val="both"/>
              <w:rPr>
                <w:lang w:val="en-GB" w:eastAsia="en-US"/>
              </w:rPr>
            </w:pPr>
          </w:p>
        </w:tc>
        <w:tc>
          <w:tcPr>
            <w:tcW w:w="7611" w:type="dxa"/>
            <w:hideMark/>
          </w:tcPr>
          <w:p w14:paraId="470649C9" w14:textId="08E4D12F" w:rsidR="00BF5759" w:rsidRPr="006E725C" w:rsidRDefault="00BF5759" w:rsidP="008E3D0D">
            <w:pPr>
              <w:rPr>
                <w:lang w:val="en-GB" w:eastAsia="en-US"/>
              </w:rPr>
            </w:pPr>
            <w:r w:rsidRPr="006E725C">
              <w:rPr>
                <w:lang w:val="en-GB" w:eastAsia="en-US"/>
              </w:rPr>
              <w:t>Prices of exports of goods in total fell by 0.7% last year. Prices of exports of other materials</w:t>
            </w:r>
            <w:r w:rsidRPr="006E725C">
              <w:rPr>
                <w:rStyle w:val="Znakapoznpodarou"/>
                <w:lang w:val="en-GB" w:eastAsia="en-US"/>
              </w:rPr>
              <w:footnoteReference w:id="65"/>
            </w:r>
            <w:r w:rsidRPr="006E725C">
              <w:rPr>
                <w:lang w:val="en-GB" w:eastAsia="en-US"/>
              </w:rPr>
              <w:t xml:space="preserve"> (−18.6%) and chemicals (−7.2%) dropped the most. On the contrary, prices of beverages sharply increased (16.0%). After year-on-year increase in Q1, the prices of exports were falling in the rest of the year 2023. Prices of exports were by 2.2% lower in Q4 2023. The effect of koruna foreign exchange on the year-on-year development of prices of the international trade weakened towards the end of the year</w:t>
            </w:r>
            <w:r w:rsidRPr="006E725C">
              <w:rPr>
                <w:rStyle w:val="Znakapoznpodarou"/>
                <w:lang w:val="en-GB" w:eastAsia="en-US"/>
              </w:rPr>
              <w:footnoteReference w:id="66"/>
            </w:r>
            <w:r w:rsidRPr="006E725C">
              <w:rPr>
                <w:lang w:val="en-GB" w:eastAsia="en-US"/>
              </w:rPr>
              <w:t>. Prices of exports increased by 0.6% quarter-on-quarter in Q4. Prices of other materials (−14.7%) and mineral fuels (−13.7%) decreased the most year-on-year in Q4. Prices of exports of chemicals (−7.7%), food and live animals (−7.3%) and semi-finished products</w:t>
            </w:r>
            <w:r w:rsidRPr="006E725C">
              <w:rPr>
                <w:rStyle w:val="Znakapoznpodarou"/>
                <w:lang w:val="en-GB" w:eastAsia="en-US"/>
              </w:rPr>
              <w:footnoteReference w:id="67"/>
            </w:r>
            <w:r w:rsidRPr="006E725C">
              <w:rPr>
                <w:lang w:val="en-GB" w:eastAsia="en-US"/>
              </w:rPr>
              <w:t xml:space="preserve"> (−6.8%) were also lower. Similarly to the previous quarters, the prices of beverages also sharply grew in Q4 (11.1%). Year-on-year increase of prices of exports of the </w:t>
            </w:r>
            <w:r w:rsidR="008E3D0D">
              <w:rPr>
                <w:lang w:val="en-GB" w:eastAsia="en-US"/>
              </w:rPr>
              <w:t>m</w:t>
            </w:r>
            <w:r w:rsidR="008E3D0D" w:rsidRPr="008E3D0D">
              <w:rPr>
                <w:lang w:val="en-GB" w:eastAsia="en-US"/>
              </w:rPr>
              <w:t xml:space="preserve">iscellaneous manufactured articles </w:t>
            </w:r>
            <w:r w:rsidRPr="006E725C">
              <w:rPr>
                <w:lang w:val="en-GB" w:eastAsia="en-US"/>
              </w:rPr>
              <w:t>(4.1%) and machinery and transport equipment (2.8%) strengthened.</w:t>
            </w:r>
          </w:p>
        </w:tc>
      </w:tr>
      <w:tr w:rsidR="00BF5759" w:rsidRPr="006E725C" w14:paraId="53F95227" w14:textId="77777777" w:rsidTr="00EA1EBB">
        <w:trPr>
          <w:trHeight w:val="145"/>
        </w:trPr>
        <w:tc>
          <w:tcPr>
            <w:tcW w:w="1804" w:type="dxa"/>
            <w:hideMark/>
          </w:tcPr>
          <w:p w14:paraId="38997C2A" w14:textId="2A2EF6CA" w:rsidR="00BF5759" w:rsidRPr="006E725C" w:rsidRDefault="00BF5759" w:rsidP="00BF5759">
            <w:pPr>
              <w:pStyle w:val="Marginlie"/>
              <w:rPr>
                <w:spacing w:val="0"/>
                <w:lang w:val="en-GB" w:eastAsia="en-US"/>
              </w:rPr>
            </w:pPr>
            <w:r w:rsidRPr="006E725C">
              <w:rPr>
                <w:spacing w:val="0"/>
                <w:lang w:val="en-GB" w:eastAsia="en-US"/>
              </w:rPr>
              <w:t xml:space="preserve">Terms of trade were markedly positive last year. </w:t>
            </w:r>
          </w:p>
        </w:tc>
        <w:tc>
          <w:tcPr>
            <w:tcW w:w="224" w:type="dxa"/>
          </w:tcPr>
          <w:p w14:paraId="733D2EB2" w14:textId="77777777" w:rsidR="00BF5759" w:rsidRPr="006E725C" w:rsidRDefault="00BF5759" w:rsidP="00BF5759">
            <w:pPr>
              <w:pStyle w:val="Textpoznpodarou1"/>
              <w:jc w:val="both"/>
              <w:rPr>
                <w:lang w:val="en-GB" w:eastAsia="en-US"/>
              </w:rPr>
            </w:pPr>
          </w:p>
        </w:tc>
        <w:tc>
          <w:tcPr>
            <w:tcW w:w="7611" w:type="dxa"/>
            <w:hideMark/>
          </w:tcPr>
          <w:p w14:paraId="0D3561E5" w14:textId="18C57BA9" w:rsidR="00BF5759" w:rsidRPr="006E725C" w:rsidRDefault="00BF5759" w:rsidP="008E3D0D">
            <w:pPr>
              <w:rPr>
                <w:lang w:val="en-GB" w:eastAsia="en-US"/>
              </w:rPr>
            </w:pPr>
            <w:r w:rsidRPr="006E725C">
              <w:rPr>
                <w:lang w:val="en-GB" w:eastAsia="en-US"/>
              </w:rPr>
              <w:t xml:space="preserve">Import prices of goods fell in total by 5.7% last year. The decrease was mainly the result of development of prices of mineral fuels (−27.7%) and other materials (−10.7%). Prices of imports of chemical products were also in deep decrease (−7.9%). On the contrary, prices of beverages and tobacco increased by more than one fifth (22.7%). In Q4 2023 itself, the prices of import fell by 6.1% year-on-year, while they grew by 1.5% quarter-on-quarter. Prices of imports of mineral fuels (−28.7%), other materials (−9.6%), chemical products (−8.0%) and semi-finished products (−5.9%) increased the most year-on-year in Q4. On the contrary, prices of imports of beverages and tobacco (23.9%), </w:t>
            </w:r>
            <w:r w:rsidR="008E3D0D">
              <w:rPr>
                <w:lang w:val="en-GB" w:eastAsia="en-US"/>
              </w:rPr>
              <w:t xml:space="preserve">miscellaneous manufactured articles </w:t>
            </w:r>
            <w:r w:rsidRPr="006E725C">
              <w:rPr>
                <w:lang w:val="en-GB" w:eastAsia="en-US"/>
              </w:rPr>
              <w:t xml:space="preserve">(2.3%), food and live animals (1.7%), machinery and transport equipment (0.3%) were higher year-on-year. Year-on-year terms of trade of international trade of goods remained in greatly positive band. Total terms of trade reached 105.3% for year 2023. Terms of trade were 104.2% year-on-year in Q4 itself. Trade with mineral fuels (121.0%), machinery and transport equipment (102.4%), </w:t>
            </w:r>
            <w:r w:rsidR="008E3D0D">
              <w:rPr>
                <w:lang w:val="en-GB" w:eastAsia="en-US"/>
              </w:rPr>
              <w:t xml:space="preserve">miscellaneous manufactured articles </w:t>
            </w:r>
            <w:r w:rsidRPr="006E725C">
              <w:rPr>
                <w:lang w:val="en-GB" w:eastAsia="en-US"/>
              </w:rPr>
              <w:t xml:space="preserve">(101.8%) and chemicals (100.3%) had positive terms of trade. In contrast, trade with beverages and tobacco (89.7%), food and live animals (91.2%), other materials (94.4%) and semi-finished products (99.0%) featured negative terms of trade. </w:t>
            </w:r>
          </w:p>
        </w:tc>
      </w:tr>
    </w:tbl>
    <w:p w14:paraId="641C5B14" w14:textId="77777777" w:rsidR="00EA1EBB" w:rsidRPr="006E725C" w:rsidRDefault="00EA1EBB" w:rsidP="00EA1EBB">
      <w:pPr>
        <w:spacing w:after="0" w:line="240" w:lineRule="auto"/>
        <w:jc w:val="left"/>
        <w:rPr>
          <w:rFonts w:eastAsia="MS Gothic"/>
          <w:b/>
          <w:bCs/>
          <w:color w:val="71818C"/>
          <w:sz w:val="32"/>
          <w:szCs w:val="28"/>
          <w:lang w:val="en-GB"/>
        </w:rPr>
      </w:pPr>
    </w:p>
    <w:p w14:paraId="2EDF088D" w14:textId="77777777" w:rsidR="00EA1EBB" w:rsidRPr="006E725C" w:rsidRDefault="00EA1EBB" w:rsidP="00EA1EBB">
      <w:pPr>
        <w:pStyle w:val="Nadpis11"/>
        <w:rPr>
          <w:sz w:val="2"/>
          <w:szCs w:val="2"/>
          <w:lang w:val="en-GB"/>
        </w:rPr>
      </w:pPr>
    </w:p>
    <w:p w14:paraId="3D57CD7C" w14:textId="77777777" w:rsidR="00EA1EBB" w:rsidRPr="006E725C" w:rsidRDefault="00EA1EBB" w:rsidP="00EA1EBB">
      <w:pPr>
        <w:pStyle w:val="Nadpis11"/>
        <w:rPr>
          <w:sz w:val="2"/>
          <w:szCs w:val="2"/>
          <w:lang w:val="en-GB"/>
        </w:rPr>
      </w:pPr>
    </w:p>
    <w:p w14:paraId="0B044C66" w14:textId="77777777" w:rsidR="00C6020C" w:rsidRPr="006E725C" w:rsidRDefault="00C6020C">
      <w:pPr>
        <w:spacing w:after="0" w:line="240" w:lineRule="auto"/>
        <w:jc w:val="left"/>
        <w:rPr>
          <w:rFonts w:eastAsia="MS Gothic"/>
          <w:b/>
          <w:bCs/>
          <w:color w:val="71818C"/>
          <w:sz w:val="32"/>
          <w:szCs w:val="28"/>
          <w:highlight w:val="yellow"/>
          <w:lang w:val="en-GB"/>
        </w:rPr>
      </w:pPr>
      <w:r w:rsidRPr="006E725C">
        <w:rPr>
          <w:highlight w:val="yellow"/>
          <w:lang w:val="en-GB"/>
        </w:rPr>
        <w:br w:type="page"/>
      </w:r>
    </w:p>
    <w:p w14:paraId="08732EFC" w14:textId="5F23661F" w:rsidR="00582A12" w:rsidRPr="006E725C" w:rsidRDefault="00582A12" w:rsidP="00582A12">
      <w:pPr>
        <w:pStyle w:val="Nadpis11"/>
        <w:spacing w:after="120"/>
        <w:rPr>
          <w:lang w:val="en-GB"/>
        </w:rPr>
      </w:pPr>
      <w:bookmarkStart w:id="42" w:name="_Toc153531179"/>
      <w:bookmarkStart w:id="43" w:name="_Toc137233031"/>
      <w:bookmarkStart w:id="44" w:name="_Toc164682188"/>
      <w:bookmarkEnd w:id="28"/>
      <w:r w:rsidRPr="006E725C">
        <w:rPr>
          <w:lang w:val="en-GB"/>
        </w:rPr>
        <w:lastRenderedPageBreak/>
        <w:t>6. </w:t>
      </w:r>
      <w:r w:rsidR="00427538" w:rsidRPr="006E725C">
        <w:rPr>
          <w:lang w:val="en-GB"/>
        </w:rPr>
        <w:t>Labour Market</w:t>
      </w:r>
      <w:bookmarkEnd w:id="44"/>
    </w:p>
    <w:tbl>
      <w:tblPr>
        <w:tblW w:w="9674" w:type="dxa"/>
        <w:tblInd w:w="-35" w:type="dxa"/>
        <w:tblCellMar>
          <w:left w:w="0" w:type="dxa"/>
          <w:right w:w="0" w:type="dxa"/>
        </w:tblCellMar>
        <w:tblLook w:val="00A0" w:firstRow="1" w:lastRow="0" w:firstColumn="1" w:lastColumn="0" w:noHBand="0" w:noVBand="0"/>
      </w:tblPr>
      <w:tblGrid>
        <w:gridCol w:w="1754"/>
        <w:gridCol w:w="220"/>
        <w:gridCol w:w="7700"/>
      </w:tblGrid>
      <w:tr w:rsidR="00582A12" w:rsidRPr="006E725C" w14:paraId="2A0294F6" w14:textId="77777777" w:rsidTr="00BA5125">
        <w:trPr>
          <w:trHeight w:val="155"/>
        </w:trPr>
        <w:tc>
          <w:tcPr>
            <w:tcW w:w="1754" w:type="dxa"/>
            <w:shd w:val="clear" w:color="auto" w:fill="auto"/>
            <w:tcMar>
              <w:left w:w="0" w:type="dxa"/>
            </w:tcMar>
          </w:tcPr>
          <w:p w14:paraId="45DE2A1A" w14:textId="6842293A" w:rsidR="00582A12" w:rsidRPr="006E725C" w:rsidRDefault="001202B0" w:rsidP="00BA5125">
            <w:pPr>
              <w:pStyle w:val="Marginlie"/>
              <w:spacing w:after="120"/>
              <w:rPr>
                <w:color w:val="0D0D0D" w:themeColor="text1" w:themeTint="F2"/>
                <w:spacing w:val="-4"/>
                <w:lang w:val="en-GB"/>
              </w:rPr>
            </w:pPr>
            <w:r w:rsidRPr="006E725C">
              <w:rPr>
                <w:color w:val="0D0D0D" w:themeColor="text1" w:themeTint="F2"/>
                <w:spacing w:val="-4"/>
                <w:lang w:val="en-GB"/>
              </w:rPr>
              <w:t>Labour market gradually cooled down partially</w:t>
            </w:r>
            <w:r w:rsidR="00582A12" w:rsidRPr="006E725C">
              <w:rPr>
                <w:color w:val="0D0D0D" w:themeColor="text1" w:themeTint="F2"/>
                <w:spacing w:val="-4"/>
                <w:lang w:val="en-GB"/>
              </w:rPr>
              <w:t xml:space="preserve">, </w:t>
            </w:r>
            <w:r w:rsidR="00A85FBA" w:rsidRPr="006E725C">
              <w:rPr>
                <w:color w:val="0D0D0D" w:themeColor="text1" w:themeTint="F2"/>
                <w:spacing w:val="-4"/>
                <w:lang w:val="en-GB"/>
              </w:rPr>
              <w:t xml:space="preserve">the imbalance between supply and demand narrowed. </w:t>
            </w:r>
            <w:r w:rsidR="0049505A" w:rsidRPr="006E725C">
              <w:rPr>
                <w:color w:val="0D0D0D" w:themeColor="text1" w:themeTint="F2"/>
                <w:spacing w:val="-4"/>
                <w:lang w:val="en-GB"/>
              </w:rPr>
              <w:t xml:space="preserve">Situation at the level of individual branches or businesses however varied. </w:t>
            </w:r>
          </w:p>
        </w:tc>
        <w:tc>
          <w:tcPr>
            <w:tcW w:w="220" w:type="dxa"/>
            <w:shd w:val="clear" w:color="auto" w:fill="auto"/>
            <w:tcMar>
              <w:left w:w="0" w:type="dxa"/>
            </w:tcMar>
          </w:tcPr>
          <w:p w14:paraId="7701F5E4"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214332DA" w14:textId="0DD582A8" w:rsidR="00582A12" w:rsidRPr="006E725C" w:rsidRDefault="00925795" w:rsidP="00EA7B22">
            <w:pPr>
              <w:spacing w:after="200"/>
              <w:rPr>
                <w:color w:val="0D0D0D" w:themeColor="text1" w:themeTint="F2"/>
                <w:spacing w:val="-4"/>
                <w:szCs w:val="20"/>
                <w:lang w:val="en-GB"/>
              </w:rPr>
            </w:pPr>
            <w:r w:rsidRPr="006E725C">
              <w:rPr>
                <w:color w:val="0D0D0D" w:themeColor="text1" w:themeTint="F2"/>
                <w:spacing w:val="-4"/>
                <w:szCs w:val="20"/>
                <w:lang w:val="en-GB"/>
              </w:rPr>
              <w:t>Lasting stagnation of the domestic economy gradually manifested also on the labour market with a certain lag</w:t>
            </w:r>
            <w:r w:rsidR="0049505A" w:rsidRPr="006E725C">
              <w:rPr>
                <w:color w:val="0D0D0D" w:themeColor="text1" w:themeTint="F2"/>
                <w:spacing w:val="-4"/>
                <w:szCs w:val="20"/>
                <w:lang w:val="en-GB"/>
              </w:rPr>
              <w:t xml:space="preserve"> during the last year. </w:t>
            </w:r>
            <w:r w:rsidR="00992736" w:rsidRPr="006E725C">
              <w:rPr>
                <w:color w:val="0D0D0D" w:themeColor="text1" w:themeTint="F2"/>
                <w:spacing w:val="-4"/>
                <w:szCs w:val="20"/>
                <w:lang w:val="en-GB"/>
              </w:rPr>
              <w:t>The employment started to decrease quarter-on-</w:t>
            </w:r>
            <w:r w:rsidR="00A85FBA" w:rsidRPr="006E725C">
              <w:rPr>
                <w:color w:val="0D0D0D" w:themeColor="text1" w:themeTint="F2"/>
                <w:spacing w:val="-4"/>
                <w:szCs w:val="20"/>
                <w:lang w:val="en-GB"/>
              </w:rPr>
              <w:t>quarter</w:t>
            </w:r>
            <w:r w:rsidR="00992736" w:rsidRPr="006E725C">
              <w:rPr>
                <w:color w:val="0D0D0D" w:themeColor="text1" w:themeTint="F2"/>
                <w:spacing w:val="-4"/>
                <w:szCs w:val="20"/>
                <w:lang w:val="en-GB"/>
              </w:rPr>
              <w:t xml:space="preserve"> in H</w:t>
            </w:r>
            <w:r w:rsidR="00582A12" w:rsidRPr="006E725C">
              <w:rPr>
                <w:color w:val="0D0D0D" w:themeColor="text1" w:themeTint="F2"/>
                <w:spacing w:val="-4"/>
                <w:szCs w:val="20"/>
                <w:lang w:val="en-GB"/>
              </w:rPr>
              <w:t>2</w:t>
            </w:r>
            <w:r w:rsidR="00992736" w:rsidRPr="006E725C">
              <w:rPr>
                <w:color w:val="0D0D0D" w:themeColor="text1" w:themeTint="F2"/>
                <w:spacing w:val="-4"/>
                <w:szCs w:val="20"/>
                <w:lang w:val="en-GB"/>
              </w:rPr>
              <w:t xml:space="preserve">, especially industry faced difficulties. Unemployment including the long-term </w:t>
            </w:r>
            <w:r w:rsidR="00A85FBA" w:rsidRPr="006E725C">
              <w:rPr>
                <w:color w:val="0D0D0D" w:themeColor="text1" w:themeTint="F2"/>
                <w:spacing w:val="-4"/>
                <w:szCs w:val="20"/>
                <w:lang w:val="en-GB"/>
              </w:rPr>
              <w:t>unemployment</w:t>
            </w:r>
            <w:r w:rsidR="00992736" w:rsidRPr="006E725C">
              <w:rPr>
                <w:color w:val="0D0D0D" w:themeColor="text1" w:themeTint="F2"/>
                <w:spacing w:val="-4"/>
                <w:szCs w:val="20"/>
                <w:lang w:val="en-GB"/>
              </w:rPr>
              <w:t xml:space="preserve"> slightly grew and at the same time the </w:t>
            </w:r>
            <w:r w:rsidR="00A85FBA" w:rsidRPr="006E725C">
              <w:rPr>
                <w:color w:val="0D0D0D" w:themeColor="text1" w:themeTint="F2"/>
                <w:spacing w:val="-4"/>
                <w:szCs w:val="20"/>
                <w:lang w:val="en-GB"/>
              </w:rPr>
              <w:t xml:space="preserve">supply of job vacancies, mainly less qualified, slightly decreased. </w:t>
            </w:r>
            <w:r w:rsidR="00222312" w:rsidRPr="006E725C">
              <w:rPr>
                <w:color w:val="0D0D0D" w:themeColor="text1" w:themeTint="F2"/>
                <w:spacing w:val="-4"/>
                <w:szCs w:val="20"/>
                <w:lang w:val="en-GB"/>
              </w:rPr>
              <w:t xml:space="preserve">The size of the potential </w:t>
            </w:r>
            <w:r w:rsidR="00E47B61">
              <w:rPr>
                <w:color w:val="0D0D0D" w:themeColor="text1" w:themeTint="F2"/>
                <w:spacing w:val="-4"/>
                <w:szCs w:val="20"/>
                <w:lang w:val="en-GB"/>
              </w:rPr>
              <w:t xml:space="preserve">work </w:t>
            </w:r>
            <w:r w:rsidR="00E47B61" w:rsidRPr="00E47B61">
              <w:rPr>
                <w:color w:val="0D0D0D" w:themeColor="text1" w:themeTint="F2"/>
                <w:spacing w:val="-4"/>
                <w:szCs w:val="20"/>
                <w:lang w:val="en-GB"/>
              </w:rPr>
              <w:t>resources</w:t>
            </w:r>
            <w:r w:rsidR="00826C77" w:rsidRPr="006E725C">
              <w:rPr>
                <w:color w:val="0D0D0D" w:themeColor="text1" w:themeTint="F2"/>
                <w:spacing w:val="-4"/>
                <w:szCs w:val="20"/>
                <w:lang w:val="en-GB"/>
              </w:rPr>
              <w:t xml:space="preserve"> </w:t>
            </w:r>
            <w:r w:rsidR="00582A12" w:rsidRPr="006E725C">
              <w:rPr>
                <w:color w:val="0D0D0D" w:themeColor="text1" w:themeTint="F2"/>
                <w:spacing w:val="-4"/>
                <w:szCs w:val="20"/>
                <w:lang w:val="en-GB"/>
              </w:rPr>
              <w:t>(</w:t>
            </w:r>
            <w:r w:rsidR="00E47B61">
              <w:rPr>
                <w:color w:val="0D0D0D" w:themeColor="text1" w:themeTint="F2"/>
                <w:spacing w:val="-4"/>
                <w:szCs w:val="20"/>
                <w:lang w:val="en-GB"/>
              </w:rPr>
              <w:t>currently</w:t>
            </w:r>
            <w:r w:rsidR="00ED2E2F" w:rsidRPr="006E725C">
              <w:rPr>
                <w:color w:val="0D0D0D" w:themeColor="text1" w:themeTint="F2"/>
                <w:spacing w:val="-4"/>
                <w:szCs w:val="20"/>
                <w:lang w:val="en-GB"/>
              </w:rPr>
              <w:t xml:space="preserve"> inactive persons</w:t>
            </w:r>
            <w:r w:rsidR="00E47B61">
              <w:rPr>
                <w:color w:val="0D0D0D" w:themeColor="text1" w:themeTint="F2"/>
                <w:spacing w:val="-4"/>
                <w:szCs w:val="20"/>
                <w:lang w:val="en-GB"/>
              </w:rPr>
              <w:t xml:space="preserve"> willing to work</w:t>
            </w:r>
            <w:r w:rsidR="00582A12" w:rsidRPr="006E725C">
              <w:rPr>
                <w:color w:val="0D0D0D" w:themeColor="text1" w:themeTint="F2"/>
                <w:spacing w:val="-4"/>
                <w:szCs w:val="20"/>
                <w:lang w:val="en-GB"/>
              </w:rPr>
              <w:t>)</w:t>
            </w:r>
            <w:r w:rsidR="00826C77" w:rsidRPr="006E725C">
              <w:rPr>
                <w:color w:val="0D0D0D" w:themeColor="text1" w:themeTint="F2"/>
                <w:spacing w:val="-4"/>
                <w:szCs w:val="20"/>
                <w:lang w:val="en-GB"/>
              </w:rPr>
              <w:t xml:space="preserve"> </w:t>
            </w:r>
            <w:r w:rsidR="00E47B61">
              <w:rPr>
                <w:color w:val="0D0D0D" w:themeColor="text1" w:themeTint="F2"/>
                <w:spacing w:val="-4"/>
                <w:szCs w:val="20"/>
                <w:lang w:val="en-GB"/>
              </w:rPr>
              <w:t xml:space="preserve">slightly </w:t>
            </w:r>
            <w:r w:rsidR="00826C77" w:rsidRPr="006E725C">
              <w:rPr>
                <w:color w:val="0D0D0D" w:themeColor="text1" w:themeTint="F2"/>
                <w:spacing w:val="-4"/>
                <w:szCs w:val="20"/>
                <w:lang w:val="en-GB"/>
              </w:rPr>
              <w:t>expanded</w:t>
            </w:r>
            <w:r w:rsidR="00582A12" w:rsidRPr="006E725C">
              <w:rPr>
                <w:color w:val="0D0D0D" w:themeColor="text1" w:themeTint="F2"/>
                <w:spacing w:val="-4"/>
                <w:szCs w:val="20"/>
                <w:lang w:val="en-GB"/>
              </w:rPr>
              <w:t>,</w:t>
            </w:r>
            <w:r w:rsidR="00826C77" w:rsidRPr="006E725C">
              <w:rPr>
                <w:color w:val="0D0D0D" w:themeColor="text1" w:themeTint="F2"/>
                <w:spacing w:val="-4"/>
                <w:szCs w:val="20"/>
                <w:lang w:val="en-GB"/>
              </w:rPr>
              <w:t xml:space="preserve"> nevertheless </w:t>
            </w:r>
            <w:r w:rsidR="0020460A" w:rsidRPr="006E725C">
              <w:rPr>
                <w:color w:val="0D0D0D" w:themeColor="text1" w:themeTint="F2"/>
                <w:spacing w:val="-4"/>
                <w:szCs w:val="20"/>
                <w:lang w:val="en-GB"/>
              </w:rPr>
              <w:t xml:space="preserve">still </w:t>
            </w:r>
            <w:r w:rsidR="00170F1A" w:rsidRPr="006E725C">
              <w:rPr>
                <w:color w:val="0D0D0D" w:themeColor="text1" w:themeTint="F2"/>
                <w:spacing w:val="-4"/>
                <w:szCs w:val="20"/>
                <w:lang w:val="en-GB"/>
              </w:rPr>
              <w:t>remained</w:t>
            </w:r>
            <w:r w:rsidR="00826C77" w:rsidRPr="006E725C">
              <w:rPr>
                <w:color w:val="0D0D0D" w:themeColor="text1" w:themeTint="F2"/>
                <w:spacing w:val="-4"/>
                <w:szCs w:val="20"/>
                <w:lang w:val="en-GB"/>
              </w:rPr>
              <w:t xml:space="preserve"> limited. Gradual integration of the </w:t>
            </w:r>
            <w:r w:rsidR="0020460A" w:rsidRPr="006E725C">
              <w:rPr>
                <w:color w:val="0D0D0D" w:themeColor="text1" w:themeTint="F2"/>
                <w:spacing w:val="-4"/>
                <w:szCs w:val="20"/>
                <w:lang w:val="en-GB"/>
              </w:rPr>
              <w:t>Ukrainian</w:t>
            </w:r>
            <w:r w:rsidR="00826C77" w:rsidRPr="006E725C">
              <w:rPr>
                <w:color w:val="0D0D0D" w:themeColor="text1" w:themeTint="F2"/>
                <w:spacing w:val="-4"/>
                <w:szCs w:val="20"/>
                <w:lang w:val="en-GB"/>
              </w:rPr>
              <w:t xml:space="preserve"> refugees </w:t>
            </w:r>
            <w:r w:rsidR="0020460A" w:rsidRPr="006E725C">
              <w:rPr>
                <w:color w:val="0D0D0D" w:themeColor="text1" w:themeTint="F2"/>
                <w:spacing w:val="-4"/>
                <w:szCs w:val="20"/>
                <w:lang w:val="en-GB"/>
              </w:rPr>
              <w:t xml:space="preserve">represented a positive impulse for the labour market, </w:t>
            </w:r>
            <w:r w:rsidR="00A136B7" w:rsidRPr="006E725C">
              <w:rPr>
                <w:color w:val="0D0D0D" w:themeColor="text1" w:themeTint="F2"/>
                <w:spacing w:val="-4"/>
                <w:szCs w:val="20"/>
                <w:lang w:val="en-GB"/>
              </w:rPr>
              <w:t xml:space="preserve">even </w:t>
            </w:r>
            <w:r w:rsidR="00E47B61">
              <w:rPr>
                <w:color w:val="0D0D0D" w:themeColor="text1" w:themeTint="F2"/>
                <w:spacing w:val="-4"/>
                <w:szCs w:val="20"/>
                <w:lang w:val="en-GB"/>
              </w:rPr>
              <w:t>though quite a few of them operate</w:t>
            </w:r>
            <w:r w:rsidR="00A136B7" w:rsidRPr="006E725C">
              <w:rPr>
                <w:color w:val="0D0D0D" w:themeColor="text1" w:themeTint="F2"/>
                <w:spacing w:val="-4"/>
                <w:szCs w:val="20"/>
                <w:lang w:val="en-GB"/>
              </w:rPr>
              <w:t xml:space="preserve"> on positions, where they do not fully utilise their qualification. Business in their effort to optimise the production costs still intensively </w:t>
            </w:r>
            <w:r w:rsidR="005344D9" w:rsidRPr="006E725C">
              <w:rPr>
                <w:color w:val="0D0D0D" w:themeColor="text1" w:themeTint="F2"/>
                <w:spacing w:val="-4"/>
                <w:szCs w:val="20"/>
                <w:lang w:val="en-GB"/>
              </w:rPr>
              <w:t xml:space="preserve">demanded foreign workers also from other countries outside Europe. </w:t>
            </w:r>
            <w:r w:rsidR="00DD4BB7" w:rsidRPr="006E725C">
              <w:rPr>
                <w:color w:val="0D0D0D" w:themeColor="text1" w:themeTint="F2"/>
                <w:spacing w:val="-4"/>
                <w:szCs w:val="20"/>
                <w:lang w:val="en-GB"/>
              </w:rPr>
              <w:t>Number of branches especially in services were still develop</w:t>
            </w:r>
            <w:r w:rsidR="00EA7B22" w:rsidRPr="006E725C">
              <w:rPr>
                <w:color w:val="0D0D0D" w:themeColor="text1" w:themeTint="F2"/>
                <w:spacing w:val="-4"/>
                <w:szCs w:val="20"/>
                <w:lang w:val="en-GB"/>
              </w:rPr>
              <w:t>ing</w:t>
            </w:r>
            <w:r w:rsidR="00DD4BB7" w:rsidRPr="006E725C">
              <w:rPr>
                <w:color w:val="0D0D0D" w:themeColor="text1" w:themeTint="F2"/>
                <w:spacing w:val="-4"/>
                <w:szCs w:val="20"/>
                <w:lang w:val="en-GB"/>
              </w:rPr>
              <w:t xml:space="preserve"> and cr</w:t>
            </w:r>
            <w:r w:rsidR="00EA7B22" w:rsidRPr="006E725C">
              <w:rPr>
                <w:color w:val="0D0D0D" w:themeColor="text1" w:themeTint="F2"/>
                <w:spacing w:val="-4"/>
                <w:szCs w:val="20"/>
                <w:lang w:val="en-GB"/>
              </w:rPr>
              <w:t>e</w:t>
            </w:r>
            <w:r w:rsidR="00DD4BB7" w:rsidRPr="006E725C">
              <w:rPr>
                <w:color w:val="0D0D0D" w:themeColor="text1" w:themeTint="F2"/>
                <w:spacing w:val="-4"/>
                <w:szCs w:val="20"/>
                <w:lang w:val="en-GB"/>
              </w:rPr>
              <w:t xml:space="preserve">ated new job positions </w:t>
            </w:r>
            <w:r w:rsidR="006B614C" w:rsidRPr="006E725C">
              <w:rPr>
                <w:color w:val="0D0D0D" w:themeColor="text1" w:themeTint="F2"/>
                <w:spacing w:val="-4"/>
                <w:szCs w:val="20"/>
                <w:lang w:val="en-GB"/>
              </w:rPr>
              <w:t xml:space="preserve">also for workers with higher qualification. </w:t>
            </w:r>
            <w:r w:rsidR="00181276" w:rsidRPr="006E725C">
              <w:rPr>
                <w:color w:val="0D0D0D" w:themeColor="text1" w:themeTint="F2"/>
                <w:spacing w:val="-4"/>
                <w:szCs w:val="20"/>
                <w:lang w:val="en-GB"/>
              </w:rPr>
              <w:t xml:space="preserve">Different situation in individual branches manifests in the varying growth of wages. Its pace however slightly weakened in total during the </w:t>
            </w:r>
            <w:r w:rsidR="00E47B61">
              <w:rPr>
                <w:color w:val="0D0D0D" w:themeColor="text1" w:themeTint="F2"/>
                <w:spacing w:val="-4"/>
                <w:szCs w:val="20"/>
                <w:lang w:val="en-GB"/>
              </w:rPr>
              <w:t xml:space="preserve">last </w:t>
            </w:r>
            <w:r w:rsidR="00181276" w:rsidRPr="006E725C">
              <w:rPr>
                <w:color w:val="0D0D0D" w:themeColor="text1" w:themeTint="F2"/>
                <w:spacing w:val="-4"/>
                <w:szCs w:val="20"/>
                <w:lang w:val="en-GB"/>
              </w:rPr>
              <w:t xml:space="preserve">year. </w:t>
            </w:r>
            <w:r w:rsidR="008B4575" w:rsidRPr="006E725C">
              <w:rPr>
                <w:color w:val="0D0D0D" w:themeColor="text1" w:themeTint="F2"/>
                <w:spacing w:val="-4"/>
                <w:szCs w:val="20"/>
                <w:lang w:val="en-GB"/>
              </w:rPr>
              <w:t xml:space="preserve">Thanks to considerable </w:t>
            </w:r>
            <w:r w:rsidR="004504E7" w:rsidRPr="006E725C">
              <w:rPr>
                <w:color w:val="0D0D0D" w:themeColor="text1" w:themeTint="F2"/>
                <w:spacing w:val="-4"/>
                <w:szCs w:val="20"/>
                <w:lang w:val="en-GB"/>
              </w:rPr>
              <w:t xml:space="preserve">disinflationary tendency in the economy however the year-on-year decrease of purchasing power of wages considerably shrank </w:t>
            </w:r>
            <w:r w:rsidR="00582A12" w:rsidRPr="006E725C">
              <w:rPr>
                <w:color w:val="0D0D0D" w:themeColor="text1" w:themeTint="F2"/>
                <w:spacing w:val="-4"/>
                <w:szCs w:val="20"/>
                <w:lang w:val="en-GB"/>
              </w:rPr>
              <w:t>a</w:t>
            </w:r>
            <w:r w:rsidR="008B4575" w:rsidRPr="006E725C">
              <w:rPr>
                <w:color w:val="0D0D0D" w:themeColor="text1" w:themeTint="F2"/>
                <w:spacing w:val="-4"/>
                <w:szCs w:val="20"/>
                <w:lang w:val="en-GB"/>
              </w:rPr>
              <w:t>nd year-on-year growth of real earnings was already registered in several significant branches in Q</w:t>
            </w:r>
            <w:r w:rsidR="00582A12" w:rsidRPr="006E725C">
              <w:rPr>
                <w:color w:val="0D0D0D" w:themeColor="text1" w:themeTint="F2"/>
                <w:spacing w:val="-4"/>
                <w:szCs w:val="20"/>
                <w:lang w:val="en-GB"/>
              </w:rPr>
              <w:t>4</w:t>
            </w:r>
            <w:r w:rsidR="00E47B61">
              <w:rPr>
                <w:color w:val="0D0D0D" w:themeColor="text1" w:themeTint="F2"/>
                <w:spacing w:val="-4"/>
                <w:szCs w:val="20"/>
                <w:lang w:val="en-GB"/>
              </w:rPr>
              <w:t xml:space="preserve"> 2023</w:t>
            </w:r>
            <w:r w:rsidR="00582A12" w:rsidRPr="006E725C">
              <w:rPr>
                <w:color w:val="0D0D0D" w:themeColor="text1" w:themeTint="F2"/>
                <w:spacing w:val="-4"/>
                <w:szCs w:val="20"/>
                <w:lang w:val="en-GB"/>
              </w:rPr>
              <w:t>.</w:t>
            </w:r>
          </w:p>
        </w:tc>
      </w:tr>
      <w:tr w:rsidR="00582A12" w:rsidRPr="006E725C" w14:paraId="107DA8F9" w14:textId="77777777" w:rsidTr="00BA5125">
        <w:trPr>
          <w:trHeight w:val="155"/>
        </w:trPr>
        <w:tc>
          <w:tcPr>
            <w:tcW w:w="1754" w:type="dxa"/>
            <w:shd w:val="clear" w:color="auto" w:fill="auto"/>
            <w:tcMar>
              <w:left w:w="0" w:type="dxa"/>
            </w:tcMar>
          </w:tcPr>
          <w:p w14:paraId="40196AF2" w14:textId="6382447F" w:rsidR="00582A12" w:rsidRPr="006E725C" w:rsidRDefault="00CF4211" w:rsidP="00BA5125">
            <w:pPr>
              <w:pStyle w:val="Marginlie"/>
              <w:spacing w:after="120"/>
              <w:rPr>
                <w:color w:val="0D0D0D" w:themeColor="text1" w:themeTint="F2"/>
                <w:spacing w:val="-4"/>
                <w:lang w:val="en-GB"/>
              </w:rPr>
            </w:pPr>
            <w:r w:rsidRPr="006E725C">
              <w:rPr>
                <w:color w:val="0D0D0D" w:themeColor="text1" w:themeTint="F2"/>
                <w:spacing w:val="-4"/>
                <w:lang w:val="en-GB"/>
              </w:rPr>
              <w:t xml:space="preserve">Quarter-on-quarter </w:t>
            </w:r>
            <w:r w:rsidR="00E041A3" w:rsidRPr="006E725C">
              <w:rPr>
                <w:color w:val="0D0D0D" w:themeColor="text1" w:themeTint="F2"/>
                <w:spacing w:val="-4"/>
                <w:lang w:val="en-GB"/>
              </w:rPr>
              <w:t>growth</w:t>
            </w:r>
            <w:r w:rsidRPr="006E725C">
              <w:rPr>
                <w:color w:val="0D0D0D" w:themeColor="text1" w:themeTint="F2"/>
                <w:spacing w:val="-4"/>
                <w:lang w:val="en-GB"/>
              </w:rPr>
              <w:t xml:space="preserve"> of </w:t>
            </w:r>
            <w:r w:rsidR="00E041A3" w:rsidRPr="006E725C">
              <w:rPr>
                <w:color w:val="0D0D0D" w:themeColor="text1" w:themeTint="F2"/>
                <w:spacing w:val="-4"/>
                <w:lang w:val="en-GB"/>
              </w:rPr>
              <w:t>employment</w:t>
            </w:r>
            <w:r w:rsidRPr="006E725C">
              <w:rPr>
                <w:color w:val="0D0D0D" w:themeColor="text1" w:themeTint="F2"/>
                <w:spacing w:val="-4"/>
                <w:lang w:val="en-GB"/>
              </w:rPr>
              <w:t xml:space="preserve"> halted i</w:t>
            </w:r>
            <w:r w:rsidR="00E041A3" w:rsidRPr="006E725C">
              <w:rPr>
                <w:color w:val="0D0D0D" w:themeColor="text1" w:themeTint="F2"/>
                <w:spacing w:val="-4"/>
                <w:lang w:val="en-GB"/>
              </w:rPr>
              <w:t>n</w:t>
            </w:r>
            <w:r w:rsidRPr="006E725C">
              <w:rPr>
                <w:color w:val="0D0D0D" w:themeColor="text1" w:themeTint="F2"/>
                <w:spacing w:val="-4"/>
                <w:lang w:val="en-GB"/>
              </w:rPr>
              <w:t xml:space="preserve"> </w:t>
            </w:r>
            <w:r w:rsidR="00E041A3" w:rsidRPr="006E725C">
              <w:rPr>
                <w:color w:val="0D0D0D" w:themeColor="text1" w:themeTint="F2"/>
                <w:spacing w:val="-4"/>
                <w:lang w:val="en-GB"/>
              </w:rPr>
              <w:t>the</w:t>
            </w:r>
            <w:r w:rsidR="00002D0D">
              <w:rPr>
                <w:color w:val="0D0D0D" w:themeColor="text1" w:themeTint="F2"/>
                <w:spacing w:val="-4"/>
                <w:lang w:val="en-GB"/>
              </w:rPr>
              <w:t xml:space="preserve"> second half of the last year.</w:t>
            </w:r>
          </w:p>
          <w:p w14:paraId="2A28ADFE" w14:textId="77777777" w:rsidR="00582A12" w:rsidRPr="006E725C" w:rsidRDefault="00582A12" w:rsidP="00BA5125">
            <w:pPr>
              <w:pStyle w:val="Marginlie"/>
              <w:spacing w:after="120"/>
              <w:rPr>
                <w:color w:val="0D0D0D" w:themeColor="text1" w:themeTint="F2"/>
                <w:spacing w:val="-4"/>
                <w:lang w:val="en-GB"/>
              </w:rPr>
            </w:pPr>
          </w:p>
        </w:tc>
        <w:tc>
          <w:tcPr>
            <w:tcW w:w="220" w:type="dxa"/>
            <w:shd w:val="clear" w:color="auto" w:fill="auto"/>
            <w:tcMar>
              <w:left w:w="0" w:type="dxa"/>
            </w:tcMar>
          </w:tcPr>
          <w:p w14:paraId="75A7A836"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3BED0FA3" w14:textId="18AC58FE" w:rsidR="00582A12" w:rsidRPr="006E725C" w:rsidRDefault="005E34D1" w:rsidP="00582A12">
            <w:pPr>
              <w:rPr>
                <w:lang w:val="en-GB"/>
              </w:rPr>
            </w:pPr>
            <w:r w:rsidRPr="006E725C">
              <w:rPr>
                <w:lang w:val="en-GB"/>
              </w:rPr>
              <w:t>Total employment</w:t>
            </w:r>
            <w:r w:rsidR="00582A12" w:rsidRPr="006E725C">
              <w:rPr>
                <w:color w:val="0D0D0D" w:themeColor="text1" w:themeTint="F2"/>
                <w:spacing w:val="-4"/>
                <w:vertAlign w:val="superscript"/>
                <w:lang w:val="en-GB"/>
              </w:rPr>
              <w:footnoteReference w:id="68"/>
            </w:r>
            <w:r w:rsidR="00582A12" w:rsidRPr="006E725C">
              <w:rPr>
                <w:lang w:val="en-GB"/>
              </w:rPr>
              <w:t xml:space="preserve"> </w:t>
            </w:r>
            <w:r w:rsidRPr="006E725C">
              <w:rPr>
                <w:lang w:val="en-GB"/>
              </w:rPr>
              <w:t xml:space="preserve">quarter-on-quarter still slightly grew in the domestic economy in H1 2023 and </w:t>
            </w:r>
            <w:r w:rsidR="00312F7E" w:rsidRPr="006E725C">
              <w:rPr>
                <w:lang w:val="en-GB"/>
              </w:rPr>
              <w:t xml:space="preserve">the physical number of workers climbed up to record level </w:t>
            </w:r>
            <w:r w:rsidR="00582A12" w:rsidRPr="006E725C">
              <w:rPr>
                <w:lang w:val="en-GB"/>
              </w:rPr>
              <w:t>(5</w:t>
            </w:r>
            <w:r w:rsidR="00312F7E" w:rsidRPr="006E725C">
              <w:rPr>
                <w:lang w:val="en-GB"/>
              </w:rPr>
              <w:t>.</w:t>
            </w:r>
            <w:r w:rsidR="00582A12" w:rsidRPr="006E725C">
              <w:rPr>
                <w:lang w:val="en-GB"/>
              </w:rPr>
              <w:t xml:space="preserve">51 mil). </w:t>
            </w:r>
            <w:r w:rsidR="00673006" w:rsidRPr="006E725C">
              <w:rPr>
                <w:lang w:val="en-GB"/>
              </w:rPr>
              <w:t xml:space="preserve">Mild slowdown occurred in the remaining part of the year </w:t>
            </w:r>
            <w:r w:rsidR="00582A12" w:rsidRPr="006E725C">
              <w:rPr>
                <w:lang w:val="en-GB"/>
              </w:rPr>
              <w:t xml:space="preserve">– </w:t>
            </w:r>
            <w:r w:rsidR="00C74F69" w:rsidRPr="006E725C">
              <w:rPr>
                <w:lang w:val="en-GB"/>
              </w:rPr>
              <w:t xml:space="preserve">employment was gradually falling in both subsequent quarters </w:t>
            </w:r>
            <w:r w:rsidR="00582A12" w:rsidRPr="006E725C">
              <w:rPr>
                <w:spacing w:val="-4"/>
                <w:lang w:val="en-GB"/>
              </w:rPr>
              <w:t>(</w:t>
            </w:r>
            <w:r w:rsidR="00C74F69" w:rsidRPr="006E725C">
              <w:rPr>
                <w:spacing w:val="-4"/>
                <w:lang w:val="en-GB"/>
              </w:rPr>
              <w:t xml:space="preserve">by </w:t>
            </w:r>
            <w:r w:rsidR="00582A12" w:rsidRPr="006E725C">
              <w:rPr>
                <w:spacing w:val="-4"/>
                <w:lang w:val="en-GB"/>
              </w:rPr>
              <w:t>0</w:t>
            </w:r>
            <w:r w:rsidR="00C74F69" w:rsidRPr="006E725C">
              <w:rPr>
                <w:spacing w:val="-4"/>
                <w:lang w:val="en-GB"/>
              </w:rPr>
              <w:t>.</w:t>
            </w:r>
            <w:r w:rsidR="00582A12" w:rsidRPr="006E725C">
              <w:rPr>
                <w:spacing w:val="-4"/>
                <w:lang w:val="en-GB"/>
              </w:rPr>
              <w:t xml:space="preserve">7%, resp. </w:t>
            </w:r>
            <w:r w:rsidR="00C74F69" w:rsidRPr="006E725C">
              <w:rPr>
                <w:spacing w:val="-4"/>
                <w:lang w:val="en-GB"/>
              </w:rPr>
              <w:t xml:space="preserve">by </w:t>
            </w:r>
            <w:r w:rsidR="00582A12" w:rsidRPr="006E725C">
              <w:rPr>
                <w:spacing w:val="-4"/>
                <w:lang w:val="en-GB"/>
              </w:rPr>
              <w:t>0</w:t>
            </w:r>
            <w:r w:rsidR="00C74F69" w:rsidRPr="006E725C">
              <w:rPr>
                <w:spacing w:val="-4"/>
                <w:lang w:val="en-GB"/>
              </w:rPr>
              <w:t>.</w:t>
            </w:r>
            <w:r w:rsidR="00582A12" w:rsidRPr="006E725C">
              <w:rPr>
                <w:spacing w:val="-4"/>
                <w:lang w:val="en-GB"/>
              </w:rPr>
              <w:t>1%)</w:t>
            </w:r>
            <w:r w:rsidR="00582A12" w:rsidRPr="006E725C">
              <w:rPr>
                <w:rStyle w:val="Znakapoznpodarou"/>
                <w:spacing w:val="-4"/>
                <w:lang w:val="en-GB"/>
              </w:rPr>
              <w:footnoteReference w:id="69"/>
            </w:r>
            <w:r w:rsidR="00582A12" w:rsidRPr="006E725C">
              <w:rPr>
                <w:spacing w:val="-4"/>
                <w:lang w:val="en-GB"/>
              </w:rPr>
              <w:t xml:space="preserve">, </w:t>
            </w:r>
            <w:r w:rsidR="00225396" w:rsidRPr="006E725C">
              <w:rPr>
                <w:spacing w:val="-4"/>
                <w:lang w:val="en-GB"/>
              </w:rPr>
              <w:t xml:space="preserve">number of both employees </w:t>
            </w:r>
            <w:r w:rsidR="009822D3" w:rsidRPr="006E725C">
              <w:rPr>
                <w:spacing w:val="-4"/>
                <w:lang w:val="en-GB"/>
              </w:rPr>
              <w:t>and</w:t>
            </w:r>
            <w:r w:rsidR="00225396" w:rsidRPr="006E725C">
              <w:rPr>
                <w:spacing w:val="-4"/>
                <w:lang w:val="en-GB"/>
              </w:rPr>
              <w:t xml:space="preserve"> self-employed decreased. </w:t>
            </w:r>
            <w:r w:rsidR="00602D7F" w:rsidRPr="006E725C">
              <w:rPr>
                <w:spacing w:val="-4"/>
                <w:lang w:val="en-GB"/>
              </w:rPr>
              <w:t>Mainly industry and weight significant branches of services – trade and transport participated on the cooling of the labour market</w:t>
            </w:r>
            <w:r w:rsidR="00582A12" w:rsidRPr="006E725C">
              <w:rPr>
                <w:lang w:val="en-GB"/>
              </w:rPr>
              <w:t xml:space="preserve">, </w:t>
            </w:r>
            <w:r w:rsidR="00225396" w:rsidRPr="006E725C">
              <w:rPr>
                <w:lang w:val="en-GB"/>
              </w:rPr>
              <w:t xml:space="preserve">in addition the growth of demand for workers ceased in construction. </w:t>
            </w:r>
            <w:r w:rsidR="00AD146B" w:rsidRPr="006E725C">
              <w:rPr>
                <w:lang w:val="en-GB"/>
              </w:rPr>
              <w:t xml:space="preserve">Still the total number of employed remained </w:t>
            </w:r>
            <w:r w:rsidR="00602D7F" w:rsidRPr="006E725C">
              <w:rPr>
                <w:lang w:val="en-GB"/>
              </w:rPr>
              <w:t>distinctly</w:t>
            </w:r>
            <w:r w:rsidR="00AD146B" w:rsidRPr="006E725C">
              <w:rPr>
                <w:lang w:val="en-GB"/>
              </w:rPr>
              <w:t xml:space="preserve"> above the level from the end of the expansion period of year </w:t>
            </w:r>
            <w:r w:rsidR="00582A12" w:rsidRPr="006E725C">
              <w:rPr>
                <w:lang w:val="en-GB"/>
              </w:rPr>
              <w:t>2019 (+61</w:t>
            </w:r>
            <w:r w:rsidR="00CC7866" w:rsidRPr="006E725C">
              <w:rPr>
                <w:lang w:val="en-GB"/>
              </w:rPr>
              <w:t> </w:t>
            </w:r>
            <w:r w:rsidR="00582A12" w:rsidRPr="006E725C">
              <w:rPr>
                <w:lang w:val="en-GB"/>
              </w:rPr>
              <w:t>t</w:t>
            </w:r>
            <w:r w:rsidR="00AD146B" w:rsidRPr="006E725C">
              <w:rPr>
                <w:lang w:val="en-GB"/>
              </w:rPr>
              <w:t>housand</w:t>
            </w:r>
            <w:r w:rsidR="00582A12" w:rsidRPr="006E725C">
              <w:rPr>
                <w:lang w:val="en-GB"/>
              </w:rPr>
              <w:t xml:space="preserve">), </w:t>
            </w:r>
            <w:r w:rsidR="00AD146B" w:rsidRPr="006E725C">
              <w:rPr>
                <w:lang w:val="en-GB"/>
              </w:rPr>
              <w:t xml:space="preserve">to a large extent thanks to the </w:t>
            </w:r>
            <w:r w:rsidR="00002D0D">
              <w:rPr>
                <w:lang w:val="en-GB"/>
              </w:rPr>
              <w:t>development of public services.</w:t>
            </w:r>
          </w:p>
        </w:tc>
      </w:tr>
      <w:tr w:rsidR="00582A12" w:rsidRPr="006E725C" w14:paraId="5763827D" w14:textId="77777777" w:rsidTr="00BA5125">
        <w:trPr>
          <w:trHeight w:val="155"/>
        </w:trPr>
        <w:tc>
          <w:tcPr>
            <w:tcW w:w="1754" w:type="dxa"/>
            <w:shd w:val="clear" w:color="auto" w:fill="auto"/>
            <w:tcMar>
              <w:left w:w="0" w:type="dxa"/>
            </w:tcMar>
          </w:tcPr>
          <w:p w14:paraId="3FC81A3F" w14:textId="146A5710" w:rsidR="00582A12" w:rsidRPr="006E725C" w:rsidRDefault="00B654E3" w:rsidP="00BA5125">
            <w:pPr>
              <w:pStyle w:val="Marginlie"/>
              <w:spacing w:after="120"/>
              <w:rPr>
                <w:color w:val="0D0D0D" w:themeColor="text1" w:themeTint="F2"/>
                <w:spacing w:val="-4"/>
                <w:lang w:val="en-GB"/>
              </w:rPr>
            </w:pPr>
            <w:r w:rsidRPr="006E725C">
              <w:rPr>
                <w:color w:val="0D0D0D" w:themeColor="text1" w:themeTint="F2"/>
                <w:spacing w:val="-4"/>
                <w:lang w:val="en-GB"/>
              </w:rPr>
              <w:t xml:space="preserve">Employment mildly increased for the whole year. </w:t>
            </w:r>
            <w:r w:rsidR="009822D3" w:rsidRPr="006E725C">
              <w:rPr>
                <w:color w:val="0D0D0D" w:themeColor="text1" w:themeTint="F2"/>
                <w:spacing w:val="-4"/>
                <w:lang w:val="en-GB"/>
              </w:rPr>
              <w:t xml:space="preserve">Number of both of employees and self-employed rose. </w:t>
            </w:r>
          </w:p>
          <w:p w14:paraId="7AA3A8CB" w14:textId="0B7F1955" w:rsidR="00582A12" w:rsidRDefault="00582A12" w:rsidP="00BA5125">
            <w:pPr>
              <w:pStyle w:val="Marginlie"/>
              <w:spacing w:after="120"/>
              <w:rPr>
                <w:color w:val="0D0D0D" w:themeColor="text1" w:themeTint="F2"/>
                <w:spacing w:val="-4"/>
                <w:lang w:val="en-GB"/>
              </w:rPr>
            </w:pPr>
          </w:p>
          <w:p w14:paraId="25FB958B" w14:textId="178937AC" w:rsidR="008D50FA" w:rsidRDefault="008D50FA" w:rsidP="00BA5125">
            <w:pPr>
              <w:pStyle w:val="Marginlie"/>
              <w:spacing w:after="120"/>
              <w:rPr>
                <w:color w:val="0D0D0D" w:themeColor="text1" w:themeTint="F2"/>
                <w:spacing w:val="-4"/>
                <w:lang w:val="en-GB"/>
              </w:rPr>
            </w:pPr>
          </w:p>
          <w:p w14:paraId="062970D8" w14:textId="77777777" w:rsidR="008D50FA" w:rsidRPr="006E725C" w:rsidRDefault="008D50FA" w:rsidP="00BA5125">
            <w:pPr>
              <w:pStyle w:val="Marginlie"/>
              <w:spacing w:after="120"/>
              <w:rPr>
                <w:color w:val="0D0D0D" w:themeColor="text1" w:themeTint="F2"/>
                <w:spacing w:val="-4"/>
                <w:lang w:val="en-GB"/>
              </w:rPr>
            </w:pPr>
          </w:p>
          <w:p w14:paraId="0930E8C6" w14:textId="6A5F350F" w:rsidR="00002D0D" w:rsidRPr="006E725C" w:rsidRDefault="00002D0D" w:rsidP="00BA5125">
            <w:pPr>
              <w:pStyle w:val="Marginlie"/>
              <w:spacing w:after="120"/>
              <w:rPr>
                <w:color w:val="0D0D0D" w:themeColor="text1" w:themeTint="F2"/>
                <w:spacing w:val="-4"/>
                <w:lang w:val="en-GB"/>
              </w:rPr>
            </w:pPr>
          </w:p>
          <w:p w14:paraId="48E8E814" w14:textId="77777777" w:rsidR="008D50FA" w:rsidRDefault="00E80393" w:rsidP="00BA5125">
            <w:pPr>
              <w:pStyle w:val="Marginlie"/>
              <w:spacing w:after="120"/>
              <w:rPr>
                <w:color w:val="0D0D0D" w:themeColor="text1" w:themeTint="F2"/>
                <w:spacing w:val="-4"/>
                <w:lang w:val="en-GB"/>
              </w:rPr>
            </w:pPr>
            <w:r w:rsidRPr="006E725C">
              <w:rPr>
                <w:color w:val="0D0D0D" w:themeColor="text1" w:themeTint="F2"/>
                <w:spacing w:val="-4"/>
                <w:lang w:val="en-GB"/>
              </w:rPr>
              <w:t xml:space="preserve">Number of employees increased the most in education, health and social care, majority of other services also fared well. </w:t>
            </w:r>
          </w:p>
          <w:p w14:paraId="22135045" w14:textId="6E0174C0" w:rsidR="00582A12" w:rsidRPr="006E725C" w:rsidRDefault="00E80393" w:rsidP="00BA5125">
            <w:pPr>
              <w:pStyle w:val="Marginlie"/>
              <w:spacing w:after="120"/>
              <w:rPr>
                <w:color w:val="0D0D0D" w:themeColor="text1" w:themeTint="F2"/>
                <w:spacing w:val="-4"/>
                <w:lang w:val="en-GB"/>
              </w:rPr>
            </w:pPr>
            <w:r w:rsidRPr="006E725C">
              <w:rPr>
                <w:color w:val="0D0D0D" w:themeColor="text1" w:themeTint="F2"/>
                <w:spacing w:val="-4"/>
                <w:lang w:val="en-GB"/>
              </w:rPr>
              <w:lastRenderedPageBreak/>
              <w:t xml:space="preserve">On the contrary, </w:t>
            </w:r>
            <w:r w:rsidR="007B756F" w:rsidRPr="006E725C">
              <w:rPr>
                <w:color w:val="0D0D0D" w:themeColor="text1" w:themeTint="F2"/>
                <w:spacing w:val="-4"/>
                <w:lang w:val="en-GB"/>
              </w:rPr>
              <w:t xml:space="preserve">all significant branches of manufacturing recorded decrease. </w:t>
            </w:r>
          </w:p>
          <w:p w14:paraId="59FB2A20" w14:textId="77777777" w:rsidR="00582A12" w:rsidRPr="006E725C" w:rsidRDefault="00582A12" w:rsidP="00BA5125">
            <w:pPr>
              <w:pStyle w:val="Marginlie"/>
              <w:spacing w:after="120"/>
              <w:rPr>
                <w:color w:val="0D0D0D" w:themeColor="text1" w:themeTint="F2"/>
                <w:spacing w:val="-4"/>
                <w:lang w:val="en-GB"/>
              </w:rPr>
            </w:pPr>
          </w:p>
        </w:tc>
        <w:tc>
          <w:tcPr>
            <w:tcW w:w="220" w:type="dxa"/>
            <w:shd w:val="clear" w:color="auto" w:fill="auto"/>
            <w:tcMar>
              <w:left w:w="0" w:type="dxa"/>
            </w:tcMar>
          </w:tcPr>
          <w:p w14:paraId="138BFD45"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7C800C44" w14:textId="326664D6" w:rsidR="00582A12" w:rsidRPr="006E725C" w:rsidRDefault="00974AA8" w:rsidP="008D50FA">
            <w:pPr>
              <w:rPr>
                <w:color w:val="0D0D0D" w:themeColor="text1" w:themeTint="F2"/>
                <w:spacing w:val="-4"/>
                <w:lang w:val="en-GB"/>
              </w:rPr>
            </w:pPr>
            <w:r w:rsidRPr="006E725C">
              <w:rPr>
                <w:lang w:val="en-GB"/>
              </w:rPr>
              <w:t xml:space="preserve">Employment expanded by </w:t>
            </w:r>
            <w:r w:rsidR="00582A12" w:rsidRPr="006E725C">
              <w:rPr>
                <w:lang w:val="en-GB"/>
              </w:rPr>
              <w:t>0</w:t>
            </w:r>
            <w:r w:rsidRPr="006E725C">
              <w:rPr>
                <w:lang w:val="en-GB"/>
              </w:rPr>
              <w:t>.</w:t>
            </w:r>
            <w:r w:rsidR="00582A12" w:rsidRPr="006E725C">
              <w:rPr>
                <w:lang w:val="en-GB"/>
              </w:rPr>
              <w:t>8%</w:t>
            </w:r>
            <w:r w:rsidR="00582A12" w:rsidRPr="006E725C">
              <w:rPr>
                <w:rStyle w:val="Znakapoznpodarou"/>
                <w:color w:val="0D0D0D" w:themeColor="text1" w:themeTint="F2"/>
                <w:lang w:val="en-GB"/>
              </w:rPr>
              <w:footnoteReference w:id="70"/>
            </w:r>
            <w:r w:rsidRPr="006E725C">
              <w:rPr>
                <w:lang w:val="en-GB"/>
              </w:rPr>
              <w:t xml:space="preserve"> for the whole year</w:t>
            </w:r>
            <w:r w:rsidR="00582A12" w:rsidRPr="006E725C">
              <w:rPr>
                <w:lang w:val="en-GB"/>
              </w:rPr>
              <w:t xml:space="preserve"> (</w:t>
            </w:r>
            <w:r w:rsidRPr="006E725C">
              <w:rPr>
                <w:lang w:val="en-GB"/>
              </w:rPr>
              <w:t xml:space="preserve">in that by </w:t>
            </w:r>
            <w:r w:rsidR="00582A12" w:rsidRPr="006E725C">
              <w:rPr>
                <w:lang w:val="en-GB"/>
              </w:rPr>
              <w:t>0</w:t>
            </w:r>
            <w:r w:rsidRPr="006E725C">
              <w:rPr>
                <w:lang w:val="en-GB"/>
              </w:rPr>
              <w:t>.</w:t>
            </w:r>
            <w:r w:rsidR="00582A12" w:rsidRPr="006E725C">
              <w:rPr>
                <w:lang w:val="en-GB"/>
              </w:rPr>
              <w:t>4%</w:t>
            </w:r>
            <w:r w:rsidRPr="006E725C">
              <w:rPr>
                <w:lang w:val="en-GB"/>
              </w:rPr>
              <w:t xml:space="preserve"> in Q4</w:t>
            </w:r>
            <w:r w:rsidR="00002D0D">
              <w:rPr>
                <w:lang w:val="en-GB"/>
              </w:rPr>
              <w:t xml:space="preserve"> 2023</w:t>
            </w:r>
            <w:r w:rsidR="00582A12" w:rsidRPr="006E725C">
              <w:rPr>
                <w:lang w:val="en-GB"/>
              </w:rPr>
              <w:t>).</w:t>
            </w:r>
            <w:r w:rsidR="00B654E3" w:rsidRPr="006E725C">
              <w:rPr>
                <w:lang w:val="en-GB"/>
              </w:rPr>
              <w:t xml:space="preserve"> New job positions were traditionally created mainly in the employee positions, especially in the areas with higher demands regarding the employee qualification. </w:t>
            </w:r>
            <w:r w:rsidR="00FA7999" w:rsidRPr="006E725C">
              <w:rPr>
                <w:lang w:val="en-GB"/>
              </w:rPr>
              <w:t xml:space="preserve">The largest increase was recorded in public services </w:t>
            </w:r>
            <w:r w:rsidR="00582A12" w:rsidRPr="006E725C">
              <w:rPr>
                <w:lang w:val="en-GB"/>
              </w:rPr>
              <w:t>(+20 t</w:t>
            </w:r>
            <w:r w:rsidR="00FA7999" w:rsidRPr="006E725C">
              <w:rPr>
                <w:lang w:val="en-GB"/>
              </w:rPr>
              <w:t>housand</w:t>
            </w:r>
            <w:r w:rsidR="00582A12" w:rsidRPr="006E725C">
              <w:rPr>
                <w:lang w:val="en-GB"/>
              </w:rPr>
              <w:t>)</w:t>
            </w:r>
            <w:r w:rsidR="00582A12" w:rsidRPr="006E725C">
              <w:rPr>
                <w:rStyle w:val="Znakapoznpodarou"/>
                <w:lang w:val="en-GB"/>
              </w:rPr>
              <w:footnoteReference w:id="71"/>
            </w:r>
            <w:r w:rsidR="00582A12" w:rsidRPr="006E725C">
              <w:rPr>
                <w:lang w:val="en-GB"/>
              </w:rPr>
              <w:t>,</w:t>
            </w:r>
            <w:r w:rsidR="00FA7999" w:rsidRPr="006E725C">
              <w:rPr>
                <w:lang w:val="en-GB"/>
              </w:rPr>
              <w:t xml:space="preserve"> which gradually reacted to the </w:t>
            </w:r>
            <w:r w:rsidR="007C634E" w:rsidRPr="006E725C">
              <w:rPr>
                <w:lang w:val="en-GB"/>
              </w:rPr>
              <w:t>growth</w:t>
            </w:r>
            <w:r w:rsidR="00FA7999" w:rsidRPr="006E725C">
              <w:rPr>
                <w:lang w:val="en-GB"/>
              </w:rPr>
              <w:t xml:space="preserve"> of demand </w:t>
            </w:r>
            <w:r w:rsidR="007C634E" w:rsidRPr="006E725C">
              <w:rPr>
                <w:lang w:val="en-GB"/>
              </w:rPr>
              <w:t xml:space="preserve">linked mostly to the longer-term changes in the age structure of population. </w:t>
            </w:r>
            <w:r w:rsidR="00761F7B" w:rsidRPr="006E725C">
              <w:rPr>
                <w:lang w:val="en-GB"/>
              </w:rPr>
              <w:t xml:space="preserve">Professional, scientific, technical and administrative activities </w:t>
            </w:r>
            <w:r w:rsidR="00582A12" w:rsidRPr="006E725C">
              <w:rPr>
                <w:lang w:val="en-GB"/>
              </w:rPr>
              <w:t>(2</w:t>
            </w:r>
            <w:r w:rsidR="00761F7B" w:rsidRPr="006E725C">
              <w:rPr>
                <w:lang w:val="en-GB"/>
              </w:rPr>
              <w:t>.</w:t>
            </w:r>
            <w:r w:rsidR="00582A12" w:rsidRPr="006E725C">
              <w:rPr>
                <w:lang w:val="en-GB"/>
              </w:rPr>
              <w:t>2%)</w:t>
            </w:r>
            <w:r w:rsidR="00EA74B6" w:rsidRPr="006E725C">
              <w:rPr>
                <w:lang w:val="en-GB"/>
              </w:rPr>
              <w:t xml:space="preserve"> however attained relative</w:t>
            </w:r>
            <w:r w:rsidR="00207AB0" w:rsidRPr="006E725C">
              <w:rPr>
                <w:lang w:val="en-GB"/>
              </w:rPr>
              <w:t>ly</w:t>
            </w:r>
            <w:r w:rsidR="00EA74B6" w:rsidRPr="006E725C">
              <w:rPr>
                <w:lang w:val="en-GB"/>
              </w:rPr>
              <w:t xml:space="preserve"> the highest growth</w:t>
            </w:r>
            <w:r w:rsidR="00582A12" w:rsidRPr="006E725C">
              <w:rPr>
                <w:lang w:val="en-GB"/>
              </w:rPr>
              <w:t>,</w:t>
            </w:r>
            <w:r w:rsidR="00207AB0" w:rsidRPr="006E725C">
              <w:rPr>
                <w:lang w:val="en-GB"/>
              </w:rPr>
              <w:t xml:space="preserve"> 8</w:t>
            </w:r>
            <w:r w:rsidR="00CC7866" w:rsidRPr="006E725C">
              <w:rPr>
                <w:lang w:val="en-GB"/>
              </w:rPr>
              <w:t> </w:t>
            </w:r>
            <w:r w:rsidR="00207AB0" w:rsidRPr="006E725C">
              <w:rPr>
                <w:lang w:val="en-GB"/>
              </w:rPr>
              <w:t xml:space="preserve">thousand employees were added </w:t>
            </w:r>
            <w:r w:rsidR="00002D0D">
              <w:rPr>
                <w:lang w:val="en-GB"/>
              </w:rPr>
              <w:t xml:space="preserve">here </w:t>
            </w:r>
            <w:r w:rsidR="00207AB0" w:rsidRPr="006E725C">
              <w:rPr>
                <w:lang w:val="en-GB"/>
              </w:rPr>
              <w:t>in absolute terms against year 2</w:t>
            </w:r>
            <w:r w:rsidR="00582A12" w:rsidRPr="006E725C">
              <w:rPr>
                <w:lang w:val="en-GB"/>
              </w:rPr>
              <w:t>022</w:t>
            </w:r>
            <w:r w:rsidR="00207AB0" w:rsidRPr="006E725C">
              <w:rPr>
                <w:lang w:val="en-GB"/>
              </w:rPr>
              <w:t xml:space="preserve">. </w:t>
            </w:r>
            <w:r w:rsidR="004306C2" w:rsidRPr="006E725C">
              <w:rPr>
                <w:lang w:val="en-GB"/>
              </w:rPr>
              <w:t>The growth of employees moderated to 1.7% in information and communication</w:t>
            </w:r>
            <w:r w:rsidR="00A67722" w:rsidRPr="006E725C">
              <w:rPr>
                <w:lang w:val="en-GB"/>
              </w:rPr>
              <w:t xml:space="preserve"> (it in fact only stagnated at the end of the </w:t>
            </w:r>
            <w:r w:rsidR="00002D0D">
              <w:rPr>
                <w:lang w:val="en-GB"/>
              </w:rPr>
              <w:t xml:space="preserve">last </w:t>
            </w:r>
            <w:r w:rsidR="00A67722" w:rsidRPr="006E725C">
              <w:rPr>
                <w:lang w:val="en-GB"/>
              </w:rPr>
              <w:t>year)</w:t>
            </w:r>
            <w:r w:rsidR="004306C2" w:rsidRPr="006E725C">
              <w:rPr>
                <w:lang w:val="en-GB"/>
              </w:rPr>
              <w:t>, which belonged to the fastest grow</w:t>
            </w:r>
            <w:r w:rsidR="00F41B52" w:rsidRPr="006E725C">
              <w:rPr>
                <w:lang w:val="en-GB"/>
              </w:rPr>
              <w:t>ing</w:t>
            </w:r>
            <w:r w:rsidR="004306C2" w:rsidRPr="006E725C">
              <w:rPr>
                <w:lang w:val="en-GB"/>
              </w:rPr>
              <w:t xml:space="preserve"> area of services </w:t>
            </w:r>
            <w:r w:rsidR="00A67722" w:rsidRPr="006E725C">
              <w:rPr>
                <w:lang w:val="en-GB"/>
              </w:rPr>
              <w:t xml:space="preserve">in the last decade. </w:t>
            </w:r>
            <w:r w:rsidR="00300AEB" w:rsidRPr="006E725C">
              <w:rPr>
                <w:lang w:val="en-GB"/>
              </w:rPr>
              <w:t>The division trade, transpor</w:t>
            </w:r>
            <w:r w:rsidR="00002D0D">
              <w:rPr>
                <w:lang w:val="en-GB"/>
              </w:rPr>
              <w:t>t, accommodation and food service</w:t>
            </w:r>
            <w:r w:rsidR="00300AEB" w:rsidRPr="006E725C">
              <w:rPr>
                <w:lang w:val="en-GB"/>
              </w:rPr>
              <w:t xml:space="preserve"> experienced only minimal growth </w:t>
            </w:r>
            <w:r w:rsidR="008D50FA">
              <w:rPr>
                <w:lang w:val="en-GB"/>
              </w:rPr>
              <w:t>(</w:t>
            </w:r>
            <w:r w:rsidR="00582A12" w:rsidRPr="006E725C">
              <w:rPr>
                <w:lang w:val="en-GB"/>
              </w:rPr>
              <w:t>0</w:t>
            </w:r>
            <w:r w:rsidR="00300AEB" w:rsidRPr="006E725C">
              <w:rPr>
                <w:lang w:val="en-GB"/>
              </w:rPr>
              <w:t>.</w:t>
            </w:r>
            <w:r w:rsidR="00582A12" w:rsidRPr="006E725C">
              <w:rPr>
                <w:lang w:val="en-GB"/>
              </w:rPr>
              <w:t xml:space="preserve">3%), </w:t>
            </w:r>
            <w:r w:rsidR="00B93FCD" w:rsidRPr="006E725C">
              <w:rPr>
                <w:lang w:val="en-GB"/>
              </w:rPr>
              <w:t xml:space="preserve">still the levels of employees slightly exceeded the </w:t>
            </w:r>
            <w:r w:rsidR="00B27EC7" w:rsidRPr="006E725C">
              <w:rPr>
                <w:lang w:val="en-GB"/>
              </w:rPr>
              <w:t xml:space="preserve">level from year 2019 here. Development of digitalisation is reflected in the gradual </w:t>
            </w:r>
            <w:r w:rsidR="00955554" w:rsidRPr="006E725C">
              <w:rPr>
                <w:lang w:val="en-GB"/>
              </w:rPr>
              <w:t xml:space="preserve">reduction of job positions in financial and insurance activities, </w:t>
            </w:r>
            <w:r w:rsidR="00B20F9F" w:rsidRPr="006E725C">
              <w:rPr>
                <w:lang w:val="en-GB"/>
              </w:rPr>
              <w:t>levels of employees were thus falling here for the fourth year in a row. Ou</w:t>
            </w:r>
            <w:r w:rsidR="008D50FA">
              <w:rPr>
                <w:lang w:val="en-GB"/>
              </w:rPr>
              <w:t xml:space="preserve">tside services, relatively </w:t>
            </w:r>
            <w:r w:rsidR="00B20F9F" w:rsidRPr="006E725C">
              <w:rPr>
                <w:lang w:val="en-GB"/>
              </w:rPr>
              <w:t xml:space="preserve">demand for workers was maintained for </w:t>
            </w:r>
            <w:r w:rsidR="00B20F9F" w:rsidRPr="006E725C">
              <w:rPr>
                <w:lang w:val="en-GB"/>
              </w:rPr>
              <w:lastRenderedPageBreak/>
              <w:t xml:space="preserve">the most part of the last year in construction. </w:t>
            </w:r>
            <w:r w:rsidR="00EA7E4F" w:rsidRPr="006E725C">
              <w:rPr>
                <w:lang w:val="en-GB"/>
              </w:rPr>
              <w:t xml:space="preserve">Number of employees increased by 2.1% here last year, their number grew for the third year in a row faster than in the whole economy. </w:t>
            </w:r>
            <w:r w:rsidR="00963171" w:rsidRPr="006E725C">
              <w:rPr>
                <w:lang w:val="en-GB"/>
              </w:rPr>
              <w:t xml:space="preserve">On the </w:t>
            </w:r>
            <w:r w:rsidR="00D67369" w:rsidRPr="006E725C">
              <w:rPr>
                <w:lang w:val="en-GB"/>
              </w:rPr>
              <w:t>contrary,</w:t>
            </w:r>
            <w:r w:rsidR="00963171" w:rsidRPr="006E725C">
              <w:rPr>
                <w:lang w:val="en-GB"/>
              </w:rPr>
              <w:t xml:space="preserve"> </w:t>
            </w:r>
            <w:r w:rsidR="00FE3A8C" w:rsidRPr="006E725C">
              <w:rPr>
                <w:lang w:val="en-GB"/>
              </w:rPr>
              <w:t xml:space="preserve">gradual </w:t>
            </w:r>
            <w:r w:rsidR="00B90359" w:rsidRPr="006E725C">
              <w:rPr>
                <w:lang w:val="en-GB"/>
              </w:rPr>
              <w:t>worsening</w:t>
            </w:r>
            <w:r w:rsidR="008D50FA">
              <w:rPr>
                <w:lang w:val="en-GB"/>
              </w:rPr>
              <w:t xml:space="preserve"> of employee positon</w:t>
            </w:r>
            <w:r w:rsidR="00FE3A8C" w:rsidRPr="006E725C">
              <w:rPr>
                <w:lang w:val="en-GB"/>
              </w:rPr>
              <w:t xml:space="preserve"> became </w:t>
            </w:r>
            <w:r w:rsidR="00B90359" w:rsidRPr="006E725C">
              <w:rPr>
                <w:lang w:val="en-GB"/>
              </w:rPr>
              <w:t>evident</w:t>
            </w:r>
            <w:r w:rsidR="00FE3A8C" w:rsidRPr="006E725C">
              <w:rPr>
                <w:lang w:val="en-GB"/>
              </w:rPr>
              <w:t xml:space="preserve"> in manufacturing</w:t>
            </w:r>
            <w:r w:rsidR="008D50FA">
              <w:rPr>
                <w:lang w:val="en-GB"/>
              </w:rPr>
              <w:t>. Which were</w:t>
            </w:r>
            <w:r w:rsidR="00FE3A8C" w:rsidRPr="006E725C">
              <w:rPr>
                <w:lang w:val="en-GB"/>
              </w:rPr>
              <w:t xml:space="preserve"> under the </w:t>
            </w:r>
            <w:r w:rsidR="00B90359" w:rsidRPr="006E725C">
              <w:rPr>
                <w:lang w:val="en-GB"/>
              </w:rPr>
              <w:t xml:space="preserve">strong </w:t>
            </w:r>
            <w:r w:rsidR="00FE3A8C" w:rsidRPr="006E725C">
              <w:rPr>
                <w:lang w:val="en-GB"/>
              </w:rPr>
              <w:t>pressure</w:t>
            </w:r>
            <w:r w:rsidR="00B90359" w:rsidRPr="006E725C">
              <w:rPr>
                <w:lang w:val="en-GB"/>
              </w:rPr>
              <w:t xml:space="preserve">s of costs as well as the </w:t>
            </w:r>
            <w:r w:rsidR="000620AE" w:rsidRPr="006E725C">
              <w:rPr>
                <w:lang w:val="en-GB"/>
              </w:rPr>
              <w:t>slackening external demand</w:t>
            </w:r>
            <w:r w:rsidR="008D50FA">
              <w:rPr>
                <w:lang w:val="en-GB"/>
              </w:rPr>
              <w:t>. E</w:t>
            </w:r>
            <w:r w:rsidR="000620AE" w:rsidRPr="006E725C">
              <w:rPr>
                <w:lang w:val="en-GB"/>
              </w:rPr>
              <w:t>sp</w:t>
            </w:r>
            <w:r w:rsidR="00A84AF4" w:rsidRPr="006E725C">
              <w:rPr>
                <w:color w:val="0D0D0D" w:themeColor="text1" w:themeTint="F2"/>
                <w:spacing w:val="-4"/>
                <w:lang w:val="en-GB"/>
              </w:rPr>
              <w:t>ecially the energy-</w:t>
            </w:r>
            <w:r w:rsidR="00B90359" w:rsidRPr="006E725C">
              <w:rPr>
                <w:color w:val="0D0D0D" w:themeColor="text1" w:themeTint="F2"/>
                <w:spacing w:val="-4"/>
                <w:lang w:val="en-GB"/>
              </w:rPr>
              <w:t>intensive</w:t>
            </w:r>
            <w:r w:rsidR="008D50FA">
              <w:rPr>
                <w:color w:val="0D0D0D" w:themeColor="text1" w:themeTint="F2"/>
                <w:spacing w:val="-4"/>
                <w:lang w:val="en-GB"/>
              </w:rPr>
              <w:t xml:space="preserve"> branches </w:t>
            </w:r>
            <w:r w:rsidR="00A84AF4" w:rsidRPr="006E725C">
              <w:rPr>
                <w:color w:val="0D0D0D" w:themeColor="text1" w:themeTint="F2"/>
                <w:spacing w:val="-4"/>
                <w:lang w:val="en-GB"/>
              </w:rPr>
              <w:t xml:space="preserve">more frequently </w:t>
            </w:r>
            <w:r w:rsidR="008D50FA">
              <w:rPr>
                <w:color w:val="0D0D0D" w:themeColor="text1" w:themeTint="F2"/>
                <w:spacing w:val="-4"/>
                <w:lang w:val="en-GB"/>
              </w:rPr>
              <w:t>reduced</w:t>
            </w:r>
            <w:r w:rsidR="00E14F1C" w:rsidRPr="006E725C">
              <w:rPr>
                <w:color w:val="0D0D0D" w:themeColor="text1" w:themeTint="F2"/>
                <w:spacing w:val="-4"/>
                <w:lang w:val="en-GB"/>
              </w:rPr>
              <w:t xml:space="preserve"> job positions</w:t>
            </w:r>
            <w:r w:rsidR="00582A12" w:rsidRPr="006E725C">
              <w:rPr>
                <w:rStyle w:val="Znakapoznpodarou"/>
                <w:color w:val="0D0D0D" w:themeColor="text1" w:themeTint="F2"/>
                <w:spacing w:val="-4"/>
                <w:lang w:val="en-GB"/>
              </w:rPr>
              <w:footnoteReference w:id="72"/>
            </w:r>
            <w:r w:rsidR="00582A12" w:rsidRPr="006E725C">
              <w:rPr>
                <w:color w:val="0D0D0D" w:themeColor="text1" w:themeTint="F2"/>
                <w:spacing w:val="-4"/>
                <w:lang w:val="en-GB"/>
              </w:rPr>
              <w:t xml:space="preserve"> (</w:t>
            </w:r>
            <w:r w:rsidR="00E14F1C" w:rsidRPr="006E725C">
              <w:rPr>
                <w:color w:val="0D0D0D" w:themeColor="text1" w:themeTint="F2"/>
                <w:spacing w:val="-4"/>
                <w:lang w:val="en-GB"/>
              </w:rPr>
              <w:t xml:space="preserve">1.1% </w:t>
            </w:r>
            <w:r w:rsidR="008D50FA">
              <w:rPr>
                <w:color w:val="0D0D0D" w:themeColor="text1" w:themeTint="F2"/>
                <w:spacing w:val="-4"/>
                <w:lang w:val="en-GB"/>
              </w:rPr>
              <w:t xml:space="preserve">of them </w:t>
            </w:r>
            <w:r w:rsidR="008D50FA" w:rsidRPr="008D50FA">
              <w:rPr>
                <w:color w:val="0D0D0D" w:themeColor="text1" w:themeTint="F2"/>
                <w:spacing w:val="-4"/>
                <w:lang w:val="en-GB"/>
              </w:rPr>
              <w:t>disappeared</w:t>
            </w:r>
            <w:r w:rsidR="00AD543F" w:rsidRPr="006E725C">
              <w:rPr>
                <w:color w:val="0D0D0D" w:themeColor="text1" w:themeTint="F2"/>
                <w:spacing w:val="-4"/>
                <w:lang w:val="en-GB"/>
              </w:rPr>
              <w:t xml:space="preserve"> in the whole last year</w:t>
            </w:r>
            <w:r w:rsidR="00582A12" w:rsidRPr="006E725C">
              <w:rPr>
                <w:color w:val="0D0D0D" w:themeColor="text1" w:themeTint="F2"/>
                <w:spacing w:val="-4"/>
                <w:lang w:val="en-GB"/>
              </w:rPr>
              <w:t>).</w:t>
            </w:r>
          </w:p>
        </w:tc>
      </w:tr>
      <w:tr w:rsidR="00582A12" w:rsidRPr="006E725C" w14:paraId="3DF6BFD0" w14:textId="77777777" w:rsidTr="00BA5125">
        <w:trPr>
          <w:trHeight w:val="155"/>
        </w:trPr>
        <w:tc>
          <w:tcPr>
            <w:tcW w:w="1754" w:type="dxa"/>
            <w:shd w:val="clear" w:color="auto" w:fill="auto"/>
            <w:tcMar>
              <w:left w:w="0" w:type="dxa"/>
            </w:tcMar>
          </w:tcPr>
          <w:p w14:paraId="1F91E3EF" w14:textId="4A22B368" w:rsidR="00582A12" w:rsidRPr="006E725C" w:rsidRDefault="00B474DB" w:rsidP="00BA5125">
            <w:pPr>
              <w:pStyle w:val="Marginlie"/>
              <w:spacing w:after="120"/>
              <w:rPr>
                <w:color w:val="0D0D0D" w:themeColor="text1" w:themeTint="F2"/>
                <w:spacing w:val="-4"/>
                <w:lang w:val="en-GB"/>
              </w:rPr>
            </w:pPr>
            <w:r w:rsidRPr="006E725C">
              <w:rPr>
                <w:color w:val="0D0D0D" w:themeColor="text1" w:themeTint="F2"/>
                <w:spacing w:val="-4"/>
                <w:lang w:val="en-GB"/>
              </w:rPr>
              <w:lastRenderedPageBreak/>
              <w:t xml:space="preserve">Small business revived across all main branches. </w:t>
            </w:r>
          </w:p>
        </w:tc>
        <w:tc>
          <w:tcPr>
            <w:tcW w:w="220" w:type="dxa"/>
            <w:shd w:val="clear" w:color="auto" w:fill="auto"/>
            <w:tcMar>
              <w:left w:w="0" w:type="dxa"/>
            </w:tcMar>
          </w:tcPr>
          <w:p w14:paraId="3AE1F83B"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09FCAFF3" w14:textId="077E4C71" w:rsidR="00582A12" w:rsidRPr="006E725C" w:rsidRDefault="00564D10" w:rsidP="00BA5125">
            <w:pPr>
              <w:rPr>
                <w:color w:val="0D0D0D" w:themeColor="text1" w:themeTint="F2"/>
                <w:spacing w:val="-4"/>
                <w:lang w:val="en-GB"/>
              </w:rPr>
            </w:pPr>
            <w:r w:rsidRPr="00CE01DC">
              <w:rPr>
                <w:spacing w:val="-4"/>
                <w:lang w:val="en-GB"/>
              </w:rPr>
              <w:t>Revival of the entrepreneur activity had favourable effect on the employment development after longer time.</w:t>
            </w:r>
            <w:r w:rsidRPr="006E725C">
              <w:rPr>
                <w:lang w:val="en-GB"/>
              </w:rPr>
              <w:t xml:space="preserve"> Levels of self-employed</w:t>
            </w:r>
            <w:r w:rsidR="00582A12" w:rsidRPr="006E725C">
              <w:rPr>
                <w:rStyle w:val="Znakapoznpodarou"/>
                <w:spacing w:val="-5"/>
                <w:lang w:val="en-GB"/>
              </w:rPr>
              <w:footnoteReference w:id="73"/>
            </w:r>
            <w:r w:rsidRPr="006E725C">
              <w:rPr>
                <w:lang w:val="en-GB"/>
              </w:rPr>
              <w:t xml:space="preserve"> increased by </w:t>
            </w:r>
            <w:r w:rsidR="00582A12" w:rsidRPr="006E725C">
              <w:rPr>
                <w:color w:val="0D0D0D" w:themeColor="text1" w:themeTint="F2"/>
                <w:spacing w:val="-4"/>
                <w:lang w:val="en-GB"/>
              </w:rPr>
              <w:t>2</w:t>
            </w:r>
            <w:r w:rsidRPr="006E725C">
              <w:rPr>
                <w:color w:val="0D0D0D" w:themeColor="text1" w:themeTint="F2"/>
                <w:spacing w:val="-4"/>
                <w:lang w:val="en-GB"/>
              </w:rPr>
              <w:t>.</w:t>
            </w:r>
            <w:r w:rsidR="00582A12" w:rsidRPr="006E725C">
              <w:rPr>
                <w:color w:val="0D0D0D" w:themeColor="text1" w:themeTint="F2"/>
                <w:spacing w:val="-4"/>
                <w:lang w:val="en-GB"/>
              </w:rPr>
              <w:t>4%</w:t>
            </w:r>
            <w:r w:rsidRPr="006E725C">
              <w:rPr>
                <w:color w:val="0D0D0D" w:themeColor="text1" w:themeTint="F2"/>
                <w:spacing w:val="-4"/>
                <w:lang w:val="en-GB"/>
              </w:rPr>
              <w:t xml:space="preserve"> last year</w:t>
            </w:r>
            <w:r w:rsidR="00582A12" w:rsidRPr="006E725C">
              <w:rPr>
                <w:color w:val="0D0D0D" w:themeColor="text1" w:themeTint="F2"/>
                <w:spacing w:val="-4"/>
                <w:lang w:val="en-GB"/>
              </w:rPr>
              <w:t xml:space="preserve"> (</w:t>
            </w:r>
            <w:r w:rsidRPr="006E725C">
              <w:rPr>
                <w:color w:val="0D0D0D" w:themeColor="text1" w:themeTint="F2"/>
                <w:spacing w:val="-4"/>
                <w:lang w:val="en-GB"/>
              </w:rPr>
              <w:t>the most after year 2</w:t>
            </w:r>
            <w:r w:rsidR="00582A12" w:rsidRPr="006E725C">
              <w:rPr>
                <w:color w:val="0D0D0D" w:themeColor="text1" w:themeTint="F2"/>
                <w:spacing w:val="-4"/>
                <w:lang w:val="en-GB"/>
              </w:rPr>
              <w:t>010),</w:t>
            </w:r>
            <w:r w:rsidRPr="006E725C">
              <w:rPr>
                <w:color w:val="0D0D0D" w:themeColor="text1" w:themeTint="F2"/>
                <w:spacing w:val="-4"/>
                <w:lang w:val="en-GB"/>
              </w:rPr>
              <w:t xml:space="preserve"> es</w:t>
            </w:r>
            <w:r w:rsidR="00FD78C3">
              <w:rPr>
                <w:color w:val="0D0D0D" w:themeColor="text1" w:themeTint="F2"/>
                <w:spacing w:val="-4"/>
                <w:lang w:val="en-GB"/>
              </w:rPr>
              <w:t>pecially due to</w:t>
            </w:r>
            <w:r w:rsidRPr="006E725C">
              <w:rPr>
                <w:color w:val="0D0D0D" w:themeColor="text1" w:themeTint="F2"/>
                <w:spacing w:val="-4"/>
                <w:lang w:val="en-GB"/>
              </w:rPr>
              <w:t xml:space="preserve"> professional, scientific, technical and </w:t>
            </w:r>
            <w:r w:rsidR="006A5C69" w:rsidRPr="006E725C">
              <w:rPr>
                <w:color w:val="0D0D0D" w:themeColor="text1" w:themeTint="F2"/>
                <w:spacing w:val="-4"/>
                <w:lang w:val="en-GB"/>
              </w:rPr>
              <w:t>administrative activities (</w:t>
            </w:r>
            <w:r w:rsidR="00582A12" w:rsidRPr="006E725C">
              <w:rPr>
                <w:color w:val="0D0D0D" w:themeColor="text1" w:themeTint="F2"/>
                <w:spacing w:val="-4"/>
                <w:lang w:val="en-GB"/>
              </w:rPr>
              <w:t>+2</w:t>
            </w:r>
            <w:r w:rsidR="00CC7866" w:rsidRPr="006E725C">
              <w:rPr>
                <w:color w:val="0D0D0D" w:themeColor="text1" w:themeTint="F2"/>
                <w:spacing w:val="-4"/>
                <w:lang w:val="en-GB"/>
              </w:rPr>
              <w:t> </w:t>
            </w:r>
            <w:r w:rsidR="00582A12" w:rsidRPr="006E725C">
              <w:rPr>
                <w:color w:val="0D0D0D" w:themeColor="text1" w:themeTint="F2"/>
                <w:spacing w:val="-4"/>
                <w:lang w:val="en-GB"/>
              </w:rPr>
              <w:t>t</w:t>
            </w:r>
            <w:r w:rsidR="006A5C69" w:rsidRPr="006E725C">
              <w:rPr>
                <w:color w:val="0D0D0D" w:themeColor="text1" w:themeTint="F2"/>
                <w:spacing w:val="-4"/>
                <w:lang w:val="en-GB"/>
              </w:rPr>
              <w:t>housand</w:t>
            </w:r>
            <w:r w:rsidR="00582A12" w:rsidRPr="006E725C">
              <w:rPr>
                <w:color w:val="0D0D0D" w:themeColor="text1" w:themeTint="F2"/>
                <w:spacing w:val="-4"/>
                <w:lang w:val="en-GB"/>
              </w:rPr>
              <w:t xml:space="preserve">). </w:t>
            </w:r>
            <w:r w:rsidR="005B521C" w:rsidRPr="006E725C">
              <w:rPr>
                <w:color w:val="0D0D0D" w:themeColor="text1" w:themeTint="F2"/>
                <w:spacing w:val="-4"/>
                <w:lang w:val="en-GB"/>
              </w:rPr>
              <w:t>Their number inc</w:t>
            </w:r>
            <w:r w:rsidR="00FD78C3">
              <w:rPr>
                <w:color w:val="0D0D0D" w:themeColor="text1" w:themeTint="F2"/>
                <w:spacing w:val="-4"/>
                <w:lang w:val="en-GB"/>
              </w:rPr>
              <w:t xml:space="preserve">reased relatively the most </w:t>
            </w:r>
            <w:r w:rsidR="005B521C" w:rsidRPr="006E725C">
              <w:rPr>
                <w:color w:val="0D0D0D" w:themeColor="text1" w:themeTint="F2"/>
                <w:spacing w:val="-4"/>
                <w:lang w:val="en-GB"/>
              </w:rPr>
              <w:t xml:space="preserve">in information and communication </w:t>
            </w:r>
            <w:r w:rsidR="00582A12" w:rsidRPr="006E725C">
              <w:rPr>
                <w:color w:val="0D0D0D" w:themeColor="text1" w:themeTint="F2"/>
                <w:spacing w:val="-4"/>
                <w:lang w:val="en-GB"/>
              </w:rPr>
              <w:t>(+8%) a</w:t>
            </w:r>
            <w:r w:rsidR="005B521C" w:rsidRPr="006E725C">
              <w:rPr>
                <w:color w:val="0D0D0D" w:themeColor="text1" w:themeTint="F2"/>
                <w:spacing w:val="-4"/>
                <w:lang w:val="en-GB"/>
              </w:rPr>
              <w:t xml:space="preserve">nd financial </w:t>
            </w:r>
            <w:r w:rsidR="009332D2" w:rsidRPr="006E725C">
              <w:rPr>
                <w:color w:val="0D0D0D" w:themeColor="text1" w:themeTint="F2"/>
                <w:spacing w:val="-4"/>
                <w:lang w:val="en-GB"/>
              </w:rPr>
              <w:t>activities</w:t>
            </w:r>
            <w:r w:rsidR="005B521C" w:rsidRPr="006E725C">
              <w:rPr>
                <w:color w:val="0D0D0D" w:themeColor="text1" w:themeTint="F2"/>
                <w:spacing w:val="-4"/>
                <w:lang w:val="en-GB"/>
              </w:rPr>
              <w:t xml:space="preserve"> </w:t>
            </w:r>
            <w:r w:rsidR="00582A12" w:rsidRPr="006E725C">
              <w:rPr>
                <w:color w:val="0D0D0D" w:themeColor="text1" w:themeTint="F2"/>
                <w:spacing w:val="-4"/>
                <w:lang w:val="en-GB"/>
              </w:rPr>
              <w:t>(+5%)</w:t>
            </w:r>
            <w:r w:rsidR="005B521C" w:rsidRPr="006E725C">
              <w:rPr>
                <w:color w:val="0D0D0D" w:themeColor="text1" w:themeTint="F2"/>
                <w:spacing w:val="-4"/>
                <w:lang w:val="en-GB"/>
              </w:rPr>
              <w:t xml:space="preserve"> last year</w:t>
            </w:r>
            <w:r w:rsidR="00582A12" w:rsidRPr="006E725C">
              <w:rPr>
                <w:color w:val="0D0D0D" w:themeColor="text1" w:themeTint="F2"/>
                <w:spacing w:val="-4"/>
                <w:lang w:val="en-GB"/>
              </w:rPr>
              <w:t xml:space="preserve">, </w:t>
            </w:r>
            <w:r w:rsidR="00FD78C3">
              <w:rPr>
                <w:color w:val="0D0D0D" w:themeColor="text1" w:themeTint="F2"/>
                <w:spacing w:val="-4"/>
                <w:lang w:val="en-GB"/>
              </w:rPr>
              <w:t>to some extent as a result of the</w:t>
            </w:r>
            <w:r w:rsidR="00081EBA" w:rsidRPr="006E725C">
              <w:rPr>
                <w:color w:val="0D0D0D" w:themeColor="text1" w:themeTint="F2"/>
                <w:spacing w:val="-4"/>
                <w:lang w:val="en-GB"/>
              </w:rPr>
              <w:t xml:space="preserve"> lower last year’s basis or possible </w:t>
            </w:r>
            <w:r w:rsidR="006428D3" w:rsidRPr="006E725C">
              <w:rPr>
                <w:color w:val="0D0D0D" w:themeColor="text1" w:themeTint="F2"/>
                <w:spacing w:val="-4"/>
                <w:lang w:val="en-GB"/>
              </w:rPr>
              <w:t>“</w:t>
            </w:r>
            <w:r w:rsidR="00081EBA" w:rsidRPr="006E725C">
              <w:rPr>
                <w:color w:val="0D0D0D" w:themeColor="text1" w:themeTint="F2"/>
                <w:spacing w:val="-4"/>
                <w:lang w:val="en-GB"/>
              </w:rPr>
              <w:t>transfer</w:t>
            </w:r>
            <w:r w:rsidR="00D67369">
              <w:rPr>
                <w:color w:val="0D0D0D" w:themeColor="text1" w:themeTint="F2"/>
                <w:spacing w:val="-4"/>
                <w:lang w:val="en-GB"/>
              </w:rPr>
              <w:t>”</w:t>
            </w:r>
            <w:r w:rsidR="00081EBA" w:rsidRPr="006E725C">
              <w:rPr>
                <w:color w:val="0D0D0D" w:themeColor="text1" w:themeTint="F2"/>
                <w:spacing w:val="-4"/>
                <w:lang w:val="en-GB"/>
              </w:rPr>
              <w:t xml:space="preserve"> from the employee position</w:t>
            </w:r>
            <w:r w:rsidR="00582A12" w:rsidRPr="006E725C">
              <w:rPr>
                <w:color w:val="0D0D0D" w:themeColor="text1" w:themeTint="F2"/>
                <w:spacing w:val="-4"/>
                <w:lang w:val="en-GB"/>
              </w:rPr>
              <w:t xml:space="preserve">. </w:t>
            </w:r>
            <w:r w:rsidR="009332D2" w:rsidRPr="006E725C">
              <w:rPr>
                <w:color w:val="0D0D0D" w:themeColor="text1" w:themeTint="F2"/>
                <w:spacing w:val="-4"/>
                <w:lang w:val="en-GB"/>
              </w:rPr>
              <w:t xml:space="preserve">At least mild growth of small entrepreneurs nevertheless occurred in all main branches. </w:t>
            </w:r>
            <w:r w:rsidR="00FA101C" w:rsidRPr="006E725C">
              <w:rPr>
                <w:color w:val="0D0D0D" w:themeColor="text1" w:themeTint="F2"/>
                <w:spacing w:val="-4"/>
                <w:lang w:val="en-GB"/>
              </w:rPr>
              <w:t xml:space="preserve">Still their number remained considerably below the level of year 2019 </w:t>
            </w:r>
            <w:r w:rsidR="00FA101C" w:rsidRPr="006E725C">
              <w:rPr>
                <w:color w:val="0D0D0D" w:themeColor="text1" w:themeTint="F2"/>
                <w:spacing w:val="-6"/>
                <w:lang w:val="en-GB"/>
              </w:rPr>
              <w:t>(−5%, −36</w:t>
            </w:r>
            <w:r w:rsidR="00CC7866" w:rsidRPr="006E725C">
              <w:rPr>
                <w:color w:val="0D0D0D" w:themeColor="text1" w:themeTint="F2"/>
                <w:spacing w:val="-6"/>
                <w:lang w:val="en-GB"/>
              </w:rPr>
              <w:t> </w:t>
            </w:r>
            <w:r w:rsidR="00FA101C" w:rsidRPr="006E725C">
              <w:rPr>
                <w:color w:val="0D0D0D" w:themeColor="text1" w:themeTint="F2"/>
                <w:spacing w:val="-6"/>
                <w:lang w:val="en-GB"/>
              </w:rPr>
              <w:t>t</w:t>
            </w:r>
            <w:r w:rsidR="00763DAC" w:rsidRPr="006E725C">
              <w:rPr>
                <w:color w:val="0D0D0D" w:themeColor="text1" w:themeTint="F2"/>
                <w:spacing w:val="-6"/>
                <w:lang w:val="en-GB"/>
              </w:rPr>
              <w:t>housand persons</w:t>
            </w:r>
            <w:r w:rsidR="00FA101C" w:rsidRPr="006E725C">
              <w:rPr>
                <w:color w:val="0D0D0D" w:themeColor="text1" w:themeTint="F2"/>
                <w:spacing w:val="-6"/>
                <w:lang w:val="en-GB"/>
              </w:rPr>
              <w:t>)</w:t>
            </w:r>
            <w:r w:rsidR="00763DAC" w:rsidRPr="006E725C">
              <w:rPr>
                <w:color w:val="0D0D0D" w:themeColor="text1" w:themeTint="F2"/>
                <w:spacing w:val="-6"/>
                <w:lang w:val="en-GB"/>
              </w:rPr>
              <w:t xml:space="preserve"> </w:t>
            </w:r>
            <w:r w:rsidR="00FA101C" w:rsidRPr="006E725C">
              <w:rPr>
                <w:color w:val="0D0D0D" w:themeColor="text1" w:themeTint="F2"/>
                <w:spacing w:val="-4"/>
                <w:lang w:val="en-GB"/>
              </w:rPr>
              <w:t>in Q</w:t>
            </w:r>
            <w:r w:rsidR="00582A12" w:rsidRPr="006E725C">
              <w:rPr>
                <w:color w:val="0D0D0D" w:themeColor="text1" w:themeTint="F2"/>
                <w:spacing w:val="-6"/>
                <w:lang w:val="en-GB"/>
              </w:rPr>
              <w:t>4</w:t>
            </w:r>
            <w:r w:rsidR="00FA101C" w:rsidRPr="006E725C">
              <w:rPr>
                <w:color w:val="0D0D0D" w:themeColor="text1" w:themeTint="F2"/>
                <w:spacing w:val="-6"/>
                <w:lang w:val="en-GB"/>
              </w:rPr>
              <w:t xml:space="preserve"> 2</w:t>
            </w:r>
            <w:r w:rsidR="00582A12" w:rsidRPr="006E725C">
              <w:rPr>
                <w:color w:val="0D0D0D" w:themeColor="text1" w:themeTint="F2"/>
                <w:spacing w:val="-6"/>
                <w:lang w:val="en-GB"/>
              </w:rPr>
              <w:t>023</w:t>
            </w:r>
            <w:r w:rsidR="00582A12" w:rsidRPr="006E725C">
              <w:rPr>
                <w:rStyle w:val="Znakapoznpodarou"/>
                <w:color w:val="0D0D0D" w:themeColor="text1" w:themeTint="F2"/>
                <w:spacing w:val="-6"/>
                <w:lang w:val="en-GB"/>
              </w:rPr>
              <w:footnoteReference w:id="74"/>
            </w:r>
            <w:r w:rsidR="00582A12" w:rsidRPr="006E725C">
              <w:rPr>
                <w:color w:val="0D0D0D" w:themeColor="text1" w:themeTint="F2"/>
                <w:spacing w:val="-6"/>
                <w:lang w:val="en-GB"/>
              </w:rPr>
              <w:t>.</w:t>
            </w:r>
            <w:r w:rsidR="00582A12" w:rsidRPr="006E725C">
              <w:rPr>
                <w:color w:val="0D0D0D" w:themeColor="text1" w:themeTint="F2"/>
                <w:spacing w:val="-4"/>
                <w:lang w:val="en-GB"/>
              </w:rPr>
              <w:t xml:space="preserve"> </w:t>
            </w:r>
          </w:p>
        </w:tc>
      </w:tr>
      <w:tr w:rsidR="00582A12" w:rsidRPr="006E725C" w14:paraId="3CC15C6F" w14:textId="77777777" w:rsidTr="00BA5125">
        <w:trPr>
          <w:trHeight w:val="155"/>
        </w:trPr>
        <w:tc>
          <w:tcPr>
            <w:tcW w:w="1754" w:type="dxa"/>
            <w:shd w:val="clear" w:color="auto" w:fill="auto"/>
            <w:tcMar>
              <w:left w:w="0" w:type="dxa"/>
            </w:tcMar>
          </w:tcPr>
          <w:p w14:paraId="3E2973CB" w14:textId="6C6019D3" w:rsidR="00582A12" w:rsidRPr="006E725C" w:rsidRDefault="00F84BBE" w:rsidP="00BA5125">
            <w:pPr>
              <w:pStyle w:val="Marginlie"/>
              <w:spacing w:after="120"/>
              <w:rPr>
                <w:color w:val="0D0D0D" w:themeColor="text1" w:themeTint="F2"/>
                <w:spacing w:val="-4"/>
                <w:lang w:val="en-GB"/>
              </w:rPr>
            </w:pPr>
            <w:r w:rsidRPr="006E725C">
              <w:rPr>
                <w:color w:val="0D0D0D" w:themeColor="text1" w:themeTint="F2"/>
                <w:spacing w:val="-4"/>
                <w:lang w:val="en-GB"/>
              </w:rPr>
              <w:t xml:space="preserve">Number of specialists grew, </w:t>
            </w:r>
            <w:r w:rsidR="0079139B" w:rsidRPr="006E725C">
              <w:rPr>
                <w:color w:val="0D0D0D" w:themeColor="text1" w:themeTint="F2"/>
                <w:spacing w:val="-4"/>
                <w:lang w:val="en-GB"/>
              </w:rPr>
              <w:t xml:space="preserve">number of employed females increased. </w:t>
            </w:r>
          </w:p>
        </w:tc>
        <w:tc>
          <w:tcPr>
            <w:tcW w:w="220" w:type="dxa"/>
            <w:shd w:val="clear" w:color="auto" w:fill="auto"/>
            <w:tcMar>
              <w:left w:w="0" w:type="dxa"/>
            </w:tcMar>
          </w:tcPr>
          <w:p w14:paraId="574BF56E"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18137021" w14:textId="12F0455F" w:rsidR="00582A12" w:rsidRPr="006E725C" w:rsidRDefault="00276FBB" w:rsidP="00BA5125">
            <w:pPr>
              <w:rPr>
                <w:lang w:val="en-GB"/>
              </w:rPr>
            </w:pPr>
            <w:r w:rsidRPr="006E725C">
              <w:rPr>
                <w:color w:val="0D0D0D" w:themeColor="text1" w:themeTint="F2"/>
                <w:spacing w:val="-4"/>
                <w:lang w:val="en-GB"/>
              </w:rPr>
              <w:t>Above-mentioned</w:t>
            </w:r>
            <w:r w:rsidR="00B973F1" w:rsidRPr="006E725C">
              <w:rPr>
                <w:color w:val="0D0D0D" w:themeColor="text1" w:themeTint="F2"/>
                <w:spacing w:val="-4"/>
                <w:lang w:val="en-GB"/>
              </w:rPr>
              <w:t xml:space="preserve"> branch shifts </w:t>
            </w:r>
            <w:r w:rsidR="00C864E9">
              <w:rPr>
                <w:color w:val="0D0D0D" w:themeColor="text1" w:themeTint="F2"/>
                <w:spacing w:val="-4"/>
                <w:lang w:val="en-GB"/>
              </w:rPr>
              <w:t>were reflected in the shifts in</w:t>
            </w:r>
            <w:r w:rsidR="004740A0" w:rsidRPr="006E725C">
              <w:rPr>
                <w:color w:val="0D0D0D" w:themeColor="text1" w:themeTint="F2"/>
                <w:spacing w:val="-4"/>
                <w:lang w:val="en-GB"/>
              </w:rPr>
              <w:t xml:space="preserve"> the </w:t>
            </w:r>
            <w:r w:rsidR="009361BA" w:rsidRPr="006E725C">
              <w:rPr>
                <w:color w:val="0D0D0D" w:themeColor="text1" w:themeTint="F2"/>
                <w:spacing w:val="-4"/>
                <w:lang w:val="en-GB"/>
              </w:rPr>
              <w:t xml:space="preserve">occupational structure of all working </w:t>
            </w:r>
            <w:r w:rsidR="00675A15" w:rsidRPr="006E725C">
              <w:rPr>
                <w:color w:val="0D0D0D" w:themeColor="text1" w:themeTint="F2"/>
                <w:spacing w:val="-4"/>
                <w:lang w:val="en-GB"/>
              </w:rPr>
              <w:t>persons</w:t>
            </w:r>
            <w:r w:rsidR="00582A12" w:rsidRPr="006E725C">
              <w:rPr>
                <w:color w:val="0D0D0D" w:themeColor="text1" w:themeTint="F2"/>
                <w:spacing w:val="-4"/>
                <w:lang w:val="en-GB"/>
              </w:rPr>
              <w:t>.</w:t>
            </w:r>
            <w:r w:rsidR="009361BA" w:rsidRPr="006E725C">
              <w:rPr>
                <w:color w:val="0D0D0D" w:themeColor="text1" w:themeTint="F2"/>
                <w:spacing w:val="-4"/>
                <w:lang w:val="en-GB"/>
              </w:rPr>
              <w:t xml:space="preserve"> According to the LFSS data, </w:t>
            </w:r>
            <w:r w:rsidR="001612DB" w:rsidRPr="006E725C">
              <w:rPr>
                <w:color w:val="0D0D0D" w:themeColor="text1" w:themeTint="F2"/>
                <w:spacing w:val="-4"/>
                <w:lang w:val="en-GB"/>
              </w:rPr>
              <w:t>the number of specialists</w:t>
            </w:r>
            <w:r w:rsidR="00675A15" w:rsidRPr="006E725C">
              <w:rPr>
                <w:color w:val="0D0D0D" w:themeColor="text1" w:themeTint="F2"/>
                <w:spacing w:val="-4"/>
                <w:lang w:val="en-GB"/>
              </w:rPr>
              <w:t xml:space="preserve"> </w:t>
            </w:r>
            <w:r w:rsidR="00582A12" w:rsidRPr="006E725C">
              <w:rPr>
                <w:color w:val="0D0D0D" w:themeColor="text1" w:themeTint="F2"/>
                <w:spacing w:val="-4"/>
                <w:lang w:val="en-GB"/>
              </w:rPr>
              <w:t>(+69</w:t>
            </w:r>
            <w:r w:rsidR="00CC7866" w:rsidRPr="006E725C">
              <w:rPr>
                <w:color w:val="0D0D0D" w:themeColor="text1" w:themeTint="F2"/>
                <w:spacing w:val="-4"/>
                <w:lang w:val="en-GB"/>
              </w:rPr>
              <w:t> </w:t>
            </w:r>
            <w:r w:rsidR="00582A12" w:rsidRPr="006E725C">
              <w:rPr>
                <w:color w:val="0D0D0D" w:themeColor="text1" w:themeTint="F2"/>
                <w:spacing w:val="-4"/>
                <w:lang w:val="en-GB"/>
              </w:rPr>
              <w:t>t</w:t>
            </w:r>
            <w:r w:rsidR="00675A15" w:rsidRPr="006E725C">
              <w:rPr>
                <w:color w:val="0D0D0D" w:themeColor="text1" w:themeTint="F2"/>
                <w:spacing w:val="-4"/>
                <w:lang w:val="en-GB"/>
              </w:rPr>
              <w:t>housand</w:t>
            </w:r>
            <w:r w:rsidR="00582A12" w:rsidRPr="006E725C">
              <w:rPr>
                <w:color w:val="0D0D0D" w:themeColor="text1" w:themeTint="F2"/>
                <w:spacing w:val="-4"/>
                <w:lang w:val="en-GB"/>
              </w:rPr>
              <w:t>),</w:t>
            </w:r>
            <w:r w:rsidR="00675A15" w:rsidRPr="006E725C">
              <w:rPr>
                <w:color w:val="0D0D0D" w:themeColor="text1" w:themeTint="F2"/>
                <w:spacing w:val="-4"/>
                <w:lang w:val="en-GB"/>
              </w:rPr>
              <w:t xml:space="preserve"> but also </w:t>
            </w:r>
            <w:r w:rsidR="0027334D" w:rsidRPr="006E725C">
              <w:rPr>
                <w:color w:val="0D0D0D" w:themeColor="text1" w:themeTint="F2"/>
                <w:spacing w:val="-4"/>
                <w:lang w:val="en-GB"/>
              </w:rPr>
              <w:t xml:space="preserve">craft and repairmen </w:t>
            </w:r>
            <w:r w:rsidR="00582A12" w:rsidRPr="006E725C">
              <w:rPr>
                <w:color w:val="0D0D0D" w:themeColor="text1" w:themeTint="F2"/>
                <w:spacing w:val="-4"/>
                <w:lang w:val="en-GB"/>
              </w:rPr>
              <w:t>(+33</w:t>
            </w:r>
            <w:r w:rsidR="00CC7866" w:rsidRPr="006E725C">
              <w:rPr>
                <w:color w:val="0D0D0D" w:themeColor="text1" w:themeTint="F2"/>
                <w:spacing w:val="-4"/>
                <w:lang w:val="en-GB"/>
              </w:rPr>
              <w:t> </w:t>
            </w:r>
            <w:r w:rsidR="00582A12" w:rsidRPr="006E725C">
              <w:rPr>
                <w:color w:val="0D0D0D" w:themeColor="text1" w:themeTint="F2"/>
                <w:spacing w:val="-4"/>
                <w:lang w:val="en-GB"/>
              </w:rPr>
              <w:t>t</w:t>
            </w:r>
            <w:r w:rsidR="0027334D" w:rsidRPr="006E725C">
              <w:rPr>
                <w:color w:val="0D0D0D" w:themeColor="text1" w:themeTint="F2"/>
                <w:spacing w:val="-4"/>
                <w:lang w:val="en-GB"/>
              </w:rPr>
              <w:t>housand</w:t>
            </w:r>
            <w:r w:rsidR="00582A12" w:rsidRPr="006E725C">
              <w:rPr>
                <w:color w:val="0D0D0D" w:themeColor="text1" w:themeTint="F2"/>
                <w:spacing w:val="-4"/>
                <w:lang w:val="en-GB"/>
              </w:rPr>
              <w:t>)</w:t>
            </w:r>
            <w:r w:rsidR="00675A15" w:rsidRPr="006E725C">
              <w:rPr>
                <w:color w:val="0D0D0D" w:themeColor="text1" w:themeTint="F2"/>
                <w:spacing w:val="-4"/>
                <w:lang w:val="en-GB"/>
              </w:rPr>
              <w:t xml:space="preserve"> more notably increa</w:t>
            </w:r>
            <w:r w:rsidR="00C864E9">
              <w:rPr>
                <w:color w:val="0D0D0D" w:themeColor="text1" w:themeTint="F2"/>
                <w:spacing w:val="-4"/>
                <w:lang w:val="en-GB"/>
              </w:rPr>
              <w:t>sed year-on-year in Q4 2023</w:t>
            </w:r>
            <w:r w:rsidR="00582A12" w:rsidRPr="006E725C">
              <w:rPr>
                <w:color w:val="0D0D0D" w:themeColor="text1" w:themeTint="F2"/>
                <w:spacing w:val="-4"/>
                <w:lang w:val="en-GB"/>
              </w:rPr>
              <w:t xml:space="preserve">. </w:t>
            </w:r>
            <w:r w:rsidR="00BB61E1" w:rsidRPr="006E725C">
              <w:rPr>
                <w:color w:val="0D0D0D" w:themeColor="text1" w:themeTint="F2"/>
                <w:spacing w:val="-4"/>
                <w:lang w:val="en-GB"/>
              </w:rPr>
              <w:t xml:space="preserve">Mainly the number of clerical support </w:t>
            </w:r>
            <w:r w:rsidR="00A102C3" w:rsidRPr="006E725C">
              <w:rPr>
                <w:color w:val="0D0D0D" w:themeColor="text1" w:themeTint="F2"/>
                <w:spacing w:val="-4"/>
                <w:lang w:val="en-GB"/>
              </w:rPr>
              <w:t>positions</w:t>
            </w:r>
            <w:r w:rsidR="00BB61E1" w:rsidRPr="006E725C">
              <w:rPr>
                <w:color w:val="0D0D0D" w:themeColor="text1" w:themeTint="F2"/>
                <w:spacing w:val="-4"/>
                <w:lang w:val="en-GB"/>
              </w:rPr>
              <w:t xml:space="preserve"> </w:t>
            </w:r>
            <w:r w:rsidR="00A102C3" w:rsidRPr="006E725C">
              <w:rPr>
                <w:color w:val="0D0D0D" w:themeColor="text1" w:themeTint="F2"/>
                <w:spacing w:val="-4"/>
                <w:lang w:val="en-GB"/>
              </w:rPr>
              <w:t>reduced</w:t>
            </w:r>
            <w:r w:rsidR="00BB61E1" w:rsidRPr="006E725C">
              <w:rPr>
                <w:color w:val="0D0D0D" w:themeColor="text1" w:themeTint="F2"/>
                <w:spacing w:val="-4"/>
                <w:lang w:val="en-GB"/>
              </w:rPr>
              <w:t xml:space="preserve"> </w:t>
            </w:r>
            <w:r w:rsidR="00582A12" w:rsidRPr="006E725C">
              <w:rPr>
                <w:color w:val="0D0D0D" w:themeColor="text1" w:themeTint="F2"/>
                <w:spacing w:val="-4"/>
                <w:lang w:val="en-GB"/>
              </w:rPr>
              <w:t>(−62</w:t>
            </w:r>
            <w:r w:rsidR="00CC7866" w:rsidRPr="006E725C">
              <w:rPr>
                <w:color w:val="0D0D0D" w:themeColor="text1" w:themeTint="F2"/>
                <w:spacing w:val="-4"/>
                <w:lang w:val="en-GB"/>
              </w:rPr>
              <w:t> </w:t>
            </w:r>
            <w:r w:rsidR="00582A12" w:rsidRPr="006E725C">
              <w:rPr>
                <w:color w:val="0D0D0D" w:themeColor="text1" w:themeTint="F2"/>
                <w:spacing w:val="-4"/>
                <w:lang w:val="en-GB"/>
              </w:rPr>
              <w:t>t</w:t>
            </w:r>
            <w:r w:rsidR="00BB61E1" w:rsidRPr="006E725C">
              <w:rPr>
                <w:color w:val="0D0D0D" w:themeColor="text1" w:themeTint="F2"/>
                <w:spacing w:val="-4"/>
                <w:lang w:val="en-GB"/>
              </w:rPr>
              <w:t>housand</w:t>
            </w:r>
            <w:r w:rsidR="00582A12" w:rsidRPr="006E725C">
              <w:rPr>
                <w:color w:val="0D0D0D" w:themeColor="text1" w:themeTint="F2"/>
                <w:spacing w:val="-4"/>
                <w:lang w:val="en-GB"/>
              </w:rPr>
              <w:t xml:space="preserve">), </w:t>
            </w:r>
            <w:r w:rsidR="00BB61E1" w:rsidRPr="006E725C">
              <w:rPr>
                <w:color w:val="0D0D0D" w:themeColor="text1" w:themeTint="F2"/>
                <w:spacing w:val="-4"/>
                <w:lang w:val="en-GB"/>
              </w:rPr>
              <w:t xml:space="preserve">which can be </w:t>
            </w:r>
            <w:r w:rsidR="00A102C3" w:rsidRPr="006E725C">
              <w:rPr>
                <w:color w:val="0D0D0D" w:themeColor="text1" w:themeTint="F2"/>
                <w:spacing w:val="-4"/>
                <w:lang w:val="en-GB"/>
              </w:rPr>
              <w:t>connected</w:t>
            </w:r>
            <w:r w:rsidR="00BB61E1" w:rsidRPr="006E725C">
              <w:rPr>
                <w:color w:val="0D0D0D" w:themeColor="text1" w:themeTint="F2"/>
                <w:spacing w:val="-4"/>
                <w:lang w:val="en-GB"/>
              </w:rPr>
              <w:t xml:space="preserve"> to the </w:t>
            </w:r>
            <w:r w:rsidR="00A102C3" w:rsidRPr="006E725C">
              <w:rPr>
                <w:color w:val="0D0D0D" w:themeColor="text1" w:themeTint="F2"/>
                <w:spacing w:val="-4"/>
                <w:lang w:val="en-GB"/>
              </w:rPr>
              <w:t xml:space="preserve">advancing digitalisation in financial industry, trade and also the public sphere. </w:t>
            </w:r>
            <w:r w:rsidR="00761625" w:rsidRPr="006E725C">
              <w:rPr>
                <w:color w:val="0D0D0D" w:themeColor="text1" w:themeTint="F2"/>
                <w:spacing w:val="-4"/>
                <w:lang w:val="en-GB"/>
              </w:rPr>
              <w:t xml:space="preserve">Some other structural characteristics were also changing – </w:t>
            </w:r>
            <w:r w:rsidR="00121735" w:rsidRPr="006E725C">
              <w:rPr>
                <w:color w:val="0D0D0D" w:themeColor="text1" w:themeTint="F2"/>
                <w:spacing w:val="-4"/>
                <w:lang w:val="en-GB"/>
              </w:rPr>
              <w:t xml:space="preserve">females benefited to larger extent </w:t>
            </w:r>
            <w:r w:rsidR="00761625" w:rsidRPr="006E725C">
              <w:rPr>
                <w:color w:val="0D0D0D" w:themeColor="text1" w:themeTint="F2"/>
                <w:spacing w:val="-4"/>
                <w:lang w:val="en-GB"/>
              </w:rPr>
              <w:t xml:space="preserve">from the development </w:t>
            </w:r>
            <w:r w:rsidR="00121735" w:rsidRPr="006E725C">
              <w:rPr>
                <w:color w:val="0D0D0D" w:themeColor="text1" w:themeTint="F2"/>
                <w:spacing w:val="-4"/>
                <w:lang w:val="en-GB"/>
              </w:rPr>
              <w:t xml:space="preserve">of services. Their employment rate </w:t>
            </w:r>
            <w:r w:rsidR="00582A12" w:rsidRPr="006E725C">
              <w:rPr>
                <w:color w:val="0D0D0D" w:themeColor="text1" w:themeTint="F2"/>
                <w:spacing w:val="-4"/>
                <w:lang w:val="en-GB"/>
              </w:rPr>
              <w:t>(</w:t>
            </w:r>
            <w:r w:rsidR="0041650F" w:rsidRPr="006E725C">
              <w:rPr>
                <w:color w:val="0D0D0D" w:themeColor="text1" w:themeTint="F2"/>
                <w:spacing w:val="-4"/>
                <w:lang w:val="en-GB"/>
              </w:rPr>
              <w:t xml:space="preserve">aged </w:t>
            </w:r>
            <w:r w:rsidR="00582A12" w:rsidRPr="006E725C">
              <w:rPr>
                <w:color w:val="0D0D0D" w:themeColor="text1" w:themeTint="F2"/>
                <w:spacing w:val="-4"/>
                <w:lang w:val="en-GB"/>
              </w:rPr>
              <w:t>15</w:t>
            </w:r>
            <w:r w:rsidR="0041650F" w:rsidRPr="006E725C">
              <w:rPr>
                <w:color w:val="0D0D0D" w:themeColor="text1" w:themeTint="F2"/>
                <w:spacing w:val="-4"/>
                <w:lang w:val="en-GB"/>
              </w:rPr>
              <w:t xml:space="preserve"> to </w:t>
            </w:r>
            <w:r w:rsidR="00582A12" w:rsidRPr="006E725C">
              <w:rPr>
                <w:color w:val="0D0D0D" w:themeColor="text1" w:themeTint="F2"/>
                <w:spacing w:val="-4"/>
                <w:lang w:val="en-GB"/>
              </w:rPr>
              <w:t>64</w:t>
            </w:r>
            <w:r w:rsidR="0041650F" w:rsidRPr="006E725C">
              <w:rPr>
                <w:color w:val="0D0D0D" w:themeColor="text1" w:themeTint="F2"/>
                <w:spacing w:val="-4"/>
                <w:lang w:val="en-GB"/>
              </w:rPr>
              <w:t xml:space="preserve"> years</w:t>
            </w:r>
            <w:r w:rsidR="00582A12" w:rsidRPr="006E725C">
              <w:rPr>
                <w:color w:val="0D0D0D" w:themeColor="text1" w:themeTint="F2"/>
                <w:spacing w:val="-4"/>
                <w:lang w:val="en-GB"/>
              </w:rPr>
              <w:t>)</w:t>
            </w:r>
            <w:r w:rsidR="0041650F" w:rsidRPr="006E725C">
              <w:rPr>
                <w:color w:val="0D0D0D" w:themeColor="text1" w:themeTint="F2"/>
                <w:spacing w:val="-4"/>
                <w:lang w:val="en-GB"/>
              </w:rPr>
              <w:t xml:space="preserve"> increased by </w:t>
            </w:r>
            <w:r w:rsidR="00582A12" w:rsidRPr="006E725C">
              <w:rPr>
                <w:color w:val="0D0D0D" w:themeColor="text1" w:themeTint="F2"/>
                <w:spacing w:val="-4"/>
                <w:lang w:val="en-GB"/>
              </w:rPr>
              <w:t>0</w:t>
            </w:r>
            <w:r w:rsidR="0041650F" w:rsidRPr="006E725C">
              <w:rPr>
                <w:color w:val="0D0D0D" w:themeColor="text1" w:themeTint="F2"/>
                <w:spacing w:val="-4"/>
                <w:lang w:val="en-GB"/>
              </w:rPr>
              <w:t>.</w:t>
            </w:r>
            <w:r w:rsidR="00582A12" w:rsidRPr="006E725C">
              <w:rPr>
                <w:color w:val="0D0D0D" w:themeColor="text1" w:themeTint="F2"/>
                <w:spacing w:val="-4"/>
                <w:lang w:val="en-GB"/>
              </w:rPr>
              <w:t>7 p.</w:t>
            </w:r>
            <w:r w:rsidR="0041650F" w:rsidRPr="006E725C">
              <w:rPr>
                <w:color w:val="0D0D0D" w:themeColor="text1" w:themeTint="F2"/>
                <w:spacing w:val="-4"/>
                <w:lang w:val="en-GB"/>
              </w:rPr>
              <w:t xml:space="preserve">p. year-on-year </w:t>
            </w:r>
            <w:r w:rsidR="00582A12" w:rsidRPr="006E725C">
              <w:rPr>
                <w:color w:val="0D0D0D" w:themeColor="text1" w:themeTint="F2"/>
                <w:spacing w:val="-4"/>
                <w:lang w:val="en-GB"/>
              </w:rPr>
              <w:t>(</w:t>
            </w:r>
            <w:r w:rsidR="0041650F" w:rsidRPr="006E725C">
              <w:rPr>
                <w:color w:val="0D0D0D" w:themeColor="text1" w:themeTint="F2"/>
                <w:spacing w:val="-4"/>
                <w:lang w:val="en-GB"/>
              </w:rPr>
              <w:t xml:space="preserve">to </w:t>
            </w:r>
            <w:r w:rsidR="00582A12" w:rsidRPr="006E725C">
              <w:rPr>
                <w:color w:val="0D0D0D" w:themeColor="text1" w:themeTint="F2"/>
                <w:spacing w:val="-4"/>
                <w:lang w:val="en-GB"/>
              </w:rPr>
              <w:t>68</w:t>
            </w:r>
            <w:r w:rsidR="0041650F" w:rsidRPr="006E725C">
              <w:rPr>
                <w:color w:val="0D0D0D" w:themeColor="text1" w:themeTint="F2"/>
                <w:spacing w:val="-4"/>
                <w:lang w:val="en-GB"/>
              </w:rPr>
              <w:t>.</w:t>
            </w:r>
            <w:r w:rsidR="00582A12" w:rsidRPr="006E725C">
              <w:rPr>
                <w:color w:val="0D0D0D" w:themeColor="text1" w:themeTint="F2"/>
                <w:spacing w:val="-4"/>
                <w:lang w:val="en-GB"/>
              </w:rPr>
              <w:t>8%),</w:t>
            </w:r>
            <w:r w:rsidR="0041650F" w:rsidRPr="006E725C">
              <w:rPr>
                <w:color w:val="0D0D0D" w:themeColor="text1" w:themeTint="F2"/>
                <w:spacing w:val="-4"/>
                <w:lang w:val="en-GB"/>
              </w:rPr>
              <w:t xml:space="preserve"> it on the contrary decreased for males by </w:t>
            </w:r>
            <w:r w:rsidR="00582A12" w:rsidRPr="006E725C">
              <w:rPr>
                <w:color w:val="0D0D0D" w:themeColor="text1" w:themeTint="F2"/>
                <w:spacing w:val="-4"/>
                <w:lang w:val="en-GB"/>
              </w:rPr>
              <w:t>0</w:t>
            </w:r>
            <w:r w:rsidR="0041650F" w:rsidRPr="006E725C">
              <w:rPr>
                <w:color w:val="0D0D0D" w:themeColor="text1" w:themeTint="F2"/>
                <w:spacing w:val="-4"/>
                <w:lang w:val="en-GB"/>
              </w:rPr>
              <w:t>.</w:t>
            </w:r>
            <w:r w:rsidR="00582A12" w:rsidRPr="006E725C">
              <w:rPr>
                <w:color w:val="0D0D0D" w:themeColor="text1" w:themeTint="F2"/>
                <w:spacing w:val="-4"/>
                <w:lang w:val="en-GB"/>
              </w:rPr>
              <w:t>8</w:t>
            </w:r>
            <w:r w:rsidR="0041650F" w:rsidRPr="006E725C">
              <w:rPr>
                <w:color w:val="0D0D0D" w:themeColor="text1" w:themeTint="F2"/>
                <w:spacing w:val="-4"/>
                <w:lang w:val="en-GB"/>
              </w:rPr>
              <w:t xml:space="preserve"> </w:t>
            </w:r>
            <w:r w:rsidR="00582A12" w:rsidRPr="006E725C">
              <w:rPr>
                <w:color w:val="0D0D0D" w:themeColor="text1" w:themeTint="F2"/>
                <w:spacing w:val="-4"/>
                <w:lang w:val="en-GB"/>
              </w:rPr>
              <w:t>p.</w:t>
            </w:r>
            <w:r w:rsidR="0041650F" w:rsidRPr="006E725C">
              <w:rPr>
                <w:color w:val="0D0D0D" w:themeColor="text1" w:themeTint="F2"/>
                <w:spacing w:val="-4"/>
                <w:lang w:val="en-GB"/>
              </w:rPr>
              <w:t xml:space="preserve">p. </w:t>
            </w:r>
            <w:r w:rsidR="00582A12" w:rsidRPr="006E725C">
              <w:rPr>
                <w:color w:val="0D0D0D" w:themeColor="text1" w:themeTint="F2"/>
                <w:spacing w:val="-4"/>
                <w:lang w:val="en-GB"/>
              </w:rPr>
              <w:t>(</w:t>
            </w:r>
            <w:r w:rsidR="0041650F" w:rsidRPr="006E725C">
              <w:rPr>
                <w:color w:val="0D0D0D" w:themeColor="text1" w:themeTint="F2"/>
                <w:spacing w:val="-4"/>
                <w:lang w:val="en-GB"/>
              </w:rPr>
              <w:t xml:space="preserve">to </w:t>
            </w:r>
            <w:r w:rsidR="00582A12" w:rsidRPr="006E725C">
              <w:rPr>
                <w:color w:val="0D0D0D" w:themeColor="text1" w:themeTint="F2"/>
                <w:spacing w:val="-4"/>
                <w:lang w:val="en-GB"/>
              </w:rPr>
              <w:t>81</w:t>
            </w:r>
            <w:r w:rsidR="0041650F" w:rsidRPr="006E725C">
              <w:rPr>
                <w:color w:val="0D0D0D" w:themeColor="text1" w:themeTint="F2"/>
                <w:spacing w:val="-4"/>
                <w:lang w:val="en-GB"/>
              </w:rPr>
              <w:t>.</w:t>
            </w:r>
            <w:r w:rsidR="00582A12" w:rsidRPr="006E725C">
              <w:rPr>
                <w:color w:val="0D0D0D" w:themeColor="text1" w:themeTint="F2"/>
                <w:spacing w:val="-4"/>
                <w:lang w:val="en-GB"/>
              </w:rPr>
              <w:t xml:space="preserve">5%). </w:t>
            </w:r>
            <w:r w:rsidR="00B15CAD" w:rsidRPr="006E725C">
              <w:rPr>
                <w:color w:val="0D0D0D" w:themeColor="text1" w:themeTint="F2"/>
                <w:spacing w:val="-4"/>
                <w:lang w:val="en-GB"/>
              </w:rPr>
              <w:t xml:space="preserve">Still the employment of males in the CR belonged </w:t>
            </w:r>
            <w:r w:rsidR="00674DF4" w:rsidRPr="006E725C">
              <w:rPr>
                <w:color w:val="0D0D0D" w:themeColor="text1" w:themeTint="F2"/>
                <w:spacing w:val="-4"/>
                <w:lang w:val="en-GB"/>
              </w:rPr>
              <w:t>together</w:t>
            </w:r>
            <w:r w:rsidR="00B15CAD" w:rsidRPr="006E725C">
              <w:rPr>
                <w:color w:val="0D0D0D" w:themeColor="text1" w:themeTint="F2"/>
                <w:spacing w:val="-4"/>
                <w:lang w:val="en-GB"/>
              </w:rPr>
              <w:t xml:space="preserve"> with the Netherlands </w:t>
            </w:r>
            <w:r w:rsidR="00582A12" w:rsidRPr="006E725C">
              <w:rPr>
                <w:color w:val="0D0D0D" w:themeColor="text1" w:themeTint="F2"/>
                <w:spacing w:val="-4"/>
                <w:lang w:val="en-GB"/>
              </w:rPr>
              <w:t>(85</w:t>
            </w:r>
            <w:r w:rsidR="00B15CAD" w:rsidRPr="006E725C">
              <w:rPr>
                <w:color w:val="0D0D0D" w:themeColor="text1" w:themeTint="F2"/>
                <w:spacing w:val="-4"/>
                <w:lang w:val="en-GB"/>
              </w:rPr>
              <w:t>.</w:t>
            </w:r>
            <w:r w:rsidR="00582A12" w:rsidRPr="006E725C">
              <w:rPr>
                <w:color w:val="0D0D0D" w:themeColor="text1" w:themeTint="F2"/>
                <w:spacing w:val="-4"/>
                <w:lang w:val="en-GB"/>
              </w:rPr>
              <w:t>9%) a</w:t>
            </w:r>
            <w:r w:rsidR="00B15CAD" w:rsidRPr="006E725C">
              <w:rPr>
                <w:color w:val="0D0D0D" w:themeColor="text1" w:themeTint="F2"/>
                <w:spacing w:val="-4"/>
                <w:lang w:val="en-GB"/>
              </w:rPr>
              <w:t>nd Malta</w:t>
            </w:r>
            <w:r w:rsidR="00674DF4" w:rsidRPr="006E725C">
              <w:rPr>
                <w:color w:val="0D0D0D" w:themeColor="text1" w:themeTint="F2"/>
                <w:spacing w:val="-4"/>
                <w:lang w:val="en-GB"/>
              </w:rPr>
              <w:t xml:space="preserve"> </w:t>
            </w:r>
            <w:r w:rsidR="00582A12" w:rsidRPr="006E725C">
              <w:rPr>
                <w:color w:val="0D0D0D" w:themeColor="text1" w:themeTint="F2"/>
                <w:spacing w:val="-4"/>
                <w:lang w:val="en-GB"/>
              </w:rPr>
              <w:t>(85</w:t>
            </w:r>
            <w:r w:rsidR="00674DF4" w:rsidRPr="006E725C">
              <w:rPr>
                <w:color w:val="0D0D0D" w:themeColor="text1" w:themeTint="F2"/>
                <w:spacing w:val="-4"/>
                <w:lang w:val="en-GB"/>
              </w:rPr>
              <w:t>.</w:t>
            </w:r>
            <w:r w:rsidR="00582A12" w:rsidRPr="006E725C">
              <w:rPr>
                <w:color w:val="0D0D0D" w:themeColor="text1" w:themeTint="F2"/>
                <w:spacing w:val="-4"/>
                <w:lang w:val="en-GB"/>
              </w:rPr>
              <w:t>5%)</w:t>
            </w:r>
            <w:r w:rsidR="00B15CAD" w:rsidRPr="006E725C">
              <w:rPr>
                <w:color w:val="0D0D0D" w:themeColor="text1" w:themeTint="F2"/>
                <w:spacing w:val="-4"/>
                <w:lang w:val="en-GB"/>
              </w:rPr>
              <w:t xml:space="preserve"> to the highest within the EU countries. </w:t>
            </w:r>
            <w:r w:rsidR="00582A12" w:rsidRPr="006E725C">
              <w:rPr>
                <w:color w:val="0D0D0D" w:themeColor="text1" w:themeTint="F2"/>
                <w:spacing w:val="-4"/>
                <w:lang w:val="en-GB"/>
              </w:rPr>
              <w:t xml:space="preserve"> </w:t>
            </w:r>
          </w:p>
        </w:tc>
      </w:tr>
      <w:tr w:rsidR="00582A12" w:rsidRPr="006E725C" w14:paraId="7E5C333D" w14:textId="77777777" w:rsidTr="00BA5125">
        <w:trPr>
          <w:trHeight w:val="155"/>
        </w:trPr>
        <w:tc>
          <w:tcPr>
            <w:tcW w:w="1754" w:type="dxa"/>
            <w:shd w:val="clear" w:color="auto" w:fill="auto"/>
            <w:tcMar>
              <w:left w:w="0" w:type="dxa"/>
            </w:tcMar>
          </w:tcPr>
          <w:p w14:paraId="6103DBE0" w14:textId="4491B91C" w:rsidR="00582A12" w:rsidRPr="006E725C" w:rsidRDefault="0079139B" w:rsidP="00BA5125">
            <w:pPr>
              <w:pStyle w:val="Marginlie"/>
              <w:spacing w:after="120"/>
              <w:rPr>
                <w:color w:val="0D0D0D" w:themeColor="text1" w:themeTint="F2"/>
                <w:spacing w:val="-4"/>
                <w:lang w:val="en-GB"/>
              </w:rPr>
            </w:pPr>
            <w:r w:rsidRPr="006E725C">
              <w:rPr>
                <w:color w:val="0D0D0D" w:themeColor="text1" w:themeTint="F2"/>
                <w:spacing w:val="-4"/>
                <w:lang w:val="en-GB"/>
              </w:rPr>
              <w:t xml:space="preserve">Number of </w:t>
            </w:r>
            <w:r w:rsidR="00C617B8" w:rsidRPr="006E725C">
              <w:rPr>
                <w:color w:val="0D0D0D" w:themeColor="text1" w:themeTint="F2"/>
                <w:spacing w:val="-4"/>
                <w:lang w:val="en-GB"/>
              </w:rPr>
              <w:t>foreigners</w:t>
            </w:r>
            <w:r w:rsidRPr="006E725C">
              <w:rPr>
                <w:color w:val="0D0D0D" w:themeColor="text1" w:themeTint="F2"/>
                <w:spacing w:val="-4"/>
                <w:lang w:val="en-GB"/>
              </w:rPr>
              <w:t xml:space="preserve"> in the employee position climbed up </w:t>
            </w:r>
            <w:r w:rsidR="00C617B8" w:rsidRPr="006E725C">
              <w:rPr>
                <w:color w:val="0D0D0D" w:themeColor="text1" w:themeTint="F2"/>
                <w:spacing w:val="-4"/>
                <w:lang w:val="en-GB"/>
              </w:rPr>
              <w:t>to 824</w:t>
            </w:r>
            <w:r w:rsidR="00CC7866" w:rsidRPr="006E725C">
              <w:rPr>
                <w:color w:val="0D0D0D" w:themeColor="text1" w:themeTint="F2"/>
                <w:spacing w:val="-4"/>
                <w:lang w:val="en-GB"/>
              </w:rPr>
              <w:t> </w:t>
            </w:r>
            <w:r w:rsidR="00C617B8" w:rsidRPr="006E725C">
              <w:rPr>
                <w:color w:val="0D0D0D" w:themeColor="text1" w:themeTint="F2"/>
                <w:spacing w:val="-4"/>
                <w:lang w:val="en-GB"/>
              </w:rPr>
              <w:t xml:space="preserve">thousand at the end of the </w:t>
            </w:r>
            <w:r w:rsidR="0060342F">
              <w:rPr>
                <w:color w:val="0D0D0D" w:themeColor="text1" w:themeTint="F2"/>
                <w:spacing w:val="-4"/>
                <w:lang w:val="en-GB"/>
              </w:rPr>
              <w:t xml:space="preserve">last </w:t>
            </w:r>
            <w:r w:rsidR="00C617B8" w:rsidRPr="006E725C">
              <w:rPr>
                <w:color w:val="0D0D0D" w:themeColor="text1" w:themeTint="F2"/>
                <w:spacing w:val="-4"/>
                <w:lang w:val="en-GB"/>
              </w:rPr>
              <w:t xml:space="preserve">year. </w:t>
            </w:r>
            <w:r w:rsidR="00A975D7" w:rsidRPr="006E725C">
              <w:rPr>
                <w:color w:val="0D0D0D" w:themeColor="text1" w:themeTint="F2"/>
                <w:spacing w:val="-4"/>
                <w:lang w:val="en-GB"/>
              </w:rPr>
              <w:t xml:space="preserve">Its year-on-year increase was from one half formed by Ukrainians. </w:t>
            </w:r>
            <w:r w:rsidR="00F42F1C" w:rsidRPr="006E725C">
              <w:rPr>
                <w:color w:val="0D0D0D" w:themeColor="text1" w:themeTint="F2"/>
                <w:spacing w:val="-4"/>
                <w:lang w:val="en-GB"/>
              </w:rPr>
              <w:t xml:space="preserve">Inflow of workers from some Asian states accelerated. </w:t>
            </w:r>
          </w:p>
        </w:tc>
        <w:tc>
          <w:tcPr>
            <w:tcW w:w="220" w:type="dxa"/>
            <w:shd w:val="clear" w:color="auto" w:fill="auto"/>
            <w:tcMar>
              <w:left w:w="0" w:type="dxa"/>
            </w:tcMar>
          </w:tcPr>
          <w:p w14:paraId="6C16FA23"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488701C8" w14:textId="347A3052" w:rsidR="00582A12" w:rsidRPr="006E725C" w:rsidRDefault="00137DE5" w:rsidP="00DF70DA">
            <w:pPr>
              <w:spacing w:after="0"/>
              <w:rPr>
                <w:color w:val="0D0D0D" w:themeColor="text1" w:themeTint="F2"/>
                <w:spacing w:val="-4"/>
                <w:lang w:val="en-GB"/>
              </w:rPr>
            </w:pPr>
            <w:r w:rsidRPr="006E725C">
              <w:rPr>
                <w:color w:val="0D0D0D" w:themeColor="text1" w:themeTint="F2"/>
                <w:spacing w:val="-6"/>
                <w:lang w:val="en-GB"/>
              </w:rPr>
              <w:t xml:space="preserve">Long-time limited </w:t>
            </w:r>
            <w:r w:rsidR="00707FD9" w:rsidRPr="006E725C">
              <w:rPr>
                <w:color w:val="0D0D0D" w:themeColor="text1" w:themeTint="F2"/>
                <w:spacing w:val="-6"/>
                <w:lang w:val="en-GB"/>
              </w:rPr>
              <w:t>reserves</w:t>
            </w:r>
            <w:r w:rsidRPr="006E725C">
              <w:rPr>
                <w:color w:val="0D0D0D" w:themeColor="text1" w:themeTint="F2"/>
                <w:spacing w:val="-6"/>
                <w:lang w:val="en-GB"/>
              </w:rPr>
              <w:t xml:space="preserve"> of </w:t>
            </w:r>
            <w:r w:rsidR="005E6C6A" w:rsidRPr="006E725C">
              <w:rPr>
                <w:color w:val="0D0D0D" w:themeColor="text1" w:themeTint="F2"/>
                <w:spacing w:val="-6"/>
                <w:lang w:val="en-GB"/>
              </w:rPr>
              <w:t>available labour force in the CR as well as the rising pressure of firms to optimi</w:t>
            </w:r>
            <w:r w:rsidR="00F27E47" w:rsidRPr="006E725C">
              <w:rPr>
                <w:color w:val="0D0D0D" w:themeColor="text1" w:themeTint="F2"/>
                <w:spacing w:val="-6"/>
                <w:lang w:val="en-GB"/>
              </w:rPr>
              <w:t>se</w:t>
            </w:r>
            <w:r w:rsidR="005E6C6A" w:rsidRPr="006E725C">
              <w:rPr>
                <w:color w:val="0D0D0D" w:themeColor="text1" w:themeTint="F2"/>
                <w:spacing w:val="-6"/>
                <w:lang w:val="en-GB"/>
              </w:rPr>
              <w:t xml:space="preserve"> the production costs </w:t>
            </w:r>
            <w:r w:rsidR="00707FD9" w:rsidRPr="006E725C">
              <w:rPr>
                <w:color w:val="0D0D0D" w:themeColor="text1" w:themeTint="F2"/>
                <w:spacing w:val="-6"/>
                <w:lang w:val="en-GB"/>
              </w:rPr>
              <w:t xml:space="preserve">fed the growing demand of domestic employers for foreign workers. </w:t>
            </w:r>
            <w:r w:rsidR="003F54DF" w:rsidRPr="006E725C">
              <w:rPr>
                <w:color w:val="0D0D0D" w:themeColor="text1" w:themeTint="F2"/>
                <w:spacing w:val="-6"/>
                <w:lang w:val="en-GB"/>
              </w:rPr>
              <w:t xml:space="preserve">Legislative amendments lowering the administrative demands in this area help to ease the employment of foreigners. </w:t>
            </w:r>
            <w:r w:rsidR="00C6270E" w:rsidRPr="006E725C">
              <w:rPr>
                <w:color w:val="0D0D0D" w:themeColor="text1" w:themeTint="F2"/>
                <w:spacing w:val="-6"/>
                <w:lang w:val="en-GB"/>
              </w:rPr>
              <w:t xml:space="preserve">Long-term growth of the influx of foreign workers into the CR thus also continued in year </w:t>
            </w:r>
            <w:r w:rsidR="00582A12" w:rsidRPr="006E725C">
              <w:rPr>
                <w:color w:val="0D0D0D" w:themeColor="text1" w:themeTint="F2"/>
                <w:spacing w:val="-6"/>
                <w:lang w:val="en-GB"/>
              </w:rPr>
              <w:t xml:space="preserve">2023. </w:t>
            </w:r>
            <w:r w:rsidR="00002AE5" w:rsidRPr="006E725C">
              <w:rPr>
                <w:color w:val="0D0D0D" w:themeColor="text1" w:themeTint="F2"/>
                <w:spacing w:val="-6"/>
                <w:lang w:val="en-GB"/>
              </w:rPr>
              <w:t>At its end, 824</w:t>
            </w:r>
            <w:r w:rsidR="00CC7866" w:rsidRPr="006E725C">
              <w:rPr>
                <w:color w:val="0D0D0D" w:themeColor="text1" w:themeTint="F2"/>
                <w:spacing w:val="-6"/>
                <w:lang w:val="en-GB"/>
              </w:rPr>
              <w:t> </w:t>
            </w:r>
            <w:r w:rsidR="00002AE5" w:rsidRPr="006E725C">
              <w:rPr>
                <w:color w:val="0D0D0D" w:themeColor="text1" w:themeTint="F2"/>
                <w:spacing w:val="-6"/>
                <w:lang w:val="en-GB"/>
              </w:rPr>
              <w:t>thousand forei</w:t>
            </w:r>
            <w:r w:rsidR="00D147C5" w:rsidRPr="006E725C">
              <w:rPr>
                <w:color w:val="0D0D0D" w:themeColor="text1" w:themeTint="F2"/>
                <w:spacing w:val="-6"/>
                <w:lang w:val="en-GB"/>
              </w:rPr>
              <w:t xml:space="preserve">gners with the employee status were registered at the MLSA </w:t>
            </w:r>
            <w:r w:rsidR="00582A12" w:rsidRPr="006E725C">
              <w:rPr>
                <w:color w:val="0D0D0D" w:themeColor="text1" w:themeTint="F2"/>
                <w:spacing w:val="-6"/>
                <w:lang w:val="en-GB"/>
              </w:rPr>
              <w:t>(</w:t>
            </w:r>
            <w:r w:rsidR="00D147C5" w:rsidRPr="006E725C">
              <w:rPr>
                <w:color w:val="0D0D0D" w:themeColor="text1" w:themeTint="F2"/>
                <w:spacing w:val="-6"/>
                <w:lang w:val="en-GB"/>
              </w:rPr>
              <w:t>by 31</w:t>
            </w:r>
            <w:r w:rsidR="00CC7866" w:rsidRPr="006E725C">
              <w:rPr>
                <w:color w:val="0D0D0D" w:themeColor="text1" w:themeTint="F2"/>
                <w:spacing w:val="-6"/>
                <w:lang w:val="en-GB"/>
              </w:rPr>
              <w:t> </w:t>
            </w:r>
            <w:r w:rsidR="00D147C5" w:rsidRPr="006E725C">
              <w:rPr>
                <w:color w:val="0D0D0D" w:themeColor="text1" w:themeTint="F2"/>
                <w:spacing w:val="-6"/>
                <w:lang w:val="en-GB"/>
              </w:rPr>
              <w:t>thousand more year-on-year</w:t>
            </w:r>
            <w:r w:rsidR="00DF70DA">
              <w:rPr>
                <w:color w:val="0D0D0D" w:themeColor="text1" w:themeTint="F2"/>
                <w:spacing w:val="-6"/>
                <w:lang w:val="en-GB"/>
              </w:rPr>
              <w:t>). In addition</w:t>
            </w:r>
            <w:r w:rsidR="00582A12" w:rsidRPr="006E725C">
              <w:rPr>
                <w:color w:val="0D0D0D" w:themeColor="text1" w:themeTint="F2"/>
                <w:spacing w:val="-6"/>
                <w:lang w:val="en-GB"/>
              </w:rPr>
              <w:t xml:space="preserve"> </w:t>
            </w:r>
            <w:r w:rsidR="00DF70DA">
              <w:rPr>
                <w:color w:val="0D0D0D" w:themeColor="text1" w:themeTint="F2"/>
                <w:spacing w:val="-6"/>
                <w:lang w:val="en-GB"/>
              </w:rPr>
              <w:t>MIT registered</w:t>
            </w:r>
            <w:r w:rsidR="004F296F" w:rsidRPr="006E725C">
              <w:rPr>
                <w:color w:val="0D0D0D" w:themeColor="text1" w:themeTint="F2"/>
                <w:spacing w:val="-6"/>
                <w:lang w:val="en-GB"/>
              </w:rPr>
              <w:t xml:space="preserve"> 118 thousand (+6 thousand) </w:t>
            </w:r>
            <w:r w:rsidR="00590218" w:rsidRPr="006E725C">
              <w:rPr>
                <w:color w:val="0D0D0D" w:themeColor="text1" w:themeTint="F2"/>
                <w:spacing w:val="-6"/>
                <w:lang w:val="en-GB"/>
              </w:rPr>
              <w:t xml:space="preserve">foreign state </w:t>
            </w:r>
            <w:r w:rsidR="00276FBB" w:rsidRPr="006E725C">
              <w:rPr>
                <w:color w:val="0D0D0D" w:themeColor="text1" w:themeTint="F2"/>
                <w:spacing w:val="-6"/>
                <w:lang w:val="en-GB"/>
              </w:rPr>
              <w:t>nationals’</w:t>
            </w:r>
            <w:r w:rsidR="00ED6A2D" w:rsidRPr="006E725C">
              <w:rPr>
                <w:color w:val="0D0D0D" w:themeColor="text1" w:themeTint="F2"/>
                <w:spacing w:val="-6"/>
                <w:lang w:val="en-GB"/>
              </w:rPr>
              <w:t xml:space="preserve"> </w:t>
            </w:r>
            <w:r w:rsidR="005A6E21" w:rsidRPr="006E725C">
              <w:rPr>
                <w:color w:val="0D0D0D" w:themeColor="text1" w:themeTint="F2"/>
                <w:spacing w:val="-6"/>
                <w:lang w:val="en-GB"/>
              </w:rPr>
              <w:t>trade licence</w:t>
            </w:r>
            <w:r w:rsidR="00527510" w:rsidRPr="006E725C">
              <w:rPr>
                <w:color w:val="0D0D0D" w:themeColor="text1" w:themeTint="F2"/>
                <w:spacing w:val="-6"/>
                <w:lang w:val="en-GB"/>
              </w:rPr>
              <w:t>s</w:t>
            </w:r>
            <w:r w:rsidR="005A6E21" w:rsidRPr="006E725C">
              <w:rPr>
                <w:color w:val="0D0D0D" w:themeColor="text1" w:themeTint="F2"/>
                <w:spacing w:val="-6"/>
                <w:lang w:val="en-GB"/>
              </w:rPr>
              <w:t xml:space="preserve"> in the CR</w:t>
            </w:r>
            <w:r w:rsidR="00582A12" w:rsidRPr="006E725C">
              <w:rPr>
                <w:rStyle w:val="Znakapoznpodarou"/>
                <w:color w:val="0D0D0D" w:themeColor="text1" w:themeTint="F2"/>
                <w:spacing w:val="-6"/>
                <w:lang w:val="en-GB"/>
              </w:rPr>
              <w:footnoteReference w:id="75"/>
            </w:r>
            <w:r w:rsidR="00582A12" w:rsidRPr="006E725C">
              <w:rPr>
                <w:color w:val="0D0D0D" w:themeColor="text1" w:themeTint="F2"/>
                <w:spacing w:val="-6"/>
                <w:lang w:val="en-GB"/>
              </w:rPr>
              <w:t>.</w:t>
            </w:r>
            <w:r w:rsidR="005A6E21" w:rsidRPr="006E725C">
              <w:rPr>
                <w:color w:val="0D0D0D" w:themeColor="text1" w:themeTint="F2"/>
                <w:spacing w:val="-6"/>
                <w:lang w:val="en-GB"/>
              </w:rPr>
              <w:t xml:space="preserve"> </w:t>
            </w:r>
            <w:r w:rsidR="00304D16" w:rsidRPr="006E725C">
              <w:rPr>
                <w:color w:val="0D0D0D" w:themeColor="text1" w:themeTint="F2"/>
                <w:spacing w:val="-6"/>
                <w:lang w:val="en-GB"/>
              </w:rPr>
              <w:t xml:space="preserve">In both </w:t>
            </w:r>
            <w:r w:rsidR="00276FBB" w:rsidRPr="006E725C">
              <w:rPr>
                <w:color w:val="0D0D0D" w:themeColor="text1" w:themeTint="F2"/>
                <w:spacing w:val="-6"/>
                <w:lang w:val="en-GB"/>
              </w:rPr>
              <w:t>cases,</w:t>
            </w:r>
            <w:r w:rsidR="00304D16" w:rsidRPr="006E725C">
              <w:rPr>
                <w:color w:val="0D0D0D" w:themeColor="text1" w:themeTint="F2"/>
                <w:spacing w:val="-6"/>
                <w:lang w:val="en-GB"/>
              </w:rPr>
              <w:t xml:space="preserve"> a notable slowdown occurred in comparison to year 2022, however it can be for the most part ascribed to the </w:t>
            </w:r>
            <w:r w:rsidR="00956D75" w:rsidRPr="006E725C">
              <w:rPr>
                <w:color w:val="0D0D0D" w:themeColor="text1" w:themeTint="F2"/>
                <w:spacing w:val="-6"/>
                <w:lang w:val="en-GB"/>
              </w:rPr>
              <w:t>unprecedented</w:t>
            </w:r>
            <w:r w:rsidR="00304D16" w:rsidRPr="006E725C">
              <w:rPr>
                <w:color w:val="0D0D0D" w:themeColor="text1" w:themeTint="F2"/>
                <w:spacing w:val="-6"/>
                <w:lang w:val="en-GB"/>
              </w:rPr>
              <w:t xml:space="preserve"> refugee wave </w:t>
            </w:r>
            <w:r w:rsidR="00956D75" w:rsidRPr="006E725C">
              <w:rPr>
                <w:color w:val="0D0D0D" w:themeColor="text1" w:themeTint="F2"/>
                <w:spacing w:val="-6"/>
                <w:lang w:val="en-GB"/>
              </w:rPr>
              <w:t>from Ukraine, which culm</w:t>
            </w:r>
            <w:r w:rsidR="00DF70DA">
              <w:rPr>
                <w:color w:val="0D0D0D" w:themeColor="text1" w:themeTint="F2"/>
                <w:spacing w:val="-6"/>
                <w:lang w:val="en-GB"/>
              </w:rPr>
              <w:t>inated just in the year of 2022</w:t>
            </w:r>
            <w:r w:rsidR="00582A12" w:rsidRPr="006E725C">
              <w:rPr>
                <w:rStyle w:val="Znakapoznpodarou"/>
                <w:color w:val="0D0D0D" w:themeColor="text1" w:themeTint="F2"/>
                <w:spacing w:val="-6"/>
                <w:lang w:val="en-GB"/>
              </w:rPr>
              <w:footnoteReference w:id="76"/>
            </w:r>
            <w:r w:rsidR="00582A12" w:rsidRPr="006E725C">
              <w:rPr>
                <w:color w:val="0D0D0D" w:themeColor="text1" w:themeTint="F2"/>
                <w:spacing w:val="-6"/>
                <w:lang w:val="en-GB"/>
              </w:rPr>
              <w:t xml:space="preserve">. </w:t>
            </w:r>
            <w:r w:rsidR="0092691E" w:rsidRPr="006E725C">
              <w:rPr>
                <w:color w:val="0D0D0D" w:themeColor="text1" w:themeTint="F2"/>
                <w:spacing w:val="-6"/>
                <w:lang w:val="en-GB"/>
              </w:rPr>
              <w:t xml:space="preserve">In spite of this, </w:t>
            </w:r>
            <w:r w:rsidR="0098000C">
              <w:rPr>
                <w:color w:val="0D0D0D" w:themeColor="text1" w:themeTint="F2"/>
                <w:spacing w:val="-6"/>
                <w:lang w:val="en-GB"/>
              </w:rPr>
              <w:t xml:space="preserve">Ukrainians comprised </w:t>
            </w:r>
            <w:r w:rsidR="009A439F" w:rsidRPr="006E725C">
              <w:rPr>
                <w:color w:val="0D0D0D" w:themeColor="text1" w:themeTint="F2"/>
                <w:spacing w:val="-6"/>
                <w:lang w:val="en-GB"/>
              </w:rPr>
              <w:t xml:space="preserve">one half of the higher number of foreigners in the employee position for the last year </w:t>
            </w:r>
            <w:r w:rsidR="00582A12" w:rsidRPr="006E725C">
              <w:rPr>
                <w:color w:val="0D0D0D" w:themeColor="text1" w:themeTint="F2"/>
                <w:spacing w:val="-6"/>
                <w:lang w:val="en-GB"/>
              </w:rPr>
              <w:t>(+15</w:t>
            </w:r>
            <w:r w:rsidR="009A439F" w:rsidRPr="006E725C">
              <w:rPr>
                <w:color w:val="0D0D0D" w:themeColor="text1" w:themeTint="F2"/>
                <w:spacing w:val="-6"/>
                <w:lang w:val="en-GB"/>
              </w:rPr>
              <w:t>.</w:t>
            </w:r>
            <w:r w:rsidR="00582A12" w:rsidRPr="006E725C">
              <w:rPr>
                <w:color w:val="0D0D0D" w:themeColor="text1" w:themeTint="F2"/>
                <w:spacing w:val="-6"/>
                <w:lang w:val="en-GB"/>
              </w:rPr>
              <w:t>7</w:t>
            </w:r>
            <w:r w:rsidR="009A439F" w:rsidRPr="006E725C">
              <w:rPr>
                <w:color w:val="0D0D0D" w:themeColor="text1" w:themeTint="F2"/>
                <w:spacing w:val="-6"/>
                <w:lang w:val="en-GB"/>
              </w:rPr>
              <w:t xml:space="preserve"> thousand</w:t>
            </w:r>
            <w:r w:rsidR="00582A12" w:rsidRPr="006E725C">
              <w:rPr>
                <w:color w:val="0D0D0D" w:themeColor="text1" w:themeTint="F2"/>
                <w:spacing w:val="-6"/>
                <w:lang w:val="en-GB"/>
              </w:rPr>
              <w:t>,</w:t>
            </w:r>
            <w:r w:rsidR="009A439F" w:rsidRPr="006E725C">
              <w:rPr>
                <w:color w:val="0D0D0D" w:themeColor="text1" w:themeTint="F2"/>
                <w:spacing w:val="-6"/>
                <w:lang w:val="en-GB"/>
              </w:rPr>
              <w:t xml:space="preserve"> in that females </w:t>
            </w:r>
            <w:r w:rsidR="00582A12" w:rsidRPr="006E725C">
              <w:rPr>
                <w:color w:val="0D0D0D" w:themeColor="text1" w:themeTint="F2"/>
                <w:spacing w:val="-6"/>
                <w:lang w:val="en-GB"/>
              </w:rPr>
              <w:t>+9</w:t>
            </w:r>
            <w:r w:rsidR="009A439F" w:rsidRPr="006E725C">
              <w:rPr>
                <w:color w:val="0D0D0D" w:themeColor="text1" w:themeTint="F2"/>
                <w:spacing w:val="-6"/>
                <w:lang w:val="en-GB"/>
              </w:rPr>
              <w:t>.</w:t>
            </w:r>
            <w:r w:rsidR="00582A12" w:rsidRPr="006E725C">
              <w:rPr>
                <w:color w:val="0D0D0D" w:themeColor="text1" w:themeTint="F2"/>
                <w:spacing w:val="-6"/>
                <w:lang w:val="en-GB"/>
              </w:rPr>
              <w:t>2</w:t>
            </w:r>
            <w:r w:rsidR="00CC7866" w:rsidRPr="006E725C">
              <w:rPr>
                <w:color w:val="0D0D0D" w:themeColor="text1" w:themeTint="F2"/>
                <w:spacing w:val="-6"/>
                <w:lang w:val="en-GB"/>
              </w:rPr>
              <w:t> </w:t>
            </w:r>
            <w:r w:rsidR="00582A12" w:rsidRPr="006E725C">
              <w:rPr>
                <w:color w:val="0D0D0D" w:themeColor="text1" w:themeTint="F2"/>
                <w:spacing w:val="-6"/>
                <w:lang w:val="en-GB"/>
              </w:rPr>
              <w:t>t</w:t>
            </w:r>
            <w:r w:rsidR="009A439F" w:rsidRPr="006E725C">
              <w:rPr>
                <w:color w:val="0D0D0D" w:themeColor="text1" w:themeTint="F2"/>
                <w:spacing w:val="-6"/>
                <w:lang w:val="en-GB"/>
              </w:rPr>
              <w:t>housand</w:t>
            </w:r>
            <w:r w:rsidR="00582A12" w:rsidRPr="006E725C">
              <w:rPr>
                <w:color w:val="0D0D0D" w:themeColor="text1" w:themeTint="F2"/>
                <w:spacing w:val="-6"/>
                <w:lang w:val="en-GB"/>
              </w:rPr>
              <w:t xml:space="preserve">), </w:t>
            </w:r>
            <w:r w:rsidR="00C8602D" w:rsidRPr="006E725C">
              <w:rPr>
                <w:color w:val="0D0D0D" w:themeColor="text1" w:themeTint="F2"/>
                <w:spacing w:val="-6"/>
                <w:lang w:val="en-GB"/>
              </w:rPr>
              <w:t xml:space="preserve">among other </w:t>
            </w:r>
            <w:r w:rsidR="00DF70DA">
              <w:rPr>
                <w:color w:val="0D0D0D" w:themeColor="text1" w:themeTint="F2"/>
                <w:spacing w:val="-6"/>
                <w:lang w:val="en-GB"/>
              </w:rPr>
              <w:t xml:space="preserve">non-European </w:t>
            </w:r>
            <w:r w:rsidR="00C8602D" w:rsidRPr="006E725C">
              <w:rPr>
                <w:color w:val="0D0D0D" w:themeColor="text1" w:themeTint="F2"/>
                <w:spacing w:val="-6"/>
                <w:lang w:val="en-GB"/>
              </w:rPr>
              <w:t>countries then Filipino</w:t>
            </w:r>
            <w:r w:rsidR="00DF70DA">
              <w:rPr>
                <w:color w:val="0D0D0D" w:themeColor="text1" w:themeTint="F2"/>
                <w:spacing w:val="-6"/>
                <w:lang w:val="en-GB"/>
              </w:rPr>
              <w:t>s</w:t>
            </w:r>
            <w:r w:rsidR="00C8602D" w:rsidRPr="006E725C">
              <w:rPr>
                <w:color w:val="0D0D0D" w:themeColor="text1" w:themeTint="F2"/>
                <w:spacing w:val="-6"/>
                <w:lang w:val="en-GB"/>
              </w:rPr>
              <w:t xml:space="preserve"> </w:t>
            </w:r>
            <w:r w:rsidR="00582A12" w:rsidRPr="006E725C">
              <w:rPr>
                <w:color w:val="0D0D0D" w:themeColor="text1" w:themeTint="F2"/>
                <w:spacing w:val="-6"/>
                <w:lang w:val="en-GB"/>
              </w:rPr>
              <w:t>(+2</w:t>
            </w:r>
            <w:r w:rsidR="00C8602D" w:rsidRPr="006E725C">
              <w:rPr>
                <w:color w:val="0D0D0D" w:themeColor="text1" w:themeTint="F2"/>
                <w:spacing w:val="-6"/>
                <w:lang w:val="en-GB"/>
              </w:rPr>
              <w:t>.</w:t>
            </w:r>
            <w:r w:rsidR="00582A12" w:rsidRPr="006E725C">
              <w:rPr>
                <w:color w:val="0D0D0D" w:themeColor="text1" w:themeTint="F2"/>
                <w:spacing w:val="-6"/>
                <w:lang w:val="en-GB"/>
              </w:rPr>
              <w:t>4</w:t>
            </w:r>
            <w:r w:rsidR="00CC7866" w:rsidRPr="006E725C">
              <w:rPr>
                <w:color w:val="0D0D0D" w:themeColor="text1" w:themeTint="F2"/>
                <w:spacing w:val="-6"/>
                <w:lang w:val="en-GB"/>
              </w:rPr>
              <w:t> </w:t>
            </w:r>
            <w:r w:rsidR="00582A12" w:rsidRPr="006E725C">
              <w:rPr>
                <w:color w:val="0D0D0D" w:themeColor="text1" w:themeTint="F2"/>
                <w:spacing w:val="-6"/>
                <w:lang w:val="en-GB"/>
              </w:rPr>
              <w:t>t</w:t>
            </w:r>
            <w:r w:rsidR="00C8602D" w:rsidRPr="006E725C">
              <w:rPr>
                <w:color w:val="0D0D0D" w:themeColor="text1" w:themeTint="F2"/>
                <w:spacing w:val="-6"/>
                <w:lang w:val="en-GB"/>
              </w:rPr>
              <w:t>housand, whose number increased by one half year-on-year</w:t>
            </w:r>
            <w:r w:rsidR="00582A12" w:rsidRPr="006E725C">
              <w:rPr>
                <w:color w:val="0D0D0D" w:themeColor="text1" w:themeTint="F2"/>
                <w:spacing w:val="-6"/>
                <w:lang w:val="en-GB"/>
              </w:rPr>
              <w:t>), Ind</w:t>
            </w:r>
            <w:r w:rsidR="009F6CD1" w:rsidRPr="006E725C">
              <w:rPr>
                <w:color w:val="0D0D0D" w:themeColor="text1" w:themeTint="F2"/>
                <w:spacing w:val="-6"/>
                <w:lang w:val="en-GB"/>
              </w:rPr>
              <w:t xml:space="preserve">ians </w:t>
            </w:r>
            <w:r w:rsidR="00582A12" w:rsidRPr="006E725C">
              <w:rPr>
                <w:color w:val="0D0D0D" w:themeColor="text1" w:themeTint="F2"/>
                <w:spacing w:val="-6"/>
                <w:lang w:val="en-GB"/>
              </w:rPr>
              <w:t>(+1</w:t>
            </w:r>
            <w:r w:rsidR="009F6CD1" w:rsidRPr="006E725C">
              <w:rPr>
                <w:color w:val="0D0D0D" w:themeColor="text1" w:themeTint="F2"/>
                <w:spacing w:val="-6"/>
                <w:lang w:val="en-GB"/>
              </w:rPr>
              <w:t>.</w:t>
            </w:r>
            <w:r w:rsidR="00582A12" w:rsidRPr="006E725C">
              <w:rPr>
                <w:color w:val="0D0D0D" w:themeColor="text1" w:themeTint="F2"/>
                <w:spacing w:val="-6"/>
                <w:lang w:val="en-GB"/>
              </w:rPr>
              <w:t>2 t</w:t>
            </w:r>
            <w:r w:rsidR="009F6CD1" w:rsidRPr="006E725C">
              <w:rPr>
                <w:color w:val="0D0D0D" w:themeColor="text1" w:themeTint="F2"/>
                <w:spacing w:val="-6"/>
                <w:lang w:val="en-GB"/>
              </w:rPr>
              <w:t>housand</w:t>
            </w:r>
            <w:r w:rsidR="00582A12" w:rsidRPr="006E725C">
              <w:rPr>
                <w:color w:val="0D0D0D" w:themeColor="text1" w:themeTint="F2"/>
                <w:spacing w:val="-6"/>
                <w:lang w:val="en-GB"/>
              </w:rPr>
              <w:t>) a</w:t>
            </w:r>
            <w:r w:rsidR="009F6CD1" w:rsidRPr="006E725C">
              <w:rPr>
                <w:color w:val="0D0D0D" w:themeColor="text1" w:themeTint="F2"/>
                <w:spacing w:val="-6"/>
                <w:lang w:val="en-GB"/>
              </w:rPr>
              <w:t xml:space="preserve">nd Turks </w:t>
            </w:r>
            <w:r w:rsidR="00582A12" w:rsidRPr="006E725C">
              <w:rPr>
                <w:color w:val="0D0D0D" w:themeColor="text1" w:themeTint="F2"/>
                <w:spacing w:val="-6"/>
                <w:lang w:val="en-GB"/>
              </w:rPr>
              <w:t>(+1</w:t>
            </w:r>
            <w:r w:rsidR="009F6CD1" w:rsidRPr="006E725C">
              <w:rPr>
                <w:color w:val="0D0D0D" w:themeColor="text1" w:themeTint="F2"/>
                <w:spacing w:val="-6"/>
                <w:lang w:val="en-GB"/>
              </w:rPr>
              <w:t>.</w:t>
            </w:r>
            <w:r w:rsidR="00582A12" w:rsidRPr="006E725C">
              <w:rPr>
                <w:color w:val="0D0D0D" w:themeColor="text1" w:themeTint="F2"/>
                <w:spacing w:val="-6"/>
                <w:lang w:val="en-GB"/>
              </w:rPr>
              <w:t>1</w:t>
            </w:r>
            <w:r w:rsidR="00CC7866" w:rsidRPr="006E725C">
              <w:rPr>
                <w:color w:val="0D0D0D" w:themeColor="text1" w:themeTint="F2"/>
                <w:spacing w:val="-6"/>
                <w:lang w:val="en-GB"/>
              </w:rPr>
              <w:t> </w:t>
            </w:r>
            <w:r w:rsidR="00582A12" w:rsidRPr="006E725C">
              <w:rPr>
                <w:color w:val="0D0D0D" w:themeColor="text1" w:themeTint="F2"/>
                <w:spacing w:val="-6"/>
                <w:lang w:val="en-GB"/>
              </w:rPr>
              <w:t>t</w:t>
            </w:r>
            <w:r w:rsidR="009F6CD1" w:rsidRPr="006E725C">
              <w:rPr>
                <w:color w:val="0D0D0D" w:themeColor="text1" w:themeTint="F2"/>
                <w:spacing w:val="-6"/>
                <w:lang w:val="en-GB"/>
              </w:rPr>
              <w:t>housand</w:t>
            </w:r>
            <w:r w:rsidR="00582A12" w:rsidRPr="006E725C">
              <w:rPr>
                <w:color w:val="0D0D0D" w:themeColor="text1" w:themeTint="F2"/>
                <w:spacing w:val="-6"/>
                <w:lang w:val="en-GB"/>
              </w:rPr>
              <w:t xml:space="preserve">). </w:t>
            </w:r>
            <w:r w:rsidR="00DA107E" w:rsidRPr="006E725C">
              <w:rPr>
                <w:color w:val="0D0D0D" w:themeColor="text1" w:themeTint="F2"/>
                <w:spacing w:val="-6"/>
                <w:lang w:val="en-GB"/>
              </w:rPr>
              <w:t xml:space="preserve">Only number of Slovakians increased </w:t>
            </w:r>
            <w:r w:rsidR="00DF70DA">
              <w:rPr>
                <w:color w:val="0D0D0D" w:themeColor="text1" w:themeTint="F2"/>
                <w:spacing w:val="-6"/>
                <w:lang w:val="en-GB"/>
              </w:rPr>
              <w:t xml:space="preserve">significantly </w:t>
            </w:r>
            <w:r w:rsidR="00DA107E" w:rsidRPr="006E725C">
              <w:rPr>
                <w:color w:val="0D0D0D" w:themeColor="text1" w:themeTint="F2"/>
                <w:spacing w:val="-6"/>
                <w:lang w:val="en-GB"/>
              </w:rPr>
              <w:t xml:space="preserve">among the EU states </w:t>
            </w:r>
            <w:r w:rsidR="00582A12" w:rsidRPr="006E725C">
              <w:rPr>
                <w:color w:val="0D0D0D" w:themeColor="text1" w:themeTint="F2"/>
                <w:spacing w:val="-6"/>
                <w:lang w:val="en-GB"/>
              </w:rPr>
              <w:t>(+2</w:t>
            </w:r>
            <w:r w:rsidR="00DA107E" w:rsidRPr="006E725C">
              <w:rPr>
                <w:color w:val="0D0D0D" w:themeColor="text1" w:themeTint="F2"/>
                <w:spacing w:val="-6"/>
                <w:lang w:val="en-GB"/>
              </w:rPr>
              <w:t>.</w:t>
            </w:r>
            <w:r w:rsidR="00582A12" w:rsidRPr="006E725C">
              <w:rPr>
                <w:color w:val="0D0D0D" w:themeColor="text1" w:themeTint="F2"/>
                <w:spacing w:val="-6"/>
                <w:lang w:val="en-GB"/>
              </w:rPr>
              <w:t>8</w:t>
            </w:r>
            <w:r w:rsidR="00CC7866" w:rsidRPr="006E725C">
              <w:rPr>
                <w:color w:val="0D0D0D" w:themeColor="text1" w:themeTint="F2"/>
                <w:spacing w:val="-6"/>
                <w:lang w:val="en-GB"/>
              </w:rPr>
              <w:t> </w:t>
            </w:r>
            <w:r w:rsidR="00582A12" w:rsidRPr="006E725C">
              <w:rPr>
                <w:color w:val="0D0D0D" w:themeColor="text1" w:themeTint="F2"/>
                <w:spacing w:val="-6"/>
                <w:lang w:val="en-GB"/>
              </w:rPr>
              <w:t>t</w:t>
            </w:r>
            <w:r w:rsidR="00DA107E" w:rsidRPr="006E725C">
              <w:rPr>
                <w:color w:val="0D0D0D" w:themeColor="text1" w:themeTint="F2"/>
                <w:spacing w:val="-6"/>
                <w:lang w:val="en-GB"/>
              </w:rPr>
              <w:t>housand</w:t>
            </w:r>
            <w:r w:rsidR="00582A12" w:rsidRPr="006E725C">
              <w:rPr>
                <w:color w:val="0D0D0D" w:themeColor="text1" w:themeTint="F2"/>
                <w:spacing w:val="-6"/>
                <w:lang w:val="en-GB"/>
              </w:rPr>
              <w:t>, relativ</w:t>
            </w:r>
            <w:r w:rsidR="001E40B1" w:rsidRPr="006E725C">
              <w:rPr>
                <w:color w:val="0D0D0D" w:themeColor="text1" w:themeTint="F2"/>
                <w:spacing w:val="-6"/>
                <w:lang w:val="en-GB"/>
              </w:rPr>
              <w:t xml:space="preserve">ely however only by </w:t>
            </w:r>
            <w:r w:rsidR="00582A12" w:rsidRPr="006E725C">
              <w:rPr>
                <w:color w:val="0D0D0D" w:themeColor="text1" w:themeTint="F2"/>
                <w:spacing w:val="-6"/>
                <w:lang w:val="en-GB"/>
              </w:rPr>
              <w:t>1</w:t>
            </w:r>
            <w:r w:rsidR="001E40B1" w:rsidRPr="006E725C">
              <w:rPr>
                <w:color w:val="0D0D0D" w:themeColor="text1" w:themeTint="F2"/>
                <w:spacing w:val="-6"/>
                <w:lang w:val="en-GB"/>
              </w:rPr>
              <w:t>.</w:t>
            </w:r>
            <w:r w:rsidR="00582A12" w:rsidRPr="006E725C">
              <w:rPr>
                <w:color w:val="0D0D0D" w:themeColor="text1" w:themeTint="F2"/>
                <w:spacing w:val="-6"/>
                <w:lang w:val="en-GB"/>
              </w:rPr>
              <w:t>3%),</w:t>
            </w:r>
            <w:r w:rsidR="001E40B1" w:rsidRPr="006E725C">
              <w:rPr>
                <w:color w:val="0D0D0D" w:themeColor="text1" w:themeTint="F2"/>
                <w:spacing w:val="-6"/>
                <w:lang w:val="en-GB"/>
              </w:rPr>
              <w:t xml:space="preserve"> on the contrary number of citizens of Romania and Bulgaria slightly decreased for the second year in a row. </w:t>
            </w:r>
          </w:p>
        </w:tc>
      </w:tr>
      <w:tr w:rsidR="00582A12" w:rsidRPr="006E725C" w14:paraId="437D3ED5" w14:textId="77777777" w:rsidTr="00BA5125">
        <w:trPr>
          <w:trHeight w:val="155"/>
        </w:trPr>
        <w:tc>
          <w:tcPr>
            <w:tcW w:w="1754" w:type="dxa"/>
            <w:shd w:val="clear" w:color="auto" w:fill="auto"/>
            <w:tcMar>
              <w:left w:w="0" w:type="dxa"/>
            </w:tcMar>
          </w:tcPr>
          <w:p w14:paraId="3226A658" w14:textId="1004BCEE" w:rsidR="00582A12" w:rsidRPr="006E725C" w:rsidRDefault="00071B5D" w:rsidP="00BA5125">
            <w:pPr>
              <w:pStyle w:val="Marginlie"/>
              <w:spacing w:after="120"/>
              <w:rPr>
                <w:color w:val="0D0D0D" w:themeColor="text1" w:themeTint="F2"/>
                <w:spacing w:val="-4"/>
                <w:lang w:val="en-GB"/>
              </w:rPr>
            </w:pPr>
            <w:r w:rsidRPr="006E725C">
              <w:rPr>
                <w:color w:val="0D0D0D" w:themeColor="text1" w:themeTint="F2"/>
                <w:spacing w:val="-4"/>
                <w:lang w:val="en-GB"/>
              </w:rPr>
              <w:lastRenderedPageBreak/>
              <w:t xml:space="preserve">More frequent use of part-time job </w:t>
            </w:r>
            <w:r w:rsidR="003E347A" w:rsidRPr="006E725C">
              <w:rPr>
                <w:color w:val="0D0D0D" w:themeColor="text1" w:themeTint="F2"/>
                <w:spacing w:val="-4"/>
                <w:lang w:val="en-GB"/>
              </w:rPr>
              <w:t>contracts</w:t>
            </w:r>
            <w:r w:rsidRPr="006E725C">
              <w:rPr>
                <w:color w:val="0D0D0D" w:themeColor="text1" w:themeTint="F2"/>
                <w:spacing w:val="-4"/>
                <w:lang w:val="en-GB"/>
              </w:rPr>
              <w:t xml:space="preserve"> </w:t>
            </w:r>
            <w:r w:rsidR="003E347A" w:rsidRPr="006E725C">
              <w:rPr>
                <w:color w:val="0D0D0D" w:themeColor="text1" w:themeTint="F2"/>
                <w:spacing w:val="-4"/>
                <w:lang w:val="en-GB"/>
              </w:rPr>
              <w:t>worked against faster growth of hours worked</w:t>
            </w:r>
            <w:r w:rsidR="00CC5A69">
              <w:rPr>
                <w:color w:val="0D0D0D" w:themeColor="text1" w:themeTint="F2"/>
                <w:spacing w:val="-4"/>
                <w:lang w:val="en-GB"/>
              </w:rPr>
              <w:t xml:space="preserve"> in economy</w:t>
            </w:r>
            <w:r w:rsidR="003E347A" w:rsidRPr="006E725C">
              <w:rPr>
                <w:color w:val="0D0D0D" w:themeColor="text1" w:themeTint="F2"/>
                <w:spacing w:val="-4"/>
                <w:lang w:val="en-GB"/>
              </w:rPr>
              <w:t xml:space="preserve">, especially in services. </w:t>
            </w:r>
          </w:p>
        </w:tc>
        <w:tc>
          <w:tcPr>
            <w:tcW w:w="220" w:type="dxa"/>
            <w:shd w:val="clear" w:color="auto" w:fill="auto"/>
            <w:tcMar>
              <w:left w:w="0" w:type="dxa"/>
            </w:tcMar>
          </w:tcPr>
          <w:p w14:paraId="0FC84920"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11AA0B39" w14:textId="0A63D8D5" w:rsidR="00582A12" w:rsidRPr="006E725C" w:rsidRDefault="00CB183C" w:rsidP="004D58C0">
            <w:pPr>
              <w:rPr>
                <w:color w:val="0D0D0D" w:themeColor="text1" w:themeTint="F2"/>
                <w:spacing w:val="-4"/>
                <w:lang w:val="en-GB"/>
              </w:rPr>
            </w:pPr>
            <w:r w:rsidRPr="006E725C">
              <w:rPr>
                <w:color w:val="0D0D0D" w:themeColor="text1" w:themeTint="F2"/>
                <w:spacing w:val="-4"/>
                <w:lang w:val="en-GB"/>
              </w:rPr>
              <w:t>Total number of hours worked nearly returned to the level from year 2019 in the economy last year</w:t>
            </w:r>
            <w:r w:rsidR="00582A12" w:rsidRPr="006E725C">
              <w:rPr>
                <w:color w:val="0D0D0D" w:themeColor="text1" w:themeTint="F2"/>
                <w:spacing w:val="-4"/>
                <w:lang w:val="en-GB"/>
              </w:rPr>
              <w:t>.</w:t>
            </w:r>
            <w:r w:rsidRPr="006E725C">
              <w:rPr>
                <w:color w:val="0D0D0D" w:themeColor="text1" w:themeTint="F2"/>
                <w:spacing w:val="-4"/>
                <w:lang w:val="en-GB"/>
              </w:rPr>
              <w:t xml:space="preserve"> It increased by 0.6% year-on-year </w:t>
            </w:r>
            <w:r w:rsidR="00582A12" w:rsidRPr="006E725C">
              <w:rPr>
                <w:color w:val="0D0D0D" w:themeColor="text1" w:themeTint="F2"/>
                <w:spacing w:val="-4"/>
                <w:lang w:val="en-GB"/>
              </w:rPr>
              <w:t>(</w:t>
            </w:r>
            <w:r w:rsidRPr="006E725C">
              <w:rPr>
                <w:color w:val="0D0D0D" w:themeColor="text1" w:themeTint="F2"/>
                <w:spacing w:val="-4"/>
                <w:lang w:val="en-GB"/>
              </w:rPr>
              <w:t xml:space="preserve">comparably to </w:t>
            </w:r>
            <w:r w:rsidR="00A82F4D">
              <w:rPr>
                <w:color w:val="0D0D0D" w:themeColor="text1" w:themeTint="F2"/>
                <w:spacing w:val="-4"/>
                <w:lang w:val="en-GB"/>
              </w:rPr>
              <w:t xml:space="preserve">the growth of </w:t>
            </w:r>
            <w:r w:rsidRPr="006E725C">
              <w:rPr>
                <w:color w:val="0D0D0D" w:themeColor="text1" w:themeTint="F2"/>
                <w:spacing w:val="-4"/>
                <w:lang w:val="en-GB"/>
              </w:rPr>
              <w:t>total employment</w:t>
            </w:r>
            <w:r w:rsidR="00351DF5">
              <w:rPr>
                <w:color w:val="0D0D0D" w:themeColor="text1" w:themeTint="F2"/>
                <w:spacing w:val="-4"/>
                <w:lang w:val="en-GB"/>
              </w:rPr>
              <w:t xml:space="preserve"> in physical persons</w:t>
            </w:r>
            <w:r w:rsidRPr="006E725C">
              <w:rPr>
                <w:color w:val="0D0D0D" w:themeColor="text1" w:themeTint="F2"/>
                <w:spacing w:val="-4"/>
                <w:lang w:val="en-GB"/>
              </w:rPr>
              <w:t xml:space="preserve">, </w:t>
            </w:r>
            <w:r w:rsidR="0028120B" w:rsidRPr="006E725C">
              <w:rPr>
                <w:color w:val="0D0D0D" w:themeColor="text1" w:themeTint="F2"/>
                <w:spacing w:val="-4"/>
                <w:lang w:val="en-GB"/>
              </w:rPr>
              <w:t xml:space="preserve">the hours worked were </w:t>
            </w:r>
            <w:r w:rsidR="00C32807" w:rsidRPr="006E725C">
              <w:rPr>
                <w:color w:val="0D0D0D" w:themeColor="text1" w:themeTint="F2"/>
                <w:spacing w:val="-4"/>
                <w:lang w:val="en-GB"/>
              </w:rPr>
              <w:t xml:space="preserve">nevertheless </w:t>
            </w:r>
            <w:r w:rsidR="0028120B" w:rsidRPr="006E725C">
              <w:rPr>
                <w:color w:val="0D0D0D" w:themeColor="text1" w:themeTint="F2"/>
                <w:spacing w:val="-4"/>
                <w:lang w:val="en-GB"/>
              </w:rPr>
              <w:t>substantially overt</w:t>
            </w:r>
            <w:r w:rsidR="00A82F4D">
              <w:rPr>
                <w:color w:val="0D0D0D" w:themeColor="text1" w:themeTint="F2"/>
                <w:spacing w:val="-4"/>
                <w:lang w:val="en-GB"/>
              </w:rPr>
              <w:t>aking the employment growth</w:t>
            </w:r>
            <w:r w:rsidR="0028120B" w:rsidRPr="006E725C">
              <w:rPr>
                <w:color w:val="0D0D0D" w:themeColor="text1" w:themeTint="F2"/>
                <w:spacing w:val="-4"/>
                <w:lang w:val="en-GB"/>
              </w:rPr>
              <w:t xml:space="preserve"> for the whole </w:t>
            </w:r>
            <w:r w:rsidR="00582A12" w:rsidRPr="006E725C">
              <w:rPr>
                <w:color w:val="0D0D0D" w:themeColor="text1" w:themeTint="F2"/>
                <w:spacing w:val="-4"/>
                <w:lang w:val="en-GB"/>
              </w:rPr>
              <w:t xml:space="preserve">2022). </w:t>
            </w:r>
            <w:r w:rsidR="00351DF5" w:rsidRPr="006E725C">
              <w:rPr>
                <w:color w:val="0D0D0D" w:themeColor="text1" w:themeTint="F2"/>
                <w:spacing w:val="-4"/>
                <w:lang w:val="en-GB"/>
              </w:rPr>
              <w:t>More frequent use</w:t>
            </w:r>
            <w:r w:rsidR="002D25D3" w:rsidRPr="006E725C">
              <w:rPr>
                <w:color w:val="0D0D0D" w:themeColor="text1" w:themeTint="F2"/>
                <w:spacing w:val="-4"/>
                <w:lang w:val="en-GB"/>
              </w:rPr>
              <w:t xml:space="preserve"> of the part-ti</w:t>
            </w:r>
            <w:r w:rsidR="00A82F4D">
              <w:rPr>
                <w:color w:val="0D0D0D" w:themeColor="text1" w:themeTint="F2"/>
                <w:spacing w:val="-4"/>
                <w:lang w:val="en-GB"/>
              </w:rPr>
              <w:t>me job contracts (</w:t>
            </w:r>
            <w:r w:rsidR="00A82F4D" w:rsidRPr="00A82F4D">
              <w:rPr>
                <w:color w:val="0D0D0D" w:themeColor="text1" w:themeTint="F2"/>
                <w:spacing w:val="-4"/>
                <w:lang w:val="en-GB"/>
              </w:rPr>
              <w:t>nourished</w:t>
            </w:r>
            <w:r w:rsidR="00A82F4D">
              <w:rPr>
                <w:color w:val="0D0D0D" w:themeColor="text1" w:themeTint="F2"/>
                <w:spacing w:val="-4"/>
                <w:lang w:val="en-GB"/>
              </w:rPr>
              <w:t xml:space="preserve"> by</w:t>
            </w:r>
            <w:r w:rsidR="002D25D3" w:rsidRPr="006E725C">
              <w:rPr>
                <w:color w:val="0D0D0D" w:themeColor="text1" w:themeTint="F2"/>
                <w:spacing w:val="-4"/>
                <w:lang w:val="en-GB"/>
              </w:rPr>
              <w:t xml:space="preserve"> </w:t>
            </w:r>
            <w:r w:rsidR="004D76A4" w:rsidRPr="006E725C">
              <w:rPr>
                <w:color w:val="0D0D0D" w:themeColor="text1" w:themeTint="F2"/>
                <w:spacing w:val="-4"/>
                <w:lang w:val="en-GB"/>
              </w:rPr>
              <w:t xml:space="preserve">rising </w:t>
            </w:r>
            <w:r w:rsidR="00351DF5">
              <w:rPr>
                <w:color w:val="0D0D0D" w:themeColor="text1" w:themeTint="F2"/>
                <w:spacing w:val="-4"/>
                <w:lang w:val="en-GB"/>
              </w:rPr>
              <w:t xml:space="preserve">employment of females </w:t>
            </w:r>
            <w:r w:rsidR="00A82F4D">
              <w:rPr>
                <w:color w:val="0D0D0D" w:themeColor="text1" w:themeTint="F2"/>
                <w:spacing w:val="-4"/>
                <w:lang w:val="en-GB"/>
              </w:rPr>
              <w:t xml:space="preserve">which was </w:t>
            </w:r>
            <w:r w:rsidR="00351DF5">
              <w:rPr>
                <w:color w:val="0D0D0D" w:themeColor="text1" w:themeTint="F2"/>
                <w:spacing w:val="-4"/>
                <w:lang w:val="en-GB"/>
              </w:rPr>
              <w:t>connected also to</w:t>
            </w:r>
            <w:r w:rsidR="004D76A4" w:rsidRPr="006E725C">
              <w:rPr>
                <w:color w:val="0D0D0D" w:themeColor="text1" w:themeTint="F2"/>
                <w:spacing w:val="-4"/>
                <w:lang w:val="en-GB"/>
              </w:rPr>
              <w:t xml:space="preserve"> the refugee wave as well the </w:t>
            </w:r>
            <w:r w:rsidR="009C672B" w:rsidRPr="006E725C">
              <w:rPr>
                <w:color w:val="0D0D0D" w:themeColor="text1" w:themeTint="F2"/>
                <w:spacing w:val="-4"/>
                <w:lang w:val="en-GB"/>
              </w:rPr>
              <w:t>newly</w:t>
            </w:r>
            <w:r w:rsidR="004D76A4" w:rsidRPr="006E725C">
              <w:rPr>
                <w:color w:val="0D0D0D" w:themeColor="text1" w:themeTint="F2"/>
                <w:spacing w:val="-4"/>
                <w:lang w:val="en-GB"/>
              </w:rPr>
              <w:t xml:space="preserve"> </w:t>
            </w:r>
            <w:r w:rsidR="009C672B" w:rsidRPr="006E725C">
              <w:rPr>
                <w:color w:val="0D0D0D" w:themeColor="text1" w:themeTint="F2"/>
                <w:spacing w:val="-4"/>
                <w:lang w:val="en-GB"/>
              </w:rPr>
              <w:t>adopted</w:t>
            </w:r>
            <w:r w:rsidR="004D76A4" w:rsidRPr="006E725C">
              <w:rPr>
                <w:color w:val="0D0D0D" w:themeColor="text1" w:themeTint="F2"/>
                <w:spacing w:val="-4"/>
                <w:lang w:val="en-GB"/>
              </w:rPr>
              <w:t xml:space="preserve"> tax</w:t>
            </w:r>
            <w:r w:rsidR="009C672B" w:rsidRPr="006E725C">
              <w:rPr>
                <w:color w:val="0D0D0D" w:themeColor="text1" w:themeTint="F2"/>
                <w:spacing w:val="-4"/>
                <w:lang w:val="en-GB"/>
              </w:rPr>
              <w:t xml:space="preserve"> </w:t>
            </w:r>
            <w:r w:rsidR="006B55DF" w:rsidRPr="006E725C">
              <w:rPr>
                <w:color w:val="0D0D0D" w:themeColor="text1" w:themeTint="F2"/>
                <w:spacing w:val="-4"/>
                <w:lang w:val="en-GB"/>
              </w:rPr>
              <w:t>r</w:t>
            </w:r>
            <w:r w:rsidR="00D2780D">
              <w:rPr>
                <w:color w:val="0D0D0D" w:themeColor="text1" w:themeTint="F2"/>
                <w:spacing w:val="-4"/>
                <w:lang w:val="en-GB"/>
              </w:rPr>
              <w:t>elief to support part time jobs</w:t>
            </w:r>
            <w:proofErr w:type="gramStart"/>
            <w:r w:rsidR="00D2780D">
              <w:rPr>
                <w:color w:val="0D0D0D" w:themeColor="text1" w:themeTint="F2"/>
                <w:spacing w:val="-4"/>
                <w:lang w:val="en-GB"/>
              </w:rPr>
              <w:t>)</w:t>
            </w:r>
            <w:proofErr w:type="gramEnd"/>
            <w:r w:rsidR="006B55DF" w:rsidRPr="006E725C">
              <w:rPr>
                <w:rStyle w:val="Znakapoznpodarou"/>
                <w:color w:val="0D0D0D" w:themeColor="text1" w:themeTint="F2"/>
                <w:spacing w:val="-6"/>
                <w:lang w:val="en-GB"/>
              </w:rPr>
              <w:footnoteReference w:id="77"/>
            </w:r>
            <w:r w:rsidR="006B55DF" w:rsidRPr="006E725C">
              <w:rPr>
                <w:rStyle w:val="Znakapoznpodarou"/>
                <w:color w:val="0D0D0D" w:themeColor="text1" w:themeTint="F2"/>
                <w:spacing w:val="-6"/>
                <w:lang w:val="en-GB"/>
              </w:rPr>
              <w:t xml:space="preserve"> </w:t>
            </w:r>
            <w:r w:rsidR="00165DC6" w:rsidRPr="006E725C">
              <w:rPr>
                <w:color w:val="0D0D0D" w:themeColor="text1" w:themeTint="F2"/>
                <w:spacing w:val="-6"/>
                <w:lang w:val="en-GB"/>
              </w:rPr>
              <w:t xml:space="preserve">worked against </w:t>
            </w:r>
            <w:r w:rsidR="003B2504" w:rsidRPr="006E725C">
              <w:rPr>
                <w:color w:val="0D0D0D" w:themeColor="text1" w:themeTint="F2"/>
                <w:spacing w:val="-6"/>
                <w:lang w:val="en-GB"/>
              </w:rPr>
              <w:t xml:space="preserve">more brisk growth of the hours worked last year. </w:t>
            </w:r>
            <w:r w:rsidR="00F36E9A" w:rsidRPr="006E725C">
              <w:rPr>
                <w:color w:val="0D0D0D" w:themeColor="text1" w:themeTint="F2"/>
                <w:spacing w:val="-6"/>
                <w:lang w:val="en-GB"/>
              </w:rPr>
              <w:t xml:space="preserve">Growth of the hours worked was considerably overtaking the employment dynamics only in </w:t>
            </w:r>
            <w:r w:rsidR="00246CAA" w:rsidRPr="006E725C">
              <w:rPr>
                <w:color w:val="0D0D0D" w:themeColor="text1" w:themeTint="F2"/>
                <w:spacing w:val="-6"/>
                <w:lang w:val="en-GB"/>
              </w:rPr>
              <w:t>manufacturing</w:t>
            </w:r>
            <w:r w:rsidR="00F36E9A" w:rsidRPr="006E725C">
              <w:rPr>
                <w:color w:val="0D0D0D" w:themeColor="text1" w:themeTint="F2"/>
                <w:spacing w:val="-6"/>
                <w:lang w:val="en-GB"/>
              </w:rPr>
              <w:t xml:space="preserve">, </w:t>
            </w:r>
            <w:r w:rsidR="00246CAA" w:rsidRPr="006E725C">
              <w:rPr>
                <w:color w:val="0D0D0D" w:themeColor="text1" w:themeTint="F2"/>
                <w:spacing w:val="-6"/>
                <w:lang w:val="en-GB"/>
              </w:rPr>
              <w:t xml:space="preserve">it was the opposite in </w:t>
            </w:r>
            <w:r w:rsidR="0090674A" w:rsidRPr="006E725C">
              <w:rPr>
                <w:color w:val="0D0D0D" w:themeColor="text1" w:themeTint="F2"/>
                <w:spacing w:val="-6"/>
                <w:lang w:val="en-GB"/>
              </w:rPr>
              <w:t>most</w:t>
            </w:r>
            <w:r w:rsidR="00246CAA" w:rsidRPr="006E725C">
              <w:rPr>
                <w:color w:val="0D0D0D" w:themeColor="text1" w:themeTint="F2"/>
                <w:spacing w:val="-6"/>
                <w:lang w:val="en-GB"/>
              </w:rPr>
              <w:t xml:space="preserve"> services activities. </w:t>
            </w:r>
          </w:p>
        </w:tc>
      </w:tr>
      <w:tr w:rsidR="00582A12" w:rsidRPr="006E725C" w14:paraId="5463AD30" w14:textId="77777777" w:rsidTr="00BA5125">
        <w:trPr>
          <w:trHeight w:val="155"/>
        </w:trPr>
        <w:tc>
          <w:tcPr>
            <w:tcW w:w="1754" w:type="dxa"/>
            <w:shd w:val="clear" w:color="auto" w:fill="auto"/>
            <w:tcMar>
              <w:left w:w="0" w:type="dxa"/>
            </w:tcMar>
          </w:tcPr>
          <w:p w14:paraId="36E042E7" w14:textId="6ECDC41C" w:rsidR="00582A12" w:rsidRPr="006E725C" w:rsidRDefault="00582A12" w:rsidP="00BA5125">
            <w:pPr>
              <w:pStyle w:val="Marginlie"/>
              <w:spacing w:after="120"/>
              <w:rPr>
                <w:color w:val="0D0D0D" w:themeColor="text1" w:themeTint="F2"/>
                <w:spacing w:val="-4"/>
                <w:lang w:val="en-GB"/>
              </w:rPr>
            </w:pPr>
            <w:r w:rsidRPr="006E725C">
              <w:rPr>
                <w:color w:val="0D0D0D" w:themeColor="text1" w:themeTint="F2"/>
                <w:spacing w:val="-4"/>
                <w:lang w:val="en-GB"/>
              </w:rPr>
              <w:t>Ho</w:t>
            </w:r>
            <w:r w:rsidR="0070494B" w:rsidRPr="006E725C">
              <w:rPr>
                <w:color w:val="0D0D0D" w:themeColor="text1" w:themeTint="F2"/>
                <w:spacing w:val="-4"/>
                <w:lang w:val="en-GB"/>
              </w:rPr>
              <w:t xml:space="preserve">urly labour productivity slightly reduced year-on-year for the </w:t>
            </w:r>
            <w:r w:rsidR="004D58C0" w:rsidRPr="006E725C">
              <w:rPr>
                <w:color w:val="0D0D0D" w:themeColor="text1" w:themeTint="F2"/>
                <w:spacing w:val="-4"/>
                <w:lang w:val="en-GB"/>
              </w:rPr>
              <w:t>second</w:t>
            </w:r>
            <w:r w:rsidR="0070494B" w:rsidRPr="006E725C">
              <w:rPr>
                <w:color w:val="0D0D0D" w:themeColor="text1" w:themeTint="F2"/>
                <w:spacing w:val="-4"/>
                <w:lang w:val="en-GB"/>
              </w:rPr>
              <w:t xml:space="preserve"> time in a row. </w:t>
            </w:r>
            <w:r w:rsidR="004D58C0" w:rsidRPr="006E725C">
              <w:rPr>
                <w:color w:val="0D0D0D" w:themeColor="text1" w:themeTint="F2"/>
                <w:spacing w:val="-4"/>
                <w:lang w:val="en-GB"/>
              </w:rPr>
              <w:t>Nevertheless,</w:t>
            </w:r>
            <w:r w:rsidR="000D585E" w:rsidRPr="006E725C">
              <w:rPr>
                <w:color w:val="0D0D0D" w:themeColor="text1" w:themeTint="F2"/>
                <w:spacing w:val="-4"/>
                <w:lang w:val="en-GB"/>
              </w:rPr>
              <w:t xml:space="preserve"> it did not lag behind the level from year </w:t>
            </w:r>
            <w:r w:rsidRPr="006E725C">
              <w:rPr>
                <w:color w:val="0D0D0D" w:themeColor="text1" w:themeTint="F2"/>
                <w:spacing w:val="-4"/>
                <w:lang w:val="en-GB"/>
              </w:rPr>
              <w:t>2019</w:t>
            </w:r>
            <w:r w:rsidR="000D585E" w:rsidRPr="006E725C">
              <w:rPr>
                <w:color w:val="0D0D0D" w:themeColor="text1" w:themeTint="F2"/>
                <w:spacing w:val="-4"/>
                <w:lang w:val="en-GB"/>
              </w:rPr>
              <w:t xml:space="preserve">. </w:t>
            </w:r>
          </w:p>
        </w:tc>
        <w:tc>
          <w:tcPr>
            <w:tcW w:w="220" w:type="dxa"/>
            <w:shd w:val="clear" w:color="auto" w:fill="auto"/>
            <w:tcMar>
              <w:left w:w="0" w:type="dxa"/>
            </w:tcMar>
          </w:tcPr>
          <w:p w14:paraId="5473635F"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69B809FA" w14:textId="4235D5C6" w:rsidR="00582A12" w:rsidRPr="00D560DC" w:rsidRDefault="00582A12" w:rsidP="00BA5125">
            <w:pPr>
              <w:rPr>
                <w:color w:val="0D0D0D" w:themeColor="text1" w:themeTint="F2"/>
                <w:spacing w:val="-4"/>
                <w:lang w:val="en-GB"/>
              </w:rPr>
            </w:pPr>
            <w:r w:rsidRPr="00D560DC">
              <w:rPr>
                <w:color w:val="0D0D0D" w:themeColor="text1" w:themeTint="F2"/>
                <w:spacing w:val="-4"/>
                <w:lang w:val="en-GB"/>
              </w:rPr>
              <w:t>Ho</w:t>
            </w:r>
            <w:r w:rsidR="00B17B22" w:rsidRPr="00D560DC">
              <w:rPr>
                <w:color w:val="0D0D0D" w:themeColor="text1" w:themeTint="F2"/>
                <w:spacing w:val="-4"/>
                <w:lang w:val="en-GB"/>
              </w:rPr>
              <w:t>urly labour productivity</w:t>
            </w:r>
            <w:r w:rsidRPr="00D560DC">
              <w:rPr>
                <w:rStyle w:val="Znakapoznpodarou"/>
                <w:color w:val="0D0D0D" w:themeColor="text1" w:themeTint="F2"/>
                <w:spacing w:val="-4"/>
                <w:lang w:val="en-GB"/>
              </w:rPr>
              <w:footnoteReference w:id="78"/>
            </w:r>
            <w:r w:rsidRPr="00D560DC">
              <w:rPr>
                <w:color w:val="0D0D0D" w:themeColor="text1" w:themeTint="F2"/>
                <w:spacing w:val="-4"/>
                <w:lang w:val="en-GB"/>
              </w:rPr>
              <w:t xml:space="preserve"> </w:t>
            </w:r>
            <w:r w:rsidR="0082654E" w:rsidRPr="00D560DC">
              <w:rPr>
                <w:color w:val="0D0D0D" w:themeColor="text1" w:themeTint="F2"/>
                <w:spacing w:val="-4"/>
                <w:lang w:val="en-GB"/>
              </w:rPr>
              <w:t xml:space="preserve">slightly declined in the whole economy year-on-year last year </w:t>
            </w:r>
            <w:r w:rsidRPr="00D560DC">
              <w:rPr>
                <w:color w:val="0D0D0D" w:themeColor="text1" w:themeTint="F2"/>
                <w:spacing w:val="-4"/>
                <w:lang w:val="en-GB"/>
              </w:rPr>
              <w:t>(</w:t>
            </w:r>
            <w:r w:rsidR="0082654E" w:rsidRPr="00D560DC">
              <w:rPr>
                <w:color w:val="0D0D0D" w:themeColor="text1" w:themeTint="F2"/>
                <w:spacing w:val="-4"/>
                <w:lang w:val="en-GB"/>
              </w:rPr>
              <w:t xml:space="preserve">by </w:t>
            </w:r>
            <w:r w:rsidRPr="00D560DC">
              <w:rPr>
                <w:color w:val="0D0D0D" w:themeColor="text1" w:themeTint="F2"/>
                <w:spacing w:val="-4"/>
                <w:lang w:val="en-GB"/>
              </w:rPr>
              <w:t>1</w:t>
            </w:r>
            <w:r w:rsidR="0082654E" w:rsidRPr="00D560DC">
              <w:rPr>
                <w:color w:val="0D0D0D" w:themeColor="text1" w:themeTint="F2"/>
                <w:spacing w:val="-4"/>
                <w:lang w:val="en-GB"/>
              </w:rPr>
              <w:t>.</w:t>
            </w:r>
            <w:r w:rsidRPr="00D560DC">
              <w:rPr>
                <w:color w:val="0D0D0D" w:themeColor="text1" w:themeTint="F2"/>
                <w:spacing w:val="-4"/>
                <w:lang w:val="en-GB"/>
              </w:rPr>
              <w:t>0%) a</w:t>
            </w:r>
            <w:r w:rsidR="0082654E" w:rsidRPr="00D560DC">
              <w:rPr>
                <w:color w:val="0D0D0D" w:themeColor="text1" w:themeTint="F2"/>
                <w:spacing w:val="-4"/>
                <w:lang w:val="en-GB"/>
              </w:rPr>
              <w:t xml:space="preserve">nd was falling for the second year in row. </w:t>
            </w:r>
            <w:r w:rsidR="008E487E" w:rsidRPr="00D560DC">
              <w:rPr>
                <w:color w:val="0D0D0D" w:themeColor="text1" w:themeTint="F2"/>
                <w:spacing w:val="-4"/>
                <w:lang w:val="en-GB"/>
              </w:rPr>
              <w:t xml:space="preserve">The productivity in mining industry and energetics stood behind the adverse development in both cases, it dropped nearly by one fifth only for the last year. </w:t>
            </w:r>
            <w:r w:rsidR="00BD49B1" w:rsidRPr="00D560DC">
              <w:rPr>
                <w:color w:val="0D0D0D" w:themeColor="text1" w:themeTint="F2"/>
                <w:spacing w:val="-4"/>
                <w:lang w:val="en-GB"/>
              </w:rPr>
              <w:t xml:space="preserve">The productivity slightly fell in the weight significant division trade, </w:t>
            </w:r>
            <w:r w:rsidR="001E3802" w:rsidRPr="00D560DC">
              <w:rPr>
                <w:color w:val="0D0D0D" w:themeColor="text1" w:themeTint="F2"/>
                <w:spacing w:val="-4"/>
                <w:lang w:val="en-GB"/>
              </w:rPr>
              <w:t xml:space="preserve">transport, accommodation and restaurants </w:t>
            </w:r>
            <w:r w:rsidRPr="00D560DC">
              <w:rPr>
                <w:spacing w:val="-4"/>
                <w:lang w:val="en-GB"/>
              </w:rPr>
              <w:t>(−1</w:t>
            </w:r>
            <w:r w:rsidR="001E3802" w:rsidRPr="00D560DC">
              <w:rPr>
                <w:spacing w:val="-4"/>
                <w:lang w:val="en-GB"/>
              </w:rPr>
              <w:t>.</w:t>
            </w:r>
            <w:r w:rsidRPr="00D560DC">
              <w:rPr>
                <w:spacing w:val="-4"/>
                <w:lang w:val="en-GB"/>
              </w:rPr>
              <w:t>6%),</w:t>
            </w:r>
            <w:r w:rsidR="00FC6DDC" w:rsidRPr="00D560DC">
              <w:rPr>
                <w:spacing w:val="-4"/>
                <w:lang w:val="en-GB"/>
              </w:rPr>
              <w:t xml:space="preserve"> slight decrease however occurred in most branches of services. On the contrary, </w:t>
            </w:r>
            <w:r w:rsidR="00C27197" w:rsidRPr="00D560DC">
              <w:rPr>
                <w:spacing w:val="-4"/>
                <w:lang w:val="en-GB"/>
              </w:rPr>
              <w:t xml:space="preserve">the productivity was rising fin manufacturing for the third year in a row </w:t>
            </w:r>
            <w:r w:rsidRPr="00D560DC">
              <w:rPr>
                <w:spacing w:val="-4"/>
                <w:lang w:val="en-GB"/>
              </w:rPr>
              <w:t>(</w:t>
            </w:r>
            <w:r w:rsidR="00C27197" w:rsidRPr="00D560DC">
              <w:rPr>
                <w:spacing w:val="-4"/>
                <w:lang w:val="en-GB"/>
              </w:rPr>
              <w:t xml:space="preserve">by </w:t>
            </w:r>
            <w:r w:rsidRPr="00D560DC">
              <w:rPr>
                <w:spacing w:val="-4"/>
                <w:lang w:val="en-GB"/>
              </w:rPr>
              <w:t>2</w:t>
            </w:r>
            <w:r w:rsidR="00C27197" w:rsidRPr="00D560DC">
              <w:rPr>
                <w:spacing w:val="-4"/>
                <w:lang w:val="en-GB"/>
              </w:rPr>
              <w:t>.</w:t>
            </w:r>
            <w:r w:rsidRPr="00D560DC">
              <w:rPr>
                <w:spacing w:val="-4"/>
                <w:lang w:val="en-GB"/>
              </w:rPr>
              <w:t>2%</w:t>
            </w:r>
            <w:r w:rsidR="00C27197" w:rsidRPr="00D560DC">
              <w:rPr>
                <w:spacing w:val="-4"/>
                <w:lang w:val="en-GB"/>
              </w:rPr>
              <w:t xml:space="preserve"> last year</w:t>
            </w:r>
            <w:r w:rsidRPr="00D560DC">
              <w:rPr>
                <w:spacing w:val="-4"/>
                <w:lang w:val="en-GB"/>
              </w:rPr>
              <w:t xml:space="preserve">), </w:t>
            </w:r>
            <w:r w:rsidR="000D4497" w:rsidRPr="00D560DC">
              <w:rPr>
                <w:spacing w:val="-4"/>
                <w:lang w:val="en-GB"/>
              </w:rPr>
              <w:t xml:space="preserve">positive development then lasted even longer in information and communication </w:t>
            </w:r>
            <w:r w:rsidRPr="00D560DC">
              <w:rPr>
                <w:spacing w:val="-4"/>
                <w:lang w:val="en-GB"/>
              </w:rPr>
              <w:t>– l</w:t>
            </w:r>
            <w:r w:rsidR="000D4497" w:rsidRPr="00D560DC">
              <w:rPr>
                <w:spacing w:val="-4"/>
                <w:lang w:val="en-GB"/>
              </w:rPr>
              <w:t xml:space="preserve">ast year’s </w:t>
            </w:r>
            <w:r w:rsidR="009F324D" w:rsidRPr="00D560DC">
              <w:rPr>
                <w:spacing w:val="-4"/>
                <w:lang w:val="en-GB"/>
              </w:rPr>
              <w:t xml:space="preserve">growth arrived at </w:t>
            </w:r>
            <w:r w:rsidRPr="00D560DC">
              <w:rPr>
                <w:spacing w:val="-4"/>
                <w:lang w:val="en-GB"/>
              </w:rPr>
              <w:t>3</w:t>
            </w:r>
            <w:r w:rsidR="009F324D" w:rsidRPr="00D560DC">
              <w:rPr>
                <w:spacing w:val="-4"/>
                <w:lang w:val="en-GB"/>
              </w:rPr>
              <w:t>.</w:t>
            </w:r>
            <w:r w:rsidRPr="00D560DC">
              <w:rPr>
                <w:spacing w:val="-4"/>
                <w:lang w:val="en-GB"/>
              </w:rPr>
              <w:t xml:space="preserve">8% </w:t>
            </w:r>
            <w:r w:rsidR="009F324D" w:rsidRPr="00D560DC">
              <w:rPr>
                <w:spacing w:val="-4"/>
                <w:lang w:val="en-GB"/>
              </w:rPr>
              <w:t>and was the highest out of all main branches. Despite adverse development in the la</w:t>
            </w:r>
            <w:r w:rsidR="001112D2" w:rsidRPr="00D560DC">
              <w:rPr>
                <w:spacing w:val="-4"/>
                <w:lang w:val="en-GB"/>
              </w:rPr>
              <w:t>s</w:t>
            </w:r>
            <w:r w:rsidR="009F324D" w:rsidRPr="00D560DC">
              <w:rPr>
                <w:spacing w:val="-4"/>
                <w:lang w:val="en-GB"/>
              </w:rPr>
              <w:t xml:space="preserve">t two years, </w:t>
            </w:r>
            <w:r w:rsidR="001112D2" w:rsidRPr="00D560DC">
              <w:rPr>
                <w:spacing w:val="-4"/>
                <w:lang w:val="en-GB"/>
              </w:rPr>
              <w:t xml:space="preserve">last year’s labour productivity </w:t>
            </w:r>
            <w:r w:rsidR="00940C37" w:rsidRPr="00D560DC">
              <w:rPr>
                <w:spacing w:val="-4"/>
                <w:lang w:val="en-GB"/>
              </w:rPr>
              <w:t xml:space="preserve">in the domestic economy practically did not lag behind the level from the expansion year </w:t>
            </w:r>
            <w:r w:rsidRPr="00D560DC">
              <w:rPr>
                <w:spacing w:val="-4"/>
                <w:lang w:val="en-GB"/>
              </w:rPr>
              <w:t>2019 (−0</w:t>
            </w:r>
            <w:r w:rsidR="00940C37" w:rsidRPr="00D560DC">
              <w:rPr>
                <w:spacing w:val="-4"/>
                <w:lang w:val="en-GB"/>
              </w:rPr>
              <w:t>.</w:t>
            </w:r>
            <w:r w:rsidRPr="00D560DC">
              <w:rPr>
                <w:spacing w:val="-4"/>
                <w:lang w:val="en-GB"/>
              </w:rPr>
              <w:t xml:space="preserve">1%). </w:t>
            </w:r>
            <w:r w:rsidR="00C5459D" w:rsidRPr="00D560DC">
              <w:rPr>
                <w:spacing w:val="-4"/>
                <w:lang w:val="en-GB"/>
              </w:rPr>
              <w:t xml:space="preserve">Productivity growth in manufacturing </w:t>
            </w:r>
            <w:r w:rsidRPr="00D560DC">
              <w:rPr>
                <w:spacing w:val="-4"/>
                <w:lang w:val="en-GB"/>
              </w:rPr>
              <w:t>(+7%), informa</w:t>
            </w:r>
            <w:r w:rsidR="00C5459D" w:rsidRPr="00D560DC">
              <w:rPr>
                <w:spacing w:val="-4"/>
                <w:lang w:val="en-GB"/>
              </w:rPr>
              <w:t xml:space="preserve">tion and communication </w:t>
            </w:r>
            <w:r w:rsidRPr="00D560DC">
              <w:rPr>
                <w:spacing w:val="-4"/>
                <w:lang w:val="en-GB"/>
              </w:rPr>
              <w:t>(+17%) a</w:t>
            </w:r>
            <w:r w:rsidR="004830BB" w:rsidRPr="00D560DC">
              <w:rPr>
                <w:spacing w:val="-4"/>
                <w:lang w:val="en-GB"/>
              </w:rPr>
              <w:t xml:space="preserve">nd financial activities </w:t>
            </w:r>
            <w:r w:rsidRPr="00D560DC">
              <w:rPr>
                <w:spacing w:val="-4"/>
                <w:lang w:val="en-GB"/>
              </w:rPr>
              <w:t xml:space="preserve">(+21%) </w:t>
            </w:r>
            <w:r w:rsidR="006A4E6C" w:rsidRPr="00D560DC">
              <w:rPr>
                <w:spacing w:val="-4"/>
                <w:lang w:val="en-GB"/>
              </w:rPr>
              <w:t xml:space="preserve">thus </w:t>
            </w:r>
            <w:r w:rsidR="00E82473" w:rsidRPr="00D560DC">
              <w:rPr>
                <w:spacing w:val="-4"/>
                <w:lang w:val="en-GB"/>
              </w:rPr>
              <w:t xml:space="preserve">offset the </w:t>
            </w:r>
            <w:r w:rsidR="00971195" w:rsidRPr="00D560DC">
              <w:rPr>
                <w:spacing w:val="-4"/>
                <w:lang w:val="en-GB"/>
              </w:rPr>
              <w:t xml:space="preserve">declines </w:t>
            </w:r>
            <w:r w:rsidR="00C571EE" w:rsidRPr="00D560DC">
              <w:rPr>
                <w:spacing w:val="-4"/>
                <w:lang w:val="en-GB"/>
              </w:rPr>
              <w:t xml:space="preserve">in this period in the whole primary sector of the economy, construction or real estate </w:t>
            </w:r>
            <w:r w:rsidR="0086484F" w:rsidRPr="00D560DC">
              <w:rPr>
                <w:spacing w:val="-4"/>
                <w:lang w:val="en-GB"/>
              </w:rPr>
              <w:t>activities</w:t>
            </w:r>
            <w:r w:rsidR="00C571EE" w:rsidRPr="00D560DC">
              <w:rPr>
                <w:spacing w:val="-4"/>
                <w:lang w:val="en-GB"/>
              </w:rPr>
              <w:t xml:space="preserve">. </w:t>
            </w:r>
          </w:p>
        </w:tc>
      </w:tr>
      <w:tr w:rsidR="00582A12" w:rsidRPr="006E725C" w14:paraId="19C0A68A" w14:textId="77777777" w:rsidTr="00BA5125">
        <w:trPr>
          <w:trHeight w:val="155"/>
        </w:trPr>
        <w:tc>
          <w:tcPr>
            <w:tcW w:w="1754" w:type="dxa"/>
            <w:vMerge w:val="restart"/>
            <w:shd w:val="clear" w:color="auto" w:fill="auto"/>
            <w:tcMar>
              <w:left w:w="0" w:type="dxa"/>
            </w:tcMar>
          </w:tcPr>
          <w:p w14:paraId="0EF7DD76" w14:textId="77777777" w:rsidR="00582A12" w:rsidRPr="006E725C" w:rsidRDefault="00582A12" w:rsidP="00BA5125">
            <w:pPr>
              <w:pStyle w:val="Marginlie"/>
              <w:spacing w:after="120"/>
              <w:rPr>
                <w:spacing w:val="-4"/>
                <w:lang w:val="en-GB"/>
              </w:rPr>
            </w:pPr>
          </w:p>
        </w:tc>
        <w:tc>
          <w:tcPr>
            <w:tcW w:w="220" w:type="dxa"/>
            <w:vMerge w:val="restart"/>
            <w:shd w:val="clear" w:color="auto" w:fill="auto"/>
            <w:tcMar>
              <w:left w:w="0" w:type="dxa"/>
            </w:tcMar>
          </w:tcPr>
          <w:p w14:paraId="55F7B53C" w14:textId="77777777" w:rsidR="00582A12" w:rsidRPr="006E725C" w:rsidRDefault="00582A12" w:rsidP="00BA5125">
            <w:pPr>
              <w:pStyle w:val="Textpoznpodarou"/>
              <w:spacing w:after="120"/>
              <w:jc w:val="both"/>
              <w:rPr>
                <w:spacing w:val="-4"/>
                <w:lang w:val="en-GB"/>
              </w:rPr>
            </w:pPr>
          </w:p>
        </w:tc>
        <w:tc>
          <w:tcPr>
            <w:tcW w:w="7700" w:type="dxa"/>
            <w:shd w:val="clear" w:color="auto" w:fill="auto"/>
            <w:tcMar>
              <w:left w:w="0" w:type="dxa"/>
            </w:tcMar>
          </w:tcPr>
          <w:p w14:paraId="1AF08F92" w14:textId="45CAC18A" w:rsidR="00582A12" w:rsidRPr="006E725C" w:rsidRDefault="00427538" w:rsidP="00BA5125">
            <w:pPr>
              <w:spacing w:after="0"/>
              <w:rPr>
                <w:spacing w:val="-2"/>
                <w:lang w:val="en-GB"/>
              </w:rPr>
            </w:pPr>
            <w:r w:rsidRPr="006E725C">
              <w:rPr>
                <w:rFonts w:cs="Arial"/>
                <w:b/>
                <w:bCs/>
                <w:color w:val="000000"/>
                <w:szCs w:val="20"/>
                <w:lang w:val="en-GB"/>
              </w:rPr>
              <w:t xml:space="preserve">Chart </w:t>
            </w:r>
            <w:r w:rsidR="00582A12" w:rsidRPr="006E725C">
              <w:rPr>
                <w:rFonts w:cs="Arial"/>
                <w:b/>
                <w:bCs/>
                <w:color w:val="000000"/>
                <w:szCs w:val="20"/>
                <w:lang w:val="en-GB"/>
              </w:rPr>
              <w:t>14</w:t>
            </w:r>
            <w:r w:rsidR="00582A12" w:rsidRPr="006E725C">
              <w:rPr>
                <w:rFonts w:cs="Arial"/>
                <w:b/>
                <w:bCs/>
                <w:color w:val="000000"/>
                <w:sz w:val="18"/>
                <w:szCs w:val="18"/>
                <w:lang w:val="en-GB"/>
              </w:rPr>
              <w:t xml:space="preserve"> </w:t>
            </w:r>
            <w:r w:rsidR="00462236" w:rsidRPr="006E725C">
              <w:rPr>
                <w:rFonts w:cs="Arial"/>
                <w:b/>
                <w:bCs/>
                <w:color w:val="000000"/>
                <w:spacing w:val="-3"/>
                <w:szCs w:val="20"/>
                <w:lang w:val="en-GB"/>
              </w:rPr>
              <w:t xml:space="preserve">Total employment </w:t>
            </w:r>
            <w:r w:rsidR="00462236" w:rsidRPr="006E725C">
              <w:rPr>
                <w:rFonts w:cs="Arial"/>
                <w:color w:val="000000"/>
                <w:spacing w:val="-3"/>
                <w:szCs w:val="20"/>
                <w:lang w:val="en-GB"/>
              </w:rPr>
              <w:t>(year-on-year in %),</w:t>
            </w:r>
            <w:r w:rsidR="00462236" w:rsidRPr="006E725C">
              <w:rPr>
                <w:rFonts w:cs="Arial"/>
                <w:b/>
                <w:bCs/>
                <w:color w:val="000000"/>
                <w:spacing w:val="-3"/>
                <w:szCs w:val="20"/>
                <w:lang w:val="en-GB"/>
              </w:rPr>
              <w:t xml:space="preserve"> contributions of branches to year-on-year change of employment </w:t>
            </w:r>
            <w:r w:rsidR="00462236" w:rsidRPr="006E725C">
              <w:rPr>
                <w:rFonts w:cs="Arial"/>
                <w:color w:val="000000"/>
                <w:spacing w:val="-3"/>
                <w:szCs w:val="20"/>
                <w:lang w:val="en-GB"/>
              </w:rPr>
              <w:t>(in p.p.)</w:t>
            </w:r>
            <w:r w:rsidR="00462236" w:rsidRPr="006E725C">
              <w:rPr>
                <w:rFonts w:cs="Arial"/>
                <w:b/>
                <w:bCs/>
                <w:color w:val="000000"/>
                <w:spacing w:val="-3"/>
                <w:szCs w:val="20"/>
                <w:lang w:val="en-GB"/>
              </w:rPr>
              <w:t>, expectations of employment</w:t>
            </w:r>
            <w:r w:rsidR="00462236" w:rsidRPr="006E725C">
              <w:rPr>
                <w:rFonts w:cs="Arial"/>
                <w:color w:val="000000"/>
                <w:spacing w:val="-3"/>
                <w:szCs w:val="20"/>
                <w:lang w:val="en-GB"/>
              </w:rPr>
              <w:t xml:space="preserve"> (balance in p. p.) </w:t>
            </w:r>
          </w:p>
        </w:tc>
      </w:tr>
      <w:tr w:rsidR="00582A12" w:rsidRPr="006E725C" w14:paraId="67A5583A" w14:textId="77777777" w:rsidTr="00323EDA">
        <w:tblPrEx>
          <w:tblCellMar>
            <w:left w:w="70" w:type="dxa"/>
            <w:right w:w="70" w:type="dxa"/>
          </w:tblCellMar>
        </w:tblPrEx>
        <w:trPr>
          <w:trHeight w:val="155"/>
        </w:trPr>
        <w:tc>
          <w:tcPr>
            <w:tcW w:w="1754" w:type="dxa"/>
            <w:vMerge/>
            <w:shd w:val="clear" w:color="auto" w:fill="auto"/>
          </w:tcPr>
          <w:p w14:paraId="0EC1AF16" w14:textId="77777777" w:rsidR="00582A12" w:rsidRPr="006E725C" w:rsidRDefault="00582A12" w:rsidP="00BA5125">
            <w:pPr>
              <w:pStyle w:val="Marginlie"/>
              <w:spacing w:after="120"/>
              <w:rPr>
                <w:spacing w:val="-4"/>
                <w:lang w:val="en-GB"/>
              </w:rPr>
            </w:pPr>
          </w:p>
        </w:tc>
        <w:tc>
          <w:tcPr>
            <w:tcW w:w="220" w:type="dxa"/>
            <w:vMerge/>
            <w:shd w:val="clear" w:color="auto" w:fill="auto"/>
          </w:tcPr>
          <w:p w14:paraId="3766A640" w14:textId="77777777" w:rsidR="00582A12" w:rsidRPr="006E725C" w:rsidRDefault="00582A12" w:rsidP="00BA5125">
            <w:pPr>
              <w:pStyle w:val="Textpoznpodarou"/>
              <w:spacing w:after="120"/>
              <w:jc w:val="both"/>
              <w:rPr>
                <w:spacing w:val="-4"/>
                <w:lang w:val="en-GB"/>
              </w:rPr>
            </w:pPr>
          </w:p>
        </w:tc>
        <w:tc>
          <w:tcPr>
            <w:tcW w:w="7700" w:type="dxa"/>
            <w:shd w:val="clear" w:color="auto" w:fill="auto"/>
          </w:tcPr>
          <w:p w14:paraId="7804B51F" w14:textId="037E3FAD" w:rsidR="00582A12" w:rsidRPr="006E725C" w:rsidRDefault="00323EDA" w:rsidP="00BA5125">
            <w:pPr>
              <w:spacing w:after="0"/>
              <w:rPr>
                <w:spacing w:val="-4"/>
                <w:lang w:val="en-GB"/>
              </w:rPr>
            </w:pPr>
            <w:r>
              <w:rPr>
                <w:noProof/>
              </w:rPr>
              <w:drawing>
                <wp:inline distT="0" distB="0" distL="0" distR="0" wp14:anchorId="1D5D826D" wp14:editId="4D9A2307">
                  <wp:extent cx="4666615" cy="3689405"/>
                  <wp:effectExtent l="0" t="0" r="635" b="63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2A12" w:rsidRPr="006E725C" w14:paraId="2D0D5F6D" w14:textId="77777777" w:rsidTr="00BA5125">
        <w:trPr>
          <w:trHeight w:val="671"/>
        </w:trPr>
        <w:tc>
          <w:tcPr>
            <w:tcW w:w="1754" w:type="dxa"/>
            <w:vMerge/>
            <w:shd w:val="clear" w:color="auto" w:fill="auto"/>
            <w:tcMar>
              <w:left w:w="0" w:type="dxa"/>
            </w:tcMar>
          </w:tcPr>
          <w:p w14:paraId="4D368D8C" w14:textId="77777777" w:rsidR="00582A12" w:rsidRPr="006E725C" w:rsidRDefault="00582A12" w:rsidP="00BA5125">
            <w:pPr>
              <w:pStyle w:val="Marginlie"/>
              <w:spacing w:after="120"/>
              <w:rPr>
                <w:spacing w:val="-4"/>
                <w:lang w:val="en-GB"/>
              </w:rPr>
            </w:pPr>
          </w:p>
        </w:tc>
        <w:tc>
          <w:tcPr>
            <w:tcW w:w="220" w:type="dxa"/>
            <w:vMerge/>
            <w:shd w:val="clear" w:color="auto" w:fill="auto"/>
            <w:tcMar>
              <w:left w:w="0" w:type="dxa"/>
            </w:tcMar>
          </w:tcPr>
          <w:p w14:paraId="40E123F4" w14:textId="77777777" w:rsidR="00582A12" w:rsidRPr="006E725C" w:rsidRDefault="00582A12" w:rsidP="00BA5125">
            <w:pPr>
              <w:pStyle w:val="Textpoznpodarou"/>
              <w:spacing w:after="120"/>
              <w:jc w:val="both"/>
              <w:rPr>
                <w:spacing w:val="-4"/>
                <w:lang w:val="en-GB"/>
              </w:rPr>
            </w:pPr>
          </w:p>
        </w:tc>
        <w:tc>
          <w:tcPr>
            <w:tcW w:w="7700" w:type="dxa"/>
            <w:shd w:val="clear" w:color="auto" w:fill="auto"/>
            <w:tcMar>
              <w:left w:w="0" w:type="dxa"/>
            </w:tcMar>
          </w:tcPr>
          <w:p w14:paraId="7E7D2209" w14:textId="77777777" w:rsidR="0097452F" w:rsidRPr="006E725C" w:rsidRDefault="0097452F" w:rsidP="0097452F">
            <w:pPr>
              <w:spacing w:after="0" w:line="240" w:lineRule="auto"/>
              <w:rPr>
                <w:rFonts w:cs="Arial"/>
                <w:sz w:val="14"/>
                <w:szCs w:val="14"/>
                <w:lang w:val="en-GB"/>
              </w:rPr>
            </w:pPr>
            <w:r w:rsidRPr="006E725C">
              <w:rPr>
                <w:rFonts w:cs="Arial"/>
                <w:color w:val="0D0D0D" w:themeColor="text1" w:themeTint="F2"/>
                <w:spacing w:val="-2"/>
                <w:sz w:val="14"/>
                <w:szCs w:val="14"/>
                <w:lang w:val="en-GB"/>
              </w:rPr>
              <w:t>*</w:t>
            </w:r>
            <w:r w:rsidRPr="006E725C">
              <w:rPr>
                <w:rFonts w:cs="Arial"/>
                <w:sz w:val="14"/>
                <w:szCs w:val="14"/>
                <w:lang w:val="en-GB"/>
              </w:rPr>
              <w:t xml:space="preserve"> Mining and energetics; Financial and insurance activities; Real estate activities; Arts, entertainment and recreation activities. </w:t>
            </w:r>
          </w:p>
          <w:p w14:paraId="218FB56C" w14:textId="77777777" w:rsidR="0097452F" w:rsidRPr="006E725C" w:rsidRDefault="0097452F" w:rsidP="0097452F">
            <w:pPr>
              <w:spacing w:after="0" w:line="240" w:lineRule="auto"/>
              <w:rPr>
                <w:rFonts w:cs="Arial"/>
                <w:sz w:val="14"/>
                <w:szCs w:val="14"/>
                <w:lang w:val="en-GB"/>
              </w:rPr>
            </w:pPr>
            <w:r w:rsidRPr="006E725C">
              <w:rPr>
                <w:rFonts w:cs="Arial"/>
                <w:sz w:val="14"/>
                <w:szCs w:val="14"/>
                <w:lang w:val="en-GB"/>
              </w:rPr>
              <w:t xml:space="preserve">Note: Balance of expectations expresses the difference in p.p. between categories growth vs. decrease of employment in the nearest three months. Data are seasonally adjusted and relate to the second month of the given quarter. </w:t>
            </w:r>
          </w:p>
          <w:p w14:paraId="6F586451" w14:textId="06E0990F" w:rsidR="008B4758" w:rsidRPr="00CE01DC" w:rsidRDefault="0097452F" w:rsidP="00D560DC">
            <w:pPr>
              <w:spacing w:after="0" w:line="240" w:lineRule="auto"/>
              <w:rPr>
                <w:rFonts w:cs="Arial"/>
                <w:sz w:val="14"/>
                <w:szCs w:val="14"/>
                <w:lang w:val="en-GB"/>
              </w:rPr>
            </w:pPr>
            <w:r w:rsidRPr="006E725C">
              <w:rPr>
                <w:rFonts w:cs="Arial"/>
                <w:sz w:val="14"/>
                <w:szCs w:val="14"/>
                <w:lang w:val="en-GB"/>
              </w:rPr>
              <w:t>Source: CZSO (national accounts), Eur</w:t>
            </w:r>
            <w:r w:rsidR="00CE01DC">
              <w:rPr>
                <w:rFonts w:cs="Arial"/>
                <w:sz w:val="14"/>
                <w:szCs w:val="14"/>
                <w:lang w:val="en-GB"/>
              </w:rPr>
              <w:t>ostat (business cycle surveys).</w:t>
            </w:r>
          </w:p>
        </w:tc>
      </w:tr>
      <w:tr w:rsidR="00582A12" w:rsidRPr="006E725C" w14:paraId="2AA25A0F" w14:textId="77777777" w:rsidTr="00BA5125">
        <w:trPr>
          <w:trHeight w:val="145"/>
        </w:trPr>
        <w:tc>
          <w:tcPr>
            <w:tcW w:w="1754" w:type="dxa"/>
            <w:shd w:val="clear" w:color="auto" w:fill="auto"/>
            <w:tcMar>
              <w:left w:w="0" w:type="dxa"/>
            </w:tcMar>
          </w:tcPr>
          <w:p w14:paraId="7512B6EE" w14:textId="4F416305" w:rsidR="00582A12" w:rsidRPr="006E725C" w:rsidRDefault="00C42129" w:rsidP="00BA5125">
            <w:pPr>
              <w:pStyle w:val="Marginlie"/>
              <w:rPr>
                <w:color w:val="0D0D0D" w:themeColor="text1" w:themeTint="F2"/>
                <w:spacing w:val="-4"/>
                <w:lang w:val="en-GB"/>
              </w:rPr>
            </w:pPr>
            <w:r w:rsidRPr="006E725C">
              <w:rPr>
                <w:color w:val="0D0D0D" w:themeColor="text1" w:themeTint="F2"/>
                <w:spacing w:val="-4"/>
                <w:lang w:val="en-GB"/>
              </w:rPr>
              <w:lastRenderedPageBreak/>
              <w:t>Expectati</w:t>
            </w:r>
            <w:r w:rsidR="008C0680">
              <w:rPr>
                <w:color w:val="0D0D0D" w:themeColor="text1" w:themeTint="F2"/>
                <w:spacing w:val="-4"/>
                <w:lang w:val="en-GB"/>
              </w:rPr>
              <w:t>ons of businesses concerning</w:t>
            </w:r>
            <w:r w:rsidRPr="006E725C">
              <w:rPr>
                <w:color w:val="0D0D0D" w:themeColor="text1" w:themeTint="F2"/>
                <w:spacing w:val="-4"/>
                <w:lang w:val="en-GB"/>
              </w:rPr>
              <w:t xml:space="preserve"> employment worsened at the turn of years </w:t>
            </w:r>
            <w:r w:rsidR="00582A12" w:rsidRPr="006E725C">
              <w:rPr>
                <w:color w:val="0D0D0D" w:themeColor="text1" w:themeTint="F2"/>
                <w:spacing w:val="-4"/>
                <w:lang w:val="en-GB"/>
              </w:rPr>
              <w:t xml:space="preserve">2023 </w:t>
            </w:r>
            <w:r w:rsidRPr="006E725C">
              <w:rPr>
                <w:color w:val="0D0D0D" w:themeColor="text1" w:themeTint="F2"/>
                <w:spacing w:val="-4"/>
                <w:lang w:val="en-GB"/>
              </w:rPr>
              <w:t xml:space="preserve">and </w:t>
            </w:r>
            <w:r w:rsidR="00582A12" w:rsidRPr="006E725C">
              <w:rPr>
                <w:color w:val="0D0D0D" w:themeColor="text1" w:themeTint="F2"/>
                <w:spacing w:val="-4"/>
                <w:lang w:val="en-GB"/>
              </w:rPr>
              <w:t>2024</w:t>
            </w:r>
            <w:r w:rsidRPr="006E725C">
              <w:rPr>
                <w:color w:val="0D0D0D" w:themeColor="text1" w:themeTint="F2"/>
                <w:spacing w:val="-4"/>
                <w:lang w:val="en-GB"/>
              </w:rPr>
              <w:t>. T</w:t>
            </w:r>
            <w:r w:rsidR="001B7A58" w:rsidRPr="006E725C">
              <w:rPr>
                <w:color w:val="0D0D0D" w:themeColor="text1" w:themeTint="F2"/>
                <w:spacing w:val="-4"/>
                <w:lang w:val="en-GB"/>
              </w:rPr>
              <w:t xml:space="preserve">rade and </w:t>
            </w:r>
            <w:r w:rsidRPr="006E725C">
              <w:rPr>
                <w:color w:val="0D0D0D" w:themeColor="text1" w:themeTint="F2"/>
                <w:spacing w:val="-4"/>
                <w:lang w:val="en-GB"/>
              </w:rPr>
              <w:t>construction</w:t>
            </w:r>
            <w:r w:rsidR="001B7A58" w:rsidRPr="006E725C">
              <w:rPr>
                <w:color w:val="0D0D0D" w:themeColor="text1" w:themeTint="F2"/>
                <w:spacing w:val="-4"/>
                <w:lang w:val="en-GB"/>
              </w:rPr>
              <w:t xml:space="preserve"> kept mild optimism. </w:t>
            </w:r>
          </w:p>
          <w:p w14:paraId="6A00BC99" w14:textId="77777777" w:rsidR="00582A12" w:rsidRPr="006E725C" w:rsidRDefault="00582A12" w:rsidP="00BA5125">
            <w:pPr>
              <w:pStyle w:val="Marginlie"/>
              <w:rPr>
                <w:color w:val="0D0D0D" w:themeColor="text1" w:themeTint="F2"/>
                <w:spacing w:val="-5"/>
                <w:lang w:val="en-GB"/>
              </w:rPr>
            </w:pPr>
          </w:p>
        </w:tc>
        <w:tc>
          <w:tcPr>
            <w:tcW w:w="220" w:type="dxa"/>
            <w:shd w:val="clear" w:color="auto" w:fill="auto"/>
            <w:tcMar>
              <w:left w:w="0" w:type="dxa"/>
            </w:tcMar>
          </w:tcPr>
          <w:p w14:paraId="39502867" w14:textId="77777777" w:rsidR="00582A12" w:rsidRPr="006E725C" w:rsidRDefault="00582A12" w:rsidP="00BA5125">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532AC3B2" w14:textId="260E551F" w:rsidR="00582A12" w:rsidRPr="006E725C" w:rsidRDefault="000F60E1" w:rsidP="008C0680">
            <w:pPr>
              <w:spacing w:after="200"/>
              <w:rPr>
                <w:color w:val="0D0D0D" w:themeColor="text1" w:themeTint="F2"/>
                <w:spacing w:val="-6"/>
                <w:lang w:val="en-GB"/>
              </w:rPr>
            </w:pPr>
            <w:r w:rsidRPr="006E725C">
              <w:rPr>
                <w:color w:val="0D0D0D" w:themeColor="text1" w:themeTint="F2"/>
                <w:spacing w:val="-4"/>
                <w:lang w:val="en-GB"/>
              </w:rPr>
              <w:t>Short-term expectations of businesses in the</w:t>
            </w:r>
            <w:r w:rsidR="00A82F4D">
              <w:rPr>
                <w:color w:val="0D0D0D" w:themeColor="text1" w:themeTint="F2"/>
                <w:spacing w:val="-4"/>
                <w:lang w:val="en-GB"/>
              </w:rPr>
              <w:t xml:space="preserve"> employment</w:t>
            </w:r>
            <w:r w:rsidRPr="006E725C">
              <w:rPr>
                <w:color w:val="0D0D0D" w:themeColor="text1" w:themeTint="F2"/>
                <w:spacing w:val="-4"/>
                <w:lang w:val="en-GB"/>
              </w:rPr>
              <w:t xml:space="preserve"> </w:t>
            </w:r>
            <w:r w:rsidR="009C508E" w:rsidRPr="006E725C">
              <w:rPr>
                <w:color w:val="0D0D0D" w:themeColor="text1" w:themeTint="F2"/>
                <w:spacing w:val="-4"/>
                <w:lang w:val="en-GB"/>
              </w:rPr>
              <w:t>in the whole economy</w:t>
            </w:r>
            <w:r w:rsidR="00B27CFE" w:rsidRPr="006E725C">
              <w:rPr>
                <w:color w:val="0D0D0D" w:themeColor="text1" w:themeTint="F2"/>
                <w:spacing w:val="-4"/>
                <w:lang w:val="en-GB"/>
              </w:rPr>
              <w:t xml:space="preserve"> </w:t>
            </w:r>
            <w:r w:rsidR="00415E0D" w:rsidRPr="006E725C">
              <w:rPr>
                <w:color w:val="0D0D0D" w:themeColor="text1" w:themeTint="F2"/>
                <w:spacing w:val="-4"/>
                <w:lang w:val="en-GB"/>
              </w:rPr>
              <w:t>temporarily</w:t>
            </w:r>
            <w:r w:rsidR="00B27CFE" w:rsidRPr="006E725C">
              <w:rPr>
                <w:color w:val="0D0D0D" w:themeColor="text1" w:themeTint="F2"/>
                <w:spacing w:val="-4"/>
                <w:lang w:val="en-GB"/>
              </w:rPr>
              <w:t xml:space="preserve"> stagnated since last year’s February </w:t>
            </w:r>
            <w:r w:rsidR="00582A12" w:rsidRPr="006E725C">
              <w:rPr>
                <w:color w:val="0D0D0D" w:themeColor="text1" w:themeTint="F2"/>
                <w:spacing w:val="-4"/>
                <w:lang w:val="en-GB"/>
              </w:rPr>
              <w:t>(</w:t>
            </w:r>
            <w:r w:rsidR="004B7480" w:rsidRPr="006E725C">
              <w:rPr>
                <w:color w:val="0D0D0D" w:themeColor="text1" w:themeTint="F2"/>
                <w:spacing w:val="-4"/>
                <w:lang w:val="en-GB"/>
              </w:rPr>
              <w:t xml:space="preserve">when it fell to two-year minimum). </w:t>
            </w:r>
            <w:r w:rsidR="00582A12" w:rsidRPr="006E725C">
              <w:rPr>
                <w:color w:val="0D0D0D" w:themeColor="text1" w:themeTint="F2"/>
                <w:spacing w:val="-4"/>
                <w:lang w:val="en-GB"/>
              </w:rPr>
              <w:t> </w:t>
            </w:r>
            <w:r w:rsidR="001B7A58" w:rsidRPr="006E725C">
              <w:rPr>
                <w:color w:val="0D0D0D" w:themeColor="text1" w:themeTint="F2"/>
                <w:spacing w:val="-4"/>
                <w:lang w:val="en-GB"/>
              </w:rPr>
              <w:t>With the approaching end of year</w:t>
            </w:r>
            <w:r w:rsidR="00A82F4D">
              <w:rPr>
                <w:color w:val="0D0D0D" w:themeColor="text1" w:themeTint="F2"/>
                <w:spacing w:val="-4"/>
                <w:lang w:val="en-GB"/>
              </w:rPr>
              <w:t xml:space="preserve"> 2023</w:t>
            </w:r>
            <w:r w:rsidR="001B7A58" w:rsidRPr="006E725C">
              <w:rPr>
                <w:color w:val="0D0D0D" w:themeColor="text1" w:themeTint="F2"/>
                <w:spacing w:val="-4"/>
                <w:lang w:val="en-GB"/>
              </w:rPr>
              <w:t xml:space="preserve"> it unfortunately again started to worsen, especially in both services and trade. </w:t>
            </w:r>
            <w:r w:rsidR="00FF2C97" w:rsidRPr="006E725C">
              <w:rPr>
                <w:color w:val="0D0D0D" w:themeColor="text1" w:themeTint="F2"/>
                <w:spacing w:val="-4"/>
                <w:lang w:val="en-GB"/>
              </w:rPr>
              <w:t xml:space="preserve">The expectations were the weakest since the peak of the pandemics (March 2021) in February </w:t>
            </w:r>
            <w:r w:rsidR="00582A12" w:rsidRPr="006E725C">
              <w:rPr>
                <w:color w:val="0D0D0D" w:themeColor="text1" w:themeTint="F2"/>
                <w:spacing w:val="-4"/>
                <w:lang w:val="en-GB"/>
              </w:rPr>
              <w:t>2024</w:t>
            </w:r>
            <w:r w:rsidR="00FF2C97" w:rsidRPr="006E725C">
              <w:rPr>
                <w:color w:val="0D0D0D" w:themeColor="text1" w:themeTint="F2"/>
                <w:spacing w:val="-4"/>
                <w:lang w:val="en-GB"/>
              </w:rPr>
              <w:t xml:space="preserve">. Pessimism prevailed mainly in services, where 35% of businesses considered laying off staff within a three-month time horizon, identically 13% in trade and industry. </w:t>
            </w:r>
            <w:r w:rsidR="00807BC0" w:rsidRPr="006E725C">
              <w:rPr>
                <w:color w:val="0D0D0D" w:themeColor="text1" w:themeTint="F2"/>
                <w:spacing w:val="-4"/>
                <w:lang w:val="en-GB"/>
              </w:rPr>
              <w:t>Situation differed at the level of sub-branches within both industry and services</w:t>
            </w:r>
            <w:r w:rsidR="00582A12" w:rsidRPr="006E725C">
              <w:rPr>
                <w:rStyle w:val="Znakapoznpodarou"/>
                <w:color w:val="0D0D0D" w:themeColor="text1" w:themeTint="F2"/>
                <w:spacing w:val="-4"/>
                <w:lang w:val="en-GB"/>
              </w:rPr>
              <w:footnoteReference w:id="79"/>
            </w:r>
            <w:r w:rsidR="00582A12" w:rsidRPr="006E725C">
              <w:rPr>
                <w:color w:val="0D0D0D" w:themeColor="text1" w:themeTint="F2"/>
                <w:spacing w:val="-4"/>
                <w:lang w:val="en-GB"/>
              </w:rPr>
              <w:t>.</w:t>
            </w:r>
            <w:r w:rsidR="00D61917" w:rsidRPr="006E725C">
              <w:rPr>
                <w:color w:val="0D0D0D" w:themeColor="text1" w:themeTint="F2"/>
                <w:spacing w:val="-4"/>
                <w:lang w:val="en-GB"/>
              </w:rPr>
              <w:t xml:space="preserve"> The only main branch, when the expectations improved year-on-year was construction </w:t>
            </w:r>
            <w:r w:rsidR="00582A12" w:rsidRPr="006E725C">
              <w:rPr>
                <w:rStyle w:val="eop"/>
                <w:rFonts w:eastAsia="MS Gothic" w:cs="Arial"/>
                <w:szCs w:val="20"/>
                <w:lang w:val="en-GB"/>
              </w:rPr>
              <w:t xml:space="preserve">– </w:t>
            </w:r>
            <w:r w:rsidR="00807BC0" w:rsidRPr="006E725C">
              <w:rPr>
                <w:rStyle w:val="eop"/>
                <w:rFonts w:eastAsia="MS Gothic" w:cs="Arial"/>
                <w:lang w:val="en-GB"/>
              </w:rPr>
              <w:t xml:space="preserve">8% of firms were contemplating laying off staff (the least in the last </w:t>
            </w:r>
            <w:r w:rsidR="00582A12" w:rsidRPr="006E725C">
              <w:rPr>
                <w:rStyle w:val="eop"/>
                <w:rFonts w:eastAsia="MS Gothic" w:cs="Arial"/>
                <w:szCs w:val="20"/>
                <w:lang w:val="en-GB"/>
              </w:rPr>
              <w:t>1</w:t>
            </w:r>
            <w:r w:rsidR="00807BC0" w:rsidRPr="006E725C">
              <w:rPr>
                <w:rStyle w:val="eop"/>
                <w:rFonts w:eastAsia="MS Gothic" w:cs="Arial"/>
                <w:szCs w:val="20"/>
                <w:lang w:val="en-GB"/>
              </w:rPr>
              <w:t>.</w:t>
            </w:r>
            <w:r w:rsidR="00582A12" w:rsidRPr="006E725C">
              <w:rPr>
                <w:rStyle w:val="eop"/>
                <w:rFonts w:eastAsia="MS Gothic" w:cs="Arial"/>
                <w:szCs w:val="20"/>
                <w:lang w:val="en-GB"/>
              </w:rPr>
              <w:t>5</w:t>
            </w:r>
            <w:r w:rsidR="00807BC0" w:rsidRPr="006E725C">
              <w:rPr>
                <w:rStyle w:val="eop"/>
                <w:rFonts w:eastAsia="MS Gothic" w:cs="Arial"/>
                <w:szCs w:val="20"/>
                <w:lang w:val="en-GB"/>
              </w:rPr>
              <w:t xml:space="preserve"> </w:t>
            </w:r>
            <w:r w:rsidR="00807BC0" w:rsidRPr="006E725C">
              <w:rPr>
                <w:rStyle w:val="eop"/>
                <w:rFonts w:eastAsia="MS Gothic" w:cs="Arial"/>
                <w:lang w:val="en-GB"/>
              </w:rPr>
              <w:t>years</w:t>
            </w:r>
            <w:r w:rsidR="00582A12" w:rsidRPr="006E725C">
              <w:rPr>
                <w:rStyle w:val="eop"/>
                <w:rFonts w:eastAsia="MS Gothic" w:cs="Arial"/>
                <w:szCs w:val="20"/>
                <w:lang w:val="en-GB"/>
              </w:rPr>
              <w:t>), 12%</w:t>
            </w:r>
            <w:r w:rsidR="00807BC0" w:rsidRPr="006E725C">
              <w:rPr>
                <w:rStyle w:val="eop"/>
                <w:rFonts w:eastAsia="MS Gothic" w:cs="Arial"/>
                <w:szCs w:val="20"/>
                <w:lang w:val="en-GB"/>
              </w:rPr>
              <w:t xml:space="preserve"> of businesses on the contrary planned to increase employment.</w:t>
            </w:r>
            <w:r w:rsidR="00BF63D6" w:rsidRPr="006E725C">
              <w:rPr>
                <w:rStyle w:val="eop"/>
                <w:rFonts w:eastAsia="MS Gothic" w:cs="Arial"/>
                <w:szCs w:val="20"/>
                <w:lang w:val="en-GB"/>
              </w:rPr>
              <w:t xml:space="preserve"> T</w:t>
            </w:r>
            <w:r w:rsidR="00BF63D6" w:rsidRPr="006E725C">
              <w:rPr>
                <w:rStyle w:val="eop"/>
                <w:rFonts w:eastAsia="MS Gothic" w:cs="Arial"/>
                <w:lang w:val="en-GB"/>
              </w:rPr>
              <w:t>he proportion of businesses</w:t>
            </w:r>
            <w:r w:rsidR="008C0680">
              <w:rPr>
                <w:rStyle w:val="eop"/>
                <w:rFonts w:eastAsia="MS Gothic" w:cs="Arial"/>
                <w:lang w:val="en-GB"/>
              </w:rPr>
              <w:t xml:space="preserve"> </w:t>
            </w:r>
            <w:r w:rsidR="00BF63D6" w:rsidRPr="006E725C">
              <w:rPr>
                <w:rStyle w:val="eop"/>
                <w:rFonts w:eastAsia="MS Gothic" w:cs="Arial"/>
                <w:lang w:val="en-GB"/>
              </w:rPr>
              <w:t xml:space="preserve">where the lack of labour force </w:t>
            </w:r>
            <w:r w:rsidR="00C42129" w:rsidRPr="006E725C">
              <w:rPr>
                <w:rStyle w:val="eop"/>
                <w:rFonts w:eastAsia="MS Gothic" w:cs="Arial"/>
                <w:lang w:val="en-GB"/>
              </w:rPr>
              <w:t>represents</w:t>
            </w:r>
            <w:r w:rsidR="00BF63D6" w:rsidRPr="006E725C">
              <w:rPr>
                <w:rStyle w:val="eop"/>
                <w:rFonts w:eastAsia="MS Gothic" w:cs="Arial"/>
                <w:lang w:val="en-GB"/>
              </w:rPr>
              <w:t xml:space="preserve"> one of important </w:t>
            </w:r>
            <w:r w:rsidR="00C42129" w:rsidRPr="006E725C">
              <w:rPr>
                <w:rStyle w:val="eop"/>
                <w:rFonts w:eastAsia="MS Gothic" w:cs="Arial"/>
                <w:lang w:val="en-GB"/>
              </w:rPr>
              <w:t>growth</w:t>
            </w:r>
            <w:r w:rsidR="00BF63D6" w:rsidRPr="006E725C">
              <w:rPr>
                <w:rStyle w:val="eop"/>
                <w:rFonts w:eastAsia="MS Gothic" w:cs="Arial"/>
                <w:lang w:val="en-GB"/>
              </w:rPr>
              <w:t xml:space="preserve"> barriers was decreasing in some key branches </w:t>
            </w:r>
            <w:r w:rsidR="008C0680">
              <w:rPr>
                <w:rStyle w:val="eop"/>
                <w:rFonts w:eastAsia="MS Gothic" w:cs="Arial"/>
                <w:lang w:val="en-GB"/>
              </w:rPr>
              <w:t>(mainly in industry)</w:t>
            </w:r>
            <w:r w:rsidR="008C0680" w:rsidRPr="006E725C">
              <w:rPr>
                <w:rStyle w:val="eop"/>
                <w:rFonts w:eastAsia="MS Gothic" w:cs="Arial"/>
                <w:lang w:val="en-GB"/>
              </w:rPr>
              <w:t xml:space="preserve"> </w:t>
            </w:r>
            <w:r w:rsidR="00BF63D6" w:rsidRPr="006E725C">
              <w:rPr>
                <w:rStyle w:val="eop"/>
                <w:rFonts w:eastAsia="MS Gothic" w:cs="Arial"/>
                <w:lang w:val="en-GB"/>
              </w:rPr>
              <w:t>due to the worsening of total economic outlooks as well as the strong inflow of persons from Ukrai</w:t>
            </w:r>
            <w:r w:rsidR="008C0680">
              <w:rPr>
                <w:rStyle w:val="eop"/>
                <w:rFonts w:eastAsia="MS Gothic" w:cs="Arial"/>
                <w:lang w:val="en-GB"/>
              </w:rPr>
              <w:t>ne to the domestic labour market</w:t>
            </w:r>
            <w:r w:rsidR="00BF63D6" w:rsidRPr="006E725C">
              <w:rPr>
                <w:rStyle w:val="eop"/>
                <w:rFonts w:eastAsia="MS Gothic" w:cs="Arial"/>
                <w:lang w:val="en-GB"/>
              </w:rPr>
              <w:t xml:space="preserve">. </w:t>
            </w:r>
            <w:r w:rsidR="00BF63D6" w:rsidRPr="006E725C">
              <w:rPr>
                <w:color w:val="0D0D0D" w:themeColor="text1" w:themeTint="F2"/>
                <w:spacing w:val="-4"/>
                <w:lang w:val="en-GB"/>
              </w:rPr>
              <w:t xml:space="preserve">On the other </w:t>
            </w:r>
            <w:r w:rsidR="00C42129" w:rsidRPr="006E725C">
              <w:rPr>
                <w:color w:val="0D0D0D" w:themeColor="text1" w:themeTint="F2"/>
                <w:spacing w:val="-4"/>
                <w:lang w:val="en-GB"/>
              </w:rPr>
              <w:t>hand,</w:t>
            </w:r>
            <w:r w:rsidR="00BF63D6" w:rsidRPr="006E725C">
              <w:rPr>
                <w:color w:val="0D0D0D" w:themeColor="text1" w:themeTint="F2"/>
                <w:spacing w:val="-4"/>
                <w:lang w:val="en-GB"/>
              </w:rPr>
              <w:t xml:space="preserve"> it still represented the most significant barrier in construction, limiting approximately one half of companies here. </w:t>
            </w:r>
          </w:p>
        </w:tc>
      </w:tr>
      <w:tr w:rsidR="00582A12" w:rsidRPr="006E725C" w14:paraId="1A3AD90B" w14:textId="77777777" w:rsidTr="00BA5125">
        <w:trPr>
          <w:trHeight w:val="155"/>
        </w:trPr>
        <w:tc>
          <w:tcPr>
            <w:tcW w:w="1754" w:type="dxa"/>
            <w:vMerge w:val="restart"/>
            <w:shd w:val="clear" w:color="auto" w:fill="auto"/>
            <w:tcMar>
              <w:left w:w="0" w:type="dxa"/>
            </w:tcMar>
          </w:tcPr>
          <w:p w14:paraId="3165B57C" w14:textId="77777777" w:rsidR="00582A12" w:rsidRPr="006E725C" w:rsidRDefault="00582A12" w:rsidP="00BA5125">
            <w:pPr>
              <w:pStyle w:val="Marginlie"/>
              <w:spacing w:after="120"/>
              <w:rPr>
                <w:spacing w:val="-4"/>
                <w:lang w:val="en-GB"/>
              </w:rPr>
            </w:pPr>
          </w:p>
        </w:tc>
        <w:tc>
          <w:tcPr>
            <w:tcW w:w="220" w:type="dxa"/>
            <w:vMerge w:val="restart"/>
            <w:shd w:val="clear" w:color="auto" w:fill="auto"/>
            <w:tcMar>
              <w:left w:w="0" w:type="dxa"/>
            </w:tcMar>
          </w:tcPr>
          <w:p w14:paraId="25F02D31" w14:textId="77777777" w:rsidR="00582A12" w:rsidRPr="006E725C" w:rsidRDefault="00582A12" w:rsidP="00BA5125">
            <w:pPr>
              <w:pStyle w:val="Textpoznpodarou"/>
              <w:spacing w:after="120"/>
              <w:jc w:val="both"/>
              <w:rPr>
                <w:spacing w:val="-4"/>
                <w:lang w:val="en-GB"/>
              </w:rPr>
            </w:pPr>
          </w:p>
        </w:tc>
        <w:tc>
          <w:tcPr>
            <w:tcW w:w="7700" w:type="dxa"/>
            <w:shd w:val="clear" w:color="auto" w:fill="auto"/>
            <w:tcMar>
              <w:left w:w="0" w:type="dxa"/>
            </w:tcMar>
          </w:tcPr>
          <w:p w14:paraId="0A026DCC" w14:textId="2D6D1C20" w:rsidR="00582A12" w:rsidRPr="006E725C" w:rsidRDefault="00427538" w:rsidP="00BA5125">
            <w:pPr>
              <w:spacing w:after="0"/>
              <w:rPr>
                <w:b/>
                <w:spacing w:val="-2"/>
                <w:lang w:val="en-GB"/>
              </w:rPr>
            </w:pPr>
            <w:r w:rsidRPr="006E725C">
              <w:rPr>
                <w:b/>
                <w:spacing w:val="-2"/>
                <w:lang w:val="en-GB"/>
              </w:rPr>
              <w:t xml:space="preserve">Chart </w:t>
            </w:r>
            <w:r w:rsidR="00582A12" w:rsidRPr="006E725C">
              <w:rPr>
                <w:b/>
                <w:spacing w:val="-2"/>
                <w:lang w:val="en-GB"/>
              </w:rPr>
              <w:t xml:space="preserve">15 </w:t>
            </w:r>
            <w:r w:rsidR="00AC04B1" w:rsidRPr="006E725C">
              <w:rPr>
                <w:rFonts w:cs="Arial"/>
                <w:b/>
                <w:spacing w:val="-4"/>
                <w:lang w:val="en-GB"/>
              </w:rPr>
              <w:t xml:space="preserve">General unemployment rate </w:t>
            </w:r>
            <w:r w:rsidR="00AC04B1" w:rsidRPr="006E725C">
              <w:rPr>
                <w:rFonts w:cs="Arial"/>
                <w:bCs/>
                <w:spacing w:val="-4"/>
                <w:lang w:val="en-GB"/>
              </w:rPr>
              <w:t>(in %, age 15 to 64 years)</w:t>
            </w:r>
            <w:r w:rsidR="00AC04B1" w:rsidRPr="006E725C">
              <w:rPr>
                <w:rFonts w:cs="Arial"/>
                <w:b/>
                <w:spacing w:val="-4"/>
                <w:lang w:val="en-GB"/>
              </w:rPr>
              <w:t xml:space="preserve">, economically inactive willing to work* </w:t>
            </w:r>
            <w:r w:rsidR="00AC04B1" w:rsidRPr="006E725C">
              <w:rPr>
                <w:rFonts w:cs="Arial"/>
                <w:bCs/>
                <w:spacing w:val="-4"/>
                <w:lang w:val="en-GB"/>
              </w:rPr>
              <w:t>(in thousand persons),</w:t>
            </w:r>
            <w:r w:rsidR="00AC04B1" w:rsidRPr="006E725C">
              <w:rPr>
                <w:rFonts w:cs="Arial"/>
                <w:b/>
                <w:spacing w:val="-4"/>
                <w:lang w:val="en-GB"/>
              </w:rPr>
              <w:t xml:space="preserve"> job vacancies </w:t>
            </w:r>
            <w:r w:rsidR="00AC04B1" w:rsidRPr="006E725C">
              <w:rPr>
                <w:rFonts w:cs="Arial"/>
                <w:bCs/>
                <w:spacing w:val="-4"/>
                <w:lang w:val="en-GB"/>
              </w:rPr>
              <w:t xml:space="preserve">(in thousand) </w:t>
            </w:r>
            <w:r w:rsidR="00AC04B1" w:rsidRPr="006E725C">
              <w:rPr>
                <w:rFonts w:cs="Arial"/>
                <w:b/>
                <w:spacing w:val="-4"/>
                <w:lang w:val="en-GB"/>
              </w:rPr>
              <w:t xml:space="preserve">and unemployment expectations of households </w:t>
            </w:r>
            <w:r w:rsidR="00AC04B1" w:rsidRPr="006E725C">
              <w:rPr>
                <w:rFonts w:cs="Arial"/>
                <w:bCs/>
                <w:spacing w:val="-4"/>
                <w:lang w:val="en-GB"/>
              </w:rPr>
              <w:t>(in p. p.)</w:t>
            </w:r>
            <w:r w:rsidR="00AC04B1" w:rsidRPr="006E725C">
              <w:rPr>
                <w:rFonts w:cs="Arial"/>
                <w:b/>
                <w:spacing w:val="-4"/>
                <w:lang w:val="en-GB"/>
              </w:rPr>
              <w:t>**</w:t>
            </w:r>
          </w:p>
        </w:tc>
      </w:tr>
      <w:tr w:rsidR="00582A12" w:rsidRPr="006E725C" w14:paraId="7D341FDA" w14:textId="77777777" w:rsidTr="005865AF">
        <w:tblPrEx>
          <w:tblCellMar>
            <w:left w:w="70" w:type="dxa"/>
            <w:right w:w="70" w:type="dxa"/>
          </w:tblCellMar>
        </w:tblPrEx>
        <w:trPr>
          <w:trHeight w:val="155"/>
        </w:trPr>
        <w:tc>
          <w:tcPr>
            <w:tcW w:w="1754" w:type="dxa"/>
            <w:vMerge/>
            <w:shd w:val="clear" w:color="auto" w:fill="auto"/>
          </w:tcPr>
          <w:p w14:paraId="5EA53BBC" w14:textId="77777777" w:rsidR="00582A12" w:rsidRPr="006E725C" w:rsidRDefault="00582A12" w:rsidP="00BA5125">
            <w:pPr>
              <w:pStyle w:val="Marginlie"/>
              <w:spacing w:after="120"/>
              <w:rPr>
                <w:spacing w:val="-4"/>
                <w:lang w:val="en-GB"/>
              </w:rPr>
            </w:pPr>
          </w:p>
        </w:tc>
        <w:tc>
          <w:tcPr>
            <w:tcW w:w="220" w:type="dxa"/>
            <w:vMerge/>
            <w:shd w:val="clear" w:color="auto" w:fill="auto"/>
          </w:tcPr>
          <w:p w14:paraId="03F172BE" w14:textId="77777777" w:rsidR="00582A12" w:rsidRPr="006E725C" w:rsidRDefault="00582A12" w:rsidP="00BA5125">
            <w:pPr>
              <w:pStyle w:val="Textpoznpodarou"/>
              <w:spacing w:after="120"/>
              <w:jc w:val="both"/>
              <w:rPr>
                <w:spacing w:val="-4"/>
                <w:lang w:val="en-GB"/>
              </w:rPr>
            </w:pPr>
          </w:p>
        </w:tc>
        <w:tc>
          <w:tcPr>
            <w:tcW w:w="7700" w:type="dxa"/>
            <w:shd w:val="clear" w:color="auto" w:fill="auto"/>
          </w:tcPr>
          <w:p w14:paraId="60CB9586" w14:textId="610236A3" w:rsidR="00582A12" w:rsidRPr="006E725C" w:rsidRDefault="005865AF" w:rsidP="00BA5125">
            <w:pPr>
              <w:spacing w:after="0"/>
              <w:rPr>
                <w:spacing w:val="-4"/>
                <w:lang w:val="en-GB"/>
              </w:rPr>
            </w:pPr>
            <w:r>
              <w:rPr>
                <w:noProof/>
              </w:rPr>
              <w:drawing>
                <wp:inline distT="0" distB="0" distL="0" distR="0" wp14:anchorId="2CF6E940" wp14:editId="6898AE36">
                  <wp:extent cx="4708445" cy="3424726"/>
                  <wp:effectExtent l="0" t="0" r="0" b="444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582A12" w:rsidRPr="006E725C" w14:paraId="2AD8BFA1" w14:textId="77777777" w:rsidTr="00BA5125">
        <w:trPr>
          <w:trHeight w:val="132"/>
        </w:trPr>
        <w:tc>
          <w:tcPr>
            <w:tcW w:w="1754" w:type="dxa"/>
            <w:vMerge/>
            <w:shd w:val="clear" w:color="auto" w:fill="auto"/>
            <w:tcMar>
              <w:left w:w="0" w:type="dxa"/>
            </w:tcMar>
          </w:tcPr>
          <w:p w14:paraId="53B6D6CB" w14:textId="77777777" w:rsidR="00582A12" w:rsidRPr="006E725C" w:rsidRDefault="00582A12" w:rsidP="00BA5125">
            <w:pPr>
              <w:pStyle w:val="Marginlie"/>
              <w:rPr>
                <w:spacing w:val="-4"/>
                <w:lang w:val="en-GB"/>
              </w:rPr>
            </w:pPr>
          </w:p>
        </w:tc>
        <w:tc>
          <w:tcPr>
            <w:tcW w:w="220" w:type="dxa"/>
            <w:vMerge/>
            <w:shd w:val="clear" w:color="auto" w:fill="auto"/>
            <w:tcMar>
              <w:left w:w="0" w:type="dxa"/>
            </w:tcMar>
          </w:tcPr>
          <w:p w14:paraId="285B1977" w14:textId="77777777" w:rsidR="00582A12" w:rsidRPr="006E725C" w:rsidRDefault="00582A12" w:rsidP="00BA5125">
            <w:pPr>
              <w:pStyle w:val="Textpoznpodarou"/>
              <w:jc w:val="both"/>
              <w:rPr>
                <w:spacing w:val="-4"/>
                <w:lang w:val="en-GB"/>
              </w:rPr>
            </w:pPr>
          </w:p>
        </w:tc>
        <w:tc>
          <w:tcPr>
            <w:tcW w:w="7700" w:type="dxa"/>
            <w:shd w:val="clear" w:color="auto" w:fill="auto"/>
            <w:tcMar>
              <w:left w:w="0" w:type="dxa"/>
            </w:tcMar>
          </w:tcPr>
          <w:p w14:paraId="23E8769E" w14:textId="316AB2F7" w:rsidR="00AC04B1" w:rsidRPr="006E725C" w:rsidRDefault="00AC04B1" w:rsidP="00AC04B1">
            <w:pPr>
              <w:spacing w:after="0" w:line="240" w:lineRule="auto"/>
              <w:rPr>
                <w:rFonts w:cs="Arial"/>
                <w:color w:val="0D0D0D" w:themeColor="text1" w:themeTint="F2"/>
                <w:sz w:val="14"/>
                <w:szCs w:val="14"/>
                <w:lang w:val="en-GB"/>
              </w:rPr>
            </w:pPr>
            <w:r w:rsidRPr="006E725C">
              <w:rPr>
                <w:rFonts w:cs="Arial"/>
                <w:color w:val="0D0D0D" w:themeColor="text1" w:themeTint="F2"/>
                <w:sz w:val="14"/>
                <w:szCs w:val="14"/>
                <w:lang w:val="en-GB"/>
              </w:rPr>
              <w:t xml:space="preserve">Note: Figures regarding the unemployment rate are seasonally adjusted. </w:t>
            </w:r>
            <w:r w:rsidR="005865AF">
              <w:rPr>
                <w:rFonts w:cs="Arial"/>
                <w:color w:val="0D0D0D" w:themeColor="text1" w:themeTint="F2"/>
                <w:sz w:val="14"/>
                <w:szCs w:val="14"/>
                <w:lang w:val="en-GB"/>
              </w:rPr>
              <w:t>J</w:t>
            </w:r>
            <w:r w:rsidRPr="006E725C">
              <w:rPr>
                <w:rFonts w:cs="Arial"/>
                <w:color w:val="0D0D0D" w:themeColor="text1" w:themeTint="F2"/>
                <w:sz w:val="14"/>
                <w:szCs w:val="14"/>
                <w:lang w:val="en-GB"/>
              </w:rPr>
              <w:t>ob vacancies</w:t>
            </w:r>
            <w:r w:rsidR="005865AF">
              <w:rPr>
                <w:rFonts w:cs="Arial"/>
                <w:color w:val="0D0D0D" w:themeColor="text1" w:themeTint="F2"/>
                <w:sz w:val="14"/>
                <w:szCs w:val="14"/>
                <w:lang w:val="en-GB"/>
              </w:rPr>
              <w:t xml:space="preserve">: </w:t>
            </w:r>
            <w:r w:rsidRPr="006E725C">
              <w:rPr>
                <w:rFonts w:cs="Arial"/>
                <w:color w:val="0D0D0D" w:themeColor="text1" w:themeTint="F2"/>
                <w:sz w:val="14"/>
                <w:szCs w:val="14"/>
                <w:lang w:val="en-GB"/>
              </w:rPr>
              <w:t>balance at the end of quarter</w:t>
            </w:r>
            <w:r w:rsidR="005865AF">
              <w:rPr>
                <w:rFonts w:cs="Arial"/>
                <w:color w:val="0D0D0D" w:themeColor="text1" w:themeTint="F2"/>
                <w:sz w:val="14"/>
                <w:szCs w:val="14"/>
                <w:lang w:val="en-GB"/>
              </w:rPr>
              <w:t>.</w:t>
            </w:r>
          </w:p>
          <w:p w14:paraId="281B3F07" w14:textId="77777777" w:rsidR="00AC04B1" w:rsidRPr="006E725C" w:rsidRDefault="00AC04B1" w:rsidP="00AC04B1">
            <w:pPr>
              <w:spacing w:after="0" w:line="240" w:lineRule="auto"/>
              <w:rPr>
                <w:rFonts w:cs="Arial"/>
                <w:bCs/>
                <w:color w:val="0D0D0D" w:themeColor="text1" w:themeTint="F2"/>
                <w:sz w:val="14"/>
                <w:szCs w:val="14"/>
                <w:lang w:val="en-GB"/>
              </w:rPr>
            </w:pPr>
            <w:r w:rsidRPr="006E725C">
              <w:rPr>
                <w:rFonts w:cs="Arial"/>
                <w:bCs/>
                <w:color w:val="0D0D0D" w:themeColor="text1" w:themeTint="F2"/>
                <w:sz w:val="14"/>
                <w:szCs w:val="14"/>
                <w:lang w:val="en-GB"/>
              </w:rPr>
              <w:t xml:space="preserve">*Persons not in employment, not seeking work, but expressing the willingness to work. </w:t>
            </w:r>
          </w:p>
          <w:p w14:paraId="16511E88" w14:textId="0D603555" w:rsidR="00AC04B1" w:rsidRPr="006E725C" w:rsidRDefault="00AC04B1" w:rsidP="00AC04B1">
            <w:pPr>
              <w:spacing w:after="0" w:line="240" w:lineRule="auto"/>
              <w:rPr>
                <w:rFonts w:cs="Arial"/>
                <w:color w:val="0D0D0D" w:themeColor="text1" w:themeTint="F2"/>
                <w:spacing w:val="-2"/>
                <w:sz w:val="14"/>
                <w:szCs w:val="14"/>
                <w:lang w:val="en-GB"/>
              </w:rPr>
            </w:pPr>
            <w:r w:rsidRPr="006E725C">
              <w:rPr>
                <w:rFonts w:cs="Arial"/>
                <w:color w:val="0D0D0D" w:themeColor="text1" w:themeTint="F2"/>
                <w:spacing w:val="-2"/>
                <w:sz w:val="14"/>
                <w:szCs w:val="14"/>
                <w:lang w:val="en-GB"/>
              </w:rPr>
              <w:t xml:space="preserve">**Seasonally adjusted balance of expectations of unemployment in the next 12 months (difference between percentage frequency of answers of households “growth” and “decrease” expressed in percentage points). Data relates to the middle month of the given quarter. </w:t>
            </w:r>
          </w:p>
          <w:p w14:paraId="0E493DE9" w14:textId="03782532" w:rsidR="00AC04B1" w:rsidRPr="005865AF" w:rsidRDefault="00AC04B1" w:rsidP="005865AF">
            <w:pPr>
              <w:spacing w:after="0" w:line="240" w:lineRule="auto"/>
              <w:rPr>
                <w:rFonts w:cs="Arial"/>
                <w:color w:val="0D0D0D" w:themeColor="text1" w:themeTint="F2"/>
                <w:spacing w:val="-2"/>
                <w:sz w:val="14"/>
                <w:szCs w:val="14"/>
                <w:lang w:val="en-GB"/>
              </w:rPr>
            </w:pPr>
            <w:r w:rsidRPr="006E725C">
              <w:rPr>
                <w:rFonts w:cs="Arial"/>
                <w:color w:val="0D0D0D" w:themeColor="text1" w:themeTint="F2"/>
                <w:spacing w:val="-2"/>
                <w:sz w:val="14"/>
                <w:szCs w:val="14"/>
                <w:lang w:val="en-GB"/>
              </w:rPr>
              <w:t xml:space="preserve">Source: CZSO (LFSS, business cycle survey), MLSA (job vacancies registered at labour offices in </w:t>
            </w:r>
            <w:r w:rsidR="0060393D">
              <w:rPr>
                <w:rFonts w:cs="Arial"/>
                <w:color w:val="0D0D0D" w:themeColor="text1" w:themeTint="F2"/>
                <w:spacing w:val="-2"/>
                <w:sz w:val="14"/>
                <w:szCs w:val="14"/>
                <w:lang w:val="en-GB"/>
              </w:rPr>
              <w:t>the CR)</w:t>
            </w:r>
          </w:p>
        </w:tc>
      </w:tr>
      <w:tr w:rsidR="00582A12" w:rsidRPr="006E725C" w14:paraId="2866EE10" w14:textId="77777777" w:rsidTr="00BA5125">
        <w:trPr>
          <w:trHeight w:val="132"/>
        </w:trPr>
        <w:tc>
          <w:tcPr>
            <w:tcW w:w="1754" w:type="dxa"/>
            <w:shd w:val="clear" w:color="auto" w:fill="auto"/>
            <w:tcMar>
              <w:left w:w="0" w:type="dxa"/>
            </w:tcMar>
          </w:tcPr>
          <w:p w14:paraId="583C4EDD" w14:textId="13678429" w:rsidR="00582A12" w:rsidRPr="006E725C" w:rsidRDefault="00CC0E6A" w:rsidP="00BA5125">
            <w:pPr>
              <w:pStyle w:val="Marginlie"/>
              <w:rPr>
                <w:color w:val="0D0D0D" w:themeColor="text1" w:themeTint="F2"/>
                <w:spacing w:val="-5"/>
                <w:lang w:val="en-GB"/>
              </w:rPr>
            </w:pPr>
            <w:r w:rsidRPr="006E725C">
              <w:rPr>
                <w:color w:val="0D0D0D" w:themeColor="text1" w:themeTint="F2"/>
                <w:spacing w:val="-5"/>
                <w:lang w:val="en-GB"/>
              </w:rPr>
              <w:lastRenderedPageBreak/>
              <w:t>General unemployment rate slightly increased. It attained the highest value in the last two and a half years in January 2024.</w:t>
            </w:r>
          </w:p>
          <w:p w14:paraId="1CAA6A26" w14:textId="77777777" w:rsidR="00582A12" w:rsidRPr="006E725C" w:rsidRDefault="00582A12" w:rsidP="00BA5125">
            <w:pPr>
              <w:pStyle w:val="Marginlie"/>
              <w:rPr>
                <w:color w:val="0D0D0D" w:themeColor="text1" w:themeTint="F2"/>
                <w:spacing w:val="-4"/>
                <w:lang w:val="en-GB"/>
              </w:rPr>
            </w:pPr>
          </w:p>
        </w:tc>
        <w:tc>
          <w:tcPr>
            <w:tcW w:w="220" w:type="dxa"/>
            <w:shd w:val="clear" w:color="auto" w:fill="auto"/>
            <w:tcMar>
              <w:left w:w="0" w:type="dxa"/>
            </w:tcMar>
          </w:tcPr>
          <w:p w14:paraId="50B702EE" w14:textId="77777777" w:rsidR="00582A12" w:rsidRPr="006E725C" w:rsidRDefault="00582A12" w:rsidP="00BA5125">
            <w:pPr>
              <w:pStyle w:val="Textpoznpodarou"/>
              <w:jc w:val="both"/>
              <w:rPr>
                <w:color w:val="0D0D0D" w:themeColor="text1" w:themeTint="F2"/>
                <w:spacing w:val="-4"/>
                <w:lang w:val="en-GB"/>
              </w:rPr>
            </w:pPr>
          </w:p>
        </w:tc>
        <w:tc>
          <w:tcPr>
            <w:tcW w:w="7700" w:type="dxa"/>
            <w:shd w:val="clear" w:color="auto" w:fill="auto"/>
            <w:tcMar>
              <w:left w:w="0" w:type="dxa"/>
            </w:tcMar>
          </w:tcPr>
          <w:p w14:paraId="17F8371C" w14:textId="63BA17CC" w:rsidR="00582A12" w:rsidRPr="006E725C" w:rsidRDefault="0049505A" w:rsidP="00BA5125">
            <w:pPr>
              <w:spacing w:after="200"/>
              <w:rPr>
                <w:color w:val="0D0D0D" w:themeColor="text1" w:themeTint="F2"/>
                <w:spacing w:val="-4"/>
                <w:lang w:val="en-GB"/>
              </w:rPr>
            </w:pPr>
            <w:r w:rsidRPr="006E725C">
              <w:rPr>
                <w:color w:val="0D0D0D" w:themeColor="text1" w:themeTint="F2"/>
                <w:spacing w:val="-6"/>
                <w:lang w:val="en-GB"/>
              </w:rPr>
              <w:t xml:space="preserve">General unemployment </w:t>
            </w:r>
            <w:r w:rsidR="0045220F" w:rsidRPr="006E725C">
              <w:rPr>
                <w:color w:val="0D0D0D" w:themeColor="text1" w:themeTint="F2"/>
                <w:spacing w:val="-6"/>
                <w:lang w:val="en-GB"/>
              </w:rPr>
              <w:t>rate</w:t>
            </w:r>
            <w:r w:rsidR="00582A12" w:rsidRPr="006E725C">
              <w:rPr>
                <w:rStyle w:val="Znakapoznpodarou"/>
                <w:color w:val="0D0D0D" w:themeColor="text1" w:themeTint="F2"/>
                <w:spacing w:val="-6"/>
                <w:lang w:val="en-GB"/>
              </w:rPr>
              <w:footnoteReference w:id="80"/>
            </w:r>
            <w:r w:rsidR="00582A12" w:rsidRPr="006E725C">
              <w:rPr>
                <w:color w:val="0D0D0D" w:themeColor="text1" w:themeTint="F2"/>
                <w:spacing w:val="-6"/>
                <w:lang w:val="en-GB"/>
              </w:rPr>
              <w:t xml:space="preserve">, </w:t>
            </w:r>
            <w:r w:rsidRPr="006E725C">
              <w:rPr>
                <w:color w:val="0D0D0D" w:themeColor="text1" w:themeTint="F2"/>
                <w:spacing w:val="-6"/>
                <w:lang w:val="en-GB"/>
              </w:rPr>
              <w:t xml:space="preserve">which stagnated near the historical minimum for </w:t>
            </w:r>
            <w:r w:rsidR="00C42129" w:rsidRPr="006E725C">
              <w:rPr>
                <w:color w:val="0D0D0D" w:themeColor="text1" w:themeTint="F2"/>
                <w:spacing w:val="-6"/>
                <w:lang w:val="en-GB"/>
              </w:rPr>
              <w:t>a</w:t>
            </w:r>
            <w:r w:rsidRPr="006E725C">
              <w:rPr>
                <w:color w:val="0D0D0D" w:themeColor="text1" w:themeTint="F2"/>
                <w:spacing w:val="-6"/>
                <w:lang w:val="en-GB"/>
              </w:rPr>
              <w:t xml:space="preserve"> major part of year 2022, started to slowly rise last year. </w:t>
            </w:r>
            <w:r w:rsidR="00582A12" w:rsidRPr="006E725C">
              <w:rPr>
                <w:color w:val="0D0D0D" w:themeColor="text1" w:themeTint="F2"/>
                <w:spacing w:val="-6"/>
                <w:lang w:val="en-GB"/>
              </w:rPr>
              <w:t>T</w:t>
            </w:r>
            <w:r w:rsidR="00D746BE" w:rsidRPr="006E725C">
              <w:rPr>
                <w:color w:val="0D0D0D" w:themeColor="text1" w:themeTint="F2"/>
                <w:spacing w:val="-6"/>
                <w:lang w:val="en-GB"/>
              </w:rPr>
              <w:t xml:space="preserve">his trend also continued at the beginning of this year. </w:t>
            </w:r>
            <w:r w:rsidR="00582A12" w:rsidRPr="006E725C">
              <w:rPr>
                <w:color w:val="0D0D0D" w:themeColor="text1" w:themeTint="F2"/>
                <w:spacing w:val="-6"/>
                <w:lang w:val="en-GB"/>
              </w:rPr>
              <w:t xml:space="preserve"> </w:t>
            </w:r>
            <w:r w:rsidR="006652B9" w:rsidRPr="006E725C">
              <w:rPr>
                <w:color w:val="0D0D0D" w:themeColor="text1" w:themeTint="F2"/>
                <w:spacing w:val="-6"/>
                <w:lang w:val="en-GB"/>
              </w:rPr>
              <w:t xml:space="preserve">Unemployment was even </w:t>
            </w:r>
            <w:r w:rsidR="00582A12" w:rsidRPr="006E725C">
              <w:rPr>
                <w:rStyle w:val="normaltextrun"/>
                <w:rFonts w:eastAsia="MS Gothic" w:cs="Arial"/>
                <w:spacing w:val="-6"/>
                <w:szCs w:val="20"/>
                <w:lang w:val="en-GB"/>
              </w:rPr>
              <w:t>3%</w:t>
            </w:r>
            <w:r w:rsidR="00582A12" w:rsidRPr="006E725C">
              <w:rPr>
                <w:rStyle w:val="Znakapoznpodarou"/>
                <w:color w:val="0D0D0D" w:themeColor="text1" w:themeTint="F2"/>
                <w:spacing w:val="-6"/>
                <w:lang w:val="en-GB"/>
              </w:rPr>
              <w:footnoteReference w:id="81"/>
            </w:r>
            <w:r w:rsidR="006652B9" w:rsidRPr="006E725C">
              <w:rPr>
                <w:rStyle w:val="normaltextrun"/>
                <w:rFonts w:eastAsia="MS Gothic" w:cs="Arial"/>
                <w:spacing w:val="-6"/>
                <w:szCs w:val="20"/>
                <w:lang w:val="en-GB"/>
              </w:rPr>
              <w:t xml:space="preserve"> </w:t>
            </w:r>
            <w:r w:rsidR="006652B9" w:rsidRPr="006E725C">
              <w:rPr>
                <w:rStyle w:val="normaltextrun"/>
                <w:rFonts w:eastAsia="MS Gothic" w:cs="Arial"/>
                <w:lang w:val="en-GB"/>
              </w:rPr>
              <w:t>in February</w:t>
            </w:r>
            <w:r w:rsidR="00582A12" w:rsidRPr="006E725C">
              <w:rPr>
                <w:rStyle w:val="normaltextrun"/>
                <w:rFonts w:eastAsia="MS Gothic" w:cs="Arial"/>
                <w:spacing w:val="-6"/>
                <w:szCs w:val="20"/>
                <w:lang w:val="en-GB"/>
              </w:rPr>
              <w:t xml:space="preserve"> (</w:t>
            </w:r>
            <w:r w:rsidR="006652B9" w:rsidRPr="006E725C">
              <w:rPr>
                <w:rStyle w:val="normaltextrun"/>
                <w:rFonts w:eastAsia="MS Gothic" w:cs="Arial"/>
                <w:spacing w:val="-6"/>
                <w:szCs w:val="20"/>
                <w:lang w:val="en-GB"/>
              </w:rPr>
              <w:t>t</w:t>
            </w:r>
            <w:r w:rsidR="006652B9" w:rsidRPr="006E725C">
              <w:rPr>
                <w:rStyle w:val="normaltextrun"/>
                <w:rFonts w:eastAsia="MS Gothic" w:cs="Arial"/>
                <w:lang w:val="en-GB"/>
              </w:rPr>
              <w:t>he most in the last two and a half years</w:t>
            </w:r>
            <w:r w:rsidR="00582A12" w:rsidRPr="006E725C">
              <w:rPr>
                <w:rStyle w:val="normaltextrun"/>
                <w:rFonts w:eastAsia="MS Gothic" w:cs="Arial"/>
                <w:spacing w:val="-6"/>
                <w:szCs w:val="20"/>
                <w:lang w:val="en-GB"/>
              </w:rPr>
              <w:t>),</w:t>
            </w:r>
            <w:r w:rsidR="006652B9" w:rsidRPr="006E725C">
              <w:rPr>
                <w:rStyle w:val="normaltextrun"/>
                <w:rFonts w:eastAsia="MS Gothic" w:cs="Arial"/>
                <w:spacing w:val="-6"/>
                <w:szCs w:val="20"/>
                <w:lang w:val="en-GB"/>
              </w:rPr>
              <w:t xml:space="preserve"> </w:t>
            </w:r>
            <w:r w:rsidR="00582A12" w:rsidRPr="006E725C">
              <w:rPr>
                <w:rStyle w:val="normaltextrun"/>
                <w:rFonts w:eastAsia="MS Gothic" w:cs="Arial"/>
                <w:spacing w:val="-4"/>
                <w:szCs w:val="20"/>
                <w:lang w:val="en-GB"/>
              </w:rPr>
              <w:t>2</w:t>
            </w:r>
            <w:r w:rsidR="006652B9" w:rsidRPr="006E725C">
              <w:rPr>
                <w:rStyle w:val="normaltextrun"/>
                <w:rFonts w:eastAsia="MS Gothic" w:cs="Arial"/>
                <w:spacing w:val="-4"/>
                <w:szCs w:val="20"/>
                <w:lang w:val="en-GB"/>
              </w:rPr>
              <w:t>.</w:t>
            </w:r>
            <w:r w:rsidR="00582A12" w:rsidRPr="006E725C">
              <w:rPr>
                <w:rStyle w:val="normaltextrun"/>
                <w:rFonts w:eastAsia="MS Gothic" w:cs="Arial"/>
                <w:spacing w:val="-4"/>
                <w:szCs w:val="20"/>
                <w:lang w:val="en-GB"/>
              </w:rPr>
              <w:t>5%</w:t>
            </w:r>
            <w:r w:rsidR="006652B9" w:rsidRPr="006E725C">
              <w:rPr>
                <w:rStyle w:val="normaltextrun"/>
                <w:rFonts w:eastAsia="MS Gothic" w:cs="Arial"/>
                <w:spacing w:val="-4"/>
                <w:szCs w:val="20"/>
                <w:lang w:val="en-GB"/>
              </w:rPr>
              <w:t xml:space="preserve"> for males and </w:t>
            </w:r>
            <w:r w:rsidR="00582A12" w:rsidRPr="006E725C">
              <w:rPr>
                <w:rStyle w:val="normaltextrun"/>
                <w:rFonts w:eastAsia="MS Gothic" w:cs="Arial"/>
                <w:spacing w:val="-4"/>
                <w:szCs w:val="20"/>
                <w:lang w:val="en-GB"/>
              </w:rPr>
              <w:t>3</w:t>
            </w:r>
            <w:r w:rsidR="006652B9" w:rsidRPr="006E725C">
              <w:rPr>
                <w:rStyle w:val="normaltextrun"/>
                <w:rFonts w:eastAsia="MS Gothic" w:cs="Arial"/>
                <w:spacing w:val="-4"/>
                <w:szCs w:val="20"/>
                <w:lang w:val="en-GB"/>
              </w:rPr>
              <w:t>.</w:t>
            </w:r>
            <w:r w:rsidR="00582A12" w:rsidRPr="006E725C">
              <w:rPr>
                <w:rStyle w:val="normaltextrun"/>
                <w:rFonts w:eastAsia="MS Gothic" w:cs="Arial"/>
                <w:spacing w:val="-4"/>
                <w:szCs w:val="20"/>
                <w:lang w:val="en-GB"/>
              </w:rPr>
              <w:t>6%</w:t>
            </w:r>
            <w:r w:rsidR="006652B9" w:rsidRPr="006E725C">
              <w:rPr>
                <w:rStyle w:val="normaltextrun"/>
                <w:rFonts w:eastAsia="MS Gothic" w:cs="Arial"/>
                <w:spacing w:val="-4"/>
                <w:szCs w:val="20"/>
                <w:lang w:val="en-GB"/>
              </w:rPr>
              <w:t xml:space="preserve"> for females</w:t>
            </w:r>
            <w:r w:rsidR="00582A12" w:rsidRPr="006E725C">
              <w:rPr>
                <w:rStyle w:val="normaltextrun"/>
                <w:rFonts w:eastAsia="MS Gothic" w:cs="Arial"/>
                <w:spacing w:val="-4"/>
                <w:szCs w:val="20"/>
                <w:lang w:val="en-GB"/>
              </w:rPr>
              <w:t>.</w:t>
            </w:r>
            <w:r w:rsidR="006652B9" w:rsidRPr="006E725C">
              <w:rPr>
                <w:rStyle w:val="normaltextrun"/>
                <w:rFonts w:eastAsia="MS Gothic" w:cs="Arial"/>
                <w:spacing w:val="-4"/>
                <w:szCs w:val="20"/>
                <w:lang w:val="en-GB"/>
              </w:rPr>
              <w:t xml:space="preserve"> Unemployment slightly increased month-on-month </w:t>
            </w:r>
            <w:r w:rsidR="00582A12" w:rsidRPr="006E725C">
              <w:rPr>
                <w:rStyle w:val="normaltextrun"/>
                <w:rFonts w:eastAsia="MS Gothic" w:cs="Arial"/>
                <w:spacing w:val="-4"/>
                <w:szCs w:val="20"/>
                <w:lang w:val="en-GB"/>
              </w:rPr>
              <w:t>(+0</w:t>
            </w:r>
            <w:r w:rsidR="006652B9" w:rsidRPr="006E725C">
              <w:rPr>
                <w:rStyle w:val="normaltextrun"/>
                <w:rFonts w:eastAsia="MS Gothic" w:cs="Arial"/>
                <w:spacing w:val="-4"/>
                <w:szCs w:val="20"/>
                <w:lang w:val="en-GB"/>
              </w:rPr>
              <w:t>.</w:t>
            </w:r>
            <w:r w:rsidR="00582A12" w:rsidRPr="006E725C">
              <w:rPr>
                <w:rStyle w:val="normaltextrun"/>
                <w:rFonts w:eastAsia="MS Gothic" w:cs="Arial"/>
                <w:spacing w:val="-4"/>
                <w:szCs w:val="20"/>
                <w:lang w:val="en-GB"/>
              </w:rPr>
              <w:t>2 p.</w:t>
            </w:r>
            <w:r w:rsidR="006652B9" w:rsidRPr="006E725C">
              <w:rPr>
                <w:rStyle w:val="normaltextrun"/>
                <w:rFonts w:eastAsia="MS Gothic" w:cs="Arial"/>
                <w:spacing w:val="-4"/>
                <w:szCs w:val="20"/>
                <w:lang w:val="en-GB"/>
              </w:rPr>
              <w:t>p</w:t>
            </w:r>
            <w:r w:rsidR="00582A12" w:rsidRPr="006E725C">
              <w:rPr>
                <w:rStyle w:val="normaltextrun"/>
                <w:rFonts w:eastAsia="MS Gothic" w:cs="Arial"/>
                <w:spacing w:val="-4"/>
                <w:szCs w:val="20"/>
                <w:lang w:val="en-GB"/>
              </w:rPr>
              <w:t>.)</w:t>
            </w:r>
            <w:r w:rsidR="006652B9" w:rsidRPr="006E725C">
              <w:rPr>
                <w:rStyle w:val="normaltextrun"/>
                <w:rFonts w:eastAsia="MS Gothic" w:cs="Arial"/>
                <w:spacing w:val="-4"/>
                <w:szCs w:val="20"/>
                <w:lang w:val="en-GB"/>
              </w:rPr>
              <w:t xml:space="preserve"> as we</w:t>
            </w:r>
            <w:r w:rsidR="00C42129" w:rsidRPr="006E725C">
              <w:rPr>
                <w:rStyle w:val="normaltextrun"/>
                <w:rFonts w:eastAsia="MS Gothic" w:cs="Arial"/>
                <w:spacing w:val="-4"/>
                <w:szCs w:val="20"/>
                <w:lang w:val="en-GB"/>
              </w:rPr>
              <w:t>l</w:t>
            </w:r>
            <w:r w:rsidR="00C42129" w:rsidRPr="006E725C">
              <w:rPr>
                <w:rStyle w:val="normaltextrun"/>
                <w:rFonts w:eastAsia="MS Gothic" w:cs="Arial"/>
                <w:lang w:val="en-GB"/>
              </w:rPr>
              <w:t>l</w:t>
            </w:r>
            <w:r w:rsidR="006652B9" w:rsidRPr="006E725C">
              <w:rPr>
                <w:rStyle w:val="normaltextrun"/>
                <w:rFonts w:eastAsia="MS Gothic" w:cs="Arial"/>
                <w:spacing w:val="-4"/>
                <w:szCs w:val="20"/>
                <w:lang w:val="en-GB"/>
              </w:rPr>
              <w:t xml:space="preserve"> as year-on-year </w:t>
            </w:r>
            <w:r w:rsidR="00582A12" w:rsidRPr="006E725C">
              <w:rPr>
                <w:rStyle w:val="normaltextrun"/>
                <w:rFonts w:eastAsia="MS Gothic" w:cs="Arial"/>
                <w:szCs w:val="20"/>
                <w:lang w:val="en-GB"/>
              </w:rPr>
              <w:t>(+0</w:t>
            </w:r>
            <w:r w:rsidR="006652B9" w:rsidRPr="006E725C">
              <w:rPr>
                <w:rStyle w:val="normaltextrun"/>
                <w:rFonts w:eastAsia="MS Gothic" w:cs="Arial"/>
                <w:szCs w:val="20"/>
                <w:lang w:val="en-GB"/>
              </w:rPr>
              <w:t>.</w:t>
            </w:r>
            <w:r w:rsidR="00582A12" w:rsidRPr="006E725C">
              <w:rPr>
                <w:rStyle w:val="normaltextrun"/>
                <w:rFonts w:eastAsia="MS Gothic" w:cs="Arial"/>
                <w:szCs w:val="20"/>
                <w:lang w:val="en-GB"/>
              </w:rPr>
              <w:t>4 p.</w:t>
            </w:r>
            <w:r w:rsidR="006652B9" w:rsidRPr="006E725C">
              <w:rPr>
                <w:rStyle w:val="normaltextrun"/>
                <w:rFonts w:eastAsia="MS Gothic" w:cs="Arial"/>
                <w:szCs w:val="20"/>
                <w:lang w:val="en-GB"/>
              </w:rPr>
              <w:t>p</w:t>
            </w:r>
            <w:r w:rsidR="00582A12" w:rsidRPr="006E725C">
              <w:rPr>
                <w:rStyle w:val="normaltextrun"/>
                <w:rFonts w:eastAsia="MS Gothic" w:cs="Arial"/>
                <w:szCs w:val="20"/>
                <w:lang w:val="en-GB"/>
              </w:rPr>
              <w:t xml:space="preserve">.), </w:t>
            </w:r>
            <w:r w:rsidR="006652B9" w:rsidRPr="006E725C">
              <w:rPr>
                <w:rStyle w:val="normaltextrun"/>
                <w:rFonts w:eastAsia="MS Gothic" w:cs="Arial"/>
                <w:szCs w:val="20"/>
                <w:lang w:val="en-GB"/>
              </w:rPr>
              <w:t>comparably for both males and females</w:t>
            </w:r>
            <w:r w:rsidR="00582A12" w:rsidRPr="006E725C">
              <w:rPr>
                <w:rStyle w:val="normaltextrun"/>
                <w:rFonts w:eastAsia="MS Gothic" w:cs="Arial"/>
                <w:szCs w:val="20"/>
                <w:lang w:val="en-GB"/>
              </w:rPr>
              <w:t>.</w:t>
            </w:r>
            <w:r w:rsidR="006652B9" w:rsidRPr="006E725C">
              <w:rPr>
                <w:rStyle w:val="normaltextrun"/>
                <w:rFonts w:eastAsia="MS Gothic" w:cs="Arial"/>
                <w:szCs w:val="20"/>
                <w:lang w:val="en-GB"/>
              </w:rPr>
              <w:t xml:space="preserve"> The number of long-term unemployed grew faster </w:t>
            </w:r>
            <w:r w:rsidR="00582A12" w:rsidRPr="006E725C">
              <w:rPr>
                <w:rStyle w:val="normaltextrun"/>
                <w:rFonts w:eastAsia="MS Gothic" w:cs="Arial"/>
                <w:spacing w:val="-4"/>
                <w:szCs w:val="20"/>
                <w:lang w:val="en-GB"/>
              </w:rPr>
              <w:t>(</w:t>
            </w:r>
            <w:r w:rsidR="0067404B" w:rsidRPr="006E725C">
              <w:rPr>
                <w:rStyle w:val="normaltextrun"/>
                <w:rFonts w:eastAsia="MS Gothic" w:cs="Arial"/>
                <w:spacing w:val="-4"/>
                <w:szCs w:val="20"/>
                <w:lang w:val="en-GB"/>
              </w:rPr>
              <w:t>i</w:t>
            </w:r>
            <w:r w:rsidR="0067404B" w:rsidRPr="006E725C">
              <w:rPr>
                <w:rStyle w:val="normaltextrun"/>
                <w:rFonts w:eastAsia="MS Gothic" w:cs="Arial"/>
                <w:spacing w:val="-4"/>
                <w:lang w:val="en-GB"/>
              </w:rPr>
              <w:t>t shared by more than one half on the year-on-year increase of all unemployed persons in Q</w:t>
            </w:r>
            <w:r w:rsidR="00582A12" w:rsidRPr="006E725C">
              <w:rPr>
                <w:rStyle w:val="normaltextrun"/>
                <w:rFonts w:eastAsia="MS Gothic" w:cs="Arial"/>
                <w:spacing w:val="-4"/>
                <w:szCs w:val="20"/>
                <w:lang w:val="en-GB"/>
              </w:rPr>
              <w:t>4</w:t>
            </w:r>
            <w:r w:rsidR="0067404B" w:rsidRPr="006E725C">
              <w:rPr>
                <w:rStyle w:val="normaltextrun"/>
                <w:rFonts w:eastAsia="MS Gothic" w:cs="Arial"/>
                <w:spacing w:val="-4"/>
                <w:szCs w:val="20"/>
                <w:lang w:val="en-GB"/>
              </w:rPr>
              <w:t xml:space="preserve"> </w:t>
            </w:r>
            <w:r w:rsidR="00582A12" w:rsidRPr="006E725C">
              <w:rPr>
                <w:rStyle w:val="normaltextrun"/>
                <w:rFonts w:eastAsia="MS Gothic" w:cs="Arial"/>
                <w:szCs w:val="20"/>
                <w:lang w:val="en-GB"/>
              </w:rPr>
              <w:t>2023),</w:t>
            </w:r>
            <w:r w:rsidR="0067404B" w:rsidRPr="006E725C">
              <w:rPr>
                <w:rStyle w:val="normaltextrun"/>
                <w:rFonts w:eastAsia="MS Gothic" w:cs="Arial"/>
                <w:szCs w:val="20"/>
                <w:lang w:val="en-GB"/>
              </w:rPr>
              <w:t xml:space="preserve"> </w:t>
            </w:r>
            <w:r w:rsidR="00E8755C" w:rsidRPr="006E725C">
              <w:rPr>
                <w:rStyle w:val="normaltextrun"/>
                <w:rFonts w:eastAsia="MS Gothic" w:cs="Arial"/>
                <w:szCs w:val="20"/>
                <w:lang w:val="en-GB"/>
              </w:rPr>
              <w:t>specifically males, which can be associated with the difficult situation in industry.</w:t>
            </w:r>
            <w:r w:rsidR="00A141E8" w:rsidRPr="006E725C">
              <w:rPr>
                <w:rStyle w:val="normaltextrun"/>
                <w:rFonts w:eastAsia="MS Gothic" w:cs="Arial"/>
                <w:szCs w:val="20"/>
                <w:lang w:val="en-GB"/>
              </w:rPr>
              <w:t xml:space="preserve"> Persons who were without a job more than one year however still formed less than one third (comparably to year 2019) out of total number of unemployed </w:t>
            </w:r>
            <w:r w:rsidR="00582A12" w:rsidRPr="006E725C">
              <w:rPr>
                <w:rStyle w:val="normaltextrun"/>
                <w:rFonts w:eastAsia="MS Gothic" w:cs="Arial"/>
                <w:szCs w:val="20"/>
                <w:lang w:val="en-GB"/>
              </w:rPr>
              <w:t>(133 t</w:t>
            </w:r>
            <w:r w:rsidR="00A141E8" w:rsidRPr="006E725C">
              <w:rPr>
                <w:rStyle w:val="normaltextrun"/>
                <w:rFonts w:eastAsia="MS Gothic" w:cs="Arial"/>
                <w:szCs w:val="20"/>
                <w:lang w:val="en-GB"/>
              </w:rPr>
              <w:t>housand</w:t>
            </w:r>
            <w:r w:rsidR="00582A12" w:rsidRPr="006E725C">
              <w:rPr>
                <w:rStyle w:val="normaltextrun"/>
                <w:rFonts w:eastAsia="MS Gothic" w:cs="Arial"/>
                <w:szCs w:val="20"/>
                <w:lang w:val="en-GB"/>
              </w:rPr>
              <w:t>)</w:t>
            </w:r>
            <w:r w:rsidR="00A141E8" w:rsidRPr="006E725C">
              <w:rPr>
                <w:rStyle w:val="normaltextrun"/>
                <w:rFonts w:eastAsia="MS Gothic" w:cs="Arial"/>
                <w:szCs w:val="20"/>
                <w:lang w:val="en-GB"/>
              </w:rPr>
              <w:t xml:space="preserve">. </w:t>
            </w:r>
            <w:r w:rsidR="006652B9" w:rsidRPr="006E725C">
              <w:rPr>
                <w:rStyle w:val="normaltextrun"/>
                <w:rFonts w:eastAsia="MS Gothic" w:cs="Arial"/>
                <w:szCs w:val="20"/>
                <w:lang w:val="en-GB"/>
              </w:rPr>
              <w:t xml:space="preserve">Also data regarding the </w:t>
            </w:r>
            <w:r w:rsidR="00F90C4F" w:rsidRPr="006E725C">
              <w:rPr>
                <w:rStyle w:val="normaltextrun"/>
                <w:rFonts w:eastAsia="MS Gothic" w:cs="Arial"/>
                <w:szCs w:val="20"/>
                <w:lang w:val="en-GB"/>
              </w:rPr>
              <w:t>j</w:t>
            </w:r>
            <w:r w:rsidR="00F90C4F" w:rsidRPr="006E725C">
              <w:rPr>
                <w:rStyle w:val="normaltextrun"/>
                <w:rFonts w:eastAsia="MS Gothic" w:cs="Arial"/>
                <w:lang w:val="en-GB"/>
              </w:rPr>
              <w:t>ob applicants registered at labour offices (LO) suggest mild cooling on the labour market</w:t>
            </w:r>
            <w:r w:rsidR="00582A12" w:rsidRPr="006E725C">
              <w:rPr>
                <w:rStyle w:val="Znakapoznpodarou"/>
                <w:color w:val="0D0D0D" w:themeColor="text1" w:themeTint="F2"/>
                <w:spacing w:val="-4"/>
                <w:lang w:val="en-GB"/>
              </w:rPr>
              <w:footnoteReference w:id="82"/>
            </w:r>
            <w:r w:rsidR="00582A12" w:rsidRPr="006E725C">
              <w:rPr>
                <w:color w:val="0D0D0D" w:themeColor="text1" w:themeTint="F2"/>
                <w:spacing w:val="-4"/>
                <w:lang w:val="en-GB"/>
              </w:rPr>
              <w:t xml:space="preserve">. </w:t>
            </w:r>
            <w:r w:rsidR="00B46674" w:rsidRPr="006E725C">
              <w:rPr>
                <w:color w:val="0D0D0D" w:themeColor="text1" w:themeTint="F2"/>
                <w:spacing w:val="-4"/>
                <w:lang w:val="en-GB"/>
              </w:rPr>
              <w:t>It is also confirmed by the fact, that the size of potential work reserve was growing year-on-year for the whole last year</w:t>
            </w:r>
            <w:r w:rsidR="00582A12" w:rsidRPr="006E725C">
              <w:rPr>
                <w:color w:val="0D0D0D" w:themeColor="text1" w:themeTint="F2"/>
                <w:spacing w:val="-4"/>
                <w:lang w:val="en-GB"/>
              </w:rPr>
              <w:t xml:space="preserve"> – </w:t>
            </w:r>
            <w:r w:rsidR="00F90C4F" w:rsidRPr="006E725C">
              <w:rPr>
                <w:color w:val="0D0D0D" w:themeColor="text1" w:themeTint="F2"/>
                <w:spacing w:val="-4"/>
                <w:lang w:val="en-GB"/>
              </w:rPr>
              <w:t xml:space="preserve">number of economically inactive not seeking </w:t>
            </w:r>
            <w:r w:rsidR="00C83205" w:rsidRPr="006E725C">
              <w:rPr>
                <w:color w:val="0D0D0D" w:themeColor="text1" w:themeTint="F2"/>
                <w:spacing w:val="-4"/>
                <w:lang w:val="en-GB"/>
              </w:rPr>
              <w:t>employment</w:t>
            </w:r>
            <w:r w:rsidR="00F90C4F" w:rsidRPr="006E725C">
              <w:rPr>
                <w:color w:val="0D0D0D" w:themeColor="text1" w:themeTint="F2"/>
                <w:spacing w:val="-4"/>
                <w:lang w:val="en-GB"/>
              </w:rPr>
              <w:t>, but willing to work exceeded 80 thousand in Q</w:t>
            </w:r>
            <w:r w:rsidR="00582A12" w:rsidRPr="006E725C">
              <w:rPr>
                <w:color w:val="0D0D0D" w:themeColor="text1" w:themeTint="F2"/>
                <w:spacing w:val="-4"/>
                <w:lang w:val="en-GB"/>
              </w:rPr>
              <w:t>4</w:t>
            </w:r>
            <w:r w:rsidR="00582A12" w:rsidRPr="006E725C">
              <w:rPr>
                <w:rStyle w:val="Znakapoznpodarou"/>
                <w:color w:val="0D0D0D" w:themeColor="text1" w:themeTint="F2"/>
                <w:spacing w:val="-4"/>
                <w:lang w:val="en-GB"/>
              </w:rPr>
              <w:footnoteReference w:id="83"/>
            </w:r>
            <w:r w:rsidR="00582A12" w:rsidRPr="006E725C">
              <w:rPr>
                <w:color w:val="0D0D0D" w:themeColor="text1" w:themeTint="F2"/>
                <w:spacing w:val="-4"/>
                <w:lang w:val="en-GB"/>
              </w:rPr>
              <w:t xml:space="preserve">. </w:t>
            </w:r>
          </w:p>
        </w:tc>
      </w:tr>
      <w:tr w:rsidR="00582A12" w:rsidRPr="006E725C" w14:paraId="069EFD2E" w14:textId="77777777" w:rsidTr="00BA5125">
        <w:trPr>
          <w:trHeight w:val="132"/>
        </w:trPr>
        <w:tc>
          <w:tcPr>
            <w:tcW w:w="1754" w:type="dxa"/>
            <w:shd w:val="clear" w:color="auto" w:fill="auto"/>
            <w:tcMar>
              <w:left w:w="0" w:type="dxa"/>
            </w:tcMar>
          </w:tcPr>
          <w:p w14:paraId="0FC79AD5" w14:textId="0F46D097" w:rsidR="00582A12" w:rsidRPr="006E725C" w:rsidRDefault="0067404B" w:rsidP="00BA5125">
            <w:pPr>
              <w:pStyle w:val="Marginlie"/>
              <w:rPr>
                <w:color w:val="0D0D0D" w:themeColor="text1" w:themeTint="F2"/>
                <w:spacing w:val="-5"/>
                <w:lang w:val="en-GB"/>
              </w:rPr>
            </w:pPr>
            <w:r w:rsidRPr="006E725C">
              <w:rPr>
                <w:color w:val="0D0D0D" w:themeColor="text1" w:themeTint="F2"/>
                <w:spacing w:val="-5"/>
                <w:lang w:val="en-GB"/>
              </w:rPr>
              <w:t xml:space="preserve">Number of job vacancies in the economy slightly decreased. </w:t>
            </w:r>
          </w:p>
          <w:p w14:paraId="778B87A3" w14:textId="77777777" w:rsidR="00582A12" w:rsidRPr="006E725C" w:rsidRDefault="00582A12" w:rsidP="00BA5125">
            <w:pPr>
              <w:pStyle w:val="Marginlie"/>
              <w:rPr>
                <w:color w:val="0D0D0D" w:themeColor="text1" w:themeTint="F2"/>
                <w:spacing w:val="-5"/>
                <w:lang w:val="en-GB"/>
              </w:rPr>
            </w:pPr>
          </w:p>
          <w:p w14:paraId="3EDF6323" w14:textId="77777777" w:rsidR="00582A12" w:rsidRPr="006E725C" w:rsidRDefault="00582A12" w:rsidP="00BA5125">
            <w:pPr>
              <w:pStyle w:val="Marginlie"/>
              <w:rPr>
                <w:color w:val="0D0D0D" w:themeColor="text1" w:themeTint="F2"/>
                <w:spacing w:val="-5"/>
                <w:lang w:val="en-GB"/>
              </w:rPr>
            </w:pPr>
          </w:p>
          <w:p w14:paraId="306C9DFF" w14:textId="77777777" w:rsidR="00582A12" w:rsidRPr="006E725C" w:rsidRDefault="00582A12" w:rsidP="00BA5125">
            <w:pPr>
              <w:pStyle w:val="Marginlie"/>
              <w:rPr>
                <w:color w:val="0D0D0D" w:themeColor="text1" w:themeTint="F2"/>
                <w:spacing w:val="-5"/>
                <w:lang w:val="en-GB"/>
              </w:rPr>
            </w:pPr>
          </w:p>
          <w:p w14:paraId="51F60E76" w14:textId="4BF9142F" w:rsidR="00582A12" w:rsidRPr="006E725C" w:rsidRDefault="006652B9" w:rsidP="00BA5125">
            <w:pPr>
              <w:pStyle w:val="Marginlie"/>
              <w:rPr>
                <w:color w:val="0D0D0D" w:themeColor="text1" w:themeTint="F2"/>
                <w:spacing w:val="-4"/>
                <w:lang w:val="en-GB"/>
              </w:rPr>
            </w:pPr>
            <w:r w:rsidRPr="006E725C">
              <w:rPr>
                <w:color w:val="0D0D0D" w:themeColor="text1" w:themeTint="F2"/>
                <w:spacing w:val="-5"/>
                <w:lang w:val="en-GB"/>
              </w:rPr>
              <w:t xml:space="preserve">Concerns of people regarding the unemployment </w:t>
            </w:r>
            <w:r w:rsidR="006849E7" w:rsidRPr="006E725C">
              <w:rPr>
                <w:color w:val="0D0D0D" w:themeColor="text1" w:themeTint="F2"/>
                <w:spacing w:val="-5"/>
                <w:lang w:val="en-GB"/>
              </w:rPr>
              <w:t>development</w:t>
            </w:r>
            <w:r w:rsidRPr="006E725C">
              <w:rPr>
                <w:color w:val="0D0D0D" w:themeColor="text1" w:themeTint="F2"/>
                <w:spacing w:val="-5"/>
                <w:lang w:val="en-GB"/>
              </w:rPr>
              <w:t xml:space="preserve"> weakened </w:t>
            </w:r>
            <w:r w:rsidR="006849E7" w:rsidRPr="006E725C">
              <w:rPr>
                <w:color w:val="0D0D0D" w:themeColor="text1" w:themeTint="F2"/>
                <w:spacing w:val="-5"/>
                <w:lang w:val="en-GB"/>
              </w:rPr>
              <w:t>throughout</w:t>
            </w:r>
            <w:r w:rsidRPr="006E725C">
              <w:rPr>
                <w:color w:val="0D0D0D" w:themeColor="text1" w:themeTint="F2"/>
                <w:spacing w:val="-5"/>
                <w:lang w:val="en-GB"/>
              </w:rPr>
              <w:t xml:space="preserve"> the most part of the last year. </w:t>
            </w:r>
          </w:p>
        </w:tc>
        <w:tc>
          <w:tcPr>
            <w:tcW w:w="220" w:type="dxa"/>
            <w:shd w:val="clear" w:color="auto" w:fill="auto"/>
            <w:tcMar>
              <w:left w:w="0" w:type="dxa"/>
            </w:tcMar>
          </w:tcPr>
          <w:p w14:paraId="6795A200" w14:textId="77777777" w:rsidR="00582A12" w:rsidRPr="006E725C" w:rsidRDefault="00582A12" w:rsidP="00BA5125">
            <w:pPr>
              <w:pStyle w:val="Textpoznpodarou"/>
              <w:jc w:val="both"/>
              <w:rPr>
                <w:color w:val="0D0D0D" w:themeColor="text1" w:themeTint="F2"/>
                <w:spacing w:val="-4"/>
                <w:lang w:val="en-GB"/>
              </w:rPr>
            </w:pPr>
          </w:p>
        </w:tc>
        <w:tc>
          <w:tcPr>
            <w:tcW w:w="7700" w:type="dxa"/>
            <w:shd w:val="clear" w:color="auto" w:fill="auto"/>
            <w:tcMar>
              <w:left w:w="0" w:type="dxa"/>
            </w:tcMar>
          </w:tcPr>
          <w:p w14:paraId="7274D1BC" w14:textId="0B2B9B3B" w:rsidR="00582A12" w:rsidRPr="006E725C" w:rsidRDefault="00D14B3C" w:rsidP="00BA5125">
            <w:pPr>
              <w:spacing w:after="200"/>
              <w:rPr>
                <w:color w:val="0D0D0D" w:themeColor="text1" w:themeTint="F2"/>
                <w:spacing w:val="-4"/>
                <w:lang w:val="en-GB"/>
              </w:rPr>
            </w:pPr>
            <w:r w:rsidRPr="006E725C">
              <w:rPr>
                <w:color w:val="0D0D0D" w:themeColor="text1" w:themeTint="F2"/>
                <w:spacing w:val="-4"/>
                <w:lang w:val="en-GB"/>
              </w:rPr>
              <w:t>Num</w:t>
            </w:r>
            <w:r w:rsidR="003B4A56" w:rsidRPr="006E725C">
              <w:rPr>
                <w:color w:val="0D0D0D" w:themeColor="text1" w:themeTint="F2"/>
                <w:spacing w:val="-4"/>
                <w:lang w:val="en-GB"/>
              </w:rPr>
              <w:t>b</w:t>
            </w:r>
            <w:r w:rsidRPr="006E725C">
              <w:rPr>
                <w:color w:val="0D0D0D" w:themeColor="text1" w:themeTint="F2"/>
                <w:spacing w:val="-4"/>
                <w:lang w:val="en-GB"/>
              </w:rPr>
              <w:t xml:space="preserve">er of </w:t>
            </w:r>
            <w:r w:rsidR="003B4A56" w:rsidRPr="006E725C">
              <w:rPr>
                <w:color w:val="0D0D0D" w:themeColor="text1" w:themeTint="F2"/>
                <w:spacing w:val="-4"/>
                <w:lang w:val="en-GB"/>
              </w:rPr>
              <w:t xml:space="preserve">job vacancies in the offer of LO </w:t>
            </w:r>
            <w:r w:rsidR="00C83205" w:rsidRPr="006E725C">
              <w:rPr>
                <w:color w:val="0D0D0D" w:themeColor="text1" w:themeTint="F2"/>
                <w:spacing w:val="-4"/>
                <w:lang w:val="en-GB"/>
              </w:rPr>
              <w:t xml:space="preserve">is decreasing already more than </w:t>
            </w:r>
            <w:r w:rsidR="00582A12" w:rsidRPr="006E725C">
              <w:rPr>
                <w:color w:val="0D0D0D" w:themeColor="text1" w:themeTint="F2"/>
                <w:spacing w:val="-4"/>
                <w:lang w:val="en-GB"/>
              </w:rPr>
              <w:t>1</w:t>
            </w:r>
            <w:r w:rsidR="00C83205" w:rsidRPr="006E725C">
              <w:rPr>
                <w:color w:val="0D0D0D" w:themeColor="text1" w:themeTint="F2"/>
                <w:spacing w:val="-4"/>
                <w:lang w:val="en-GB"/>
              </w:rPr>
              <w:t>.</w:t>
            </w:r>
            <w:r w:rsidR="00582A12" w:rsidRPr="006E725C">
              <w:rPr>
                <w:color w:val="0D0D0D" w:themeColor="text1" w:themeTint="F2"/>
                <w:spacing w:val="-4"/>
                <w:lang w:val="en-GB"/>
              </w:rPr>
              <w:t>5</w:t>
            </w:r>
            <w:r w:rsidR="00C83205" w:rsidRPr="006E725C">
              <w:rPr>
                <w:color w:val="0D0D0D" w:themeColor="text1" w:themeTint="F2"/>
                <w:spacing w:val="-4"/>
                <w:lang w:val="en-GB"/>
              </w:rPr>
              <w:t xml:space="preserve"> years</w:t>
            </w:r>
            <w:r w:rsidR="00582A12" w:rsidRPr="006E725C">
              <w:rPr>
                <w:color w:val="0D0D0D" w:themeColor="text1" w:themeTint="F2"/>
                <w:spacing w:val="-4"/>
                <w:lang w:val="en-GB"/>
              </w:rPr>
              <w:t>. 267</w:t>
            </w:r>
            <w:r w:rsidR="00C83205" w:rsidRPr="006E725C">
              <w:rPr>
                <w:color w:val="0D0D0D" w:themeColor="text1" w:themeTint="F2"/>
                <w:spacing w:val="-4"/>
                <w:lang w:val="en-GB"/>
              </w:rPr>
              <w:t xml:space="preserve"> thousand positions</w:t>
            </w:r>
            <w:r w:rsidR="00582A12" w:rsidRPr="006E725C">
              <w:rPr>
                <w:rStyle w:val="Znakapoznpodarou"/>
                <w:color w:val="0D0D0D" w:themeColor="text1" w:themeTint="F2"/>
                <w:spacing w:val="-4"/>
                <w:lang w:val="en-GB"/>
              </w:rPr>
              <w:footnoteReference w:id="84"/>
            </w:r>
            <w:r w:rsidR="00C83205" w:rsidRPr="006E725C">
              <w:rPr>
                <w:color w:val="0D0D0D" w:themeColor="text1" w:themeTint="F2"/>
                <w:spacing w:val="-4"/>
                <w:lang w:val="en-GB"/>
              </w:rPr>
              <w:t xml:space="preserve"> were in evidence at the end of January</w:t>
            </w:r>
            <w:r w:rsidR="00582A12" w:rsidRPr="006E725C">
              <w:rPr>
                <w:color w:val="0D0D0D" w:themeColor="text1" w:themeTint="F2"/>
                <w:spacing w:val="-4"/>
                <w:lang w:val="en-GB"/>
              </w:rPr>
              <w:t>,</w:t>
            </w:r>
            <w:r w:rsidR="00C83205" w:rsidRPr="006E725C">
              <w:rPr>
                <w:color w:val="0D0D0D" w:themeColor="text1" w:themeTint="F2"/>
                <w:spacing w:val="-4"/>
                <w:lang w:val="en-GB"/>
              </w:rPr>
              <w:t xml:space="preserve"> by 5% less year-on-year </w:t>
            </w:r>
            <w:r w:rsidR="00582A12" w:rsidRPr="006E725C">
              <w:rPr>
                <w:color w:val="0D0D0D" w:themeColor="text1" w:themeTint="F2"/>
                <w:spacing w:val="-4"/>
                <w:lang w:val="en-GB"/>
              </w:rPr>
              <w:t>(</w:t>
            </w:r>
            <w:r w:rsidR="00C83205" w:rsidRPr="006E725C">
              <w:rPr>
                <w:color w:val="0D0D0D" w:themeColor="text1" w:themeTint="F2"/>
                <w:spacing w:val="-4"/>
                <w:lang w:val="en-GB"/>
              </w:rPr>
              <w:t>supply of vacancies exceeded the number of registered job applicants for the second month in a row</w:t>
            </w:r>
            <w:r w:rsidR="00582A12" w:rsidRPr="006E725C">
              <w:rPr>
                <w:color w:val="0D0D0D" w:themeColor="text1" w:themeTint="F2"/>
                <w:spacing w:val="-4"/>
                <w:lang w:val="en-GB"/>
              </w:rPr>
              <w:t xml:space="preserve">). </w:t>
            </w:r>
            <w:r w:rsidR="008147B9" w:rsidRPr="006E725C">
              <w:rPr>
                <w:color w:val="0D0D0D" w:themeColor="text1" w:themeTint="F2"/>
                <w:spacing w:val="-4"/>
                <w:lang w:val="en-GB"/>
              </w:rPr>
              <w:t xml:space="preserve">Mainly the low qualification positions stood behind the decrease, </w:t>
            </w:r>
            <w:r w:rsidR="002B060E" w:rsidRPr="006E725C">
              <w:rPr>
                <w:color w:val="0D0D0D" w:themeColor="text1" w:themeTint="F2"/>
                <w:spacing w:val="-4"/>
                <w:lang w:val="en-GB"/>
              </w:rPr>
              <w:t xml:space="preserve">however number of positions for persons with secondary education both without A-level examination (by 13.4%) and with A-level examination (by 11.7%) decreased relatively the most. On the contrary, </w:t>
            </w:r>
            <w:r w:rsidR="00F9236F" w:rsidRPr="006E725C">
              <w:rPr>
                <w:color w:val="0D0D0D" w:themeColor="text1" w:themeTint="F2"/>
                <w:spacing w:val="-4"/>
                <w:lang w:val="en-GB"/>
              </w:rPr>
              <w:t xml:space="preserve">the number of positions for the applicants with tertiary education stagnated year-on-year </w:t>
            </w:r>
            <w:r w:rsidR="00582A12" w:rsidRPr="006E725C">
              <w:rPr>
                <w:color w:val="0D0D0D" w:themeColor="text1" w:themeTint="F2"/>
                <w:spacing w:val="-4"/>
                <w:lang w:val="en-GB"/>
              </w:rPr>
              <w:t>(</w:t>
            </w:r>
            <w:r w:rsidR="00F9236F" w:rsidRPr="006E725C">
              <w:rPr>
                <w:color w:val="0D0D0D" w:themeColor="text1" w:themeTint="F2"/>
                <w:spacing w:val="-4"/>
                <w:lang w:val="en-GB"/>
              </w:rPr>
              <w:t xml:space="preserve">to </w:t>
            </w:r>
            <w:r w:rsidR="00582A12" w:rsidRPr="006E725C">
              <w:rPr>
                <w:color w:val="0D0D0D" w:themeColor="text1" w:themeTint="F2"/>
                <w:spacing w:val="-4"/>
                <w:lang w:val="en-GB"/>
              </w:rPr>
              <w:t>14</w:t>
            </w:r>
            <w:r w:rsidR="00F9236F" w:rsidRPr="006E725C">
              <w:rPr>
                <w:color w:val="0D0D0D" w:themeColor="text1" w:themeTint="F2"/>
                <w:spacing w:val="-4"/>
                <w:lang w:val="en-GB"/>
              </w:rPr>
              <w:t>.</w:t>
            </w:r>
            <w:r w:rsidR="00582A12" w:rsidRPr="006E725C">
              <w:rPr>
                <w:color w:val="0D0D0D" w:themeColor="text1" w:themeTint="F2"/>
                <w:spacing w:val="-4"/>
                <w:lang w:val="en-GB"/>
              </w:rPr>
              <w:t>9</w:t>
            </w:r>
            <w:r w:rsidR="00F9236F" w:rsidRPr="006E725C">
              <w:rPr>
                <w:color w:val="0D0D0D" w:themeColor="text1" w:themeTint="F2"/>
                <w:spacing w:val="-4"/>
                <w:lang w:val="en-GB"/>
              </w:rPr>
              <w:t xml:space="preserve"> thousand</w:t>
            </w:r>
            <w:r w:rsidR="00582A12" w:rsidRPr="006E725C">
              <w:rPr>
                <w:color w:val="0D0D0D" w:themeColor="text1" w:themeTint="F2"/>
                <w:spacing w:val="-4"/>
                <w:lang w:val="en-GB"/>
              </w:rPr>
              <w:t xml:space="preserve">). </w:t>
            </w:r>
            <w:r w:rsidR="00F9236F" w:rsidRPr="006E725C">
              <w:rPr>
                <w:color w:val="0D0D0D" w:themeColor="text1" w:themeTint="F2"/>
                <w:spacing w:val="-4"/>
                <w:lang w:val="en-GB"/>
              </w:rPr>
              <w:t>In the view of the qualification classes of employment</w:t>
            </w:r>
            <w:r w:rsidR="007873BE">
              <w:rPr>
                <w:color w:val="0D0D0D" w:themeColor="text1" w:themeTint="F2"/>
                <w:spacing w:val="-4"/>
                <w:lang w:val="en-GB"/>
              </w:rPr>
              <w:t>,</w:t>
            </w:r>
            <w:r w:rsidR="00F9236F" w:rsidRPr="006E725C">
              <w:rPr>
                <w:color w:val="0D0D0D" w:themeColor="text1" w:themeTint="F2"/>
                <w:spacing w:val="-4"/>
                <w:lang w:val="en-GB"/>
              </w:rPr>
              <w:t xml:space="preserve"> the decrease of job vacancies had rather general character. Concerns of persons regarding the growth of unemployment </w:t>
            </w:r>
            <w:r w:rsidR="00582A12" w:rsidRPr="006E725C">
              <w:rPr>
                <w:color w:val="0D0D0D" w:themeColor="text1" w:themeTint="F2"/>
                <w:spacing w:val="-4"/>
                <w:lang w:val="en-GB"/>
              </w:rPr>
              <w:t>(</w:t>
            </w:r>
            <w:r w:rsidR="00F9236F" w:rsidRPr="006E725C">
              <w:rPr>
                <w:color w:val="0D0D0D" w:themeColor="text1" w:themeTint="F2"/>
                <w:spacing w:val="-4"/>
                <w:lang w:val="en-GB"/>
              </w:rPr>
              <w:t>expressed within the business cycle surveys</w:t>
            </w:r>
            <w:r w:rsidR="00582A12" w:rsidRPr="006E725C">
              <w:rPr>
                <w:color w:val="0D0D0D" w:themeColor="text1" w:themeTint="F2"/>
                <w:spacing w:val="-4"/>
                <w:lang w:val="en-GB"/>
              </w:rPr>
              <w:t>)</w:t>
            </w:r>
            <w:r w:rsidR="00F9236F" w:rsidRPr="006E725C">
              <w:rPr>
                <w:color w:val="0D0D0D" w:themeColor="text1" w:themeTint="F2"/>
                <w:spacing w:val="-4"/>
                <w:lang w:val="en-GB"/>
              </w:rPr>
              <w:t xml:space="preserve"> were abating despite the weak performance of the economy since the beginning of the last year. They increased only at the turn of years 2</w:t>
            </w:r>
            <w:r w:rsidR="00582A12" w:rsidRPr="006E725C">
              <w:rPr>
                <w:color w:val="0D0D0D" w:themeColor="text1" w:themeTint="F2"/>
                <w:spacing w:val="-4"/>
                <w:lang w:val="en-GB"/>
              </w:rPr>
              <w:t>023 a</w:t>
            </w:r>
            <w:r w:rsidR="00F9236F" w:rsidRPr="006E725C">
              <w:rPr>
                <w:color w:val="0D0D0D" w:themeColor="text1" w:themeTint="F2"/>
                <w:spacing w:val="-4"/>
                <w:lang w:val="en-GB"/>
              </w:rPr>
              <w:t>nd</w:t>
            </w:r>
            <w:r w:rsidR="00582A12" w:rsidRPr="006E725C">
              <w:rPr>
                <w:color w:val="0D0D0D" w:themeColor="text1" w:themeTint="F2"/>
                <w:spacing w:val="-4"/>
                <w:lang w:val="en-GB"/>
              </w:rPr>
              <w:t xml:space="preserve"> 2024,</w:t>
            </w:r>
            <w:r w:rsidR="00F9236F" w:rsidRPr="006E725C">
              <w:rPr>
                <w:color w:val="0D0D0D" w:themeColor="text1" w:themeTint="F2"/>
                <w:spacing w:val="-4"/>
                <w:lang w:val="en-GB"/>
              </w:rPr>
              <w:t xml:space="preserve"> however remained approximately at the level of long-term average. </w:t>
            </w:r>
            <w:r w:rsidR="00582A12" w:rsidRPr="006E725C">
              <w:rPr>
                <w:color w:val="0D0D0D" w:themeColor="text1" w:themeTint="F2"/>
                <w:spacing w:val="-4"/>
                <w:lang w:val="en-GB"/>
              </w:rPr>
              <w:t xml:space="preserve"> </w:t>
            </w:r>
          </w:p>
        </w:tc>
      </w:tr>
      <w:tr w:rsidR="00582A12" w:rsidRPr="006E725C" w14:paraId="3548EEEC" w14:textId="77777777" w:rsidTr="00BA5125">
        <w:trPr>
          <w:trHeight w:val="132"/>
        </w:trPr>
        <w:tc>
          <w:tcPr>
            <w:tcW w:w="1754" w:type="dxa"/>
            <w:shd w:val="clear" w:color="auto" w:fill="auto"/>
            <w:tcMar>
              <w:left w:w="0" w:type="dxa"/>
            </w:tcMar>
          </w:tcPr>
          <w:p w14:paraId="1C638622" w14:textId="3BB8034E" w:rsidR="00582A12" w:rsidRPr="006E725C" w:rsidRDefault="00F90C4F" w:rsidP="00BA5125">
            <w:pPr>
              <w:pStyle w:val="Marginlie"/>
              <w:rPr>
                <w:color w:val="0D0D0D" w:themeColor="text1" w:themeTint="F2"/>
                <w:spacing w:val="-4"/>
                <w:lang w:val="en-GB"/>
              </w:rPr>
            </w:pPr>
            <w:r w:rsidRPr="006E725C">
              <w:rPr>
                <w:color w:val="0D0D0D" w:themeColor="text1" w:themeTint="F2"/>
                <w:spacing w:val="-4"/>
                <w:lang w:val="en-GB"/>
              </w:rPr>
              <w:t xml:space="preserve">Growth of average wages slowed down during the year, which was connected to the prevailing weak performance of the economy. </w:t>
            </w:r>
            <w:r w:rsidR="00582A12" w:rsidRPr="006E725C">
              <w:rPr>
                <w:color w:val="0D0D0D" w:themeColor="text1" w:themeTint="F2"/>
                <w:spacing w:val="-4"/>
                <w:lang w:val="en-GB"/>
              </w:rPr>
              <w:t xml:space="preserve"> </w:t>
            </w:r>
          </w:p>
        </w:tc>
        <w:tc>
          <w:tcPr>
            <w:tcW w:w="220" w:type="dxa"/>
            <w:shd w:val="clear" w:color="auto" w:fill="auto"/>
            <w:tcMar>
              <w:left w:w="0" w:type="dxa"/>
            </w:tcMar>
          </w:tcPr>
          <w:p w14:paraId="311D9793" w14:textId="77777777" w:rsidR="00582A12" w:rsidRPr="006E725C" w:rsidRDefault="00582A12" w:rsidP="00BA5125">
            <w:pPr>
              <w:pStyle w:val="Textpoznpodarou"/>
              <w:jc w:val="both"/>
              <w:rPr>
                <w:color w:val="0D0D0D" w:themeColor="text1" w:themeTint="F2"/>
                <w:spacing w:val="-4"/>
                <w:lang w:val="en-GB"/>
              </w:rPr>
            </w:pPr>
          </w:p>
        </w:tc>
        <w:tc>
          <w:tcPr>
            <w:tcW w:w="7700" w:type="dxa"/>
            <w:shd w:val="clear" w:color="auto" w:fill="auto"/>
            <w:tcMar>
              <w:left w:w="0" w:type="dxa"/>
            </w:tcMar>
          </w:tcPr>
          <w:p w14:paraId="574CB858" w14:textId="62BBC4BD" w:rsidR="00582A12" w:rsidRPr="006E725C" w:rsidRDefault="006652B9" w:rsidP="00416E9B">
            <w:pPr>
              <w:spacing w:after="200"/>
              <w:rPr>
                <w:rFonts w:cs="Arial"/>
                <w:color w:val="0D0D0D" w:themeColor="text1" w:themeTint="F2"/>
                <w:spacing w:val="-4"/>
                <w:szCs w:val="20"/>
                <w:lang w:val="en-GB"/>
              </w:rPr>
            </w:pPr>
            <w:r w:rsidRPr="006E725C">
              <w:rPr>
                <w:color w:val="0D0D0D" w:themeColor="text1" w:themeTint="F2"/>
                <w:spacing w:val="-4"/>
                <w:lang w:val="en-GB"/>
              </w:rPr>
              <w:t xml:space="preserve">The average gross nominal wage </w:t>
            </w:r>
            <w:r w:rsidR="00582A12" w:rsidRPr="006E725C">
              <w:rPr>
                <w:color w:val="0D0D0D" w:themeColor="text1" w:themeTint="F2"/>
                <w:spacing w:val="-4"/>
                <w:lang w:val="en-GB"/>
              </w:rPr>
              <w:t>(</w:t>
            </w:r>
            <w:r w:rsidRPr="006E725C">
              <w:rPr>
                <w:color w:val="0D0D0D" w:themeColor="text1" w:themeTint="F2"/>
                <w:spacing w:val="-4"/>
                <w:lang w:val="en-GB"/>
              </w:rPr>
              <w:t xml:space="preserve">per employee, </w:t>
            </w:r>
            <w:r w:rsidR="001B5292" w:rsidRPr="006E725C">
              <w:rPr>
                <w:color w:val="0D0D0D" w:themeColor="text1" w:themeTint="F2"/>
                <w:spacing w:val="-4"/>
                <w:lang w:val="en-GB"/>
              </w:rPr>
              <w:t>reflecting the type of job contract</w:t>
            </w:r>
            <w:r w:rsidR="00582A12" w:rsidRPr="006E725C">
              <w:rPr>
                <w:color w:val="0D0D0D" w:themeColor="text1" w:themeTint="F2"/>
                <w:spacing w:val="-4"/>
                <w:lang w:val="en-GB"/>
              </w:rPr>
              <w:t>)</w:t>
            </w:r>
            <w:r w:rsidR="001B5292" w:rsidRPr="006E725C">
              <w:rPr>
                <w:color w:val="0D0D0D" w:themeColor="text1" w:themeTint="F2"/>
                <w:spacing w:val="-4"/>
                <w:lang w:val="en-GB"/>
              </w:rPr>
              <w:t xml:space="preserve"> climbed up to 46.0 </w:t>
            </w:r>
            <w:r w:rsidR="00416E9B">
              <w:rPr>
                <w:color w:val="0D0D0D" w:themeColor="text1" w:themeTint="F2"/>
                <w:spacing w:val="-4"/>
                <w:lang w:val="en-GB"/>
              </w:rPr>
              <w:t xml:space="preserve">thousand </w:t>
            </w:r>
            <w:r w:rsidR="001B5292" w:rsidRPr="006E725C">
              <w:rPr>
                <w:color w:val="0D0D0D" w:themeColor="text1" w:themeTint="F2"/>
                <w:spacing w:val="-4"/>
                <w:lang w:val="en-GB"/>
              </w:rPr>
              <w:t>CZK last year in Q</w:t>
            </w:r>
            <w:r w:rsidR="00582A12" w:rsidRPr="006E725C">
              <w:rPr>
                <w:color w:val="0D0D0D" w:themeColor="text1" w:themeTint="F2"/>
                <w:spacing w:val="-4"/>
                <w:lang w:val="en-GB"/>
              </w:rPr>
              <w:t>4.</w:t>
            </w:r>
            <w:r w:rsidR="001B5292" w:rsidRPr="006E725C">
              <w:rPr>
                <w:color w:val="0D0D0D" w:themeColor="text1" w:themeTint="F2"/>
                <w:spacing w:val="-4"/>
                <w:lang w:val="en-GB"/>
              </w:rPr>
              <w:t xml:space="preserve"> It rose by </w:t>
            </w:r>
            <w:r w:rsidR="00582A12" w:rsidRPr="006E725C">
              <w:rPr>
                <w:rFonts w:cs="Arial"/>
                <w:color w:val="0D0D0D" w:themeColor="text1" w:themeTint="F2"/>
                <w:spacing w:val="-4"/>
                <w:szCs w:val="20"/>
                <w:lang w:val="en-GB"/>
              </w:rPr>
              <w:t>6</w:t>
            </w:r>
            <w:r w:rsidR="001B5292" w:rsidRPr="006E725C">
              <w:rPr>
                <w:rFonts w:cs="Arial"/>
                <w:color w:val="0D0D0D" w:themeColor="text1" w:themeTint="F2"/>
                <w:spacing w:val="-4"/>
                <w:szCs w:val="20"/>
                <w:lang w:val="en-GB"/>
              </w:rPr>
              <w:t>.</w:t>
            </w:r>
            <w:r w:rsidR="00582A12" w:rsidRPr="006E725C">
              <w:rPr>
                <w:rFonts w:cs="Arial"/>
                <w:color w:val="0D0D0D" w:themeColor="text1" w:themeTint="F2"/>
                <w:spacing w:val="-4"/>
                <w:szCs w:val="20"/>
                <w:lang w:val="en-GB"/>
              </w:rPr>
              <w:t>3%</w:t>
            </w:r>
            <w:r w:rsidR="001B5292" w:rsidRPr="006E725C">
              <w:rPr>
                <w:rFonts w:cs="Arial"/>
                <w:color w:val="0D0D0D" w:themeColor="text1" w:themeTint="F2"/>
                <w:spacing w:val="-4"/>
                <w:szCs w:val="20"/>
                <w:lang w:val="en-GB"/>
              </w:rPr>
              <w:t xml:space="preserve"> year-on-year</w:t>
            </w:r>
            <w:r w:rsidR="00582A12" w:rsidRPr="006E725C">
              <w:rPr>
                <w:rFonts w:cs="Arial"/>
                <w:color w:val="0D0D0D" w:themeColor="text1" w:themeTint="F2"/>
                <w:spacing w:val="-4"/>
                <w:szCs w:val="20"/>
                <w:lang w:val="en-GB"/>
              </w:rPr>
              <w:t>,</w:t>
            </w:r>
            <w:r w:rsidR="001B5292" w:rsidRPr="006E725C">
              <w:rPr>
                <w:rFonts w:cs="Arial"/>
                <w:color w:val="0D0D0D" w:themeColor="text1" w:themeTint="F2"/>
                <w:spacing w:val="-4"/>
                <w:szCs w:val="20"/>
                <w:lang w:val="en-GB"/>
              </w:rPr>
              <w:t xml:space="preserve"> the wage pace continuously mildly weakened during the last year </w:t>
            </w:r>
            <w:r w:rsidR="00582A12" w:rsidRPr="006E725C">
              <w:rPr>
                <w:rFonts w:cs="Arial"/>
                <w:color w:val="0D0D0D" w:themeColor="text1" w:themeTint="F2"/>
                <w:spacing w:val="-4"/>
                <w:szCs w:val="20"/>
                <w:lang w:val="en-GB"/>
              </w:rPr>
              <w:t>(</w:t>
            </w:r>
            <w:r w:rsidR="001B5292" w:rsidRPr="006E725C">
              <w:rPr>
                <w:rFonts w:cs="Arial"/>
                <w:color w:val="0D0D0D" w:themeColor="text1" w:themeTint="F2"/>
                <w:spacing w:val="-4"/>
                <w:szCs w:val="20"/>
                <w:lang w:val="en-GB"/>
              </w:rPr>
              <w:t>it was 8.8% in Q</w:t>
            </w:r>
            <w:r w:rsidR="00582A12" w:rsidRPr="006E725C">
              <w:rPr>
                <w:rFonts w:cs="Arial"/>
                <w:color w:val="0D0D0D" w:themeColor="text1" w:themeTint="F2"/>
                <w:spacing w:val="-4"/>
                <w:szCs w:val="20"/>
                <w:lang w:val="en-GB"/>
              </w:rPr>
              <w:t>1). Se</w:t>
            </w:r>
            <w:r w:rsidR="00A85348" w:rsidRPr="006E725C">
              <w:rPr>
                <w:rFonts w:cs="Arial"/>
                <w:color w:val="0D0D0D" w:themeColor="text1" w:themeTint="F2"/>
                <w:spacing w:val="-4"/>
                <w:szCs w:val="20"/>
                <w:lang w:val="en-GB"/>
              </w:rPr>
              <w:t>asonally adjusted wage was by 1.5% higher quarter-on-quarter,</w:t>
            </w:r>
            <w:r w:rsidR="00577247" w:rsidRPr="006E725C">
              <w:rPr>
                <w:rFonts w:cs="Arial"/>
                <w:color w:val="0D0D0D" w:themeColor="text1" w:themeTint="F2"/>
                <w:spacing w:val="-4"/>
                <w:szCs w:val="20"/>
                <w:lang w:val="en-GB"/>
              </w:rPr>
              <w:t xml:space="preserve"> light slowdown connected to the ongoing weak performance of the economy accompanied by the increase of unemployment was also evident here during the last year. </w:t>
            </w:r>
            <w:r w:rsidR="00A85348" w:rsidRPr="006E725C">
              <w:rPr>
                <w:rFonts w:cs="Arial"/>
                <w:color w:val="0D0D0D" w:themeColor="text1" w:themeTint="F2"/>
                <w:spacing w:val="-5"/>
                <w:szCs w:val="20"/>
                <w:lang w:val="en-GB"/>
              </w:rPr>
              <w:t>Wage growth in the economy was subdued also by the strengthening need for savings in the public sphere</w:t>
            </w:r>
            <w:r w:rsidR="00582A12" w:rsidRPr="006E725C">
              <w:rPr>
                <w:rStyle w:val="Znakapoznpodarou"/>
                <w:spacing w:val="-5"/>
                <w:lang w:val="en-GB"/>
              </w:rPr>
              <w:footnoteReference w:id="85"/>
            </w:r>
            <w:r w:rsidR="00582A12" w:rsidRPr="006E725C">
              <w:rPr>
                <w:lang w:val="en-GB"/>
              </w:rPr>
              <w:t xml:space="preserve">, </w:t>
            </w:r>
            <w:r w:rsidR="00A85348" w:rsidRPr="006E725C">
              <w:rPr>
                <w:lang w:val="en-GB"/>
              </w:rPr>
              <w:t xml:space="preserve">moderate increase of the minimum </w:t>
            </w:r>
            <w:r w:rsidR="00A85348" w:rsidRPr="006E725C">
              <w:rPr>
                <w:lang w:val="en-GB"/>
              </w:rPr>
              <w:lastRenderedPageBreak/>
              <w:t>wages</w:t>
            </w:r>
            <w:r w:rsidR="00582A12" w:rsidRPr="006E725C">
              <w:rPr>
                <w:rStyle w:val="Znakapoznpodarou"/>
                <w:spacing w:val="-5"/>
                <w:lang w:val="en-GB"/>
              </w:rPr>
              <w:footnoteReference w:id="86"/>
            </w:r>
            <w:r w:rsidR="00582A12" w:rsidRPr="006E725C">
              <w:rPr>
                <w:lang w:val="en-GB"/>
              </w:rPr>
              <w:t xml:space="preserve"> </w:t>
            </w:r>
            <w:r w:rsidR="00A85348" w:rsidRPr="006E725C">
              <w:rPr>
                <w:lang w:val="en-GB"/>
              </w:rPr>
              <w:t xml:space="preserve">as well as rising number of foreign workers from </w:t>
            </w:r>
            <w:r w:rsidR="006428D3" w:rsidRPr="006E725C">
              <w:rPr>
                <w:lang w:val="en-GB"/>
              </w:rPr>
              <w:t>“</w:t>
            </w:r>
            <w:r w:rsidR="00A85348" w:rsidRPr="006E725C">
              <w:rPr>
                <w:lang w:val="en-GB"/>
              </w:rPr>
              <w:t>third countries</w:t>
            </w:r>
            <w:r w:rsidR="00802B5F">
              <w:rPr>
                <w:lang w:val="en-GB"/>
              </w:rPr>
              <w:t>”</w:t>
            </w:r>
            <w:r w:rsidR="00A85348" w:rsidRPr="006E725C">
              <w:rPr>
                <w:lang w:val="en-GB"/>
              </w:rPr>
              <w:t xml:space="preserve">. These often work on low qualified positions and their earnings thus usually do not reach the level of the CR citizens. </w:t>
            </w:r>
            <w:r w:rsidR="00DD0B84" w:rsidRPr="006E725C">
              <w:rPr>
                <w:lang w:val="en-GB"/>
              </w:rPr>
              <w:t xml:space="preserve">In contrast the so far relatively high demand of businesses for labour force in some branches or heightened pressure of employees (stemming also from the tight household budgets due to the still felt high growth of prices of some basic items of the consumer basket) were factors in the direction of growth of the nominal wage. </w:t>
            </w:r>
          </w:p>
        </w:tc>
      </w:tr>
      <w:tr w:rsidR="00582A12" w:rsidRPr="006E725C" w14:paraId="3F42C245" w14:textId="77777777" w:rsidTr="00BA5125">
        <w:trPr>
          <w:trHeight w:val="132"/>
        </w:trPr>
        <w:tc>
          <w:tcPr>
            <w:tcW w:w="1754" w:type="dxa"/>
            <w:shd w:val="clear" w:color="auto" w:fill="auto"/>
            <w:tcMar>
              <w:left w:w="0" w:type="dxa"/>
            </w:tcMar>
          </w:tcPr>
          <w:p w14:paraId="4A029D3D" w14:textId="207C7BB8" w:rsidR="00582A12" w:rsidRPr="006E725C" w:rsidRDefault="000842DB" w:rsidP="00BA5125">
            <w:pPr>
              <w:pStyle w:val="Marginlie"/>
              <w:rPr>
                <w:color w:val="0D0D0D" w:themeColor="text1" w:themeTint="F2"/>
                <w:spacing w:val="-4"/>
                <w:lang w:val="en-GB"/>
              </w:rPr>
            </w:pPr>
            <w:r w:rsidRPr="006E725C">
              <w:rPr>
                <w:color w:val="0D0D0D" w:themeColor="text1" w:themeTint="F2"/>
                <w:spacing w:val="-4"/>
                <w:lang w:val="en-GB"/>
              </w:rPr>
              <w:lastRenderedPageBreak/>
              <w:t>Decrease of the real wage was unique with respect to its depth as well as</w:t>
            </w:r>
            <w:r w:rsidR="00727EE2" w:rsidRPr="006E725C">
              <w:rPr>
                <w:color w:val="0D0D0D" w:themeColor="text1" w:themeTint="F2"/>
                <w:spacing w:val="-4"/>
                <w:lang w:val="en-GB"/>
              </w:rPr>
              <w:t xml:space="preserve"> </w:t>
            </w:r>
            <w:r w:rsidRPr="006E725C">
              <w:rPr>
                <w:color w:val="0D0D0D" w:themeColor="text1" w:themeTint="F2"/>
                <w:spacing w:val="-4"/>
                <w:lang w:val="en-GB"/>
              </w:rPr>
              <w:t>length. The current size of the wage corresponded to the real wage from Q</w:t>
            </w:r>
            <w:r w:rsidR="00582A12" w:rsidRPr="006E725C">
              <w:rPr>
                <w:color w:val="0D0D0D" w:themeColor="text1" w:themeTint="F2"/>
                <w:spacing w:val="-4"/>
                <w:lang w:val="en-GB"/>
              </w:rPr>
              <w:t>1</w:t>
            </w:r>
            <w:r w:rsidRPr="006E725C">
              <w:rPr>
                <w:color w:val="0D0D0D" w:themeColor="text1" w:themeTint="F2"/>
                <w:spacing w:val="-4"/>
                <w:lang w:val="en-GB"/>
              </w:rPr>
              <w:t xml:space="preserve"> </w:t>
            </w:r>
            <w:r w:rsidR="00582A12" w:rsidRPr="006E725C">
              <w:rPr>
                <w:color w:val="0D0D0D" w:themeColor="text1" w:themeTint="F2"/>
                <w:spacing w:val="-4"/>
                <w:lang w:val="en-GB"/>
              </w:rPr>
              <w:t>2018.</w:t>
            </w:r>
          </w:p>
          <w:p w14:paraId="61570E44" w14:textId="77777777" w:rsidR="00582A12" w:rsidRPr="006E725C" w:rsidRDefault="00582A12" w:rsidP="00BA5125">
            <w:pPr>
              <w:pStyle w:val="Marginlie"/>
              <w:rPr>
                <w:color w:val="0D0D0D" w:themeColor="text1" w:themeTint="F2"/>
                <w:spacing w:val="-4"/>
                <w:lang w:val="en-GB"/>
              </w:rPr>
            </w:pPr>
          </w:p>
        </w:tc>
        <w:tc>
          <w:tcPr>
            <w:tcW w:w="220" w:type="dxa"/>
            <w:shd w:val="clear" w:color="auto" w:fill="auto"/>
            <w:tcMar>
              <w:left w:w="0" w:type="dxa"/>
            </w:tcMar>
          </w:tcPr>
          <w:p w14:paraId="63CB3020" w14:textId="77777777" w:rsidR="00582A12" w:rsidRPr="006E725C" w:rsidRDefault="00582A12" w:rsidP="00BA5125">
            <w:pPr>
              <w:pStyle w:val="Textpoznpodarou"/>
              <w:jc w:val="both"/>
              <w:rPr>
                <w:color w:val="0D0D0D" w:themeColor="text1" w:themeTint="F2"/>
                <w:spacing w:val="-4"/>
                <w:lang w:val="en-GB"/>
              </w:rPr>
            </w:pPr>
          </w:p>
        </w:tc>
        <w:tc>
          <w:tcPr>
            <w:tcW w:w="7700" w:type="dxa"/>
            <w:shd w:val="clear" w:color="auto" w:fill="auto"/>
            <w:tcMar>
              <w:left w:w="0" w:type="dxa"/>
            </w:tcMar>
          </w:tcPr>
          <w:p w14:paraId="05022B46" w14:textId="239D6FC2" w:rsidR="00582A12" w:rsidRPr="006E725C" w:rsidRDefault="000842DB" w:rsidP="00BA5125">
            <w:pPr>
              <w:pStyle w:val="paragraph"/>
              <w:spacing w:before="0" w:beforeAutospacing="0" w:after="200" w:afterAutospacing="0" w:line="276" w:lineRule="auto"/>
              <w:jc w:val="both"/>
              <w:textAlignment w:val="baseline"/>
              <w:rPr>
                <w:rStyle w:val="normaltextrun"/>
                <w:rFonts w:ascii="Arial" w:eastAsia="MS Gothic" w:hAnsi="Arial" w:cs="Arial"/>
                <w:spacing w:val="-4"/>
                <w:sz w:val="20"/>
                <w:szCs w:val="20"/>
                <w:lang w:val="en-GB"/>
              </w:rPr>
            </w:pPr>
            <w:r w:rsidRPr="006E725C">
              <w:rPr>
                <w:rFonts w:ascii="Arial" w:hAnsi="Arial" w:cs="Arial"/>
                <w:color w:val="0D0D0D" w:themeColor="text1" w:themeTint="F2"/>
                <w:spacing w:val="-4"/>
                <w:sz w:val="20"/>
                <w:szCs w:val="20"/>
                <w:lang w:val="en-GB"/>
              </w:rPr>
              <w:t xml:space="preserve">With respect to the disinflationary tendencies in the </w:t>
            </w:r>
            <w:r w:rsidR="00B82C5E" w:rsidRPr="006E725C">
              <w:rPr>
                <w:rFonts w:ascii="Arial" w:hAnsi="Arial" w:cs="Arial"/>
                <w:color w:val="0D0D0D" w:themeColor="text1" w:themeTint="F2"/>
                <w:spacing w:val="-4"/>
                <w:sz w:val="20"/>
                <w:szCs w:val="20"/>
                <w:lang w:val="en-GB"/>
              </w:rPr>
              <w:t>economy,</w:t>
            </w:r>
            <w:r w:rsidRPr="006E725C">
              <w:rPr>
                <w:rFonts w:ascii="Arial" w:hAnsi="Arial" w:cs="Arial"/>
                <w:color w:val="0D0D0D" w:themeColor="text1" w:themeTint="F2"/>
                <w:spacing w:val="-4"/>
                <w:sz w:val="20"/>
                <w:szCs w:val="20"/>
                <w:lang w:val="en-GB"/>
              </w:rPr>
              <w:t xml:space="preserve"> the year-on-year decrease of the purchasing power of the average wage was shrinking during the last year, when it was only 1.2% in Q</w:t>
            </w:r>
            <w:r w:rsidR="00582A12" w:rsidRPr="006E725C">
              <w:rPr>
                <w:rFonts w:ascii="Arial" w:hAnsi="Arial" w:cs="Arial"/>
                <w:color w:val="0D0D0D" w:themeColor="text1" w:themeTint="F2"/>
                <w:spacing w:val="-4"/>
                <w:sz w:val="20"/>
                <w:szCs w:val="20"/>
                <w:lang w:val="en-GB"/>
              </w:rPr>
              <w:t>4.</w:t>
            </w:r>
            <w:r w:rsidRPr="006E725C">
              <w:rPr>
                <w:rFonts w:ascii="Arial" w:hAnsi="Arial" w:cs="Arial"/>
                <w:color w:val="0D0D0D" w:themeColor="text1" w:themeTint="F2"/>
                <w:spacing w:val="-4"/>
                <w:sz w:val="20"/>
                <w:szCs w:val="20"/>
                <w:lang w:val="en-GB"/>
              </w:rPr>
              <w:t xml:space="preserve"> </w:t>
            </w:r>
            <w:r w:rsidR="00325EB7" w:rsidRPr="006E725C">
              <w:rPr>
                <w:rFonts w:ascii="Arial" w:hAnsi="Arial" w:cs="Arial"/>
                <w:color w:val="0D0D0D" w:themeColor="text1" w:themeTint="F2"/>
                <w:spacing w:val="-4"/>
                <w:sz w:val="20"/>
                <w:szCs w:val="20"/>
                <w:lang w:val="en-GB"/>
              </w:rPr>
              <w:t xml:space="preserve">Purchasing power of earnings however decreased year-on-year already </w:t>
            </w:r>
            <w:r w:rsidR="00727EE2" w:rsidRPr="006E725C">
              <w:rPr>
                <w:rFonts w:ascii="Arial" w:hAnsi="Arial" w:cs="Arial"/>
                <w:color w:val="0D0D0D" w:themeColor="text1" w:themeTint="F2"/>
                <w:spacing w:val="-4"/>
                <w:sz w:val="20"/>
                <w:szCs w:val="20"/>
                <w:lang w:val="en-GB"/>
              </w:rPr>
              <w:t xml:space="preserve">the </w:t>
            </w:r>
            <w:r w:rsidR="00325EB7" w:rsidRPr="006E725C">
              <w:rPr>
                <w:rFonts w:ascii="Arial" w:hAnsi="Arial" w:cs="Arial"/>
                <w:color w:val="0D0D0D" w:themeColor="text1" w:themeTint="F2"/>
                <w:spacing w:val="-4"/>
                <w:sz w:val="20"/>
                <w:szCs w:val="20"/>
                <w:lang w:val="en-GB"/>
              </w:rPr>
              <w:t xml:space="preserve">ninth quarter in a row. </w:t>
            </w:r>
            <w:r w:rsidR="00C521F5" w:rsidRPr="006E725C">
              <w:rPr>
                <w:rFonts w:ascii="Arial" w:hAnsi="Arial" w:cs="Arial"/>
                <w:color w:val="0D0D0D" w:themeColor="text1" w:themeTint="F2"/>
                <w:spacing w:val="-4"/>
                <w:sz w:val="20"/>
                <w:szCs w:val="20"/>
                <w:lang w:val="en-GB"/>
              </w:rPr>
              <w:t xml:space="preserve">Apart from the length, the total debt of the decline is also unprecedented for this period </w:t>
            </w:r>
            <w:r w:rsidR="00582A12" w:rsidRPr="006E725C">
              <w:rPr>
                <w:rFonts w:ascii="Arial" w:hAnsi="Arial" w:cs="Arial"/>
                <w:color w:val="0D0D0D" w:themeColor="text1" w:themeTint="F2"/>
                <w:spacing w:val="-4"/>
                <w:sz w:val="20"/>
                <w:szCs w:val="20"/>
                <w:lang w:val="en-GB"/>
              </w:rPr>
              <w:t>(</w:t>
            </w:r>
            <w:r w:rsidR="00C521F5" w:rsidRPr="006E725C">
              <w:rPr>
                <w:rFonts w:ascii="Arial" w:hAnsi="Arial" w:cs="Arial"/>
                <w:color w:val="0D0D0D" w:themeColor="text1" w:themeTint="F2"/>
                <w:spacing w:val="-4"/>
                <w:sz w:val="20"/>
                <w:szCs w:val="20"/>
                <w:lang w:val="en-GB"/>
              </w:rPr>
              <w:t xml:space="preserve">it approached </w:t>
            </w:r>
            <w:r w:rsidR="00582A12" w:rsidRPr="006E725C">
              <w:rPr>
                <w:rFonts w:ascii="Arial" w:hAnsi="Arial" w:cs="Arial"/>
                <w:color w:val="0D0D0D" w:themeColor="text1" w:themeTint="F2"/>
                <w:spacing w:val="-4"/>
                <w:sz w:val="20"/>
                <w:szCs w:val="20"/>
                <w:lang w:val="en-GB"/>
              </w:rPr>
              <w:t xml:space="preserve">10%). </w:t>
            </w:r>
            <w:r w:rsidR="00EF5E81" w:rsidRPr="006E725C">
              <w:rPr>
                <w:rFonts w:ascii="Arial" w:hAnsi="Arial" w:cs="Arial"/>
                <w:color w:val="0D0D0D" w:themeColor="text1" w:themeTint="F2"/>
                <w:spacing w:val="-4"/>
                <w:sz w:val="20"/>
                <w:szCs w:val="20"/>
                <w:lang w:val="en-GB"/>
              </w:rPr>
              <w:t>In the quarter-on-quarter view however the purchasing power of wages already started to grow for the most part of the last year</w:t>
            </w:r>
            <w:r w:rsidR="00582A12" w:rsidRPr="006E725C">
              <w:rPr>
                <w:rFonts w:ascii="Arial" w:hAnsi="Arial" w:cs="Arial"/>
                <w:color w:val="0D0D0D" w:themeColor="text1" w:themeTint="F2"/>
                <w:spacing w:val="-4"/>
                <w:sz w:val="20"/>
                <w:szCs w:val="20"/>
                <w:lang w:val="en-GB"/>
              </w:rPr>
              <w:t xml:space="preserve">, </w:t>
            </w:r>
            <w:r w:rsidR="00C521F5" w:rsidRPr="006E725C">
              <w:rPr>
                <w:rFonts w:ascii="Arial" w:hAnsi="Arial" w:cs="Arial"/>
                <w:color w:val="0D0D0D" w:themeColor="text1" w:themeTint="F2"/>
                <w:spacing w:val="-4"/>
                <w:sz w:val="20"/>
                <w:szCs w:val="20"/>
                <w:lang w:val="en-GB"/>
              </w:rPr>
              <w:t xml:space="preserve">since the price level already stabilized in this respect. Still the size of the real wage </w:t>
            </w:r>
            <w:r w:rsidR="00582A12" w:rsidRPr="006E725C">
              <w:rPr>
                <w:rFonts w:ascii="Arial" w:hAnsi="Arial" w:cs="Arial"/>
                <w:color w:val="0D0D0D" w:themeColor="text1" w:themeTint="F2"/>
                <w:spacing w:val="-4"/>
                <w:sz w:val="20"/>
                <w:szCs w:val="20"/>
                <w:lang w:val="en-GB"/>
              </w:rPr>
              <w:t>(</w:t>
            </w:r>
            <w:r w:rsidR="00C521F5" w:rsidRPr="006E725C">
              <w:rPr>
                <w:rFonts w:ascii="Arial" w:hAnsi="Arial" w:cs="Arial"/>
                <w:color w:val="0D0D0D" w:themeColor="text1" w:themeTint="F2"/>
                <w:spacing w:val="-4"/>
                <w:sz w:val="20"/>
                <w:szCs w:val="20"/>
                <w:lang w:val="en-GB"/>
              </w:rPr>
              <w:t>after seasonal adjustment</w:t>
            </w:r>
            <w:r w:rsidR="00582A12" w:rsidRPr="006E725C">
              <w:rPr>
                <w:rFonts w:ascii="Arial" w:hAnsi="Arial" w:cs="Arial"/>
                <w:color w:val="0D0D0D" w:themeColor="text1" w:themeTint="F2"/>
                <w:spacing w:val="-4"/>
                <w:sz w:val="20"/>
                <w:szCs w:val="20"/>
                <w:lang w:val="en-GB"/>
              </w:rPr>
              <w:t>)</w:t>
            </w:r>
            <w:r w:rsidR="00C521F5" w:rsidRPr="006E725C">
              <w:rPr>
                <w:rFonts w:ascii="Arial" w:hAnsi="Arial" w:cs="Arial"/>
                <w:color w:val="0D0D0D" w:themeColor="text1" w:themeTint="F2"/>
                <w:spacing w:val="-4"/>
                <w:sz w:val="20"/>
                <w:szCs w:val="20"/>
                <w:lang w:val="en-GB"/>
              </w:rPr>
              <w:t xml:space="preserve"> </w:t>
            </w:r>
            <w:r w:rsidR="00EF5E81" w:rsidRPr="006E725C">
              <w:rPr>
                <w:rFonts w:ascii="Arial" w:hAnsi="Arial" w:cs="Arial"/>
                <w:color w:val="0D0D0D" w:themeColor="text1" w:themeTint="F2"/>
                <w:spacing w:val="-4"/>
                <w:sz w:val="20"/>
                <w:szCs w:val="20"/>
                <w:lang w:val="en-GB"/>
              </w:rPr>
              <w:t>corresponded</w:t>
            </w:r>
            <w:r w:rsidR="00C521F5" w:rsidRPr="006E725C">
              <w:rPr>
                <w:rFonts w:ascii="Arial" w:hAnsi="Arial" w:cs="Arial"/>
                <w:color w:val="0D0D0D" w:themeColor="text1" w:themeTint="F2"/>
                <w:spacing w:val="-4"/>
                <w:sz w:val="20"/>
                <w:szCs w:val="20"/>
                <w:lang w:val="en-GB"/>
              </w:rPr>
              <w:t xml:space="preserve"> only to the level f</w:t>
            </w:r>
            <w:r w:rsidR="00727EE2" w:rsidRPr="006E725C">
              <w:rPr>
                <w:rFonts w:ascii="Arial" w:hAnsi="Arial" w:cs="Arial"/>
                <w:color w:val="0D0D0D" w:themeColor="text1" w:themeTint="F2"/>
                <w:spacing w:val="-4"/>
                <w:sz w:val="20"/>
                <w:szCs w:val="20"/>
                <w:lang w:val="en-GB"/>
              </w:rPr>
              <w:t>rom</w:t>
            </w:r>
            <w:r w:rsidR="00C521F5" w:rsidRPr="006E725C">
              <w:rPr>
                <w:rFonts w:ascii="Arial" w:hAnsi="Arial" w:cs="Arial"/>
                <w:color w:val="0D0D0D" w:themeColor="text1" w:themeTint="F2"/>
                <w:spacing w:val="-4"/>
                <w:sz w:val="20"/>
                <w:szCs w:val="20"/>
                <w:lang w:val="en-GB"/>
              </w:rPr>
              <w:t xml:space="preserve"> Q1 2018 in Q</w:t>
            </w:r>
            <w:r w:rsidR="00582A12" w:rsidRPr="006E725C">
              <w:rPr>
                <w:rFonts w:ascii="Arial" w:hAnsi="Arial" w:cs="Arial"/>
                <w:color w:val="0D0D0D" w:themeColor="text1" w:themeTint="F2"/>
                <w:spacing w:val="-4"/>
                <w:sz w:val="20"/>
                <w:szCs w:val="20"/>
                <w:lang w:val="en-GB"/>
              </w:rPr>
              <w:t>4</w:t>
            </w:r>
            <w:r w:rsidR="00C521F5" w:rsidRPr="006E725C">
              <w:rPr>
                <w:rFonts w:ascii="Arial" w:hAnsi="Arial" w:cs="Arial"/>
                <w:color w:val="0D0D0D" w:themeColor="text1" w:themeTint="F2"/>
                <w:spacing w:val="-4"/>
                <w:sz w:val="20"/>
                <w:szCs w:val="20"/>
                <w:lang w:val="en-GB"/>
              </w:rPr>
              <w:t xml:space="preserve"> </w:t>
            </w:r>
            <w:r w:rsidR="00582A12" w:rsidRPr="006E725C">
              <w:rPr>
                <w:rFonts w:ascii="Arial" w:hAnsi="Arial" w:cs="Arial"/>
                <w:color w:val="0D0D0D" w:themeColor="text1" w:themeTint="F2"/>
                <w:spacing w:val="-4"/>
                <w:sz w:val="20"/>
                <w:szCs w:val="20"/>
                <w:lang w:val="en-GB"/>
              </w:rPr>
              <w:t>2023</w:t>
            </w:r>
            <w:r w:rsidR="00C521F5" w:rsidRPr="006E725C">
              <w:rPr>
                <w:rFonts w:ascii="Arial" w:hAnsi="Arial" w:cs="Arial"/>
                <w:color w:val="0D0D0D" w:themeColor="text1" w:themeTint="F2"/>
                <w:spacing w:val="-4"/>
                <w:sz w:val="20"/>
                <w:szCs w:val="20"/>
                <w:lang w:val="en-GB"/>
              </w:rPr>
              <w:t xml:space="preserve">, </w:t>
            </w:r>
            <w:r w:rsidR="00EF5E81" w:rsidRPr="006E725C">
              <w:rPr>
                <w:rFonts w:ascii="Arial" w:hAnsi="Arial" w:cs="Arial"/>
                <w:color w:val="0D0D0D" w:themeColor="text1" w:themeTint="F2"/>
                <w:spacing w:val="-4"/>
                <w:sz w:val="20"/>
                <w:szCs w:val="20"/>
                <w:lang w:val="en-GB"/>
              </w:rPr>
              <w:t xml:space="preserve">similar can be however claimed for the analogous comparison of the real labour productivity </w:t>
            </w:r>
            <w:r w:rsidR="00582A12" w:rsidRPr="006E725C">
              <w:rPr>
                <w:rFonts w:ascii="Arial" w:hAnsi="Arial" w:cs="Arial"/>
                <w:color w:val="0D0D0D" w:themeColor="text1" w:themeTint="F2"/>
                <w:spacing w:val="-4"/>
                <w:sz w:val="20"/>
                <w:szCs w:val="20"/>
                <w:lang w:val="en-GB"/>
              </w:rPr>
              <w:t>(</w:t>
            </w:r>
            <w:r w:rsidR="000209A4" w:rsidRPr="006E725C">
              <w:rPr>
                <w:rFonts w:ascii="Arial" w:hAnsi="Arial" w:cs="Arial"/>
                <w:color w:val="0D0D0D" w:themeColor="text1" w:themeTint="F2"/>
                <w:spacing w:val="-4"/>
                <w:sz w:val="20"/>
                <w:szCs w:val="20"/>
                <w:lang w:val="en-GB"/>
              </w:rPr>
              <w:t>when expressed per employed person</w:t>
            </w:r>
            <w:r w:rsidR="00582A12" w:rsidRPr="006E725C">
              <w:rPr>
                <w:rFonts w:ascii="Arial" w:hAnsi="Arial" w:cs="Arial"/>
                <w:color w:val="0D0D0D" w:themeColor="text1" w:themeTint="F2"/>
                <w:spacing w:val="-4"/>
                <w:sz w:val="20"/>
                <w:szCs w:val="20"/>
                <w:lang w:val="en-GB"/>
              </w:rPr>
              <w:t>)</w:t>
            </w:r>
            <w:r w:rsidR="00582A12" w:rsidRPr="006E725C">
              <w:rPr>
                <w:rStyle w:val="Znakapoznpodarou"/>
                <w:rFonts w:ascii="Arial" w:hAnsi="Arial" w:cs="Arial"/>
                <w:color w:val="0D0D0D" w:themeColor="text1" w:themeTint="F2"/>
                <w:spacing w:val="-4"/>
                <w:sz w:val="20"/>
                <w:szCs w:val="20"/>
                <w:lang w:val="en-GB"/>
              </w:rPr>
              <w:footnoteReference w:id="87"/>
            </w:r>
            <w:r w:rsidR="00582A12" w:rsidRPr="006E725C">
              <w:rPr>
                <w:rFonts w:ascii="Arial" w:hAnsi="Arial" w:cs="Arial"/>
                <w:color w:val="0D0D0D" w:themeColor="text1" w:themeTint="F2"/>
                <w:spacing w:val="-4"/>
                <w:sz w:val="20"/>
                <w:szCs w:val="20"/>
                <w:lang w:val="en-GB"/>
              </w:rPr>
              <w:t>.</w:t>
            </w:r>
            <w:r w:rsidR="00582A12" w:rsidRPr="006E725C">
              <w:rPr>
                <w:rFonts w:ascii="Arial" w:hAnsi="Arial" w:cs="Arial"/>
                <w:spacing w:val="-4"/>
                <w:sz w:val="20"/>
                <w:szCs w:val="20"/>
                <w:lang w:val="en-GB"/>
              </w:rPr>
              <w:t xml:space="preserve"> </w:t>
            </w:r>
            <w:r w:rsidR="000209A4" w:rsidRPr="006E725C">
              <w:rPr>
                <w:rFonts w:ascii="Arial" w:hAnsi="Arial" w:cs="Arial"/>
                <w:spacing w:val="-4"/>
                <w:sz w:val="20"/>
                <w:szCs w:val="20"/>
                <w:lang w:val="en-GB"/>
              </w:rPr>
              <w:t xml:space="preserve">Wage development represented a decisive factor in lowering of the total purchasing power of domestic households for majority of year </w:t>
            </w:r>
            <w:r w:rsidR="00582A12" w:rsidRPr="006E725C">
              <w:rPr>
                <w:rFonts w:ascii="Arial" w:hAnsi="Arial" w:cs="Arial"/>
                <w:spacing w:val="-5"/>
                <w:sz w:val="20"/>
                <w:szCs w:val="20"/>
                <w:lang w:val="en-GB"/>
              </w:rPr>
              <w:t>2023</w:t>
            </w:r>
            <w:r w:rsidR="00582A12" w:rsidRPr="006E725C">
              <w:rPr>
                <w:rStyle w:val="Znakapoznpodarou"/>
                <w:rFonts w:ascii="Arial" w:hAnsi="Arial" w:cs="Arial"/>
                <w:spacing w:val="-5"/>
                <w:sz w:val="20"/>
                <w:szCs w:val="20"/>
                <w:lang w:val="en-GB"/>
              </w:rPr>
              <w:footnoteReference w:id="88"/>
            </w:r>
            <w:r w:rsidR="00582A12" w:rsidRPr="006E725C">
              <w:rPr>
                <w:rFonts w:ascii="Arial" w:hAnsi="Arial" w:cs="Arial"/>
                <w:spacing w:val="-5"/>
                <w:sz w:val="20"/>
                <w:szCs w:val="20"/>
                <w:lang w:val="en-GB"/>
              </w:rPr>
              <w:t>.</w:t>
            </w:r>
          </w:p>
        </w:tc>
      </w:tr>
      <w:tr w:rsidR="00582A12" w:rsidRPr="006E725C" w14:paraId="50EC88DB" w14:textId="77777777" w:rsidTr="00BA5125">
        <w:trPr>
          <w:trHeight w:val="132"/>
        </w:trPr>
        <w:tc>
          <w:tcPr>
            <w:tcW w:w="1754" w:type="dxa"/>
            <w:shd w:val="clear" w:color="auto" w:fill="auto"/>
            <w:tcMar>
              <w:left w:w="0" w:type="dxa"/>
            </w:tcMar>
          </w:tcPr>
          <w:p w14:paraId="7F23A07D" w14:textId="7CFC6C03" w:rsidR="00582A12" w:rsidRPr="006E725C" w:rsidRDefault="005D1472" w:rsidP="00BA5125">
            <w:pPr>
              <w:pStyle w:val="Marginlie"/>
              <w:rPr>
                <w:color w:val="0D0D0D" w:themeColor="text1" w:themeTint="F2"/>
                <w:spacing w:val="-4"/>
                <w:lang w:val="en-GB"/>
              </w:rPr>
            </w:pPr>
            <w:r w:rsidRPr="006E725C">
              <w:rPr>
                <w:color w:val="0D0D0D" w:themeColor="text1" w:themeTint="F2"/>
                <w:spacing w:val="-4"/>
                <w:lang w:val="en-GB"/>
              </w:rPr>
              <w:t>Wages grew the most relatively in accommodation, food service and restaurants, absolutely the most then in IT in Q</w:t>
            </w:r>
            <w:r w:rsidR="00582A12" w:rsidRPr="006E725C">
              <w:rPr>
                <w:color w:val="0D0D0D" w:themeColor="text1" w:themeTint="F2"/>
                <w:spacing w:val="-4"/>
                <w:lang w:val="en-GB"/>
              </w:rPr>
              <w:t>4.</w:t>
            </w:r>
          </w:p>
          <w:p w14:paraId="14D0C9EF" w14:textId="77777777" w:rsidR="00582A12" w:rsidRPr="006E725C" w:rsidRDefault="00582A12" w:rsidP="00BA5125">
            <w:pPr>
              <w:pStyle w:val="Marginlie"/>
              <w:rPr>
                <w:color w:val="0D0D0D" w:themeColor="text1" w:themeTint="F2"/>
                <w:spacing w:val="-4"/>
                <w:lang w:val="en-GB"/>
              </w:rPr>
            </w:pPr>
          </w:p>
          <w:p w14:paraId="28DF864E" w14:textId="77777777" w:rsidR="00582A12" w:rsidRPr="006E725C" w:rsidRDefault="00582A12" w:rsidP="00BA5125">
            <w:pPr>
              <w:pStyle w:val="Marginlie"/>
              <w:rPr>
                <w:color w:val="0D0D0D" w:themeColor="text1" w:themeTint="F2"/>
                <w:spacing w:val="-4"/>
                <w:lang w:val="en-GB"/>
              </w:rPr>
            </w:pPr>
          </w:p>
          <w:p w14:paraId="223025D2" w14:textId="77777777" w:rsidR="00582A12" w:rsidRPr="006E725C" w:rsidRDefault="00582A12" w:rsidP="00BA5125">
            <w:pPr>
              <w:pStyle w:val="Marginlie"/>
              <w:rPr>
                <w:color w:val="0D0D0D" w:themeColor="text1" w:themeTint="F2"/>
                <w:spacing w:val="-4"/>
                <w:lang w:val="en-GB"/>
              </w:rPr>
            </w:pPr>
          </w:p>
          <w:p w14:paraId="2C27A7B5" w14:textId="77777777" w:rsidR="00582A12" w:rsidRPr="006E725C" w:rsidRDefault="00582A12" w:rsidP="00BA5125">
            <w:pPr>
              <w:pStyle w:val="Marginlie"/>
              <w:rPr>
                <w:color w:val="0D0D0D" w:themeColor="text1" w:themeTint="F2"/>
                <w:spacing w:val="-4"/>
                <w:lang w:val="en-GB"/>
              </w:rPr>
            </w:pPr>
          </w:p>
          <w:p w14:paraId="085989FF" w14:textId="77777777" w:rsidR="00582A12" w:rsidRPr="006E725C" w:rsidRDefault="00582A12" w:rsidP="00BA5125">
            <w:pPr>
              <w:pStyle w:val="Marginlie"/>
              <w:rPr>
                <w:color w:val="0D0D0D" w:themeColor="text1" w:themeTint="F2"/>
                <w:spacing w:val="-4"/>
                <w:lang w:val="en-GB"/>
              </w:rPr>
            </w:pPr>
          </w:p>
          <w:p w14:paraId="6E0FBACC" w14:textId="77777777" w:rsidR="00582A12" w:rsidRPr="006E725C" w:rsidRDefault="00582A12" w:rsidP="00BA5125">
            <w:pPr>
              <w:pStyle w:val="Marginlie"/>
              <w:rPr>
                <w:color w:val="0D0D0D" w:themeColor="text1" w:themeTint="F2"/>
                <w:spacing w:val="-4"/>
                <w:lang w:val="en-GB"/>
              </w:rPr>
            </w:pPr>
          </w:p>
          <w:p w14:paraId="6C7E2908" w14:textId="77777777" w:rsidR="00582A12" w:rsidRPr="006E725C" w:rsidRDefault="00582A12" w:rsidP="00BA5125">
            <w:pPr>
              <w:pStyle w:val="Marginlie"/>
              <w:rPr>
                <w:color w:val="0D0D0D" w:themeColor="text1" w:themeTint="F2"/>
                <w:spacing w:val="-4"/>
                <w:lang w:val="en-GB"/>
              </w:rPr>
            </w:pPr>
          </w:p>
          <w:p w14:paraId="3EF8FABD" w14:textId="77777777" w:rsidR="00582A12" w:rsidRPr="006E725C" w:rsidRDefault="00582A12" w:rsidP="00BA5125">
            <w:pPr>
              <w:pStyle w:val="Marginlie"/>
              <w:rPr>
                <w:color w:val="0D0D0D" w:themeColor="text1" w:themeTint="F2"/>
                <w:spacing w:val="-4"/>
                <w:lang w:val="en-GB"/>
              </w:rPr>
            </w:pPr>
          </w:p>
          <w:p w14:paraId="70B7EE9D" w14:textId="26A93501" w:rsidR="00582A12" w:rsidRPr="006E725C" w:rsidRDefault="00021B76" w:rsidP="00BA5125">
            <w:pPr>
              <w:pStyle w:val="Marginlie"/>
              <w:rPr>
                <w:color w:val="0D0D0D" w:themeColor="text1" w:themeTint="F2"/>
                <w:spacing w:val="-4"/>
                <w:lang w:val="en-GB"/>
              </w:rPr>
            </w:pPr>
            <w:r w:rsidRPr="006E725C">
              <w:rPr>
                <w:color w:val="0D0D0D" w:themeColor="text1" w:themeTint="F2"/>
                <w:spacing w:val="-4"/>
                <w:lang w:val="en-GB"/>
              </w:rPr>
              <w:t xml:space="preserve">Wage distribution was slightly widening for the whole last year. </w:t>
            </w:r>
          </w:p>
        </w:tc>
        <w:tc>
          <w:tcPr>
            <w:tcW w:w="220" w:type="dxa"/>
            <w:shd w:val="clear" w:color="auto" w:fill="auto"/>
            <w:tcMar>
              <w:left w:w="0" w:type="dxa"/>
            </w:tcMar>
          </w:tcPr>
          <w:p w14:paraId="5B49E196" w14:textId="77777777" w:rsidR="00582A12" w:rsidRPr="006E725C" w:rsidRDefault="00582A12" w:rsidP="00BA5125">
            <w:pPr>
              <w:pStyle w:val="Textpoznpodarou"/>
              <w:jc w:val="both"/>
              <w:rPr>
                <w:color w:val="0D0D0D" w:themeColor="text1" w:themeTint="F2"/>
                <w:spacing w:val="-4"/>
                <w:lang w:val="en-GB"/>
              </w:rPr>
            </w:pPr>
          </w:p>
        </w:tc>
        <w:tc>
          <w:tcPr>
            <w:tcW w:w="7700" w:type="dxa"/>
            <w:shd w:val="clear" w:color="auto" w:fill="auto"/>
            <w:tcMar>
              <w:left w:w="0" w:type="dxa"/>
            </w:tcMar>
          </w:tcPr>
          <w:p w14:paraId="3C602EB4" w14:textId="7569F94B" w:rsidR="00582A12" w:rsidRPr="006E725C" w:rsidRDefault="0011456E" w:rsidP="008D3ECE">
            <w:pPr>
              <w:pStyle w:val="paragraph"/>
              <w:spacing w:before="0" w:beforeAutospacing="0" w:after="200" w:afterAutospacing="0" w:line="276" w:lineRule="auto"/>
              <w:jc w:val="both"/>
              <w:textAlignment w:val="baseline"/>
              <w:rPr>
                <w:rFonts w:ascii="Arial" w:eastAsia="MS Gothic" w:hAnsi="Arial"/>
                <w:spacing w:val="-5"/>
                <w:sz w:val="20"/>
                <w:szCs w:val="20"/>
                <w:lang w:val="en-GB"/>
              </w:rPr>
            </w:pPr>
            <w:r w:rsidRPr="006E725C">
              <w:rPr>
                <w:rStyle w:val="normaltextrun"/>
                <w:rFonts w:ascii="Arial" w:eastAsia="MS Gothic" w:hAnsi="Arial" w:cs="Arial"/>
                <w:spacing w:val="-4"/>
                <w:sz w:val="20"/>
                <w:szCs w:val="20"/>
                <w:lang w:val="en-GB"/>
              </w:rPr>
              <w:t>Employees in division accommodation, food service and restaurants (+10.1% year-on-year) improved their situation relatively the most on average last year in Q</w:t>
            </w:r>
            <w:r w:rsidR="00582A12" w:rsidRPr="006E725C">
              <w:rPr>
                <w:rStyle w:val="normaltextrun"/>
                <w:rFonts w:ascii="Arial" w:eastAsia="MS Gothic" w:hAnsi="Arial" w:cs="Arial"/>
                <w:spacing w:val="-4"/>
                <w:sz w:val="20"/>
                <w:szCs w:val="20"/>
                <w:lang w:val="en-GB"/>
              </w:rPr>
              <w:t>4</w:t>
            </w:r>
            <w:r w:rsidRPr="006E725C">
              <w:rPr>
                <w:rStyle w:val="normaltextrun"/>
                <w:rFonts w:ascii="Arial" w:eastAsia="MS Gothic" w:hAnsi="Arial" w:cs="Arial"/>
                <w:spacing w:val="-4"/>
                <w:sz w:val="20"/>
                <w:szCs w:val="20"/>
                <w:lang w:val="en-GB"/>
              </w:rPr>
              <w:t xml:space="preserve">, </w:t>
            </w:r>
            <w:r w:rsidR="00D62FB5" w:rsidRPr="006E725C">
              <w:rPr>
                <w:rStyle w:val="normaltextrun"/>
                <w:rFonts w:ascii="Arial" w:eastAsia="MS Gothic" w:hAnsi="Arial" w:cs="Arial"/>
                <w:spacing w:val="-4"/>
                <w:sz w:val="20"/>
                <w:szCs w:val="20"/>
                <w:lang w:val="en-GB"/>
              </w:rPr>
              <w:t xml:space="preserve">nevertheless their wages in </w:t>
            </w:r>
            <w:r w:rsidR="00F03F50" w:rsidRPr="006E725C">
              <w:rPr>
                <w:rStyle w:val="normaltextrun"/>
                <w:rFonts w:ascii="Arial" w:eastAsia="MS Gothic" w:hAnsi="Arial" w:cs="Arial"/>
                <w:spacing w:val="-4"/>
                <w:sz w:val="20"/>
                <w:szCs w:val="20"/>
                <w:lang w:val="en-GB"/>
              </w:rPr>
              <w:t>absolute</w:t>
            </w:r>
            <w:r w:rsidR="00D62FB5" w:rsidRPr="006E725C">
              <w:rPr>
                <w:rStyle w:val="normaltextrun"/>
                <w:rFonts w:ascii="Arial" w:eastAsia="MS Gothic" w:hAnsi="Arial" w:cs="Arial"/>
                <w:spacing w:val="-4"/>
                <w:sz w:val="20"/>
                <w:szCs w:val="20"/>
                <w:lang w:val="en-GB"/>
              </w:rPr>
              <w:t xml:space="preserve"> expression nominally </w:t>
            </w:r>
            <w:r w:rsidR="00F03F50" w:rsidRPr="006E725C">
              <w:rPr>
                <w:rStyle w:val="normaltextrun"/>
                <w:rFonts w:ascii="Arial" w:eastAsia="MS Gothic" w:hAnsi="Arial" w:cs="Arial"/>
                <w:spacing w:val="-4"/>
                <w:sz w:val="20"/>
                <w:szCs w:val="20"/>
                <w:lang w:val="en-GB"/>
              </w:rPr>
              <w:t>increased</w:t>
            </w:r>
            <w:r w:rsidR="00D62FB5" w:rsidRPr="006E725C">
              <w:rPr>
                <w:rStyle w:val="normaltextrun"/>
                <w:rFonts w:ascii="Arial" w:eastAsia="MS Gothic" w:hAnsi="Arial" w:cs="Arial"/>
                <w:spacing w:val="-4"/>
                <w:sz w:val="20"/>
                <w:szCs w:val="20"/>
                <w:lang w:val="en-GB"/>
              </w:rPr>
              <w:t xml:space="preserve"> slower </w:t>
            </w:r>
            <w:r w:rsidR="00F03F50" w:rsidRPr="006E725C">
              <w:rPr>
                <w:rStyle w:val="normaltextrun"/>
                <w:rFonts w:ascii="Arial" w:eastAsia="MS Gothic" w:hAnsi="Arial" w:cs="Arial"/>
                <w:spacing w:val="-4"/>
                <w:sz w:val="20"/>
                <w:szCs w:val="20"/>
                <w:lang w:val="en-GB"/>
              </w:rPr>
              <w:t>against</w:t>
            </w:r>
            <w:r w:rsidR="00D62FB5" w:rsidRPr="006E725C">
              <w:rPr>
                <w:rStyle w:val="normaltextrun"/>
                <w:rFonts w:ascii="Arial" w:eastAsia="MS Gothic" w:hAnsi="Arial" w:cs="Arial"/>
                <w:spacing w:val="-4"/>
                <w:sz w:val="20"/>
                <w:szCs w:val="20"/>
                <w:lang w:val="en-GB"/>
              </w:rPr>
              <w:t xml:space="preserve"> the whole economy. Briskly, above the inflation level, increased the earnings also in </w:t>
            </w:r>
            <w:r w:rsidRPr="006E725C">
              <w:rPr>
                <w:rStyle w:val="normaltextrun"/>
                <w:rFonts w:ascii="Arial" w:eastAsia="MS Gothic" w:hAnsi="Arial" w:cs="Arial"/>
                <w:spacing w:val="-4"/>
                <w:sz w:val="20"/>
                <w:szCs w:val="20"/>
                <w:lang w:val="en-GB"/>
              </w:rPr>
              <w:t>information</w:t>
            </w:r>
            <w:r w:rsidR="00D62FB5" w:rsidRPr="006E725C">
              <w:rPr>
                <w:rStyle w:val="normaltextrun"/>
                <w:rFonts w:ascii="Arial" w:eastAsia="MS Gothic" w:hAnsi="Arial" w:cs="Arial"/>
                <w:spacing w:val="-4"/>
                <w:sz w:val="20"/>
                <w:szCs w:val="20"/>
                <w:lang w:val="en-GB"/>
              </w:rPr>
              <w:t xml:space="preserve"> and communication </w:t>
            </w:r>
            <w:r w:rsidR="00582A12" w:rsidRPr="006E725C">
              <w:rPr>
                <w:rStyle w:val="normaltextrun"/>
                <w:rFonts w:ascii="Arial" w:eastAsia="MS Gothic" w:hAnsi="Arial" w:cs="Arial"/>
                <w:spacing w:val="-4"/>
                <w:sz w:val="20"/>
                <w:szCs w:val="20"/>
                <w:lang w:val="en-GB"/>
              </w:rPr>
              <w:t>(+8</w:t>
            </w:r>
            <w:r w:rsidR="00D62FB5" w:rsidRPr="006E725C">
              <w:rPr>
                <w:rStyle w:val="normaltextrun"/>
                <w:rFonts w:ascii="Arial" w:eastAsia="MS Gothic" w:hAnsi="Arial" w:cs="Arial"/>
                <w:spacing w:val="-4"/>
                <w:sz w:val="20"/>
                <w:szCs w:val="20"/>
                <w:lang w:val="en-GB"/>
              </w:rPr>
              <w:t>.</w:t>
            </w:r>
            <w:r w:rsidR="00582A12" w:rsidRPr="006E725C">
              <w:rPr>
                <w:rStyle w:val="normaltextrun"/>
                <w:rFonts w:ascii="Arial" w:eastAsia="MS Gothic" w:hAnsi="Arial" w:cs="Arial"/>
                <w:spacing w:val="-4"/>
                <w:sz w:val="20"/>
                <w:szCs w:val="20"/>
                <w:lang w:val="en-GB"/>
              </w:rPr>
              <w:t>7%),</w:t>
            </w:r>
            <w:r w:rsidR="00D62FB5" w:rsidRPr="006E725C">
              <w:rPr>
                <w:rStyle w:val="normaltextrun"/>
                <w:rFonts w:ascii="Arial" w:eastAsia="MS Gothic" w:hAnsi="Arial" w:cs="Arial"/>
                <w:spacing w:val="-4"/>
                <w:sz w:val="20"/>
                <w:szCs w:val="20"/>
                <w:lang w:val="en-GB"/>
              </w:rPr>
              <w:t xml:space="preserve"> transport and warehousing </w:t>
            </w:r>
            <w:r w:rsidR="00582A12" w:rsidRPr="006E725C">
              <w:rPr>
                <w:rStyle w:val="normaltextrun"/>
                <w:rFonts w:ascii="Arial" w:eastAsia="MS Gothic" w:hAnsi="Arial" w:cs="Arial"/>
                <w:spacing w:val="-4"/>
                <w:sz w:val="20"/>
                <w:szCs w:val="20"/>
                <w:lang w:val="en-GB"/>
              </w:rPr>
              <w:t>(+8</w:t>
            </w:r>
            <w:r w:rsidR="00D62FB5" w:rsidRPr="006E725C">
              <w:rPr>
                <w:rStyle w:val="normaltextrun"/>
                <w:rFonts w:ascii="Arial" w:eastAsia="MS Gothic" w:hAnsi="Arial" w:cs="Arial"/>
                <w:spacing w:val="-4"/>
                <w:sz w:val="20"/>
                <w:szCs w:val="20"/>
                <w:lang w:val="en-GB"/>
              </w:rPr>
              <w:t>.</w:t>
            </w:r>
            <w:r w:rsidR="00582A12" w:rsidRPr="006E725C">
              <w:rPr>
                <w:rStyle w:val="normaltextrun"/>
                <w:rFonts w:ascii="Arial" w:eastAsia="MS Gothic" w:hAnsi="Arial" w:cs="Arial"/>
                <w:spacing w:val="-4"/>
                <w:sz w:val="20"/>
                <w:szCs w:val="20"/>
                <w:lang w:val="en-GB"/>
              </w:rPr>
              <w:t>1%),</w:t>
            </w:r>
            <w:r w:rsidR="00D62FB5" w:rsidRPr="006E725C">
              <w:rPr>
                <w:rStyle w:val="normaltextrun"/>
                <w:rFonts w:ascii="Arial" w:eastAsia="MS Gothic" w:hAnsi="Arial" w:cs="Arial"/>
                <w:spacing w:val="-4"/>
                <w:sz w:val="20"/>
                <w:szCs w:val="20"/>
                <w:lang w:val="en-GB"/>
              </w:rPr>
              <w:t xml:space="preserve"> in some non-</w:t>
            </w:r>
            <w:r w:rsidRPr="006E725C">
              <w:rPr>
                <w:rStyle w:val="normaltextrun"/>
                <w:rFonts w:ascii="Arial" w:eastAsia="MS Gothic" w:hAnsi="Arial" w:cs="Arial"/>
                <w:spacing w:val="-4"/>
                <w:sz w:val="20"/>
                <w:szCs w:val="20"/>
                <w:lang w:val="en-GB"/>
              </w:rPr>
              <w:t>manufacturing</w:t>
            </w:r>
            <w:r w:rsidR="00D62FB5" w:rsidRPr="006E725C">
              <w:rPr>
                <w:rStyle w:val="normaltextrun"/>
                <w:rFonts w:ascii="Arial" w:eastAsia="MS Gothic" w:hAnsi="Arial" w:cs="Arial"/>
                <w:spacing w:val="-4"/>
                <w:sz w:val="20"/>
                <w:szCs w:val="20"/>
                <w:lang w:val="en-GB"/>
              </w:rPr>
              <w:t xml:space="preserve"> branches – mainly in mining and quarrying </w:t>
            </w:r>
            <w:r w:rsidR="00582A12" w:rsidRPr="006E725C">
              <w:rPr>
                <w:rStyle w:val="normaltextrun"/>
                <w:rFonts w:ascii="Arial" w:eastAsia="MS Gothic" w:hAnsi="Arial" w:cs="Arial"/>
                <w:spacing w:val="-4"/>
                <w:sz w:val="20"/>
                <w:szCs w:val="20"/>
                <w:lang w:val="en-GB"/>
              </w:rPr>
              <w:t>(+10</w:t>
            </w:r>
            <w:r w:rsidR="00D62FB5" w:rsidRPr="006E725C">
              <w:rPr>
                <w:rStyle w:val="normaltextrun"/>
                <w:rFonts w:ascii="Arial" w:eastAsia="MS Gothic" w:hAnsi="Arial" w:cs="Arial"/>
                <w:spacing w:val="-4"/>
                <w:sz w:val="20"/>
                <w:szCs w:val="20"/>
                <w:lang w:val="en-GB"/>
              </w:rPr>
              <w:t>.</w:t>
            </w:r>
            <w:r w:rsidR="00582A12" w:rsidRPr="006E725C">
              <w:rPr>
                <w:rStyle w:val="normaltextrun"/>
                <w:rFonts w:ascii="Arial" w:eastAsia="MS Gothic" w:hAnsi="Arial" w:cs="Arial"/>
                <w:spacing w:val="-4"/>
                <w:sz w:val="20"/>
                <w:szCs w:val="20"/>
                <w:lang w:val="en-GB"/>
              </w:rPr>
              <w:t>3%) a</w:t>
            </w:r>
            <w:r w:rsidR="00D62FB5" w:rsidRPr="006E725C">
              <w:rPr>
                <w:rStyle w:val="normaltextrun"/>
                <w:rFonts w:ascii="Arial" w:eastAsia="MS Gothic" w:hAnsi="Arial" w:cs="Arial"/>
                <w:spacing w:val="-4"/>
                <w:sz w:val="20"/>
                <w:szCs w:val="20"/>
                <w:lang w:val="en-GB"/>
              </w:rPr>
              <w:t>nd</w:t>
            </w:r>
            <w:r w:rsidR="00582A12" w:rsidRPr="006E725C">
              <w:rPr>
                <w:rStyle w:val="normaltextrun"/>
                <w:rFonts w:ascii="Arial" w:eastAsia="MS Gothic" w:hAnsi="Arial" w:cs="Arial"/>
                <w:spacing w:val="-4"/>
                <w:sz w:val="20"/>
                <w:szCs w:val="20"/>
                <w:lang w:val="en-GB"/>
              </w:rPr>
              <w:t xml:space="preserve"> </w:t>
            </w:r>
            <w:r w:rsidRPr="006E725C">
              <w:rPr>
                <w:rStyle w:val="normaltextrun"/>
                <w:rFonts w:ascii="Arial" w:eastAsia="MS Gothic" w:hAnsi="Arial" w:cs="Arial"/>
                <w:spacing w:val="-4"/>
                <w:sz w:val="20"/>
                <w:szCs w:val="20"/>
                <w:lang w:val="en-GB"/>
              </w:rPr>
              <w:t xml:space="preserve">within larger manufacturing activities only in manufacturing of electrical appliances </w:t>
            </w:r>
            <w:r w:rsidR="00582A12" w:rsidRPr="006E725C">
              <w:rPr>
                <w:rStyle w:val="normaltextrun"/>
                <w:rFonts w:ascii="Arial" w:eastAsia="MS Gothic" w:hAnsi="Arial" w:cs="Arial"/>
                <w:spacing w:val="-4"/>
                <w:sz w:val="20"/>
                <w:szCs w:val="20"/>
                <w:lang w:val="en-GB"/>
              </w:rPr>
              <w:t>(+10</w:t>
            </w:r>
            <w:r w:rsidRPr="006E725C">
              <w:rPr>
                <w:rStyle w:val="normaltextrun"/>
                <w:rFonts w:ascii="Arial" w:eastAsia="MS Gothic" w:hAnsi="Arial" w:cs="Arial"/>
                <w:spacing w:val="-4"/>
                <w:sz w:val="20"/>
                <w:szCs w:val="20"/>
                <w:lang w:val="en-GB"/>
              </w:rPr>
              <w:t>.</w:t>
            </w:r>
            <w:r w:rsidR="00582A12" w:rsidRPr="006E725C">
              <w:rPr>
                <w:rStyle w:val="normaltextrun"/>
                <w:rFonts w:ascii="Arial" w:eastAsia="MS Gothic" w:hAnsi="Arial" w:cs="Arial"/>
                <w:spacing w:val="-4"/>
                <w:sz w:val="20"/>
                <w:szCs w:val="20"/>
                <w:lang w:val="en-GB"/>
              </w:rPr>
              <w:t xml:space="preserve">7%). </w:t>
            </w:r>
            <w:r w:rsidR="00E821ED" w:rsidRPr="006E725C">
              <w:rPr>
                <w:rStyle w:val="normaltextrun"/>
                <w:rFonts w:ascii="Arial" w:eastAsia="MS Gothic" w:hAnsi="Arial" w:cs="Arial"/>
                <w:spacing w:val="-4"/>
                <w:sz w:val="20"/>
                <w:szCs w:val="20"/>
                <w:lang w:val="en-GB"/>
              </w:rPr>
              <w:t xml:space="preserve">Wages grew </w:t>
            </w:r>
            <w:r w:rsidR="00B82C5E" w:rsidRPr="006E725C">
              <w:rPr>
                <w:rStyle w:val="normaltextrun"/>
                <w:rFonts w:ascii="Arial" w:eastAsia="MS Gothic" w:hAnsi="Arial" w:cs="Arial"/>
                <w:spacing w:val="-4"/>
                <w:sz w:val="20"/>
                <w:szCs w:val="20"/>
                <w:lang w:val="en-GB"/>
              </w:rPr>
              <w:t>below average</w:t>
            </w:r>
            <w:r w:rsidR="00E821ED" w:rsidRPr="006E725C">
              <w:rPr>
                <w:rStyle w:val="normaltextrun"/>
                <w:rFonts w:ascii="Arial" w:eastAsia="MS Gothic" w:hAnsi="Arial" w:cs="Arial"/>
                <w:spacing w:val="-4"/>
                <w:sz w:val="20"/>
                <w:szCs w:val="20"/>
                <w:lang w:val="en-GB"/>
              </w:rPr>
              <w:t xml:space="preserve"> </w:t>
            </w:r>
            <w:r w:rsidR="00582A12" w:rsidRPr="006E725C">
              <w:rPr>
                <w:rStyle w:val="normaltextrun"/>
                <w:rFonts w:ascii="Arial" w:eastAsia="MS Gothic" w:hAnsi="Arial" w:cs="Arial"/>
                <w:spacing w:val="-4"/>
                <w:sz w:val="20"/>
                <w:szCs w:val="20"/>
                <w:lang w:val="en-GB"/>
              </w:rPr>
              <w:t>(</w:t>
            </w:r>
            <w:r w:rsidR="00E821ED" w:rsidRPr="006E725C">
              <w:rPr>
                <w:rStyle w:val="normaltextrun"/>
                <w:rFonts w:ascii="Arial" w:eastAsia="MS Gothic" w:hAnsi="Arial" w:cs="Arial"/>
                <w:spacing w:val="-4"/>
                <w:sz w:val="20"/>
                <w:szCs w:val="20"/>
                <w:lang w:val="en-GB"/>
              </w:rPr>
              <w:t xml:space="preserve">from </w:t>
            </w:r>
            <w:r w:rsidR="00582A12" w:rsidRPr="006E725C">
              <w:rPr>
                <w:rStyle w:val="normaltextrun"/>
                <w:rFonts w:ascii="Arial" w:eastAsia="MS Gothic" w:hAnsi="Arial" w:cs="Arial"/>
                <w:spacing w:val="-4"/>
                <w:sz w:val="20"/>
                <w:szCs w:val="20"/>
                <w:lang w:val="en-GB"/>
              </w:rPr>
              <w:t>3</w:t>
            </w:r>
            <w:r w:rsidR="00E821ED" w:rsidRPr="006E725C">
              <w:rPr>
                <w:rStyle w:val="normaltextrun"/>
                <w:rFonts w:ascii="Arial" w:eastAsia="MS Gothic" w:hAnsi="Arial" w:cs="Arial"/>
                <w:spacing w:val="-4"/>
                <w:sz w:val="20"/>
                <w:szCs w:val="20"/>
                <w:lang w:val="en-GB"/>
              </w:rPr>
              <w:t>.</w:t>
            </w:r>
            <w:r w:rsidR="00582A12" w:rsidRPr="006E725C">
              <w:rPr>
                <w:rStyle w:val="normaltextrun"/>
                <w:rFonts w:ascii="Arial" w:eastAsia="MS Gothic" w:hAnsi="Arial" w:cs="Arial"/>
                <w:spacing w:val="-4"/>
                <w:sz w:val="20"/>
                <w:szCs w:val="20"/>
                <w:lang w:val="en-GB"/>
              </w:rPr>
              <w:t>9</w:t>
            </w:r>
            <w:r w:rsidR="00E821ED" w:rsidRPr="006E725C">
              <w:rPr>
                <w:rStyle w:val="normaltextrun"/>
                <w:rFonts w:ascii="Arial" w:eastAsia="MS Gothic" w:hAnsi="Arial" w:cs="Arial"/>
                <w:spacing w:val="-4"/>
                <w:sz w:val="20"/>
                <w:szCs w:val="20"/>
                <w:lang w:val="en-GB"/>
              </w:rPr>
              <w:t xml:space="preserve"> to </w:t>
            </w:r>
            <w:r w:rsidR="00582A12" w:rsidRPr="006E725C">
              <w:rPr>
                <w:rStyle w:val="normaltextrun"/>
                <w:rFonts w:ascii="Arial" w:eastAsia="MS Gothic" w:hAnsi="Arial" w:cs="Arial"/>
                <w:spacing w:val="-4"/>
                <w:sz w:val="20"/>
                <w:szCs w:val="20"/>
                <w:lang w:val="en-GB"/>
              </w:rPr>
              <w:t>6</w:t>
            </w:r>
            <w:r w:rsidR="00E821ED" w:rsidRPr="006E725C">
              <w:rPr>
                <w:rStyle w:val="normaltextrun"/>
                <w:rFonts w:ascii="Arial" w:eastAsia="MS Gothic" w:hAnsi="Arial" w:cs="Arial"/>
                <w:spacing w:val="-4"/>
                <w:sz w:val="20"/>
                <w:szCs w:val="20"/>
                <w:lang w:val="en-GB"/>
              </w:rPr>
              <w:t>.</w:t>
            </w:r>
            <w:r w:rsidR="00582A12" w:rsidRPr="006E725C">
              <w:rPr>
                <w:rStyle w:val="normaltextrun"/>
                <w:rFonts w:ascii="Arial" w:eastAsia="MS Gothic" w:hAnsi="Arial" w:cs="Arial"/>
                <w:spacing w:val="-4"/>
                <w:sz w:val="20"/>
                <w:szCs w:val="20"/>
                <w:lang w:val="en-GB"/>
              </w:rPr>
              <w:t>1%)</w:t>
            </w:r>
            <w:r w:rsidR="00E821ED" w:rsidRPr="006E725C">
              <w:rPr>
                <w:rStyle w:val="normaltextrun"/>
                <w:rFonts w:ascii="Arial" w:eastAsia="MS Gothic" w:hAnsi="Arial" w:cs="Arial"/>
                <w:spacing w:val="-4"/>
                <w:sz w:val="20"/>
                <w:szCs w:val="20"/>
                <w:lang w:val="en-GB"/>
              </w:rPr>
              <w:t xml:space="preserve"> in branches of public services, in administrative and support </w:t>
            </w:r>
            <w:r w:rsidR="00E821ED" w:rsidRPr="006E725C">
              <w:rPr>
                <w:rStyle w:val="normaltextrun"/>
                <w:rFonts w:asciiTheme="minorBidi" w:eastAsia="MS Gothic" w:hAnsiTheme="minorBidi" w:cstheme="minorBidi"/>
                <w:spacing w:val="-4"/>
                <w:sz w:val="20"/>
                <w:szCs w:val="20"/>
                <w:lang w:val="en-GB"/>
              </w:rPr>
              <w:t xml:space="preserve">service activities, in real estate area, in construction and in the primary sector of agriculture and forestry. </w:t>
            </w:r>
            <w:r w:rsidR="005C64FD" w:rsidRPr="006E725C">
              <w:rPr>
                <w:rStyle w:val="normaltextrun"/>
                <w:rFonts w:asciiTheme="minorBidi" w:eastAsia="MS Gothic" w:hAnsiTheme="minorBidi" w:cstheme="minorBidi"/>
                <w:spacing w:val="-4"/>
                <w:sz w:val="20"/>
                <w:szCs w:val="20"/>
                <w:lang w:val="en-GB"/>
              </w:rPr>
              <w:t xml:space="preserve">The average earnings increased the least </w:t>
            </w:r>
            <w:r w:rsidR="00582A12" w:rsidRPr="006E725C">
              <w:rPr>
                <w:rFonts w:asciiTheme="minorBidi" w:hAnsiTheme="minorBidi" w:cstheme="minorBidi"/>
                <w:color w:val="0D0D0D" w:themeColor="text1" w:themeTint="F2"/>
                <w:spacing w:val="-4"/>
                <w:sz w:val="20"/>
                <w:szCs w:val="20"/>
                <w:lang w:val="en-GB"/>
              </w:rPr>
              <w:t>(</w:t>
            </w:r>
            <w:r w:rsidR="005C64FD" w:rsidRPr="006E725C">
              <w:rPr>
                <w:rStyle w:val="normaltextrun"/>
                <w:rFonts w:asciiTheme="minorBidi" w:eastAsia="MS Gothic" w:hAnsiTheme="minorBidi" w:cstheme="minorBidi"/>
                <w:sz w:val="20"/>
                <w:szCs w:val="20"/>
                <w:lang w:val="en-GB"/>
              </w:rPr>
              <w:t>b</w:t>
            </w:r>
            <w:r w:rsidR="005C64FD" w:rsidRPr="006E725C">
              <w:rPr>
                <w:rStyle w:val="normaltextrun"/>
                <w:rFonts w:asciiTheme="minorBidi" w:eastAsia="MS Gothic" w:hAnsiTheme="minorBidi" w:cstheme="minorBidi"/>
                <w:spacing w:val="-4"/>
                <w:sz w:val="20"/>
                <w:szCs w:val="20"/>
                <w:lang w:val="en-GB"/>
              </w:rPr>
              <w:t xml:space="preserve">y </w:t>
            </w:r>
            <w:r w:rsidR="00582A12" w:rsidRPr="006E725C">
              <w:rPr>
                <w:rStyle w:val="normaltextrun"/>
                <w:rFonts w:asciiTheme="minorBidi" w:eastAsia="MS Gothic" w:hAnsiTheme="minorBidi" w:cstheme="minorBidi"/>
                <w:sz w:val="20"/>
                <w:szCs w:val="20"/>
                <w:lang w:val="en-GB"/>
              </w:rPr>
              <w:t>0</w:t>
            </w:r>
            <w:r w:rsidR="005C64FD" w:rsidRPr="006E725C">
              <w:rPr>
                <w:rStyle w:val="normaltextrun"/>
                <w:rFonts w:asciiTheme="minorBidi" w:eastAsia="MS Gothic" w:hAnsiTheme="minorBidi" w:cstheme="minorBidi"/>
                <w:sz w:val="20"/>
                <w:szCs w:val="20"/>
                <w:lang w:val="en-GB"/>
              </w:rPr>
              <w:t>.</w:t>
            </w:r>
            <w:r w:rsidR="00582A12" w:rsidRPr="006E725C">
              <w:rPr>
                <w:rStyle w:val="normaltextrun"/>
                <w:rFonts w:asciiTheme="minorBidi" w:eastAsia="MS Gothic" w:hAnsiTheme="minorBidi" w:cstheme="minorBidi"/>
                <w:sz w:val="20"/>
                <w:szCs w:val="20"/>
                <w:lang w:val="en-GB"/>
              </w:rPr>
              <w:t>3%)</w:t>
            </w:r>
            <w:r w:rsidR="005C64FD" w:rsidRPr="006E725C">
              <w:rPr>
                <w:rStyle w:val="normaltextrun"/>
                <w:rFonts w:asciiTheme="minorBidi" w:eastAsia="MS Gothic" w:hAnsiTheme="minorBidi" w:cstheme="minorBidi"/>
                <w:sz w:val="20"/>
                <w:szCs w:val="20"/>
                <w:lang w:val="en-GB"/>
              </w:rPr>
              <w:t xml:space="preserve"> </w:t>
            </w:r>
            <w:r w:rsidR="005C64FD" w:rsidRPr="006E725C">
              <w:rPr>
                <w:rStyle w:val="normaltextrun"/>
                <w:rFonts w:asciiTheme="minorBidi" w:eastAsia="MS Gothic" w:hAnsiTheme="minorBidi" w:cstheme="minorBidi"/>
                <w:spacing w:val="-4"/>
                <w:sz w:val="20"/>
                <w:szCs w:val="20"/>
                <w:lang w:val="en-GB"/>
              </w:rPr>
              <w:t>in small</w:t>
            </w:r>
            <w:r w:rsidR="00C40996" w:rsidRPr="006E725C">
              <w:rPr>
                <w:rStyle w:val="normaltextrun"/>
                <w:rFonts w:asciiTheme="minorBidi" w:eastAsia="MS Gothic" w:hAnsiTheme="minorBidi" w:cstheme="minorBidi"/>
                <w:spacing w:val="-4"/>
                <w:sz w:val="20"/>
                <w:szCs w:val="20"/>
                <w:lang w:val="en-GB"/>
              </w:rPr>
              <w:t xml:space="preserve"> diverse branch of other services </w:t>
            </w:r>
            <w:r w:rsidR="00582A12" w:rsidRPr="006E725C">
              <w:rPr>
                <w:rStyle w:val="normaltextrun"/>
                <w:rFonts w:asciiTheme="minorBidi" w:eastAsia="MS Gothic" w:hAnsiTheme="minorBidi" w:cstheme="minorBidi"/>
                <w:sz w:val="20"/>
                <w:szCs w:val="20"/>
                <w:lang w:val="en-GB"/>
              </w:rPr>
              <w:t>(</w:t>
            </w:r>
            <w:r w:rsidR="00C40996" w:rsidRPr="006E725C">
              <w:rPr>
                <w:rStyle w:val="normaltextrun"/>
                <w:rFonts w:asciiTheme="minorBidi" w:eastAsia="MS Gothic" w:hAnsiTheme="minorBidi" w:cstheme="minorBidi"/>
                <w:sz w:val="20"/>
                <w:szCs w:val="20"/>
                <w:lang w:val="en-GB"/>
              </w:rPr>
              <w:t>including mainly professional associations and trade unions, but also personal services for households</w:t>
            </w:r>
            <w:r w:rsidR="00582A12" w:rsidRPr="006E725C">
              <w:rPr>
                <w:rStyle w:val="normaltextrun"/>
                <w:rFonts w:asciiTheme="minorBidi" w:eastAsia="MS Gothic" w:hAnsiTheme="minorBidi" w:cstheme="minorBidi"/>
                <w:sz w:val="20"/>
                <w:szCs w:val="20"/>
                <w:lang w:val="en-GB"/>
              </w:rPr>
              <w:t xml:space="preserve">), </w:t>
            </w:r>
            <w:r w:rsidR="00C40996" w:rsidRPr="006E725C">
              <w:rPr>
                <w:rStyle w:val="normaltextrun"/>
                <w:rFonts w:asciiTheme="minorBidi" w:eastAsia="MS Gothic" w:hAnsiTheme="minorBidi" w:cstheme="minorBidi"/>
                <w:sz w:val="20"/>
                <w:szCs w:val="20"/>
                <w:lang w:val="en-GB"/>
              </w:rPr>
              <w:t xml:space="preserve">but the employment expanded relative swiftly here. The wage median increased precisely by 6% in Q4 </w:t>
            </w:r>
            <w:r w:rsidR="00582A12" w:rsidRPr="006E725C">
              <w:rPr>
                <w:rStyle w:val="normaltextrun"/>
                <w:rFonts w:asciiTheme="minorBidi" w:eastAsia="MS Gothic" w:hAnsiTheme="minorBidi" w:cstheme="minorBidi"/>
                <w:spacing w:val="-4"/>
                <w:sz w:val="20"/>
                <w:szCs w:val="20"/>
                <w:lang w:val="en-GB"/>
              </w:rPr>
              <w:t>(</w:t>
            </w:r>
            <w:r w:rsidR="00C40996" w:rsidRPr="006E725C">
              <w:rPr>
                <w:rStyle w:val="normaltextrun"/>
                <w:rFonts w:asciiTheme="minorBidi" w:eastAsia="MS Gothic" w:hAnsiTheme="minorBidi" w:cstheme="minorBidi"/>
                <w:spacing w:val="-4"/>
                <w:sz w:val="20"/>
                <w:szCs w:val="20"/>
                <w:lang w:val="en-GB"/>
              </w:rPr>
              <w:t xml:space="preserve">to </w:t>
            </w:r>
            <w:r w:rsidR="00582A12" w:rsidRPr="006E725C">
              <w:rPr>
                <w:rStyle w:val="normaltextrun"/>
                <w:rFonts w:asciiTheme="minorBidi" w:eastAsia="MS Gothic" w:hAnsiTheme="minorBidi" w:cstheme="minorBidi"/>
                <w:spacing w:val="-4"/>
                <w:sz w:val="20"/>
                <w:szCs w:val="20"/>
                <w:lang w:val="en-GB"/>
              </w:rPr>
              <w:t>39</w:t>
            </w:r>
            <w:r w:rsidR="00C40996" w:rsidRPr="006E725C">
              <w:rPr>
                <w:rStyle w:val="normaltextrun"/>
                <w:rFonts w:asciiTheme="minorBidi" w:eastAsia="MS Gothic" w:hAnsiTheme="minorBidi" w:cstheme="minorBidi"/>
                <w:spacing w:val="-4"/>
                <w:sz w:val="20"/>
                <w:szCs w:val="20"/>
                <w:lang w:val="en-GB"/>
              </w:rPr>
              <w:t>.</w:t>
            </w:r>
            <w:r w:rsidR="00582A12" w:rsidRPr="006E725C">
              <w:rPr>
                <w:rStyle w:val="normaltextrun"/>
                <w:rFonts w:asciiTheme="minorBidi" w:eastAsia="MS Gothic" w:hAnsiTheme="minorBidi" w:cstheme="minorBidi"/>
                <w:spacing w:val="-4"/>
                <w:sz w:val="20"/>
                <w:szCs w:val="20"/>
                <w:lang w:val="en-GB"/>
              </w:rPr>
              <w:t>7</w:t>
            </w:r>
            <w:r w:rsidR="00C40996" w:rsidRPr="006E725C">
              <w:rPr>
                <w:rStyle w:val="normaltextrun"/>
                <w:rFonts w:asciiTheme="minorBidi" w:eastAsia="MS Gothic" w:hAnsiTheme="minorBidi" w:cstheme="minorBidi"/>
                <w:spacing w:val="-4"/>
                <w:sz w:val="20"/>
                <w:szCs w:val="20"/>
                <w:lang w:val="en-GB"/>
              </w:rPr>
              <w:t xml:space="preserve"> </w:t>
            </w:r>
            <w:r w:rsidR="008D3ECE">
              <w:rPr>
                <w:rStyle w:val="normaltextrun"/>
                <w:rFonts w:asciiTheme="minorBidi" w:eastAsia="MS Gothic" w:hAnsiTheme="minorBidi" w:cstheme="minorBidi"/>
                <w:spacing w:val="-4"/>
                <w:sz w:val="20"/>
                <w:szCs w:val="20"/>
                <w:lang w:val="en-GB"/>
              </w:rPr>
              <w:t xml:space="preserve">thousand </w:t>
            </w:r>
            <w:r w:rsidR="00C40996" w:rsidRPr="006E725C">
              <w:rPr>
                <w:rStyle w:val="normaltextrun"/>
                <w:rFonts w:asciiTheme="minorBidi" w:eastAsia="MS Gothic" w:hAnsiTheme="minorBidi" w:cstheme="minorBidi"/>
                <w:spacing w:val="-4"/>
                <w:sz w:val="20"/>
                <w:szCs w:val="20"/>
                <w:lang w:val="en-GB"/>
              </w:rPr>
              <w:t>CZK</w:t>
            </w:r>
            <w:r w:rsidR="008D3ECE">
              <w:rPr>
                <w:rStyle w:val="normaltextrun"/>
                <w:rFonts w:asciiTheme="minorBidi" w:eastAsia="MS Gothic" w:hAnsiTheme="minorBidi" w:cstheme="minorBidi"/>
                <w:spacing w:val="-4"/>
                <w:sz w:val="20"/>
                <w:szCs w:val="20"/>
                <w:lang w:val="en-GB"/>
              </w:rPr>
              <w:t xml:space="preserve"> </w:t>
            </w:r>
            <w:r w:rsidR="00C40996" w:rsidRPr="006E725C">
              <w:rPr>
                <w:rStyle w:val="normaltextrun"/>
                <w:rFonts w:asciiTheme="minorBidi" w:eastAsia="MS Gothic" w:hAnsiTheme="minorBidi" w:cstheme="minorBidi"/>
                <w:spacing w:val="-4"/>
                <w:sz w:val="20"/>
                <w:szCs w:val="20"/>
                <w:lang w:val="en-GB"/>
              </w:rPr>
              <w:t>monthly</w:t>
            </w:r>
            <w:r w:rsidR="00582A12" w:rsidRPr="006E725C">
              <w:rPr>
                <w:rStyle w:val="normaltextrun"/>
                <w:rFonts w:asciiTheme="minorBidi" w:eastAsia="MS Gothic" w:hAnsiTheme="minorBidi" w:cstheme="minorBidi"/>
                <w:spacing w:val="-4"/>
                <w:sz w:val="20"/>
                <w:szCs w:val="20"/>
                <w:lang w:val="en-GB"/>
              </w:rPr>
              <w:t xml:space="preserve">). </w:t>
            </w:r>
            <w:r w:rsidR="00003AAE" w:rsidRPr="006E725C">
              <w:rPr>
                <w:rStyle w:val="normaltextrun"/>
                <w:rFonts w:asciiTheme="minorBidi" w:eastAsia="MS Gothic" w:hAnsiTheme="minorBidi" w:cstheme="minorBidi"/>
                <w:spacing w:val="-4"/>
                <w:sz w:val="20"/>
                <w:szCs w:val="20"/>
                <w:lang w:val="en-GB"/>
              </w:rPr>
              <w:t xml:space="preserve">The bottom wage decile increased by </w:t>
            </w:r>
            <w:r w:rsidR="00582A12" w:rsidRPr="006E725C">
              <w:rPr>
                <w:rStyle w:val="normaltextrun"/>
                <w:rFonts w:asciiTheme="minorBidi" w:eastAsia="MS Gothic" w:hAnsiTheme="minorBidi" w:cstheme="minorBidi"/>
                <w:spacing w:val="-4"/>
                <w:sz w:val="20"/>
                <w:szCs w:val="20"/>
                <w:lang w:val="en-GB"/>
              </w:rPr>
              <w:t>5</w:t>
            </w:r>
            <w:r w:rsidR="00003AAE" w:rsidRPr="006E725C">
              <w:rPr>
                <w:rStyle w:val="normaltextrun"/>
                <w:rFonts w:asciiTheme="minorBidi" w:eastAsia="MS Gothic" w:hAnsiTheme="minorBidi" w:cstheme="minorBidi"/>
                <w:spacing w:val="-4"/>
                <w:sz w:val="20"/>
                <w:szCs w:val="20"/>
                <w:lang w:val="en-GB"/>
              </w:rPr>
              <w:t>.</w:t>
            </w:r>
            <w:r w:rsidR="00582A12" w:rsidRPr="006E725C">
              <w:rPr>
                <w:rStyle w:val="normaltextrun"/>
                <w:rFonts w:asciiTheme="minorBidi" w:eastAsia="MS Gothic" w:hAnsiTheme="minorBidi" w:cstheme="minorBidi"/>
                <w:spacing w:val="-4"/>
                <w:sz w:val="20"/>
                <w:szCs w:val="20"/>
                <w:lang w:val="en-GB"/>
              </w:rPr>
              <w:t>5%</w:t>
            </w:r>
            <w:r w:rsidR="00003AAE" w:rsidRPr="006E725C">
              <w:rPr>
                <w:rStyle w:val="normaltextrun"/>
                <w:rFonts w:asciiTheme="minorBidi" w:eastAsia="MS Gothic" w:hAnsiTheme="minorBidi" w:cstheme="minorBidi"/>
                <w:spacing w:val="-4"/>
                <w:sz w:val="20"/>
                <w:szCs w:val="20"/>
                <w:lang w:val="en-GB"/>
              </w:rPr>
              <w:t xml:space="preserve"> year-on-year</w:t>
            </w:r>
            <w:r w:rsidR="00582A12" w:rsidRPr="006E725C">
              <w:rPr>
                <w:rStyle w:val="normaltextrun"/>
                <w:rFonts w:asciiTheme="minorBidi" w:eastAsia="MS Gothic" w:hAnsiTheme="minorBidi" w:cstheme="minorBidi"/>
                <w:spacing w:val="-4"/>
                <w:sz w:val="20"/>
                <w:szCs w:val="20"/>
                <w:lang w:val="en-GB"/>
              </w:rPr>
              <w:t xml:space="preserve">, </w:t>
            </w:r>
            <w:r w:rsidR="00003AAE" w:rsidRPr="006E725C">
              <w:rPr>
                <w:rStyle w:val="normaltextrun"/>
                <w:rFonts w:asciiTheme="minorBidi" w:eastAsia="MS Gothic" w:hAnsiTheme="minorBidi" w:cstheme="minorBidi"/>
                <w:spacing w:val="-4"/>
                <w:sz w:val="20"/>
                <w:szCs w:val="20"/>
                <w:lang w:val="en-GB"/>
              </w:rPr>
              <w:t xml:space="preserve">the top decile by </w:t>
            </w:r>
            <w:r w:rsidR="00582A12" w:rsidRPr="006E725C">
              <w:rPr>
                <w:rStyle w:val="normaltextrun"/>
                <w:rFonts w:asciiTheme="minorBidi" w:eastAsia="MS Gothic" w:hAnsiTheme="minorBidi" w:cstheme="minorBidi"/>
                <w:spacing w:val="-4"/>
                <w:sz w:val="20"/>
                <w:szCs w:val="20"/>
                <w:lang w:val="en-GB"/>
              </w:rPr>
              <w:t>6</w:t>
            </w:r>
            <w:r w:rsidR="00003AAE" w:rsidRPr="006E725C">
              <w:rPr>
                <w:rStyle w:val="normaltextrun"/>
                <w:rFonts w:asciiTheme="minorBidi" w:eastAsia="MS Gothic" w:hAnsiTheme="minorBidi" w:cstheme="minorBidi"/>
                <w:spacing w:val="-4"/>
                <w:sz w:val="20"/>
                <w:szCs w:val="20"/>
                <w:lang w:val="en-GB"/>
              </w:rPr>
              <w:t>.</w:t>
            </w:r>
            <w:r w:rsidR="00582A12" w:rsidRPr="006E725C">
              <w:rPr>
                <w:rStyle w:val="normaltextrun"/>
                <w:rFonts w:asciiTheme="minorBidi" w:eastAsia="MS Gothic" w:hAnsiTheme="minorBidi" w:cstheme="minorBidi"/>
                <w:spacing w:val="-4"/>
                <w:sz w:val="20"/>
                <w:szCs w:val="20"/>
                <w:lang w:val="en-GB"/>
              </w:rPr>
              <w:t>6%.</w:t>
            </w:r>
            <w:r w:rsidR="00003AAE" w:rsidRPr="006E725C">
              <w:rPr>
                <w:rStyle w:val="normaltextrun"/>
                <w:rFonts w:asciiTheme="minorBidi" w:eastAsia="MS Gothic" w:hAnsiTheme="minorBidi" w:cstheme="minorBidi"/>
                <w:spacing w:val="-4"/>
                <w:sz w:val="20"/>
                <w:szCs w:val="20"/>
                <w:lang w:val="en-GB"/>
              </w:rPr>
              <w:t xml:space="preserve"> The wage distribution thus slightly worsened, which was also valid in the previous part of the last year. </w:t>
            </w:r>
          </w:p>
        </w:tc>
      </w:tr>
      <w:tr w:rsidR="00582A12" w:rsidRPr="006E725C" w14:paraId="13F8834B" w14:textId="77777777" w:rsidTr="00BA5125">
        <w:trPr>
          <w:trHeight w:val="132"/>
        </w:trPr>
        <w:tc>
          <w:tcPr>
            <w:tcW w:w="1754" w:type="dxa"/>
            <w:shd w:val="clear" w:color="auto" w:fill="auto"/>
            <w:tcMar>
              <w:left w:w="0" w:type="dxa"/>
            </w:tcMar>
          </w:tcPr>
          <w:p w14:paraId="1D4B0EC1" w14:textId="694D79A8" w:rsidR="00582A12" w:rsidRPr="006E725C" w:rsidRDefault="00391636" w:rsidP="00BA5125">
            <w:pPr>
              <w:pStyle w:val="Marginlie"/>
              <w:rPr>
                <w:color w:val="0D0D0D" w:themeColor="text1" w:themeTint="F2"/>
                <w:spacing w:val="-4"/>
                <w:lang w:val="en-GB"/>
              </w:rPr>
            </w:pPr>
            <w:r w:rsidRPr="006E725C">
              <w:rPr>
                <w:color w:val="0D0D0D" w:themeColor="text1" w:themeTint="F2"/>
                <w:spacing w:val="-4"/>
                <w:lang w:val="en-GB"/>
              </w:rPr>
              <w:t>Wage increased the most in both absolute and relative terms in energetics last year</w:t>
            </w:r>
            <w:r w:rsidR="00582A12" w:rsidRPr="006E725C">
              <w:rPr>
                <w:color w:val="0D0D0D" w:themeColor="text1" w:themeTint="F2"/>
                <w:spacing w:val="-4"/>
                <w:lang w:val="en-GB"/>
              </w:rPr>
              <w:t xml:space="preserve">, </w:t>
            </w:r>
            <w:r w:rsidRPr="006E725C">
              <w:rPr>
                <w:color w:val="0D0D0D" w:themeColor="text1" w:themeTint="F2"/>
                <w:spacing w:val="-4"/>
                <w:lang w:val="en-GB"/>
              </w:rPr>
              <w:t xml:space="preserve">specifically thanks to the </w:t>
            </w:r>
            <w:proofErr w:type="spellStart"/>
            <w:r w:rsidRPr="006E725C">
              <w:rPr>
                <w:color w:val="0D0D0D" w:themeColor="text1" w:themeTint="F2"/>
                <w:spacing w:val="-4"/>
                <w:lang w:val="en-GB"/>
              </w:rPr>
              <w:t>payout</w:t>
            </w:r>
            <w:proofErr w:type="spellEnd"/>
            <w:r w:rsidRPr="006E725C">
              <w:rPr>
                <w:color w:val="0D0D0D" w:themeColor="text1" w:themeTint="F2"/>
                <w:spacing w:val="-4"/>
                <w:lang w:val="en-GB"/>
              </w:rPr>
              <w:t xml:space="preserve"> of extraordinary bonuses at the beginning of the year. </w:t>
            </w:r>
          </w:p>
          <w:p w14:paraId="6381C9BE" w14:textId="77777777" w:rsidR="00582A12" w:rsidRPr="006E725C" w:rsidRDefault="00582A12" w:rsidP="00BA5125">
            <w:pPr>
              <w:pStyle w:val="Marginlie"/>
              <w:rPr>
                <w:color w:val="0D0D0D" w:themeColor="text1" w:themeTint="F2"/>
                <w:spacing w:val="-4"/>
                <w:lang w:val="en-GB"/>
              </w:rPr>
            </w:pPr>
          </w:p>
          <w:p w14:paraId="052570BE" w14:textId="77777777" w:rsidR="00582A12" w:rsidRPr="006E725C" w:rsidRDefault="00582A12" w:rsidP="00BA5125">
            <w:pPr>
              <w:pStyle w:val="Marginlie"/>
              <w:rPr>
                <w:color w:val="0D0D0D" w:themeColor="text1" w:themeTint="F2"/>
                <w:spacing w:val="-4"/>
                <w:lang w:val="en-GB"/>
              </w:rPr>
            </w:pPr>
          </w:p>
          <w:p w14:paraId="0862E006" w14:textId="77777777" w:rsidR="00582A12" w:rsidRPr="006E725C" w:rsidRDefault="00582A12" w:rsidP="00BA5125">
            <w:pPr>
              <w:pStyle w:val="Marginlie"/>
              <w:rPr>
                <w:color w:val="0D0D0D" w:themeColor="text1" w:themeTint="F2"/>
                <w:spacing w:val="-4"/>
                <w:lang w:val="en-GB"/>
              </w:rPr>
            </w:pPr>
          </w:p>
          <w:p w14:paraId="54390618" w14:textId="625DDB65" w:rsidR="00582A12" w:rsidRPr="006E725C" w:rsidRDefault="00C10D44" w:rsidP="00BA5125">
            <w:pPr>
              <w:pStyle w:val="Marginlie"/>
              <w:rPr>
                <w:color w:val="0D0D0D" w:themeColor="text1" w:themeTint="F2"/>
                <w:spacing w:val="-4"/>
                <w:lang w:val="en-GB"/>
              </w:rPr>
            </w:pPr>
            <w:r w:rsidRPr="006E725C">
              <w:rPr>
                <w:color w:val="0D0D0D" w:themeColor="text1" w:themeTint="F2"/>
                <w:spacing w:val="-4"/>
                <w:lang w:val="en-GB"/>
              </w:rPr>
              <w:lastRenderedPageBreak/>
              <w:t xml:space="preserve">Below average growth of wages manifested in trade, construction as well as some manufacturing activities. </w:t>
            </w:r>
          </w:p>
          <w:p w14:paraId="2AAB9E3D" w14:textId="77777777" w:rsidR="00582A12" w:rsidRPr="006E725C" w:rsidRDefault="00582A12" w:rsidP="00BA5125">
            <w:pPr>
              <w:pStyle w:val="Marginlie"/>
              <w:rPr>
                <w:color w:val="0D0D0D" w:themeColor="text1" w:themeTint="F2"/>
                <w:spacing w:val="-4"/>
                <w:lang w:val="en-GB"/>
              </w:rPr>
            </w:pPr>
          </w:p>
          <w:p w14:paraId="14E243A2" w14:textId="77777777" w:rsidR="00582A12" w:rsidRPr="006E725C" w:rsidRDefault="00582A12" w:rsidP="00BA5125">
            <w:pPr>
              <w:pStyle w:val="Marginlie"/>
              <w:rPr>
                <w:color w:val="0D0D0D" w:themeColor="text1" w:themeTint="F2"/>
                <w:spacing w:val="-4"/>
                <w:lang w:val="en-GB"/>
              </w:rPr>
            </w:pPr>
          </w:p>
          <w:p w14:paraId="47495D8A" w14:textId="2DD3A689" w:rsidR="00582A12" w:rsidRPr="006E725C" w:rsidRDefault="00582A12" w:rsidP="00BA5125">
            <w:pPr>
              <w:pStyle w:val="Marginlie"/>
              <w:rPr>
                <w:color w:val="0D0D0D" w:themeColor="text1" w:themeTint="F2"/>
                <w:spacing w:val="-4"/>
                <w:lang w:val="en-GB"/>
              </w:rPr>
            </w:pPr>
            <w:r w:rsidRPr="006E725C">
              <w:rPr>
                <w:color w:val="0D0D0D" w:themeColor="text1" w:themeTint="F2"/>
                <w:spacing w:val="-4"/>
                <w:lang w:val="en-GB"/>
              </w:rPr>
              <w:t>Ve</w:t>
            </w:r>
            <w:r w:rsidR="00C10D44" w:rsidRPr="006E725C">
              <w:rPr>
                <w:color w:val="0D0D0D" w:themeColor="text1" w:themeTint="F2"/>
                <w:spacing w:val="-4"/>
                <w:lang w:val="en-GB"/>
              </w:rPr>
              <w:t xml:space="preserve">ry low wage growth continued in education for the second year in a row. </w:t>
            </w:r>
          </w:p>
        </w:tc>
        <w:tc>
          <w:tcPr>
            <w:tcW w:w="220" w:type="dxa"/>
            <w:shd w:val="clear" w:color="auto" w:fill="auto"/>
            <w:tcMar>
              <w:left w:w="0" w:type="dxa"/>
            </w:tcMar>
          </w:tcPr>
          <w:p w14:paraId="6496601B" w14:textId="77777777" w:rsidR="00582A12" w:rsidRPr="006E725C" w:rsidRDefault="00582A12" w:rsidP="00BA5125">
            <w:pPr>
              <w:pStyle w:val="Textpoznpodarou"/>
              <w:jc w:val="both"/>
              <w:rPr>
                <w:color w:val="0D0D0D" w:themeColor="text1" w:themeTint="F2"/>
                <w:spacing w:val="-4"/>
                <w:lang w:val="en-GB"/>
              </w:rPr>
            </w:pPr>
          </w:p>
        </w:tc>
        <w:tc>
          <w:tcPr>
            <w:tcW w:w="7700" w:type="dxa"/>
            <w:shd w:val="clear" w:color="auto" w:fill="auto"/>
            <w:tcMar>
              <w:left w:w="0" w:type="dxa"/>
            </w:tcMar>
          </w:tcPr>
          <w:p w14:paraId="77F1D801" w14:textId="535C11E7" w:rsidR="00582A12" w:rsidRPr="006E725C" w:rsidRDefault="009F5F03" w:rsidP="00564FA3">
            <w:pPr>
              <w:pStyle w:val="paragraph"/>
              <w:spacing w:before="0" w:beforeAutospacing="0" w:after="200" w:afterAutospacing="0" w:line="276" w:lineRule="auto"/>
              <w:jc w:val="both"/>
              <w:textAlignment w:val="baseline"/>
              <w:rPr>
                <w:rFonts w:ascii="Arial" w:eastAsia="MS Gothic" w:hAnsi="Arial"/>
                <w:spacing w:val="-5"/>
                <w:sz w:val="20"/>
                <w:szCs w:val="20"/>
                <w:lang w:val="en-GB"/>
              </w:rPr>
            </w:pPr>
            <w:r w:rsidRPr="006E725C">
              <w:rPr>
                <w:rFonts w:ascii="Arial" w:eastAsia="MS Gothic" w:hAnsi="Arial"/>
                <w:spacing w:val="-2"/>
                <w:sz w:val="20"/>
                <w:szCs w:val="20"/>
                <w:lang w:val="en-GB"/>
              </w:rPr>
              <w:t>The average monthly wage reached</w:t>
            </w:r>
            <w:r w:rsidR="00391636" w:rsidRPr="006E725C">
              <w:rPr>
                <w:rFonts w:ascii="Arial" w:eastAsia="MS Gothic" w:hAnsi="Arial"/>
                <w:spacing w:val="-2"/>
                <w:sz w:val="20"/>
                <w:szCs w:val="20"/>
                <w:lang w:val="en-GB"/>
              </w:rPr>
              <w:t xml:space="preserve"> 4</w:t>
            </w:r>
            <w:r w:rsidR="00582A12" w:rsidRPr="006E725C">
              <w:rPr>
                <w:rFonts w:ascii="Arial" w:eastAsia="MS Gothic" w:hAnsi="Arial"/>
                <w:spacing w:val="-2"/>
                <w:sz w:val="20"/>
                <w:szCs w:val="20"/>
                <w:lang w:val="en-GB"/>
              </w:rPr>
              <w:t>3</w:t>
            </w:r>
            <w:r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3</w:t>
            </w:r>
            <w:r w:rsidR="00564FA3">
              <w:rPr>
                <w:rFonts w:ascii="Arial" w:eastAsia="MS Gothic" w:hAnsi="Arial"/>
                <w:spacing w:val="-2"/>
                <w:sz w:val="20"/>
                <w:szCs w:val="20"/>
                <w:lang w:val="en-GB"/>
              </w:rPr>
              <w:t xml:space="preserve"> thousand</w:t>
            </w:r>
            <w:r w:rsidRPr="006E725C">
              <w:rPr>
                <w:rFonts w:ascii="Arial" w:eastAsia="MS Gothic" w:hAnsi="Arial"/>
                <w:spacing w:val="-2"/>
                <w:sz w:val="20"/>
                <w:szCs w:val="20"/>
                <w:lang w:val="en-GB"/>
              </w:rPr>
              <w:t xml:space="preserve"> CZK for the whole year 2023</w:t>
            </w:r>
            <w:r w:rsidR="00582A12" w:rsidRPr="006E725C">
              <w:rPr>
                <w:rFonts w:ascii="Arial" w:eastAsia="MS Gothic" w:hAnsi="Arial"/>
                <w:spacing w:val="-2"/>
                <w:sz w:val="20"/>
                <w:szCs w:val="20"/>
                <w:lang w:val="en-GB"/>
              </w:rPr>
              <w:t>.</w:t>
            </w:r>
            <w:r w:rsidRPr="006E725C">
              <w:rPr>
                <w:rFonts w:ascii="Arial" w:eastAsia="MS Gothic" w:hAnsi="Arial"/>
                <w:spacing w:val="-2"/>
                <w:sz w:val="20"/>
                <w:szCs w:val="20"/>
                <w:lang w:val="en-GB"/>
              </w:rPr>
              <w:t xml:space="preserve"> Even </w:t>
            </w:r>
            <w:r w:rsidR="00391636" w:rsidRPr="006E725C">
              <w:rPr>
                <w:rFonts w:ascii="Arial" w:eastAsia="MS Gothic" w:hAnsi="Arial"/>
                <w:spacing w:val="-2"/>
                <w:sz w:val="20"/>
                <w:szCs w:val="20"/>
                <w:lang w:val="en-GB"/>
              </w:rPr>
              <w:t>though</w:t>
            </w:r>
            <w:r w:rsidRPr="006E725C">
              <w:rPr>
                <w:rFonts w:ascii="Arial" w:eastAsia="MS Gothic" w:hAnsi="Arial"/>
                <w:spacing w:val="-2"/>
                <w:sz w:val="20"/>
                <w:szCs w:val="20"/>
                <w:lang w:val="en-GB"/>
              </w:rPr>
              <w:t xml:space="preserve"> its year-on-year growth was the highest in the last four years </w:t>
            </w:r>
            <w:r w:rsidR="00582A12" w:rsidRPr="006E725C">
              <w:rPr>
                <w:rFonts w:ascii="Arial" w:eastAsia="MS Gothic" w:hAnsi="Arial"/>
                <w:spacing w:val="-2"/>
                <w:sz w:val="20"/>
                <w:szCs w:val="20"/>
                <w:lang w:val="en-GB"/>
              </w:rPr>
              <w:t>(+7</w:t>
            </w:r>
            <w:r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5%),</w:t>
            </w:r>
            <w:r w:rsidRPr="006E725C">
              <w:rPr>
                <w:rFonts w:ascii="Arial" w:eastAsia="MS Gothic" w:hAnsi="Arial"/>
                <w:spacing w:val="-2"/>
                <w:sz w:val="20"/>
                <w:szCs w:val="20"/>
                <w:lang w:val="en-GB"/>
              </w:rPr>
              <w:t xml:space="preserve"> in real terms the employees earned less by </w:t>
            </w:r>
            <w:r w:rsidR="00582A12" w:rsidRPr="006E725C">
              <w:rPr>
                <w:rFonts w:ascii="Arial" w:eastAsia="MS Gothic" w:hAnsi="Arial"/>
                <w:spacing w:val="-2"/>
                <w:sz w:val="20"/>
                <w:szCs w:val="20"/>
                <w:lang w:val="en-GB"/>
              </w:rPr>
              <w:t>2</w:t>
            </w:r>
            <w:r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 xml:space="preserve">9%. </w:t>
            </w:r>
            <w:r w:rsidR="00391636" w:rsidRPr="006E725C">
              <w:rPr>
                <w:rFonts w:ascii="Arial" w:eastAsia="MS Gothic" w:hAnsi="Arial"/>
                <w:spacing w:val="-2"/>
                <w:sz w:val="20"/>
                <w:szCs w:val="20"/>
                <w:lang w:val="en-GB"/>
              </w:rPr>
              <w:t xml:space="preserve">Wage growth </w:t>
            </w:r>
            <w:r w:rsidR="00B82C5E" w:rsidRPr="006E725C">
              <w:rPr>
                <w:rFonts w:ascii="Arial" w:eastAsia="MS Gothic" w:hAnsi="Arial"/>
                <w:spacing w:val="-2"/>
                <w:sz w:val="20"/>
                <w:szCs w:val="20"/>
                <w:lang w:val="en-GB"/>
              </w:rPr>
              <w:t>managed</w:t>
            </w:r>
            <w:r w:rsidR="00391636" w:rsidRPr="006E725C">
              <w:rPr>
                <w:rFonts w:ascii="Arial" w:eastAsia="MS Gothic" w:hAnsi="Arial"/>
                <w:spacing w:val="-2"/>
                <w:sz w:val="20"/>
                <w:szCs w:val="20"/>
                <w:lang w:val="en-GB"/>
              </w:rPr>
              <w:t xml:space="preserve"> to</w:t>
            </w:r>
            <w:r w:rsidR="006428D3" w:rsidRPr="006E725C">
              <w:rPr>
                <w:rFonts w:ascii="Arial" w:eastAsia="MS Gothic" w:hAnsi="Arial"/>
                <w:spacing w:val="-2"/>
                <w:sz w:val="20"/>
                <w:szCs w:val="20"/>
                <w:lang w:val="en-GB"/>
              </w:rPr>
              <w:t xml:space="preserve"> “</w:t>
            </w:r>
            <w:r w:rsidR="00391636" w:rsidRPr="006E725C">
              <w:rPr>
                <w:rFonts w:ascii="Arial" w:eastAsia="MS Gothic" w:hAnsi="Arial"/>
                <w:spacing w:val="-2"/>
                <w:sz w:val="20"/>
                <w:szCs w:val="20"/>
                <w:lang w:val="en-GB"/>
              </w:rPr>
              <w:t>defeat</w:t>
            </w:r>
            <w:r w:rsidR="00B82C5E">
              <w:rPr>
                <w:rFonts w:ascii="Arial" w:eastAsia="MS Gothic" w:hAnsi="Arial"/>
                <w:spacing w:val="-2"/>
                <w:sz w:val="20"/>
                <w:szCs w:val="20"/>
                <w:lang w:val="en-GB"/>
              </w:rPr>
              <w:t>”</w:t>
            </w:r>
            <w:r w:rsidR="00391636" w:rsidRPr="006E725C">
              <w:rPr>
                <w:rFonts w:ascii="Arial" w:eastAsia="MS Gothic" w:hAnsi="Arial"/>
                <w:spacing w:val="-2"/>
                <w:sz w:val="20"/>
                <w:szCs w:val="20"/>
                <w:lang w:val="en-GB"/>
              </w:rPr>
              <w:t xml:space="preserve"> inflation only in small and highly specialised branch of energetics</w:t>
            </w:r>
            <w:r w:rsidR="00582A12" w:rsidRPr="006E725C">
              <w:rPr>
                <w:rStyle w:val="Znakapoznpodarou"/>
                <w:rFonts w:ascii="Arial" w:hAnsi="Arial" w:cs="Arial"/>
                <w:color w:val="0D0D0D" w:themeColor="text1" w:themeTint="F2"/>
                <w:spacing w:val="-2"/>
                <w:sz w:val="20"/>
                <w:szCs w:val="20"/>
                <w:lang w:val="en-GB"/>
              </w:rPr>
              <w:footnoteReference w:id="89"/>
            </w:r>
            <w:r w:rsidR="00582A12" w:rsidRPr="006E725C">
              <w:rPr>
                <w:rFonts w:ascii="Arial" w:eastAsia="MS Gothic" w:hAnsi="Arial"/>
                <w:spacing w:val="-2"/>
                <w:sz w:val="20"/>
                <w:szCs w:val="20"/>
                <w:lang w:val="en-GB"/>
              </w:rPr>
              <w:t xml:space="preserve"> (</w:t>
            </w:r>
            <w:r w:rsidR="00391636" w:rsidRPr="006E725C">
              <w:rPr>
                <w:rFonts w:ascii="Arial" w:eastAsia="MS Gothic" w:hAnsi="Arial"/>
                <w:spacing w:val="-2"/>
                <w:sz w:val="20"/>
                <w:szCs w:val="20"/>
                <w:lang w:val="en-GB"/>
              </w:rPr>
              <w:t xml:space="preserve">nominally it was </w:t>
            </w:r>
            <w:r w:rsidR="00582A12" w:rsidRPr="006E725C">
              <w:rPr>
                <w:rFonts w:ascii="Arial" w:eastAsia="MS Gothic" w:hAnsi="Arial"/>
                <w:spacing w:val="-2"/>
                <w:sz w:val="20"/>
                <w:szCs w:val="20"/>
                <w:lang w:val="en-GB"/>
              </w:rPr>
              <w:t>14</w:t>
            </w:r>
            <w:r w:rsidR="00391636"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1%</w:t>
            </w:r>
            <w:r w:rsidR="00582A12" w:rsidRPr="006E725C">
              <w:rPr>
                <w:rStyle w:val="Znakapoznpodarou"/>
                <w:rFonts w:ascii="Arial" w:hAnsi="Arial" w:cs="Arial"/>
                <w:spacing w:val="-2"/>
                <w:sz w:val="20"/>
                <w:szCs w:val="20"/>
                <w:lang w:val="en-GB"/>
              </w:rPr>
              <w:footnoteReference w:id="90"/>
            </w:r>
            <w:r w:rsidR="00582A12" w:rsidRPr="006E725C">
              <w:rPr>
                <w:rFonts w:ascii="Arial" w:eastAsia="MS Gothic" w:hAnsi="Arial" w:cs="Arial"/>
                <w:spacing w:val="-2"/>
                <w:sz w:val="20"/>
                <w:szCs w:val="20"/>
                <w:lang w:val="en-GB"/>
              </w:rPr>
              <w:t>).</w:t>
            </w:r>
            <w:r w:rsidR="00582A12" w:rsidRPr="006E725C">
              <w:rPr>
                <w:rFonts w:ascii="Arial" w:eastAsia="MS Gothic" w:hAnsi="Arial"/>
                <w:spacing w:val="-2"/>
                <w:sz w:val="20"/>
                <w:szCs w:val="20"/>
                <w:lang w:val="en-GB"/>
              </w:rPr>
              <w:t xml:space="preserve"> </w:t>
            </w:r>
            <w:r w:rsidR="00DF5912" w:rsidRPr="006E725C">
              <w:rPr>
                <w:rFonts w:ascii="Arial" w:eastAsia="MS Gothic" w:hAnsi="Arial"/>
                <w:spacing w:val="-2"/>
                <w:sz w:val="20"/>
                <w:szCs w:val="20"/>
                <w:lang w:val="en-GB"/>
              </w:rPr>
              <w:t xml:space="preserve">The attained size of wages at the same time exceeded the level of the whole economy by </w:t>
            </w:r>
            <w:r w:rsidR="00582A12" w:rsidRPr="006E725C">
              <w:rPr>
                <w:rFonts w:ascii="Arial" w:eastAsia="MS Gothic" w:hAnsi="Arial"/>
                <w:spacing w:val="-2"/>
                <w:sz w:val="20"/>
                <w:szCs w:val="20"/>
                <w:lang w:val="en-GB"/>
              </w:rPr>
              <w:t>57%</w:t>
            </w:r>
            <w:r w:rsidR="00DF5912" w:rsidRPr="006E725C">
              <w:rPr>
                <w:rFonts w:ascii="Arial" w:eastAsia="MS Gothic" w:hAnsi="Arial"/>
                <w:spacing w:val="-2"/>
                <w:sz w:val="20"/>
                <w:szCs w:val="20"/>
                <w:lang w:val="en-GB"/>
              </w:rPr>
              <w:t xml:space="preserve"> here</w:t>
            </w:r>
            <w:r w:rsidR="00582A12" w:rsidRPr="006E725C">
              <w:rPr>
                <w:rFonts w:ascii="Arial" w:eastAsia="MS Gothic" w:hAnsi="Arial"/>
                <w:spacing w:val="-2"/>
                <w:sz w:val="20"/>
                <w:szCs w:val="20"/>
                <w:lang w:val="en-GB"/>
              </w:rPr>
              <w:t xml:space="preserve">. </w:t>
            </w:r>
            <w:r w:rsidR="00DF5912" w:rsidRPr="006E725C">
              <w:rPr>
                <w:rFonts w:ascii="Arial" w:eastAsia="MS Gothic" w:hAnsi="Arial"/>
                <w:spacing w:val="-2"/>
                <w:sz w:val="20"/>
                <w:szCs w:val="20"/>
                <w:lang w:val="en-GB"/>
              </w:rPr>
              <w:t xml:space="preserve">Wages grew slightly above </w:t>
            </w:r>
            <w:r w:rsidR="00582A12" w:rsidRPr="006E725C">
              <w:rPr>
                <w:rFonts w:ascii="Arial" w:eastAsia="MS Gothic" w:hAnsi="Arial"/>
                <w:spacing w:val="-2"/>
                <w:sz w:val="20"/>
                <w:szCs w:val="20"/>
                <w:lang w:val="en-GB"/>
              </w:rPr>
              <w:t>10%</w:t>
            </w:r>
            <w:r w:rsidR="00DF5912" w:rsidRPr="006E725C">
              <w:rPr>
                <w:rFonts w:ascii="Arial" w:eastAsia="MS Gothic" w:hAnsi="Arial"/>
                <w:spacing w:val="-2"/>
                <w:sz w:val="20"/>
                <w:szCs w:val="20"/>
                <w:lang w:val="en-GB"/>
              </w:rPr>
              <w:t xml:space="preserve"> in the motor vehicle and electrical engineering industry, only slightly less in mining and quarrying and in accommodation, food service and restaurants. Earnings gained more than </w:t>
            </w:r>
            <w:r w:rsidR="00582A12" w:rsidRPr="006E725C">
              <w:rPr>
                <w:rFonts w:ascii="Arial" w:eastAsia="MS Gothic" w:hAnsi="Arial"/>
                <w:spacing w:val="-2"/>
                <w:sz w:val="20"/>
                <w:szCs w:val="20"/>
                <w:lang w:val="en-GB"/>
              </w:rPr>
              <w:t xml:space="preserve">8% </w:t>
            </w:r>
            <w:r w:rsidR="00DF5912" w:rsidRPr="006E725C">
              <w:rPr>
                <w:rFonts w:ascii="Arial" w:eastAsia="MS Gothic" w:hAnsi="Arial"/>
                <w:spacing w:val="-2"/>
                <w:sz w:val="20"/>
                <w:szCs w:val="20"/>
                <w:lang w:val="en-GB"/>
              </w:rPr>
              <w:t xml:space="preserve">growth in transport and warehousing, </w:t>
            </w:r>
            <w:r w:rsidR="00C10D44" w:rsidRPr="006E725C">
              <w:rPr>
                <w:rFonts w:ascii="Arial" w:eastAsia="MS Gothic" w:hAnsi="Arial"/>
                <w:spacing w:val="-2"/>
                <w:sz w:val="20"/>
                <w:szCs w:val="20"/>
                <w:lang w:val="en-GB"/>
              </w:rPr>
              <w:t xml:space="preserve">in </w:t>
            </w:r>
            <w:r w:rsidR="00DF5912" w:rsidRPr="006E725C">
              <w:rPr>
                <w:rFonts w:ascii="Arial" w:eastAsia="MS Gothic" w:hAnsi="Arial"/>
                <w:spacing w:val="-2"/>
                <w:sz w:val="20"/>
                <w:szCs w:val="20"/>
                <w:lang w:val="en-GB"/>
              </w:rPr>
              <w:t xml:space="preserve">the real estate area and also in information and communication </w:t>
            </w:r>
            <w:r w:rsidR="00582A12" w:rsidRPr="006E725C">
              <w:rPr>
                <w:rFonts w:ascii="Arial" w:eastAsia="MS Gothic" w:hAnsi="Arial"/>
                <w:spacing w:val="-2"/>
                <w:sz w:val="20"/>
                <w:szCs w:val="20"/>
                <w:lang w:val="en-GB"/>
              </w:rPr>
              <w:t xml:space="preserve">– </w:t>
            </w:r>
            <w:r w:rsidR="00C10D44" w:rsidRPr="006E725C">
              <w:rPr>
                <w:rFonts w:ascii="Arial" w:eastAsia="MS Gothic" w:hAnsi="Arial"/>
                <w:spacing w:val="-2"/>
                <w:sz w:val="20"/>
                <w:szCs w:val="20"/>
                <w:lang w:val="en-GB"/>
              </w:rPr>
              <w:t xml:space="preserve">these then confirmed </w:t>
            </w:r>
            <w:r w:rsidR="00C10D44" w:rsidRPr="006E725C">
              <w:rPr>
                <w:rFonts w:ascii="Arial" w:eastAsia="MS Gothic" w:hAnsi="Arial"/>
                <w:spacing w:val="-2"/>
                <w:sz w:val="20"/>
                <w:szCs w:val="20"/>
                <w:lang w:val="en-GB"/>
              </w:rPr>
              <w:lastRenderedPageBreak/>
              <w:t xml:space="preserve">their usual position in the last years of branch with the highest level of wages </w:t>
            </w:r>
            <w:r w:rsidR="00582A12" w:rsidRPr="006E725C">
              <w:rPr>
                <w:rFonts w:ascii="Arial" w:eastAsia="MS Gothic" w:hAnsi="Arial"/>
                <w:spacing w:val="-2"/>
                <w:sz w:val="20"/>
                <w:szCs w:val="20"/>
                <w:lang w:val="en-GB"/>
              </w:rPr>
              <w:t>(77</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9</w:t>
            </w:r>
            <w:r w:rsidR="00C10D44" w:rsidRPr="006E725C">
              <w:rPr>
                <w:rFonts w:ascii="Arial" w:eastAsia="MS Gothic" w:hAnsi="Arial"/>
                <w:spacing w:val="-2"/>
                <w:sz w:val="20"/>
                <w:szCs w:val="20"/>
                <w:lang w:val="en-GB"/>
              </w:rPr>
              <w:t xml:space="preserve"> </w:t>
            </w:r>
            <w:r w:rsidR="00564FA3">
              <w:rPr>
                <w:rFonts w:ascii="Arial" w:eastAsia="MS Gothic" w:hAnsi="Arial"/>
                <w:spacing w:val="-2"/>
                <w:sz w:val="20"/>
                <w:szCs w:val="20"/>
                <w:lang w:val="en-GB"/>
              </w:rPr>
              <w:t xml:space="preserve">thousand </w:t>
            </w:r>
            <w:r w:rsidR="00C10D44" w:rsidRPr="006E725C">
              <w:rPr>
                <w:rFonts w:ascii="Arial" w:eastAsia="MS Gothic" w:hAnsi="Arial"/>
                <w:spacing w:val="-2"/>
                <w:sz w:val="20"/>
                <w:szCs w:val="20"/>
                <w:lang w:val="en-GB"/>
              </w:rPr>
              <w:t>CZK</w:t>
            </w:r>
            <w:r w:rsidR="00582A12" w:rsidRPr="006E725C">
              <w:rPr>
                <w:rFonts w:ascii="Arial" w:eastAsia="MS Gothic" w:hAnsi="Arial"/>
                <w:spacing w:val="-2"/>
                <w:sz w:val="20"/>
                <w:szCs w:val="20"/>
                <w:lang w:val="en-GB"/>
              </w:rPr>
              <w:t>).</w:t>
            </w:r>
            <w:r w:rsidR="00C10D44" w:rsidRPr="006E725C">
              <w:rPr>
                <w:rFonts w:ascii="Arial" w:eastAsia="MS Gothic" w:hAnsi="Arial"/>
                <w:spacing w:val="-2"/>
                <w:sz w:val="20"/>
                <w:szCs w:val="20"/>
                <w:lang w:val="en-GB"/>
              </w:rPr>
              <w:t xml:space="preserve"> Construction </w:t>
            </w:r>
            <w:r w:rsidR="00582A12" w:rsidRPr="006E725C">
              <w:rPr>
                <w:rFonts w:ascii="Arial" w:eastAsia="MS Gothic" w:hAnsi="Arial"/>
                <w:spacing w:val="-2"/>
                <w:sz w:val="20"/>
                <w:szCs w:val="20"/>
                <w:lang w:val="en-GB"/>
              </w:rPr>
              <w:t>(+6</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7%),</w:t>
            </w:r>
            <w:r w:rsidR="00C10D44" w:rsidRPr="006E725C">
              <w:rPr>
                <w:rFonts w:ascii="Arial" w:eastAsia="MS Gothic" w:hAnsi="Arial"/>
                <w:spacing w:val="-2"/>
                <w:sz w:val="20"/>
                <w:szCs w:val="20"/>
                <w:lang w:val="en-GB"/>
              </w:rPr>
              <w:t xml:space="preserve"> some energy-intensive manufacturing activities </w:t>
            </w:r>
            <w:r w:rsidR="00582A12" w:rsidRPr="006E725C">
              <w:rPr>
                <w:rFonts w:ascii="Arial" w:eastAsia="MS Gothic" w:hAnsi="Arial"/>
                <w:spacing w:val="-2"/>
                <w:sz w:val="20"/>
                <w:szCs w:val="20"/>
                <w:lang w:val="en-GB"/>
              </w:rPr>
              <w:t xml:space="preserve">– </w:t>
            </w:r>
            <w:r w:rsidR="00C10D44" w:rsidRPr="006E725C">
              <w:rPr>
                <w:rFonts w:ascii="Arial" w:eastAsia="MS Gothic" w:hAnsi="Arial"/>
                <w:spacing w:val="-2"/>
                <w:sz w:val="20"/>
                <w:szCs w:val="20"/>
                <w:lang w:val="en-GB"/>
              </w:rPr>
              <w:t xml:space="preserve">e.g. manufacturing of building materials </w:t>
            </w:r>
            <w:r w:rsidR="00582A12" w:rsidRPr="006E725C">
              <w:rPr>
                <w:rFonts w:ascii="Arial" w:eastAsia="MS Gothic" w:hAnsi="Arial"/>
                <w:spacing w:val="-2"/>
                <w:sz w:val="20"/>
                <w:szCs w:val="20"/>
                <w:lang w:val="en-GB"/>
              </w:rPr>
              <w:t>(+6</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 xml:space="preserve">1%), </w:t>
            </w:r>
            <w:r w:rsidR="00C10D44" w:rsidRPr="006E725C">
              <w:rPr>
                <w:rFonts w:ascii="Arial" w:eastAsia="MS Gothic" w:hAnsi="Arial"/>
                <w:spacing w:val="-2"/>
                <w:sz w:val="20"/>
                <w:szCs w:val="20"/>
                <w:lang w:val="en-GB"/>
              </w:rPr>
              <w:t xml:space="preserve">further trade </w:t>
            </w:r>
            <w:r w:rsidR="00582A12" w:rsidRPr="006E725C">
              <w:rPr>
                <w:rFonts w:ascii="Arial" w:eastAsia="MS Gothic" w:hAnsi="Arial"/>
                <w:spacing w:val="-2"/>
                <w:sz w:val="20"/>
                <w:szCs w:val="20"/>
                <w:lang w:val="en-GB"/>
              </w:rPr>
              <w:t>(+7</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4%),</w:t>
            </w:r>
            <w:r w:rsidR="00C10D44" w:rsidRPr="006E725C">
              <w:rPr>
                <w:rFonts w:ascii="Arial" w:eastAsia="MS Gothic" w:hAnsi="Arial"/>
                <w:spacing w:val="-2"/>
                <w:sz w:val="20"/>
                <w:szCs w:val="20"/>
                <w:lang w:val="en-GB"/>
              </w:rPr>
              <w:t xml:space="preserve"> but also financial activities </w:t>
            </w:r>
            <w:r w:rsidR="00582A12" w:rsidRPr="006E725C">
              <w:rPr>
                <w:rFonts w:ascii="Arial" w:eastAsia="MS Gothic" w:hAnsi="Arial"/>
                <w:spacing w:val="-2"/>
                <w:sz w:val="20"/>
                <w:szCs w:val="20"/>
                <w:lang w:val="en-GB"/>
              </w:rPr>
              <w:t>(+6</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5%)</w:t>
            </w:r>
            <w:r w:rsidR="00C10D44" w:rsidRPr="006E725C">
              <w:rPr>
                <w:rFonts w:ascii="Arial" w:eastAsia="MS Gothic" w:hAnsi="Arial"/>
                <w:spacing w:val="-2"/>
                <w:sz w:val="20"/>
                <w:szCs w:val="20"/>
                <w:lang w:val="en-GB"/>
              </w:rPr>
              <w:t xml:space="preserve"> recorded slightly below average wage growth</w:t>
            </w:r>
            <w:r w:rsidR="00582A12" w:rsidRPr="006E725C">
              <w:rPr>
                <w:rFonts w:ascii="Arial" w:eastAsia="MS Gothic" w:hAnsi="Arial"/>
                <w:spacing w:val="-2"/>
                <w:sz w:val="20"/>
                <w:szCs w:val="20"/>
                <w:lang w:val="en-GB"/>
              </w:rPr>
              <w:t>.</w:t>
            </w:r>
            <w:r w:rsidR="00C10D44" w:rsidRPr="006E725C">
              <w:rPr>
                <w:rFonts w:ascii="Arial" w:eastAsia="MS Gothic" w:hAnsi="Arial"/>
                <w:spacing w:val="-2"/>
                <w:sz w:val="20"/>
                <w:szCs w:val="20"/>
                <w:lang w:val="en-GB"/>
              </w:rPr>
              <w:t xml:space="preserve"> Among branches with significant state participation</w:t>
            </w:r>
            <w:r w:rsidR="00582A12" w:rsidRPr="006E725C">
              <w:rPr>
                <w:rStyle w:val="Znakapoznpodarou"/>
                <w:rFonts w:ascii="Arial" w:hAnsi="Arial" w:cs="Arial"/>
                <w:color w:val="0D0D0D" w:themeColor="text1" w:themeTint="F2"/>
                <w:spacing w:val="-2"/>
                <w:sz w:val="20"/>
                <w:szCs w:val="20"/>
                <w:lang w:val="en-GB"/>
              </w:rPr>
              <w:footnoteReference w:id="91"/>
            </w:r>
            <w:r w:rsidR="00582A12" w:rsidRPr="006E725C">
              <w:rPr>
                <w:rFonts w:ascii="Arial" w:eastAsia="MS Gothic" w:hAnsi="Arial"/>
                <w:spacing w:val="-2"/>
                <w:sz w:val="20"/>
                <w:szCs w:val="20"/>
                <w:lang w:val="en-GB"/>
              </w:rPr>
              <w:t xml:space="preserve"> </w:t>
            </w:r>
            <w:r w:rsidR="00C10D44" w:rsidRPr="006E725C">
              <w:rPr>
                <w:rFonts w:ascii="Arial" w:eastAsia="MS Gothic" w:hAnsi="Arial"/>
                <w:spacing w:val="-2"/>
                <w:sz w:val="20"/>
                <w:szCs w:val="20"/>
                <w:lang w:val="en-GB"/>
              </w:rPr>
              <w:t xml:space="preserve">earnings grew the most in the public administration and defence </w:t>
            </w:r>
            <w:r w:rsidR="00582A12" w:rsidRPr="006E725C">
              <w:rPr>
                <w:rFonts w:ascii="Arial" w:eastAsia="MS Gothic" w:hAnsi="Arial"/>
                <w:spacing w:val="-2"/>
                <w:sz w:val="20"/>
                <w:szCs w:val="20"/>
                <w:lang w:val="en-GB"/>
              </w:rPr>
              <w:t>(+7</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 xml:space="preserve">5%), </w:t>
            </w:r>
            <w:r w:rsidR="00C10D44" w:rsidRPr="006E725C">
              <w:rPr>
                <w:rFonts w:ascii="Arial" w:eastAsia="MS Gothic" w:hAnsi="Arial"/>
                <w:spacing w:val="-2"/>
                <w:sz w:val="20"/>
                <w:szCs w:val="20"/>
                <w:lang w:val="en-GB"/>
              </w:rPr>
              <w:t xml:space="preserve">the least in education </w:t>
            </w:r>
            <w:r w:rsidR="00582A12" w:rsidRPr="006E725C">
              <w:rPr>
                <w:rFonts w:ascii="Arial" w:eastAsia="MS Gothic" w:hAnsi="Arial"/>
                <w:spacing w:val="-2"/>
                <w:sz w:val="20"/>
                <w:szCs w:val="20"/>
                <w:lang w:val="en-GB"/>
              </w:rPr>
              <w:t>(+4</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 xml:space="preserve">3%, </w:t>
            </w:r>
            <w:r w:rsidR="00C10D44" w:rsidRPr="006E725C">
              <w:rPr>
                <w:rFonts w:ascii="Arial" w:eastAsia="MS Gothic" w:hAnsi="Arial"/>
                <w:spacing w:val="-2"/>
                <w:sz w:val="20"/>
                <w:szCs w:val="20"/>
                <w:lang w:val="en-GB"/>
              </w:rPr>
              <w:t xml:space="preserve">while they practically stagnated here in year </w:t>
            </w:r>
            <w:r w:rsidR="00582A12" w:rsidRPr="006E725C">
              <w:rPr>
                <w:rFonts w:ascii="Arial" w:eastAsia="MS Gothic" w:hAnsi="Arial"/>
                <w:spacing w:val="-2"/>
                <w:sz w:val="20"/>
                <w:szCs w:val="20"/>
                <w:lang w:val="en-GB"/>
              </w:rPr>
              <w:t>2022).</w:t>
            </w:r>
            <w:r w:rsidR="00C10D44" w:rsidRPr="006E725C">
              <w:rPr>
                <w:rFonts w:ascii="Arial" w:eastAsia="MS Gothic" w:hAnsi="Arial"/>
                <w:spacing w:val="-2"/>
                <w:sz w:val="20"/>
                <w:szCs w:val="20"/>
                <w:lang w:val="en-GB"/>
              </w:rPr>
              <w:t xml:space="preserve"> The size of wages thus in this branch </w:t>
            </w:r>
            <w:r w:rsidR="00582A12" w:rsidRPr="006E725C">
              <w:rPr>
                <w:rFonts w:ascii="Arial" w:eastAsia="MS Gothic" w:hAnsi="Arial"/>
                <w:spacing w:val="-2"/>
                <w:sz w:val="20"/>
                <w:szCs w:val="20"/>
                <w:lang w:val="en-GB"/>
              </w:rPr>
              <w:t>(43</w:t>
            </w:r>
            <w:r w:rsidR="00C10D44"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2</w:t>
            </w:r>
            <w:r w:rsidR="00C10D44" w:rsidRPr="006E725C">
              <w:rPr>
                <w:rFonts w:ascii="Arial" w:eastAsia="MS Gothic" w:hAnsi="Arial"/>
                <w:spacing w:val="-2"/>
                <w:sz w:val="20"/>
                <w:szCs w:val="20"/>
                <w:lang w:val="en-GB"/>
              </w:rPr>
              <w:t xml:space="preserve"> </w:t>
            </w:r>
            <w:r w:rsidR="00564FA3">
              <w:rPr>
                <w:rFonts w:ascii="Arial" w:eastAsia="MS Gothic" w:hAnsi="Arial"/>
                <w:spacing w:val="-2"/>
                <w:sz w:val="20"/>
                <w:szCs w:val="20"/>
                <w:lang w:val="en-GB"/>
              </w:rPr>
              <w:t xml:space="preserve">thousand </w:t>
            </w:r>
            <w:r w:rsidR="00C10D44" w:rsidRPr="006E725C">
              <w:rPr>
                <w:rFonts w:ascii="Arial" w:eastAsia="MS Gothic" w:hAnsi="Arial"/>
                <w:spacing w:val="-2"/>
                <w:sz w:val="20"/>
                <w:szCs w:val="20"/>
                <w:lang w:val="en-GB"/>
              </w:rPr>
              <w:t>CZK</w:t>
            </w:r>
            <w:r w:rsidR="00582A12" w:rsidRPr="006E725C">
              <w:rPr>
                <w:rFonts w:ascii="Arial" w:eastAsia="MS Gothic" w:hAnsi="Arial"/>
                <w:spacing w:val="-2"/>
                <w:sz w:val="20"/>
                <w:szCs w:val="20"/>
                <w:lang w:val="en-GB"/>
              </w:rPr>
              <w:t>)</w:t>
            </w:r>
            <w:r w:rsidR="00582A12" w:rsidRPr="006E725C">
              <w:rPr>
                <w:rStyle w:val="Znakapoznpodarou"/>
                <w:rFonts w:ascii="Arial" w:eastAsia="MS Gothic" w:hAnsi="Arial"/>
                <w:spacing w:val="-2"/>
                <w:sz w:val="20"/>
                <w:szCs w:val="20"/>
                <w:lang w:val="en-GB"/>
              </w:rPr>
              <w:footnoteReference w:id="92"/>
            </w:r>
            <w:r w:rsidR="00582A12" w:rsidRPr="006E725C">
              <w:rPr>
                <w:rFonts w:ascii="Arial" w:eastAsia="MS Gothic" w:hAnsi="Arial"/>
                <w:spacing w:val="-2"/>
                <w:sz w:val="20"/>
                <w:szCs w:val="20"/>
                <w:lang w:val="en-GB"/>
              </w:rPr>
              <w:t xml:space="preserve"> </w:t>
            </w:r>
            <w:r w:rsidR="00E64CDB" w:rsidRPr="006E725C">
              <w:rPr>
                <w:rFonts w:ascii="Arial" w:eastAsia="MS Gothic" w:hAnsi="Arial"/>
                <w:spacing w:val="-2"/>
                <w:sz w:val="20"/>
                <w:szCs w:val="20"/>
                <w:lang w:val="en-GB"/>
              </w:rPr>
              <w:t xml:space="preserve">only attained the level of the national economy. </w:t>
            </w:r>
            <w:r w:rsidR="00725B5F" w:rsidRPr="006E725C">
              <w:rPr>
                <w:rFonts w:ascii="Arial" w:eastAsia="MS Gothic" w:hAnsi="Arial"/>
                <w:spacing w:val="-2"/>
                <w:sz w:val="20"/>
                <w:szCs w:val="20"/>
                <w:lang w:val="en-GB"/>
              </w:rPr>
              <w:t xml:space="preserve">Workers in other services had the smallest improvement on average </w:t>
            </w:r>
            <w:r w:rsidR="00582A12" w:rsidRPr="006E725C">
              <w:rPr>
                <w:rFonts w:ascii="Arial" w:eastAsia="MS Gothic" w:hAnsi="Arial"/>
                <w:spacing w:val="-2"/>
                <w:sz w:val="20"/>
                <w:szCs w:val="20"/>
                <w:lang w:val="en-GB"/>
              </w:rPr>
              <w:t xml:space="preserve">(+3 %), </w:t>
            </w:r>
            <w:r w:rsidR="00726788" w:rsidRPr="006E725C">
              <w:rPr>
                <w:rFonts w:ascii="Arial" w:eastAsia="MS Gothic" w:hAnsi="Arial"/>
                <w:spacing w:val="-2"/>
                <w:sz w:val="20"/>
                <w:szCs w:val="20"/>
                <w:lang w:val="en-GB"/>
              </w:rPr>
              <w:t xml:space="preserve">lower wage pace can be explained by the notable revival of employment </w:t>
            </w:r>
            <w:r w:rsidR="00582A12" w:rsidRPr="006E725C">
              <w:rPr>
                <w:rFonts w:ascii="Arial" w:eastAsia="MS Gothic" w:hAnsi="Arial"/>
                <w:spacing w:val="-2"/>
                <w:sz w:val="20"/>
                <w:szCs w:val="20"/>
                <w:lang w:val="en-GB"/>
              </w:rPr>
              <w:t>(+6</w:t>
            </w:r>
            <w:r w:rsidR="00726788"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 xml:space="preserve">9%), </w:t>
            </w:r>
            <w:r w:rsidR="00726788" w:rsidRPr="006E725C">
              <w:rPr>
                <w:rFonts w:ascii="Arial" w:eastAsia="MS Gothic" w:hAnsi="Arial"/>
                <w:spacing w:val="-2"/>
                <w:sz w:val="20"/>
                <w:szCs w:val="20"/>
                <w:lang w:val="en-GB"/>
              </w:rPr>
              <w:t xml:space="preserve">which occurred for the first time since the onset of pandemics here last year. Among regions, the total wage increased the least in Prague </w:t>
            </w:r>
            <w:r w:rsidR="00582A12" w:rsidRPr="006E725C">
              <w:rPr>
                <w:rFonts w:ascii="Arial" w:eastAsia="MS Gothic" w:hAnsi="Arial"/>
                <w:spacing w:val="-2"/>
                <w:sz w:val="20"/>
                <w:szCs w:val="20"/>
                <w:lang w:val="en-GB"/>
              </w:rPr>
              <w:t>(+6</w:t>
            </w:r>
            <w:r w:rsidR="00726788"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 xml:space="preserve">6%). </w:t>
            </w:r>
            <w:r w:rsidR="00725B5F" w:rsidRPr="006E725C">
              <w:rPr>
                <w:rFonts w:ascii="Arial" w:eastAsia="MS Gothic" w:hAnsi="Arial"/>
                <w:spacing w:val="-2"/>
                <w:sz w:val="20"/>
                <w:szCs w:val="20"/>
                <w:lang w:val="en-GB"/>
              </w:rPr>
              <w:t>Still,</w:t>
            </w:r>
            <w:r w:rsidR="00726788" w:rsidRPr="006E725C">
              <w:rPr>
                <w:rFonts w:ascii="Arial" w:eastAsia="MS Gothic" w:hAnsi="Arial"/>
                <w:spacing w:val="-2"/>
                <w:sz w:val="20"/>
                <w:szCs w:val="20"/>
                <w:lang w:val="en-GB"/>
              </w:rPr>
              <w:t xml:space="preserve"> it maintained the highest level among regions </w:t>
            </w:r>
            <w:r w:rsidR="00582A12" w:rsidRPr="006E725C">
              <w:rPr>
                <w:rFonts w:ascii="Arial" w:eastAsia="MS Gothic" w:hAnsi="Arial"/>
                <w:spacing w:val="-2"/>
                <w:sz w:val="20"/>
                <w:szCs w:val="20"/>
                <w:lang w:val="en-GB"/>
              </w:rPr>
              <w:t>(53</w:t>
            </w:r>
            <w:r w:rsidR="00726788"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3</w:t>
            </w:r>
            <w:r w:rsidR="00726788" w:rsidRPr="006E725C">
              <w:rPr>
                <w:rFonts w:ascii="Arial" w:eastAsia="MS Gothic" w:hAnsi="Arial"/>
                <w:spacing w:val="-2"/>
                <w:sz w:val="20"/>
                <w:szCs w:val="20"/>
                <w:lang w:val="en-GB"/>
              </w:rPr>
              <w:t xml:space="preserve"> </w:t>
            </w:r>
            <w:r w:rsidR="00564FA3">
              <w:rPr>
                <w:rFonts w:ascii="Arial" w:eastAsia="MS Gothic" w:hAnsi="Arial"/>
                <w:spacing w:val="-2"/>
                <w:sz w:val="20"/>
                <w:szCs w:val="20"/>
                <w:lang w:val="en-GB"/>
              </w:rPr>
              <w:t xml:space="preserve">thousand </w:t>
            </w:r>
            <w:r w:rsidR="00726788" w:rsidRPr="006E725C">
              <w:rPr>
                <w:rFonts w:ascii="Arial" w:eastAsia="MS Gothic" w:hAnsi="Arial"/>
                <w:spacing w:val="-2"/>
                <w:sz w:val="20"/>
                <w:szCs w:val="20"/>
                <w:lang w:val="en-GB"/>
              </w:rPr>
              <w:t>CZK</w:t>
            </w:r>
            <w:r w:rsidR="00582A12" w:rsidRPr="006E725C">
              <w:rPr>
                <w:rFonts w:ascii="Arial" w:eastAsia="MS Gothic" w:hAnsi="Arial"/>
                <w:spacing w:val="-2"/>
                <w:sz w:val="20"/>
                <w:szCs w:val="20"/>
                <w:lang w:val="en-GB"/>
              </w:rPr>
              <w:t xml:space="preserve">). </w:t>
            </w:r>
            <w:r w:rsidR="00E64CDB" w:rsidRPr="006E725C">
              <w:rPr>
                <w:rFonts w:ascii="Arial" w:eastAsia="MS Gothic" w:hAnsi="Arial"/>
                <w:spacing w:val="-2"/>
                <w:sz w:val="20"/>
                <w:szCs w:val="20"/>
                <w:lang w:val="en-GB"/>
              </w:rPr>
              <w:t xml:space="preserve">On the contrary, the earnings increased the most in the </w:t>
            </w:r>
            <w:proofErr w:type="spellStart"/>
            <w:r w:rsidR="00582A12" w:rsidRPr="006E725C">
              <w:rPr>
                <w:rFonts w:ascii="Arial" w:eastAsia="MS Gothic" w:hAnsi="Arial"/>
                <w:i/>
                <w:iCs/>
                <w:spacing w:val="-2"/>
                <w:sz w:val="20"/>
                <w:szCs w:val="20"/>
                <w:lang w:val="en-GB"/>
              </w:rPr>
              <w:t>Ústeck</w:t>
            </w:r>
            <w:r w:rsidR="00E64CDB" w:rsidRPr="006E725C">
              <w:rPr>
                <w:rFonts w:ascii="Arial" w:eastAsia="MS Gothic" w:hAnsi="Arial"/>
                <w:i/>
                <w:iCs/>
                <w:spacing w:val="-2"/>
                <w:sz w:val="20"/>
                <w:szCs w:val="20"/>
                <w:lang w:val="en-GB"/>
              </w:rPr>
              <w:t>ý</w:t>
            </w:r>
            <w:proofErr w:type="spellEnd"/>
            <w:r w:rsidR="00E64CDB" w:rsidRPr="006E725C">
              <w:rPr>
                <w:rFonts w:ascii="Arial" w:eastAsia="MS Gothic" w:hAnsi="Arial"/>
                <w:spacing w:val="-2"/>
                <w:sz w:val="20"/>
                <w:szCs w:val="20"/>
                <w:lang w:val="en-GB"/>
              </w:rPr>
              <w:t xml:space="preserve"> regions </w:t>
            </w:r>
            <w:r w:rsidR="00582A12" w:rsidRPr="006E725C">
              <w:rPr>
                <w:rFonts w:ascii="Arial" w:eastAsia="MS Gothic" w:hAnsi="Arial"/>
                <w:spacing w:val="-2"/>
                <w:sz w:val="20"/>
                <w:szCs w:val="20"/>
                <w:lang w:val="en-GB"/>
              </w:rPr>
              <w:t>(+8</w:t>
            </w:r>
            <w:r w:rsidR="00E64CDB"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 xml:space="preserve">3%). </w:t>
            </w:r>
            <w:r w:rsidR="00725B5F" w:rsidRPr="006E725C">
              <w:rPr>
                <w:rFonts w:ascii="Arial" w:eastAsia="MS Gothic" w:hAnsi="Arial"/>
                <w:spacing w:val="-2"/>
                <w:sz w:val="20"/>
                <w:szCs w:val="20"/>
                <w:lang w:val="en-GB"/>
              </w:rPr>
              <w:t xml:space="preserve">They grew mildly below average in </w:t>
            </w:r>
            <w:proofErr w:type="spellStart"/>
            <w:r w:rsidR="00725B5F" w:rsidRPr="006E725C">
              <w:rPr>
                <w:rFonts w:ascii="Arial" w:eastAsia="MS Gothic" w:hAnsi="Arial"/>
                <w:i/>
                <w:iCs/>
                <w:spacing w:val="-2"/>
                <w:sz w:val="20"/>
                <w:szCs w:val="20"/>
                <w:lang w:val="en-GB"/>
              </w:rPr>
              <w:t>Karlovarsk</w:t>
            </w:r>
            <w:r w:rsidR="009F1F17" w:rsidRPr="006E725C">
              <w:rPr>
                <w:rFonts w:ascii="Arial" w:eastAsia="MS Gothic" w:hAnsi="Arial"/>
                <w:i/>
                <w:iCs/>
                <w:spacing w:val="-2"/>
                <w:sz w:val="20"/>
                <w:szCs w:val="20"/>
                <w:lang w:val="en-GB"/>
              </w:rPr>
              <w:t>ý</w:t>
            </w:r>
            <w:proofErr w:type="spellEnd"/>
            <w:r w:rsidR="00725B5F" w:rsidRPr="006E725C">
              <w:rPr>
                <w:rFonts w:ascii="Arial" w:eastAsia="MS Gothic" w:hAnsi="Arial"/>
                <w:spacing w:val="-2"/>
                <w:sz w:val="20"/>
                <w:szCs w:val="20"/>
                <w:lang w:val="en-GB"/>
              </w:rPr>
              <w:t xml:space="preserve"> region </w:t>
            </w:r>
            <w:r w:rsidR="00582A12" w:rsidRPr="006E725C">
              <w:rPr>
                <w:rFonts w:ascii="Arial" w:eastAsia="MS Gothic" w:hAnsi="Arial"/>
                <w:spacing w:val="-2"/>
                <w:sz w:val="20"/>
                <w:szCs w:val="20"/>
                <w:lang w:val="en-GB"/>
              </w:rPr>
              <w:t>(+7</w:t>
            </w:r>
            <w:r w:rsidR="00725B5F"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3%),</w:t>
            </w:r>
            <w:r w:rsidR="00725B5F" w:rsidRPr="006E725C">
              <w:rPr>
                <w:rFonts w:ascii="Arial" w:eastAsia="MS Gothic" w:hAnsi="Arial"/>
                <w:spacing w:val="-2"/>
                <w:sz w:val="20"/>
                <w:szCs w:val="20"/>
                <w:lang w:val="en-GB"/>
              </w:rPr>
              <w:t xml:space="preserve"> whose wage level belongs to the long-term lowest </w:t>
            </w:r>
            <w:r w:rsidR="00582A12" w:rsidRPr="006E725C">
              <w:rPr>
                <w:rFonts w:ascii="Arial" w:eastAsia="MS Gothic" w:hAnsi="Arial"/>
                <w:spacing w:val="-2"/>
                <w:sz w:val="20"/>
                <w:szCs w:val="20"/>
                <w:lang w:val="en-GB"/>
              </w:rPr>
              <w:t>(</w:t>
            </w:r>
            <w:r w:rsidR="00725B5F" w:rsidRPr="006E725C">
              <w:rPr>
                <w:rFonts w:ascii="Arial" w:eastAsia="MS Gothic" w:hAnsi="Arial"/>
                <w:spacing w:val="-2"/>
                <w:sz w:val="20"/>
                <w:szCs w:val="20"/>
                <w:lang w:val="en-GB"/>
              </w:rPr>
              <w:t xml:space="preserve">it arrived at </w:t>
            </w:r>
            <w:r w:rsidR="00582A12" w:rsidRPr="006E725C">
              <w:rPr>
                <w:rFonts w:ascii="Arial" w:eastAsia="MS Gothic" w:hAnsi="Arial"/>
                <w:spacing w:val="-2"/>
                <w:sz w:val="20"/>
                <w:szCs w:val="20"/>
                <w:lang w:val="en-GB"/>
              </w:rPr>
              <w:t>37</w:t>
            </w:r>
            <w:r w:rsidR="00725B5F" w:rsidRPr="006E725C">
              <w:rPr>
                <w:rFonts w:ascii="Arial" w:eastAsia="MS Gothic" w:hAnsi="Arial"/>
                <w:spacing w:val="-2"/>
                <w:sz w:val="20"/>
                <w:szCs w:val="20"/>
                <w:lang w:val="en-GB"/>
              </w:rPr>
              <w:t>.</w:t>
            </w:r>
            <w:r w:rsidR="00582A12" w:rsidRPr="006E725C">
              <w:rPr>
                <w:rFonts w:ascii="Arial" w:eastAsia="MS Gothic" w:hAnsi="Arial"/>
                <w:spacing w:val="-2"/>
                <w:sz w:val="20"/>
                <w:szCs w:val="20"/>
                <w:lang w:val="en-GB"/>
              </w:rPr>
              <w:t>5</w:t>
            </w:r>
            <w:r w:rsidR="00564FA3">
              <w:rPr>
                <w:rFonts w:ascii="Arial" w:eastAsia="MS Gothic" w:hAnsi="Arial"/>
                <w:spacing w:val="-2"/>
                <w:sz w:val="20"/>
                <w:szCs w:val="20"/>
                <w:lang w:val="en-GB"/>
              </w:rPr>
              <w:t xml:space="preserve"> thousand</w:t>
            </w:r>
            <w:r w:rsidR="00725B5F" w:rsidRPr="006E725C">
              <w:rPr>
                <w:rFonts w:ascii="Arial" w:eastAsia="MS Gothic" w:hAnsi="Arial"/>
                <w:spacing w:val="-2"/>
                <w:sz w:val="20"/>
                <w:szCs w:val="20"/>
                <w:lang w:val="en-GB"/>
              </w:rPr>
              <w:t xml:space="preserve"> CZK last year</w:t>
            </w:r>
            <w:r w:rsidR="00582A12" w:rsidRPr="006E725C">
              <w:rPr>
                <w:rFonts w:ascii="Arial" w:eastAsia="MS Gothic" w:hAnsi="Arial"/>
                <w:spacing w:val="-5"/>
                <w:sz w:val="20"/>
                <w:szCs w:val="20"/>
                <w:lang w:val="en-GB"/>
              </w:rPr>
              <w:t>).</w:t>
            </w:r>
          </w:p>
        </w:tc>
      </w:tr>
      <w:tr w:rsidR="00582A12" w:rsidRPr="006E725C" w14:paraId="2E7B023A" w14:textId="77777777" w:rsidTr="004705FC">
        <w:trPr>
          <w:trHeight w:val="132"/>
        </w:trPr>
        <w:tc>
          <w:tcPr>
            <w:tcW w:w="1754" w:type="dxa"/>
            <w:shd w:val="clear" w:color="auto" w:fill="auto"/>
            <w:tcMar>
              <w:left w:w="0" w:type="dxa"/>
            </w:tcMar>
          </w:tcPr>
          <w:p w14:paraId="1BC0F2AC" w14:textId="77777777" w:rsidR="00582A12" w:rsidRPr="006E725C" w:rsidRDefault="00582A12" w:rsidP="00BA5125">
            <w:pPr>
              <w:pStyle w:val="Marginlie"/>
              <w:rPr>
                <w:spacing w:val="-4"/>
                <w:lang w:val="en-GB"/>
              </w:rPr>
            </w:pPr>
          </w:p>
        </w:tc>
        <w:tc>
          <w:tcPr>
            <w:tcW w:w="220" w:type="dxa"/>
            <w:shd w:val="clear" w:color="auto" w:fill="auto"/>
            <w:tcMar>
              <w:left w:w="0" w:type="dxa"/>
            </w:tcMar>
          </w:tcPr>
          <w:p w14:paraId="542A5F17" w14:textId="77777777" w:rsidR="00582A12" w:rsidRPr="006E725C" w:rsidRDefault="00582A12" w:rsidP="00BA5125">
            <w:pPr>
              <w:pStyle w:val="Textpoznpodarou"/>
              <w:jc w:val="both"/>
              <w:rPr>
                <w:spacing w:val="-4"/>
                <w:lang w:val="en-GB"/>
              </w:rPr>
            </w:pPr>
          </w:p>
        </w:tc>
        <w:tc>
          <w:tcPr>
            <w:tcW w:w="7700" w:type="dxa"/>
            <w:shd w:val="clear" w:color="auto" w:fill="auto"/>
            <w:tcMar>
              <w:left w:w="0" w:type="dxa"/>
            </w:tcMar>
          </w:tcPr>
          <w:p w14:paraId="3FFD9B0A" w14:textId="77777777" w:rsidR="005B362D" w:rsidRDefault="00427538" w:rsidP="00DD468D">
            <w:pPr>
              <w:spacing w:after="0"/>
              <w:rPr>
                <w:b/>
                <w:spacing w:val="-2"/>
                <w:lang w:val="en-GB"/>
              </w:rPr>
            </w:pPr>
            <w:r w:rsidRPr="006E725C">
              <w:rPr>
                <w:rFonts w:cs="Arial"/>
                <w:b/>
                <w:color w:val="0D0D0D" w:themeColor="text1" w:themeTint="F2"/>
                <w:spacing w:val="-4"/>
                <w:szCs w:val="20"/>
                <w:lang w:val="en-GB"/>
              </w:rPr>
              <w:t xml:space="preserve">Chart </w:t>
            </w:r>
            <w:r w:rsidR="00582A12" w:rsidRPr="006E725C">
              <w:rPr>
                <w:rFonts w:cs="Arial"/>
                <w:b/>
                <w:color w:val="0D0D0D" w:themeColor="text1" w:themeTint="F2"/>
                <w:spacing w:val="-4"/>
                <w:szCs w:val="20"/>
                <w:lang w:val="en-GB"/>
              </w:rPr>
              <w:t xml:space="preserve">16 </w:t>
            </w:r>
            <w:r w:rsidR="00DD468D" w:rsidRPr="006E725C">
              <w:rPr>
                <w:b/>
                <w:spacing w:val="-2"/>
                <w:lang w:val="en-GB"/>
              </w:rPr>
              <w:t xml:space="preserve">Average nominal and real wage and labour productivity </w:t>
            </w:r>
          </w:p>
          <w:p w14:paraId="1992C422" w14:textId="210E6321" w:rsidR="00582A12" w:rsidRPr="006E725C" w:rsidRDefault="00DD468D" w:rsidP="00DD468D">
            <w:pPr>
              <w:spacing w:after="0"/>
              <w:rPr>
                <w:b/>
                <w:spacing w:val="-2"/>
                <w:lang w:val="en-GB"/>
              </w:rPr>
            </w:pPr>
            <w:r w:rsidRPr="006E725C">
              <w:rPr>
                <w:spacing w:val="-2"/>
                <w:lang w:val="en-GB"/>
              </w:rPr>
              <w:t>(</w:t>
            </w:r>
            <w:proofErr w:type="gramStart"/>
            <w:r w:rsidRPr="006E725C">
              <w:rPr>
                <w:spacing w:val="-2"/>
                <w:lang w:val="en-GB"/>
              </w:rPr>
              <w:t>annual</w:t>
            </w:r>
            <w:proofErr w:type="gramEnd"/>
            <w:r w:rsidRPr="006E725C">
              <w:rPr>
                <w:spacing w:val="-2"/>
                <w:lang w:val="en-GB"/>
              </w:rPr>
              <w:t xml:space="preserve"> sums, year-on-year change in %)</w:t>
            </w:r>
          </w:p>
        </w:tc>
      </w:tr>
      <w:tr w:rsidR="00582A12" w:rsidRPr="006E725C" w14:paraId="28486296" w14:textId="77777777" w:rsidTr="005B362D">
        <w:tblPrEx>
          <w:tblCellMar>
            <w:left w:w="70" w:type="dxa"/>
            <w:right w:w="70" w:type="dxa"/>
          </w:tblCellMar>
        </w:tblPrEx>
        <w:trPr>
          <w:trHeight w:val="132"/>
        </w:trPr>
        <w:tc>
          <w:tcPr>
            <w:tcW w:w="1754" w:type="dxa"/>
            <w:shd w:val="clear" w:color="auto" w:fill="auto"/>
          </w:tcPr>
          <w:p w14:paraId="4011358D" w14:textId="77777777" w:rsidR="00582A12" w:rsidRPr="006E725C" w:rsidRDefault="00582A12" w:rsidP="00BA5125">
            <w:pPr>
              <w:pStyle w:val="Marginlie"/>
              <w:rPr>
                <w:spacing w:val="-4"/>
                <w:lang w:val="en-GB"/>
              </w:rPr>
            </w:pPr>
          </w:p>
        </w:tc>
        <w:tc>
          <w:tcPr>
            <w:tcW w:w="220" w:type="dxa"/>
            <w:shd w:val="clear" w:color="auto" w:fill="auto"/>
          </w:tcPr>
          <w:p w14:paraId="6F402AD3" w14:textId="77777777" w:rsidR="00582A12" w:rsidRPr="006E725C" w:rsidRDefault="00582A12" w:rsidP="00BA5125">
            <w:pPr>
              <w:pStyle w:val="Textpoznpodarou"/>
              <w:jc w:val="both"/>
              <w:rPr>
                <w:spacing w:val="-4"/>
                <w:lang w:val="en-GB"/>
              </w:rPr>
            </w:pPr>
          </w:p>
        </w:tc>
        <w:tc>
          <w:tcPr>
            <w:tcW w:w="7700" w:type="dxa"/>
            <w:shd w:val="clear" w:color="auto" w:fill="auto"/>
          </w:tcPr>
          <w:p w14:paraId="0BB7E13C" w14:textId="7620DA5B" w:rsidR="00582A12" w:rsidRPr="006E725C" w:rsidRDefault="005B362D" w:rsidP="00BA5125">
            <w:pPr>
              <w:spacing w:after="0" w:line="240" w:lineRule="auto"/>
              <w:rPr>
                <w:rFonts w:cs="Arial"/>
                <w:color w:val="0D0D0D" w:themeColor="text1" w:themeTint="F2"/>
                <w:spacing w:val="-4"/>
                <w:sz w:val="14"/>
                <w:szCs w:val="14"/>
                <w:lang w:val="en-GB"/>
              </w:rPr>
            </w:pPr>
            <w:r>
              <w:rPr>
                <w:noProof/>
              </w:rPr>
              <w:drawing>
                <wp:inline distT="0" distB="0" distL="0" distR="0" wp14:anchorId="6565D4CF" wp14:editId="00125674">
                  <wp:extent cx="4772537" cy="3750609"/>
                  <wp:effectExtent l="0" t="0" r="0" b="254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582A12" w:rsidRPr="006E725C" w14:paraId="0983E531" w14:textId="77777777" w:rsidTr="004705FC">
        <w:trPr>
          <w:trHeight w:val="132"/>
        </w:trPr>
        <w:tc>
          <w:tcPr>
            <w:tcW w:w="1754" w:type="dxa"/>
            <w:shd w:val="clear" w:color="auto" w:fill="auto"/>
            <w:tcMar>
              <w:left w:w="0" w:type="dxa"/>
            </w:tcMar>
          </w:tcPr>
          <w:p w14:paraId="7BFAD946" w14:textId="77777777" w:rsidR="00582A12" w:rsidRPr="006E725C" w:rsidRDefault="00582A12" w:rsidP="00BA5125">
            <w:pPr>
              <w:pStyle w:val="Marginlie"/>
              <w:rPr>
                <w:spacing w:val="-4"/>
                <w:lang w:val="en-GB"/>
              </w:rPr>
            </w:pPr>
          </w:p>
        </w:tc>
        <w:tc>
          <w:tcPr>
            <w:tcW w:w="220" w:type="dxa"/>
            <w:shd w:val="clear" w:color="auto" w:fill="auto"/>
            <w:tcMar>
              <w:left w:w="0" w:type="dxa"/>
            </w:tcMar>
          </w:tcPr>
          <w:p w14:paraId="616E48E4" w14:textId="77777777" w:rsidR="00582A12" w:rsidRPr="006E725C" w:rsidRDefault="00582A12" w:rsidP="00BA5125">
            <w:pPr>
              <w:pStyle w:val="Textpoznpodarou"/>
              <w:jc w:val="both"/>
              <w:rPr>
                <w:spacing w:val="-4"/>
                <w:lang w:val="en-GB"/>
              </w:rPr>
            </w:pPr>
          </w:p>
        </w:tc>
        <w:tc>
          <w:tcPr>
            <w:tcW w:w="7700" w:type="dxa"/>
            <w:shd w:val="clear" w:color="auto" w:fill="auto"/>
            <w:tcMar>
              <w:left w:w="0" w:type="dxa"/>
            </w:tcMar>
          </w:tcPr>
          <w:p w14:paraId="7A9371AC" w14:textId="77777777" w:rsidR="00DD468D" w:rsidRPr="006E725C" w:rsidRDefault="00DD468D" w:rsidP="00DD468D">
            <w:pPr>
              <w:spacing w:after="0" w:line="240" w:lineRule="auto"/>
              <w:rPr>
                <w:rFonts w:cs="Arial"/>
                <w:color w:val="0D0D0D" w:themeColor="text1" w:themeTint="F2"/>
                <w:spacing w:val="-4"/>
                <w:sz w:val="14"/>
                <w:szCs w:val="14"/>
                <w:lang w:val="en-GB"/>
              </w:rPr>
            </w:pPr>
            <w:r w:rsidRPr="006E725C">
              <w:rPr>
                <w:bCs/>
                <w:sz w:val="14"/>
                <w:szCs w:val="14"/>
                <w:lang w:val="en-GB"/>
              </w:rPr>
              <w:t>*</w:t>
            </w:r>
            <w:r w:rsidRPr="006E725C">
              <w:rPr>
                <w:rFonts w:cs="Arial"/>
                <w:spacing w:val="-3"/>
                <w:sz w:val="14"/>
                <w:szCs w:val="14"/>
                <w:lang w:val="en-GB"/>
              </w:rPr>
              <w:t xml:space="preserve"> Includes branches with a significant state involvement: Public administration, defence, social security; Education; Human health and social work activities; Cultural, amusement and recreational activities.</w:t>
            </w:r>
          </w:p>
          <w:p w14:paraId="057CD93C" w14:textId="1C3AD995" w:rsidR="00DD468D" w:rsidRPr="006E725C" w:rsidRDefault="00DD468D" w:rsidP="00DD468D">
            <w:pPr>
              <w:spacing w:after="0" w:line="240" w:lineRule="auto"/>
              <w:rPr>
                <w:rFonts w:cs="Arial"/>
                <w:color w:val="0D0D0D" w:themeColor="text1" w:themeTint="F2"/>
                <w:spacing w:val="-4"/>
                <w:sz w:val="14"/>
                <w:szCs w:val="14"/>
                <w:lang w:val="en-GB"/>
              </w:rPr>
            </w:pPr>
            <w:r w:rsidRPr="006E725C">
              <w:rPr>
                <w:rFonts w:cs="Arial"/>
                <w:color w:val="0D0D0D" w:themeColor="text1" w:themeTint="F2"/>
                <w:spacing w:val="-4"/>
                <w:sz w:val="14"/>
                <w:szCs w:val="14"/>
                <w:lang w:val="en-GB"/>
              </w:rPr>
              <w:t>**Expresses GDP (in constant prices) related to 1 worker (in natural persons)</w:t>
            </w:r>
          </w:p>
          <w:p w14:paraId="62EF184B" w14:textId="68BBD7A8" w:rsidR="00DD468D" w:rsidRPr="00D8710D" w:rsidRDefault="00582A12" w:rsidP="00D8710D">
            <w:pPr>
              <w:spacing w:after="200" w:line="240" w:lineRule="auto"/>
              <w:rPr>
                <w:rFonts w:cs="Arial"/>
                <w:color w:val="0D0D0D" w:themeColor="text1" w:themeTint="F2"/>
                <w:spacing w:val="-4"/>
                <w:sz w:val="14"/>
                <w:szCs w:val="14"/>
                <w:lang w:val="en-GB"/>
              </w:rPr>
            </w:pPr>
            <w:r w:rsidRPr="006E725C">
              <w:rPr>
                <w:rFonts w:cs="Arial"/>
                <w:color w:val="0D0D0D" w:themeColor="text1" w:themeTint="F2"/>
                <w:spacing w:val="-4"/>
                <w:sz w:val="14"/>
                <w:szCs w:val="14"/>
                <w:lang w:val="en-GB"/>
              </w:rPr>
              <w:t xml:space="preserve"> </w:t>
            </w:r>
            <w:r w:rsidR="00427538" w:rsidRPr="006E725C">
              <w:rPr>
                <w:rFonts w:cs="Arial"/>
                <w:color w:val="0D0D0D" w:themeColor="text1" w:themeTint="F2"/>
                <w:spacing w:val="-4"/>
                <w:sz w:val="14"/>
                <w:szCs w:val="14"/>
                <w:lang w:val="en-GB"/>
              </w:rPr>
              <w:t>Source</w:t>
            </w:r>
            <w:r w:rsidRPr="006E725C">
              <w:rPr>
                <w:rFonts w:cs="Arial"/>
                <w:color w:val="0D0D0D" w:themeColor="text1" w:themeTint="F2"/>
                <w:spacing w:val="-4"/>
                <w:sz w:val="14"/>
                <w:szCs w:val="14"/>
                <w:lang w:val="en-GB"/>
              </w:rPr>
              <w:t>:</w:t>
            </w:r>
            <w:r w:rsidR="00427538" w:rsidRPr="006E725C">
              <w:rPr>
                <w:rFonts w:cs="Arial"/>
                <w:color w:val="0D0D0D" w:themeColor="text1" w:themeTint="F2"/>
                <w:spacing w:val="-4"/>
                <w:sz w:val="14"/>
                <w:szCs w:val="14"/>
                <w:lang w:val="en-GB"/>
              </w:rPr>
              <w:t xml:space="preserve"> CZSO</w:t>
            </w:r>
          </w:p>
        </w:tc>
      </w:tr>
      <w:tr w:rsidR="004705FC" w:rsidRPr="006E725C" w14:paraId="7D898682" w14:textId="77777777" w:rsidTr="004705FC">
        <w:trPr>
          <w:trHeight w:val="132"/>
        </w:trPr>
        <w:tc>
          <w:tcPr>
            <w:tcW w:w="1754" w:type="dxa"/>
            <w:shd w:val="clear" w:color="auto" w:fill="auto"/>
            <w:tcMar>
              <w:left w:w="0" w:type="dxa"/>
            </w:tcMar>
          </w:tcPr>
          <w:p w14:paraId="25FDC408" w14:textId="14D2FDC1" w:rsidR="004705FC" w:rsidRPr="006E725C" w:rsidRDefault="004705FC" w:rsidP="004705FC">
            <w:pPr>
              <w:pStyle w:val="Marginlie"/>
              <w:rPr>
                <w:spacing w:val="-4"/>
                <w:lang w:val="en-GB"/>
              </w:rPr>
            </w:pPr>
            <w:r w:rsidRPr="006E725C">
              <w:rPr>
                <w:color w:val="0D0D0D" w:themeColor="text1" w:themeTint="F2"/>
                <w:lang w:val="en-GB"/>
              </w:rPr>
              <w:t xml:space="preserve">Relatively higher growth of median wage occurred for management employees last year, but also for craft and repairmen. </w:t>
            </w:r>
          </w:p>
        </w:tc>
        <w:tc>
          <w:tcPr>
            <w:tcW w:w="220" w:type="dxa"/>
            <w:shd w:val="clear" w:color="auto" w:fill="auto"/>
            <w:tcMar>
              <w:left w:w="0" w:type="dxa"/>
            </w:tcMar>
          </w:tcPr>
          <w:p w14:paraId="135624E0" w14:textId="77777777" w:rsidR="004705FC" w:rsidRPr="006E725C" w:rsidRDefault="004705FC" w:rsidP="004705FC">
            <w:pPr>
              <w:pStyle w:val="Textpoznpodarou"/>
              <w:jc w:val="both"/>
              <w:rPr>
                <w:spacing w:val="-4"/>
                <w:lang w:val="en-GB"/>
              </w:rPr>
            </w:pPr>
          </w:p>
        </w:tc>
        <w:tc>
          <w:tcPr>
            <w:tcW w:w="7700" w:type="dxa"/>
            <w:shd w:val="clear" w:color="auto" w:fill="auto"/>
            <w:tcMar>
              <w:left w:w="0" w:type="dxa"/>
            </w:tcMar>
          </w:tcPr>
          <w:p w14:paraId="6AD1612A" w14:textId="049728A0" w:rsidR="004705FC" w:rsidRPr="006E725C" w:rsidRDefault="004705FC" w:rsidP="004705FC">
            <w:pPr>
              <w:pStyle w:val="paragraph"/>
              <w:spacing w:before="0" w:beforeAutospacing="0" w:after="200" w:afterAutospacing="0" w:line="276" w:lineRule="auto"/>
              <w:jc w:val="both"/>
              <w:textAlignment w:val="baseline"/>
              <w:rPr>
                <w:bCs/>
                <w:sz w:val="14"/>
                <w:szCs w:val="14"/>
                <w:lang w:val="en-GB"/>
              </w:rPr>
            </w:pPr>
            <w:r w:rsidRPr="006E725C">
              <w:rPr>
                <w:rFonts w:ascii="Arial" w:eastAsia="MS Gothic" w:hAnsi="Arial"/>
                <w:spacing w:val="-5"/>
                <w:sz w:val="20"/>
                <w:szCs w:val="20"/>
                <w:lang w:val="en-GB"/>
              </w:rPr>
              <w:t xml:space="preserve">Wage median increased based on the preliminary data by 6.4% for the whole last year </w:t>
            </w:r>
            <w:r w:rsidRPr="004705FC">
              <w:rPr>
                <w:rFonts w:ascii="Arial" w:eastAsia="MS Gothic" w:hAnsi="Arial"/>
                <w:spacing w:val="-5"/>
                <w:sz w:val="20"/>
                <w:szCs w:val="20"/>
                <w:lang w:val="en-GB"/>
              </w:rPr>
              <w:t>(without significant differences between males and females</w:t>
            </w:r>
            <w:r w:rsidRPr="004705FC">
              <w:rPr>
                <w:rFonts w:eastAsia="MS Gothic"/>
              </w:rPr>
              <w:footnoteReference w:id="93"/>
            </w:r>
            <w:r w:rsidRPr="004705FC">
              <w:rPr>
                <w:rFonts w:ascii="Arial" w:eastAsia="MS Gothic" w:hAnsi="Arial"/>
                <w:spacing w:val="-5"/>
                <w:sz w:val="20"/>
                <w:szCs w:val="20"/>
                <w:lang w:val="en-GB"/>
              </w:rPr>
              <w:t>)</w:t>
            </w:r>
            <w:r w:rsidRPr="006E725C">
              <w:rPr>
                <w:rFonts w:ascii="Arial" w:eastAsia="MS Gothic" w:hAnsi="Arial"/>
                <w:spacing w:val="-5"/>
                <w:sz w:val="20"/>
                <w:szCs w:val="20"/>
                <w:lang w:val="en-GB"/>
              </w:rPr>
              <w:t xml:space="preserve">. It grew more for the management workers (+7.2%), but also in categories craft and </w:t>
            </w:r>
            <w:proofErr w:type="spellStart"/>
            <w:r w:rsidRPr="006E725C">
              <w:rPr>
                <w:rFonts w:ascii="Arial" w:eastAsia="MS Gothic" w:hAnsi="Arial"/>
                <w:spacing w:val="-5"/>
                <w:sz w:val="20"/>
                <w:szCs w:val="20"/>
                <w:lang w:val="en-GB"/>
              </w:rPr>
              <w:t>repairment</w:t>
            </w:r>
            <w:proofErr w:type="spellEnd"/>
            <w:r w:rsidRPr="006E725C">
              <w:rPr>
                <w:rFonts w:ascii="Arial" w:eastAsia="MS Gothic" w:hAnsi="Arial"/>
                <w:spacing w:val="-5"/>
                <w:sz w:val="20"/>
                <w:szCs w:val="20"/>
                <w:lang w:val="en-GB"/>
              </w:rPr>
              <w:t xml:space="preserve"> or machine operators (identically by 7.1%). Wages of specialists were raised by 5.2%, also due to the </w:t>
            </w:r>
            <w:r w:rsidRPr="006E725C">
              <w:rPr>
                <w:rFonts w:ascii="Arial" w:eastAsia="MS Gothic" w:hAnsi="Arial"/>
                <w:spacing w:val="-5"/>
                <w:sz w:val="20"/>
                <w:szCs w:val="20"/>
                <w:lang w:val="en-GB"/>
              </w:rPr>
              <w:lastRenderedPageBreak/>
              <w:t xml:space="preserve">below-average growth in activities with large participation of state. Slovakians had traditionally the highest median wage among the more numerous groups of foreigners working in the CR last year (43.9 </w:t>
            </w:r>
            <w:r>
              <w:rPr>
                <w:rFonts w:ascii="Arial" w:eastAsia="MS Gothic" w:hAnsi="Arial"/>
                <w:spacing w:val="-5"/>
                <w:sz w:val="20"/>
                <w:szCs w:val="20"/>
                <w:lang w:val="en-GB"/>
              </w:rPr>
              <w:t xml:space="preserve">thousand </w:t>
            </w:r>
            <w:r w:rsidRPr="006E725C">
              <w:rPr>
                <w:rFonts w:ascii="Arial" w:eastAsia="MS Gothic" w:hAnsi="Arial"/>
                <w:spacing w:val="-5"/>
                <w:sz w:val="20"/>
                <w:szCs w:val="20"/>
                <w:lang w:val="en-GB"/>
              </w:rPr>
              <w:t>CZK monthly), Ukrainians received only 30.3</w:t>
            </w:r>
            <w:r>
              <w:rPr>
                <w:rFonts w:ascii="Arial" w:eastAsia="MS Gothic" w:hAnsi="Arial"/>
                <w:spacing w:val="-5"/>
                <w:sz w:val="20"/>
                <w:szCs w:val="20"/>
                <w:lang w:val="en-GB"/>
              </w:rPr>
              <w:t xml:space="preserve"> thousand CZK,</w:t>
            </w:r>
            <w:r w:rsidRPr="006E725C">
              <w:rPr>
                <w:rFonts w:ascii="Arial" w:eastAsia="MS Gothic" w:hAnsi="Arial"/>
                <w:spacing w:val="-5"/>
                <w:sz w:val="20"/>
                <w:szCs w:val="20"/>
                <w:lang w:val="en-GB"/>
              </w:rPr>
              <w:t xml:space="preserve"> but their wage increased more year-on-year (+8.6%). Employees with the Czech citizenship then earned 39.8 </w:t>
            </w:r>
            <w:r>
              <w:rPr>
                <w:rFonts w:ascii="Arial" w:eastAsia="MS Gothic" w:hAnsi="Arial"/>
                <w:spacing w:val="-5"/>
                <w:sz w:val="20"/>
                <w:szCs w:val="20"/>
                <w:lang w:val="en-GB"/>
              </w:rPr>
              <w:t xml:space="preserve">thousand </w:t>
            </w:r>
            <w:r w:rsidRPr="006E725C">
              <w:rPr>
                <w:rFonts w:ascii="Arial" w:eastAsia="MS Gothic" w:hAnsi="Arial"/>
                <w:spacing w:val="-5"/>
                <w:sz w:val="20"/>
                <w:szCs w:val="20"/>
                <w:lang w:val="en-GB"/>
              </w:rPr>
              <w:t xml:space="preserve">CZK. </w:t>
            </w:r>
          </w:p>
        </w:tc>
      </w:tr>
    </w:tbl>
    <w:p w14:paraId="23FC4A84" w14:textId="77777777" w:rsidR="00582A12" w:rsidRPr="006E725C" w:rsidRDefault="00582A12" w:rsidP="00582A12">
      <w:pPr>
        <w:pStyle w:val="Nadpis11"/>
        <w:spacing w:after="120"/>
        <w:rPr>
          <w:b w:val="0"/>
          <w:sz w:val="2"/>
          <w:szCs w:val="2"/>
          <w:lang w:val="en-GB"/>
        </w:rPr>
      </w:pPr>
    </w:p>
    <w:p w14:paraId="1D8862AB" w14:textId="77777777" w:rsidR="00582A12" w:rsidRPr="006E725C" w:rsidRDefault="00582A12">
      <w:pPr>
        <w:spacing w:after="0" w:line="240" w:lineRule="auto"/>
        <w:jc w:val="left"/>
        <w:rPr>
          <w:rFonts w:eastAsia="MS Gothic"/>
          <w:b/>
          <w:bCs/>
          <w:color w:val="71818C"/>
          <w:sz w:val="32"/>
          <w:szCs w:val="28"/>
          <w:lang w:val="en-GB"/>
        </w:rPr>
      </w:pPr>
      <w:r w:rsidRPr="006E725C">
        <w:rPr>
          <w:lang w:val="en-GB"/>
        </w:rPr>
        <w:br w:type="page"/>
      </w:r>
    </w:p>
    <w:p w14:paraId="2FFC0D00" w14:textId="4304C98D" w:rsidR="00137F06" w:rsidRPr="006E725C" w:rsidRDefault="00137F06" w:rsidP="00137F06">
      <w:pPr>
        <w:pStyle w:val="Nadpis11"/>
        <w:spacing w:after="120"/>
        <w:rPr>
          <w:lang w:val="en-GB"/>
        </w:rPr>
      </w:pPr>
      <w:bookmarkStart w:id="45" w:name="_Toc164682189"/>
      <w:r w:rsidRPr="006E725C">
        <w:rPr>
          <w:lang w:val="en-GB"/>
        </w:rPr>
        <w:lastRenderedPageBreak/>
        <w:t>7. M</w:t>
      </w:r>
      <w:r w:rsidR="0049505A" w:rsidRPr="006E725C">
        <w:rPr>
          <w:lang w:val="en-GB"/>
        </w:rPr>
        <w:t>onetary Conditions</w:t>
      </w:r>
      <w:bookmarkEnd w:id="42"/>
      <w:bookmarkEnd w:id="45"/>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137F06" w:rsidRPr="006E725C" w14:paraId="1E7590A8" w14:textId="77777777" w:rsidTr="00C07C2F">
        <w:trPr>
          <w:trHeight w:val="145"/>
        </w:trPr>
        <w:tc>
          <w:tcPr>
            <w:tcW w:w="1802" w:type="dxa"/>
          </w:tcPr>
          <w:p w14:paraId="738B7ADC" w14:textId="28423AEB" w:rsidR="00137F06" w:rsidRPr="006E725C" w:rsidRDefault="00CF3486" w:rsidP="00C07C2F">
            <w:pPr>
              <w:pStyle w:val="Marginlie"/>
              <w:rPr>
                <w:lang w:val="en-GB" w:eastAsia="en-US"/>
              </w:rPr>
            </w:pPr>
            <w:r w:rsidRPr="006E725C">
              <w:rPr>
                <w:lang w:val="en-GB" w:eastAsia="en-US"/>
              </w:rPr>
              <w:t xml:space="preserve">Monetary policy-relevant interest rates were lowered after one year and half in December. </w:t>
            </w:r>
          </w:p>
        </w:tc>
        <w:tc>
          <w:tcPr>
            <w:tcW w:w="229" w:type="dxa"/>
          </w:tcPr>
          <w:p w14:paraId="48F53D29" w14:textId="77777777" w:rsidR="00137F06" w:rsidRPr="006E725C" w:rsidRDefault="00137F06" w:rsidP="00C07C2F">
            <w:pPr>
              <w:pStyle w:val="Textpoznpodarou"/>
              <w:jc w:val="both"/>
              <w:rPr>
                <w:spacing w:val="-4"/>
                <w:lang w:val="en-GB" w:eastAsia="en-US"/>
              </w:rPr>
            </w:pPr>
          </w:p>
        </w:tc>
        <w:tc>
          <w:tcPr>
            <w:tcW w:w="7610" w:type="dxa"/>
          </w:tcPr>
          <w:p w14:paraId="033835D3" w14:textId="3775CFAE" w:rsidR="00137F06" w:rsidRPr="006E725C" w:rsidRDefault="00CF3486" w:rsidP="009C0832">
            <w:pPr>
              <w:rPr>
                <w:spacing w:val="-2"/>
                <w:lang w:val="en-GB" w:eastAsia="en-US"/>
              </w:rPr>
            </w:pPr>
            <w:r w:rsidRPr="006E725C">
              <w:rPr>
                <w:spacing w:val="-2"/>
                <w:lang w:val="en-GB" w:eastAsia="en-US"/>
              </w:rPr>
              <w:t>Monetary policy-relevant rates changed for the first time since June 2022 at the end of Q</w:t>
            </w:r>
            <w:r w:rsidR="00137F06" w:rsidRPr="006E725C">
              <w:rPr>
                <w:spacing w:val="-2"/>
                <w:lang w:val="en-GB" w:eastAsia="en-US"/>
              </w:rPr>
              <w:t>4</w:t>
            </w:r>
            <w:r w:rsidRPr="006E725C">
              <w:rPr>
                <w:spacing w:val="-2"/>
                <w:lang w:val="en-GB" w:eastAsia="en-US"/>
              </w:rPr>
              <w:t xml:space="preserve"> </w:t>
            </w:r>
            <w:r w:rsidR="00137F06" w:rsidRPr="006E725C">
              <w:rPr>
                <w:spacing w:val="-2"/>
                <w:lang w:val="en-GB" w:eastAsia="en-US"/>
              </w:rPr>
              <w:t>2023</w:t>
            </w:r>
            <w:r w:rsidRPr="006E725C">
              <w:rPr>
                <w:spacing w:val="-2"/>
                <w:lang w:val="en-GB" w:eastAsia="en-US"/>
              </w:rPr>
              <w:t xml:space="preserve">. Two-week repo rate was decreased from the level of </w:t>
            </w:r>
            <w:r w:rsidR="00137F06" w:rsidRPr="006E725C">
              <w:rPr>
                <w:spacing w:val="-2"/>
                <w:lang w:val="en-GB" w:eastAsia="en-US"/>
              </w:rPr>
              <w:t>7</w:t>
            </w:r>
            <w:r w:rsidRPr="006E725C">
              <w:rPr>
                <w:spacing w:val="-2"/>
                <w:lang w:val="en-GB" w:eastAsia="en-US"/>
              </w:rPr>
              <w:t>.</w:t>
            </w:r>
            <w:r w:rsidR="00137F06" w:rsidRPr="006E725C">
              <w:rPr>
                <w:spacing w:val="-2"/>
                <w:lang w:val="en-GB" w:eastAsia="en-US"/>
              </w:rPr>
              <w:t>00%</w:t>
            </w:r>
            <w:r w:rsidRPr="006E725C">
              <w:rPr>
                <w:spacing w:val="-2"/>
                <w:lang w:val="en-GB" w:eastAsia="en-US"/>
              </w:rPr>
              <w:t xml:space="preserve"> to </w:t>
            </w:r>
            <w:r w:rsidR="00137F06" w:rsidRPr="006E725C">
              <w:rPr>
                <w:spacing w:val="-2"/>
                <w:lang w:val="en-GB" w:eastAsia="en-US"/>
              </w:rPr>
              <w:t>6</w:t>
            </w:r>
            <w:r w:rsidRPr="006E725C">
              <w:rPr>
                <w:spacing w:val="-2"/>
                <w:lang w:val="en-GB" w:eastAsia="en-US"/>
              </w:rPr>
              <w:t>.</w:t>
            </w:r>
            <w:r w:rsidR="00137F06" w:rsidRPr="006E725C">
              <w:rPr>
                <w:spacing w:val="-2"/>
                <w:lang w:val="en-GB" w:eastAsia="en-US"/>
              </w:rPr>
              <w:t>75%</w:t>
            </w:r>
            <w:r w:rsidR="00137F06" w:rsidRPr="006E725C">
              <w:rPr>
                <w:rStyle w:val="Znakapoznpodarou"/>
                <w:spacing w:val="-2"/>
                <w:lang w:val="en-GB" w:eastAsia="en-US"/>
              </w:rPr>
              <w:footnoteReference w:id="94"/>
            </w:r>
            <w:r w:rsidRPr="006E725C">
              <w:rPr>
                <w:spacing w:val="-2"/>
                <w:lang w:val="en-GB" w:eastAsia="en-US"/>
              </w:rPr>
              <w:t xml:space="preserve"> on 21</w:t>
            </w:r>
            <w:r w:rsidRPr="006E725C">
              <w:rPr>
                <w:spacing w:val="-2"/>
                <w:vertAlign w:val="superscript"/>
                <w:lang w:val="en-GB" w:eastAsia="en-US"/>
              </w:rPr>
              <w:t>st</w:t>
            </w:r>
            <w:r w:rsidRPr="006E725C">
              <w:rPr>
                <w:spacing w:val="-2"/>
                <w:lang w:val="en-GB" w:eastAsia="en-US"/>
              </w:rPr>
              <w:t xml:space="preserve"> December and the discount rate fell similarly to </w:t>
            </w:r>
            <w:r w:rsidR="00137F06" w:rsidRPr="006E725C">
              <w:rPr>
                <w:spacing w:val="-2"/>
                <w:lang w:val="en-GB" w:eastAsia="en-US"/>
              </w:rPr>
              <w:t>5</w:t>
            </w:r>
            <w:r w:rsidRPr="006E725C">
              <w:rPr>
                <w:spacing w:val="-2"/>
                <w:lang w:val="en-GB" w:eastAsia="en-US"/>
              </w:rPr>
              <w:t>.</w:t>
            </w:r>
            <w:r w:rsidR="00137F06" w:rsidRPr="006E725C">
              <w:rPr>
                <w:spacing w:val="-2"/>
                <w:lang w:val="en-GB" w:eastAsia="en-US"/>
              </w:rPr>
              <w:t>75% a</w:t>
            </w:r>
            <w:r w:rsidRPr="006E725C">
              <w:rPr>
                <w:spacing w:val="-2"/>
                <w:lang w:val="en-GB" w:eastAsia="en-US"/>
              </w:rPr>
              <w:t xml:space="preserve">nd Lombard to </w:t>
            </w:r>
            <w:r w:rsidR="00137F06" w:rsidRPr="006E725C">
              <w:rPr>
                <w:spacing w:val="-2"/>
                <w:lang w:val="en-GB" w:eastAsia="en-US"/>
              </w:rPr>
              <w:t>7</w:t>
            </w:r>
            <w:r w:rsidRPr="006E725C">
              <w:rPr>
                <w:spacing w:val="-2"/>
                <w:lang w:val="en-GB" w:eastAsia="en-US"/>
              </w:rPr>
              <w:t>.</w:t>
            </w:r>
            <w:r w:rsidR="00137F06" w:rsidRPr="006E725C">
              <w:rPr>
                <w:spacing w:val="-2"/>
                <w:lang w:val="en-GB" w:eastAsia="en-US"/>
              </w:rPr>
              <w:t>75%. K</w:t>
            </w:r>
            <w:r w:rsidRPr="006E725C">
              <w:rPr>
                <w:spacing w:val="-2"/>
                <w:lang w:val="en-GB" w:eastAsia="en-US"/>
              </w:rPr>
              <w:t xml:space="preserve">oruna foreign exchange per euro reacted to the change in the setup of rates by mild weakening down to </w:t>
            </w:r>
            <w:r w:rsidR="00137F06" w:rsidRPr="006E725C">
              <w:rPr>
                <w:spacing w:val="-2"/>
                <w:lang w:val="en-GB" w:eastAsia="en-US"/>
              </w:rPr>
              <w:t>24</w:t>
            </w:r>
            <w:r w:rsidRPr="006E725C">
              <w:rPr>
                <w:spacing w:val="-2"/>
                <w:lang w:val="en-GB" w:eastAsia="en-US"/>
              </w:rPr>
              <w:t>.</w:t>
            </w:r>
            <w:r w:rsidR="00137F06" w:rsidRPr="006E725C">
              <w:rPr>
                <w:spacing w:val="-2"/>
                <w:lang w:val="en-GB" w:eastAsia="en-US"/>
              </w:rPr>
              <w:t>73 CZK/EU</w:t>
            </w:r>
            <w:r w:rsidR="009C0832">
              <w:rPr>
                <w:spacing w:val="-2"/>
                <w:lang w:val="en-GB" w:eastAsia="en-US"/>
              </w:rPr>
              <w:t>R</w:t>
            </w:r>
            <w:r w:rsidR="00137F06" w:rsidRPr="006E725C">
              <w:rPr>
                <w:spacing w:val="-2"/>
                <w:lang w:val="en-GB" w:eastAsia="en-US"/>
              </w:rPr>
              <w:t xml:space="preserve"> </w:t>
            </w:r>
            <w:r w:rsidRPr="006E725C">
              <w:rPr>
                <w:spacing w:val="-2"/>
                <w:lang w:val="en-GB" w:eastAsia="en-US"/>
              </w:rPr>
              <w:t xml:space="preserve">towards the end of December, while the exchange per dollar stagnated and considerably weakened only on the last December day to </w:t>
            </w:r>
            <w:r w:rsidR="00137F06" w:rsidRPr="006E725C">
              <w:rPr>
                <w:spacing w:val="-2"/>
                <w:lang w:val="en-GB" w:eastAsia="en-US"/>
              </w:rPr>
              <w:t>22</w:t>
            </w:r>
            <w:r w:rsidRPr="006E725C">
              <w:rPr>
                <w:spacing w:val="-2"/>
                <w:lang w:val="en-GB" w:eastAsia="en-US"/>
              </w:rPr>
              <w:t>.</w:t>
            </w:r>
            <w:r w:rsidR="00137F06" w:rsidRPr="006E725C">
              <w:rPr>
                <w:spacing w:val="-2"/>
                <w:lang w:val="en-GB" w:eastAsia="en-US"/>
              </w:rPr>
              <w:t xml:space="preserve">38 CZK/USD. </w:t>
            </w:r>
            <w:r w:rsidR="009E06B0" w:rsidRPr="006E725C">
              <w:rPr>
                <w:spacing w:val="-2"/>
                <w:lang w:val="en-GB" w:eastAsia="en-US"/>
              </w:rPr>
              <w:t xml:space="preserve">Koruna foreign exchange per euro was on average </w:t>
            </w:r>
            <w:r w:rsidR="00137F06" w:rsidRPr="006E725C">
              <w:rPr>
                <w:spacing w:val="-2"/>
                <w:lang w:val="en-GB" w:eastAsia="en-US"/>
              </w:rPr>
              <w:t>24</w:t>
            </w:r>
            <w:r w:rsidR="009E06B0" w:rsidRPr="006E725C">
              <w:rPr>
                <w:spacing w:val="-2"/>
                <w:lang w:val="en-GB" w:eastAsia="en-US"/>
              </w:rPr>
              <w:t>.</w:t>
            </w:r>
            <w:r w:rsidR="00137F06" w:rsidRPr="006E725C">
              <w:rPr>
                <w:spacing w:val="-2"/>
                <w:lang w:val="en-GB" w:eastAsia="en-US"/>
              </w:rPr>
              <w:t>52 CZK/EU</w:t>
            </w:r>
            <w:r w:rsidR="009C0832">
              <w:rPr>
                <w:spacing w:val="-2"/>
                <w:lang w:val="en-GB" w:eastAsia="en-US"/>
              </w:rPr>
              <w:t>R</w:t>
            </w:r>
            <w:r w:rsidR="009E06B0" w:rsidRPr="006E725C">
              <w:rPr>
                <w:spacing w:val="-2"/>
                <w:lang w:val="en-GB" w:eastAsia="en-US"/>
              </w:rPr>
              <w:t xml:space="preserve"> for the whole Q4</w:t>
            </w:r>
            <w:r w:rsidR="00137F06" w:rsidRPr="006E725C">
              <w:rPr>
                <w:spacing w:val="-2"/>
                <w:lang w:val="en-GB" w:eastAsia="en-US"/>
              </w:rPr>
              <w:t xml:space="preserve"> a</w:t>
            </w:r>
            <w:r w:rsidR="009E06B0" w:rsidRPr="006E725C">
              <w:rPr>
                <w:spacing w:val="-2"/>
                <w:lang w:val="en-GB" w:eastAsia="en-US"/>
              </w:rPr>
              <w:t xml:space="preserve">nd was thus weaker by </w:t>
            </w:r>
            <w:r w:rsidR="009C0832">
              <w:rPr>
                <w:spacing w:val="-2"/>
                <w:lang w:val="en-GB" w:eastAsia="en-US"/>
              </w:rPr>
              <w:t>0.</w:t>
            </w:r>
            <w:r w:rsidR="00137F06" w:rsidRPr="006E725C">
              <w:rPr>
                <w:spacing w:val="-2"/>
                <w:lang w:val="en-GB" w:eastAsia="en-US"/>
              </w:rPr>
              <w:t xml:space="preserve">39 </w:t>
            </w:r>
            <w:r w:rsidR="009C0832">
              <w:rPr>
                <w:spacing w:val="-2"/>
                <w:lang w:val="en-GB" w:eastAsia="en-US"/>
              </w:rPr>
              <w:t>CZK</w:t>
            </w:r>
            <w:r w:rsidR="00353B33" w:rsidRPr="006E725C">
              <w:rPr>
                <w:spacing w:val="-2"/>
                <w:lang w:val="en-GB" w:eastAsia="en-US"/>
              </w:rPr>
              <w:t xml:space="preserve"> </w:t>
            </w:r>
            <w:r w:rsidR="009E06B0" w:rsidRPr="006E725C">
              <w:rPr>
                <w:spacing w:val="-2"/>
                <w:lang w:val="en-GB" w:eastAsia="en-US"/>
              </w:rPr>
              <w:t xml:space="preserve">quarter-on-quarter and </w:t>
            </w:r>
            <w:r w:rsidR="00353B33" w:rsidRPr="006E725C">
              <w:rPr>
                <w:spacing w:val="-2"/>
                <w:lang w:val="en-GB" w:eastAsia="en-US"/>
              </w:rPr>
              <w:t>weakened</w:t>
            </w:r>
            <w:r w:rsidR="009E06B0" w:rsidRPr="006E725C">
              <w:rPr>
                <w:spacing w:val="-2"/>
                <w:lang w:val="en-GB" w:eastAsia="en-US"/>
              </w:rPr>
              <w:t xml:space="preserve"> by </w:t>
            </w:r>
            <w:r w:rsidR="009C0832">
              <w:rPr>
                <w:spacing w:val="-2"/>
                <w:lang w:val="en-GB" w:eastAsia="en-US"/>
              </w:rPr>
              <w:t>0.</w:t>
            </w:r>
            <w:r w:rsidR="00137F06" w:rsidRPr="006E725C">
              <w:rPr>
                <w:spacing w:val="-2"/>
                <w:lang w:val="en-GB" w:eastAsia="en-US"/>
              </w:rPr>
              <w:t>13 </w:t>
            </w:r>
            <w:r w:rsidR="009C0832">
              <w:rPr>
                <w:spacing w:val="-2"/>
                <w:lang w:val="en-GB" w:eastAsia="en-US"/>
              </w:rPr>
              <w:t>CZK</w:t>
            </w:r>
            <w:r w:rsidR="00353B33" w:rsidRPr="006E725C">
              <w:rPr>
                <w:spacing w:val="-2"/>
                <w:lang w:val="en-GB" w:eastAsia="en-US"/>
              </w:rPr>
              <w:t xml:space="preserve"> y</w:t>
            </w:r>
            <w:r w:rsidR="009E06B0" w:rsidRPr="006E725C">
              <w:rPr>
                <w:spacing w:val="-2"/>
                <w:lang w:val="en-GB" w:eastAsia="en-US"/>
              </w:rPr>
              <w:t>ear-on-year</w:t>
            </w:r>
            <w:r w:rsidR="00137F06" w:rsidRPr="006E725C">
              <w:rPr>
                <w:spacing w:val="-2"/>
                <w:lang w:val="en-GB" w:eastAsia="en-US"/>
              </w:rPr>
              <w:t>.</w:t>
            </w:r>
            <w:r w:rsidR="00353B33" w:rsidRPr="006E725C">
              <w:rPr>
                <w:spacing w:val="-2"/>
                <w:lang w:val="en-GB" w:eastAsia="en-US"/>
              </w:rPr>
              <w:t xml:space="preserve"> Koruna foreign exchange per euro fluctuated around the level of </w:t>
            </w:r>
            <w:r w:rsidR="00137F06" w:rsidRPr="006E725C">
              <w:rPr>
                <w:spacing w:val="-2"/>
                <w:lang w:val="en-GB" w:eastAsia="en-US"/>
              </w:rPr>
              <w:t>24</w:t>
            </w:r>
            <w:r w:rsidR="00353B33" w:rsidRPr="006E725C">
              <w:rPr>
                <w:spacing w:val="-2"/>
                <w:lang w:val="en-GB" w:eastAsia="en-US"/>
              </w:rPr>
              <w:t>.</w:t>
            </w:r>
            <w:r w:rsidR="00137F06" w:rsidRPr="006E725C">
              <w:rPr>
                <w:spacing w:val="-2"/>
                <w:lang w:val="en-GB" w:eastAsia="en-US"/>
              </w:rPr>
              <w:t>50 CZK/EUR</w:t>
            </w:r>
            <w:r w:rsidR="009E06B0" w:rsidRPr="006E725C">
              <w:rPr>
                <w:spacing w:val="-2"/>
                <w:lang w:val="en-GB" w:eastAsia="en-US"/>
              </w:rPr>
              <w:t xml:space="preserve"> during the quarter</w:t>
            </w:r>
            <w:r w:rsidR="00137F06" w:rsidRPr="006E725C">
              <w:rPr>
                <w:spacing w:val="-2"/>
                <w:lang w:val="en-GB" w:eastAsia="en-US"/>
              </w:rPr>
              <w:t xml:space="preserve">. </w:t>
            </w:r>
            <w:r w:rsidR="00353B33" w:rsidRPr="006E725C">
              <w:rPr>
                <w:spacing w:val="-2"/>
                <w:lang w:val="en-GB" w:eastAsia="en-US"/>
              </w:rPr>
              <w:t xml:space="preserve">Exchange per dollar started the quarter at </w:t>
            </w:r>
            <w:r w:rsidR="00137F06" w:rsidRPr="006E725C">
              <w:rPr>
                <w:spacing w:val="-2"/>
                <w:lang w:val="en-GB" w:eastAsia="en-US"/>
              </w:rPr>
              <w:t>23</w:t>
            </w:r>
            <w:r w:rsidR="00353B33" w:rsidRPr="006E725C">
              <w:rPr>
                <w:spacing w:val="-2"/>
                <w:lang w:val="en-GB" w:eastAsia="en-US"/>
              </w:rPr>
              <w:t>.</w:t>
            </w:r>
            <w:r w:rsidR="00137F06" w:rsidRPr="006E725C">
              <w:rPr>
                <w:spacing w:val="-2"/>
                <w:lang w:val="en-GB" w:eastAsia="en-US"/>
              </w:rPr>
              <w:t>23 CZK/USD a</w:t>
            </w:r>
            <w:r w:rsidR="00353B33" w:rsidRPr="006E725C">
              <w:rPr>
                <w:spacing w:val="-2"/>
                <w:lang w:val="en-GB" w:eastAsia="en-US"/>
              </w:rPr>
              <w:t xml:space="preserve">nd strengthened by nearly one koruna to </w:t>
            </w:r>
            <w:r w:rsidR="00137F06" w:rsidRPr="006E725C">
              <w:rPr>
                <w:spacing w:val="-2"/>
                <w:lang w:val="en-GB" w:eastAsia="en-US"/>
              </w:rPr>
              <w:t>22</w:t>
            </w:r>
            <w:r w:rsidR="00353B33" w:rsidRPr="006E725C">
              <w:rPr>
                <w:spacing w:val="-2"/>
                <w:lang w:val="en-GB" w:eastAsia="en-US"/>
              </w:rPr>
              <w:t>.</w:t>
            </w:r>
            <w:r w:rsidR="00137F06" w:rsidRPr="006E725C">
              <w:rPr>
                <w:spacing w:val="-2"/>
                <w:lang w:val="en-GB" w:eastAsia="en-US"/>
              </w:rPr>
              <w:t xml:space="preserve">38 CZK/USD. </w:t>
            </w:r>
            <w:r w:rsidR="00FC60A5" w:rsidRPr="006E725C">
              <w:rPr>
                <w:spacing w:val="-2"/>
                <w:lang w:val="en-GB" w:eastAsia="en-US"/>
              </w:rPr>
              <w:t xml:space="preserve">The koruna foreign exchange per dollar however reached on average </w:t>
            </w:r>
            <w:r w:rsidR="00137F06" w:rsidRPr="006E725C">
              <w:rPr>
                <w:spacing w:val="-2"/>
                <w:lang w:val="en-GB" w:eastAsia="en-US"/>
              </w:rPr>
              <w:t>22</w:t>
            </w:r>
            <w:r w:rsidR="00FC60A5" w:rsidRPr="006E725C">
              <w:rPr>
                <w:spacing w:val="-2"/>
                <w:lang w:val="en-GB" w:eastAsia="en-US"/>
              </w:rPr>
              <w:t>.</w:t>
            </w:r>
            <w:r w:rsidR="00137F06" w:rsidRPr="006E725C">
              <w:rPr>
                <w:spacing w:val="-2"/>
                <w:lang w:val="en-GB" w:eastAsia="en-US"/>
              </w:rPr>
              <w:t>82 CZK/USD</w:t>
            </w:r>
            <w:r w:rsidR="00FC60A5" w:rsidRPr="006E725C">
              <w:rPr>
                <w:spacing w:val="-2"/>
                <w:lang w:val="en-GB" w:eastAsia="en-US"/>
              </w:rPr>
              <w:t xml:space="preserve"> in Q4</w:t>
            </w:r>
            <w:r w:rsidR="00137F06" w:rsidRPr="006E725C">
              <w:rPr>
                <w:spacing w:val="-2"/>
                <w:lang w:val="en-GB" w:eastAsia="en-US"/>
              </w:rPr>
              <w:t xml:space="preserve"> a</w:t>
            </w:r>
            <w:r w:rsidR="00987277" w:rsidRPr="006E725C">
              <w:rPr>
                <w:spacing w:val="-2"/>
                <w:lang w:val="en-GB" w:eastAsia="en-US"/>
              </w:rPr>
              <w:t xml:space="preserve">nd thus was by </w:t>
            </w:r>
            <w:r w:rsidR="009C0832">
              <w:rPr>
                <w:spacing w:val="-2"/>
                <w:lang w:val="en-GB" w:eastAsia="en-US"/>
              </w:rPr>
              <w:t>0.</w:t>
            </w:r>
            <w:r w:rsidR="00137F06" w:rsidRPr="006E725C">
              <w:rPr>
                <w:spacing w:val="-2"/>
                <w:lang w:val="en-GB" w:eastAsia="en-US"/>
              </w:rPr>
              <w:t>65</w:t>
            </w:r>
            <w:r w:rsidR="00987277" w:rsidRPr="006E725C">
              <w:rPr>
                <w:spacing w:val="-2"/>
                <w:lang w:val="en-GB" w:eastAsia="en-US"/>
              </w:rPr>
              <w:t xml:space="preserve"> </w:t>
            </w:r>
            <w:r w:rsidR="009C0832">
              <w:rPr>
                <w:spacing w:val="-2"/>
                <w:lang w:val="en-GB" w:eastAsia="en-US"/>
              </w:rPr>
              <w:t>CZK</w:t>
            </w:r>
            <w:r w:rsidR="00987277" w:rsidRPr="006E725C">
              <w:rPr>
                <w:spacing w:val="-2"/>
                <w:lang w:val="en-GB" w:eastAsia="en-US"/>
              </w:rPr>
              <w:t xml:space="preserve"> weaker than in Q</w:t>
            </w:r>
            <w:r w:rsidR="00137F06" w:rsidRPr="006E725C">
              <w:rPr>
                <w:spacing w:val="-2"/>
                <w:lang w:val="en-GB" w:eastAsia="en-US"/>
              </w:rPr>
              <w:t>3.</w:t>
            </w:r>
            <w:r w:rsidR="00987277" w:rsidRPr="006E725C">
              <w:rPr>
                <w:spacing w:val="-2"/>
                <w:lang w:val="en-GB" w:eastAsia="en-US"/>
              </w:rPr>
              <w:t xml:space="preserve">  Compared to the level of Q</w:t>
            </w:r>
            <w:r w:rsidR="00137F06" w:rsidRPr="006E725C">
              <w:rPr>
                <w:spacing w:val="-2"/>
                <w:lang w:val="en-GB" w:eastAsia="en-US"/>
              </w:rPr>
              <w:t>4</w:t>
            </w:r>
            <w:r w:rsidR="00987277" w:rsidRPr="006E725C">
              <w:rPr>
                <w:spacing w:val="-2"/>
                <w:lang w:val="en-GB" w:eastAsia="en-US"/>
              </w:rPr>
              <w:t xml:space="preserve"> </w:t>
            </w:r>
            <w:r w:rsidR="00137F06" w:rsidRPr="006E725C">
              <w:rPr>
                <w:spacing w:val="-2"/>
                <w:lang w:val="en-GB" w:eastAsia="en-US"/>
              </w:rPr>
              <w:t>2022</w:t>
            </w:r>
            <w:r w:rsidR="00987277" w:rsidRPr="006E725C">
              <w:rPr>
                <w:spacing w:val="-2"/>
                <w:lang w:val="en-GB" w:eastAsia="en-US"/>
              </w:rPr>
              <w:t xml:space="preserve">, the koruna foreign exchange per dollar was by </w:t>
            </w:r>
            <w:r w:rsidR="00137F06" w:rsidRPr="006E725C">
              <w:rPr>
                <w:spacing w:val="-2"/>
                <w:lang w:val="en-GB" w:eastAsia="en-US"/>
              </w:rPr>
              <w:t>1</w:t>
            </w:r>
            <w:r w:rsidR="00987277" w:rsidRPr="006E725C">
              <w:rPr>
                <w:spacing w:val="-2"/>
                <w:lang w:val="en-GB" w:eastAsia="en-US"/>
              </w:rPr>
              <w:t>.</w:t>
            </w:r>
            <w:r w:rsidR="00137F06" w:rsidRPr="006E725C">
              <w:rPr>
                <w:spacing w:val="-2"/>
                <w:lang w:val="en-GB" w:eastAsia="en-US"/>
              </w:rPr>
              <w:t>10</w:t>
            </w:r>
            <w:r w:rsidR="00987277" w:rsidRPr="006E725C">
              <w:rPr>
                <w:spacing w:val="-2"/>
                <w:lang w:val="en-GB" w:eastAsia="en-US"/>
              </w:rPr>
              <w:t xml:space="preserve"> CZK stronger</w:t>
            </w:r>
            <w:r w:rsidR="00137F06" w:rsidRPr="006E725C">
              <w:rPr>
                <w:spacing w:val="-2"/>
                <w:lang w:val="en-GB" w:eastAsia="en-US"/>
              </w:rPr>
              <w:t xml:space="preserve">. </w:t>
            </w:r>
          </w:p>
        </w:tc>
      </w:tr>
      <w:tr w:rsidR="00137F06" w:rsidRPr="006E725C" w14:paraId="3CD8ECE5" w14:textId="77777777" w:rsidTr="00C07C2F">
        <w:trPr>
          <w:trHeight w:val="145"/>
        </w:trPr>
        <w:tc>
          <w:tcPr>
            <w:tcW w:w="1802" w:type="dxa"/>
          </w:tcPr>
          <w:p w14:paraId="1F3B4EEF" w14:textId="16FDCACA" w:rsidR="00137F06" w:rsidRPr="006E725C" w:rsidRDefault="0041231B" w:rsidP="00C07C2F">
            <w:pPr>
              <w:pStyle w:val="Marginlie"/>
              <w:rPr>
                <w:lang w:val="en-GB" w:eastAsia="en-US"/>
              </w:rPr>
            </w:pPr>
            <w:r w:rsidRPr="006E725C">
              <w:rPr>
                <w:lang w:val="en-GB" w:eastAsia="en-US"/>
              </w:rPr>
              <w:t xml:space="preserve">Interbank interest rates on deposits with longer maturity started to decrease in advance. </w:t>
            </w:r>
          </w:p>
        </w:tc>
        <w:tc>
          <w:tcPr>
            <w:tcW w:w="229" w:type="dxa"/>
          </w:tcPr>
          <w:p w14:paraId="414FDF65" w14:textId="77777777" w:rsidR="00137F06" w:rsidRPr="006E725C" w:rsidRDefault="00137F06" w:rsidP="00C07C2F">
            <w:pPr>
              <w:pStyle w:val="Textpoznpodarou"/>
              <w:jc w:val="both"/>
              <w:rPr>
                <w:spacing w:val="-4"/>
                <w:lang w:val="en-GB" w:eastAsia="en-US"/>
              </w:rPr>
            </w:pPr>
          </w:p>
        </w:tc>
        <w:tc>
          <w:tcPr>
            <w:tcW w:w="7610" w:type="dxa"/>
          </w:tcPr>
          <w:p w14:paraId="303A04DA" w14:textId="671684FC" w:rsidR="00137F06" w:rsidRPr="006E725C" w:rsidRDefault="00CF3486" w:rsidP="00C07C2F">
            <w:pPr>
              <w:rPr>
                <w:spacing w:val="-1"/>
                <w:lang w:val="en-GB" w:eastAsia="en-US"/>
              </w:rPr>
            </w:pPr>
            <w:r w:rsidRPr="006E725C">
              <w:rPr>
                <w:spacing w:val="-1"/>
                <w:lang w:val="en-GB" w:eastAsia="en-US"/>
              </w:rPr>
              <w:t>Decrease of the monetary policy-relevant rates also manifested on the interest rates on the interbank market in Q4</w:t>
            </w:r>
            <w:r w:rsidR="00137F06" w:rsidRPr="006E725C">
              <w:rPr>
                <w:spacing w:val="-1"/>
                <w:lang w:val="en-GB" w:eastAsia="en-US"/>
              </w:rPr>
              <w:t>.</w:t>
            </w:r>
            <w:r w:rsidRPr="006E725C">
              <w:rPr>
                <w:spacing w:val="-1"/>
                <w:lang w:val="en-GB" w:eastAsia="en-US"/>
              </w:rPr>
              <w:t xml:space="preserve"> Monthly </w:t>
            </w:r>
            <w:r w:rsidR="00137F06" w:rsidRPr="006E725C">
              <w:rPr>
                <w:spacing w:val="-1"/>
                <w:lang w:val="en-GB" w:eastAsia="en-US"/>
              </w:rPr>
              <w:t xml:space="preserve">PRIBOR </w:t>
            </w:r>
            <w:r w:rsidRPr="006E725C">
              <w:rPr>
                <w:spacing w:val="-1"/>
                <w:lang w:val="en-GB" w:eastAsia="en-US"/>
              </w:rPr>
              <w:t xml:space="preserve">rate dropped by </w:t>
            </w:r>
            <w:r w:rsidR="00137F06" w:rsidRPr="006E725C">
              <w:rPr>
                <w:spacing w:val="-1"/>
                <w:lang w:val="en-GB" w:eastAsia="en-US"/>
              </w:rPr>
              <w:t>0</w:t>
            </w:r>
            <w:r w:rsidRPr="006E725C">
              <w:rPr>
                <w:spacing w:val="-1"/>
                <w:lang w:val="en-GB" w:eastAsia="en-US"/>
              </w:rPr>
              <w:t>.</w:t>
            </w:r>
            <w:r w:rsidR="00137F06" w:rsidRPr="006E725C">
              <w:rPr>
                <w:spacing w:val="-1"/>
                <w:lang w:val="en-GB" w:eastAsia="en-US"/>
              </w:rPr>
              <w:t>10 p.</w:t>
            </w:r>
            <w:r w:rsidRPr="006E725C">
              <w:rPr>
                <w:spacing w:val="-1"/>
                <w:lang w:val="en-GB" w:eastAsia="en-US"/>
              </w:rPr>
              <w:t>p</w:t>
            </w:r>
            <w:r w:rsidR="00137F06" w:rsidRPr="006E725C">
              <w:rPr>
                <w:spacing w:val="-1"/>
                <w:lang w:val="en-GB" w:eastAsia="en-US"/>
              </w:rPr>
              <w:t>.</w:t>
            </w:r>
            <w:r w:rsidR="00137F06" w:rsidRPr="006E725C">
              <w:rPr>
                <w:rStyle w:val="Znakapoznpodarou"/>
                <w:spacing w:val="-1"/>
                <w:lang w:val="en-GB" w:eastAsia="en-US"/>
              </w:rPr>
              <w:t xml:space="preserve"> </w:t>
            </w:r>
            <w:r w:rsidR="00137F06" w:rsidRPr="006E725C">
              <w:rPr>
                <w:rStyle w:val="Znakapoznpodarou"/>
                <w:spacing w:val="-1"/>
                <w:lang w:val="en-GB" w:eastAsia="en-US"/>
              </w:rPr>
              <w:footnoteReference w:id="95"/>
            </w:r>
            <w:r w:rsidR="00137F06" w:rsidRPr="006E725C">
              <w:rPr>
                <w:spacing w:val="-1"/>
                <w:lang w:val="en-GB" w:eastAsia="en-US"/>
              </w:rPr>
              <w:t xml:space="preserve"> </w:t>
            </w:r>
            <w:proofErr w:type="gramStart"/>
            <w:r w:rsidRPr="006E725C">
              <w:rPr>
                <w:spacing w:val="-1"/>
                <w:lang w:val="en-GB" w:eastAsia="en-US"/>
              </w:rPr>
              <w:t>to</w:t>
            </w:r>
            <w:proofErr w:type="gramEnd"/>
            <w:r w:rsidRPr="006E725C">
              <w:rPr>
                <w:spacing w:val="-1"/>
                <w:lang w:val="en-GB" w:eastAsia="en-US"/>
              </w:rPr>
              <w:t xml:space="preserve"> </w:t>
            </w:r>
            <w:r w:rsidR="00137F06" w:rsidRPr="006E725C">
              <w:rPr>
                <w:spacing w:val="-1"/>
                <w:lang w:val="en-GB" w:eastAsia="en-US"/>
              </w:rPr>
              <w:t>6</w:t>
            </w:r>
            <w:r w:rsidRPr="006E725C">
              <w:rPr>
                <w:spacing w:val="-1"/>
                <w:lang w:val="en-GB" w:eastAsia="en-US"/>
              </w:rPr>
              <w:t>.</w:t>
            </w:r>
            <w:r w:rsidR="00137F06" w:rsidRPr="006E725C">
              <w:rPr>
                <w:spacing w:val="-1"/>
                <w:lang w:val="en-GB" w:eastAsia="en-US"/>
              </w:rPr>
              <w:t>98%</w:t>
            </w:r>
            <w:r w:rsidRPr="006E725C">
              <w:rPr>
                <w:spacing w:val="-1"/>
                <w:lang w:val="en-GB" w:eastAsia="en-US"/>
              </w:rPr>
              <w:t xml:space="preserve"> and three-month by </w:t>
            </w:r>
            <w:r w:rsidR="00137F06" w:rsidRPr="006E725C">
              <w:rPr>
                <w:spacing w:val="-1"/>
                <w:lang w:val="en-GB" w:eastAsia="en-US"/>
              </w:rPr>
              <w:t>0</w:t>
            </w:r>
            <w:r w:rsidRPr="006E725C">
              <w:rPr>
                <w:spacing w:val="-1"/>
                <w:lang w:val="en-GB" w:eastAsia="en-US"/>
              </w:rPr>
              <w:t>.</w:t>
            </w:r>
            <w:r w:rsidR="00137F06" w:rsidRPr="006E725C">
              <w:rPr>
                <w:spacing w:val="-1"/>
                <w:lang w:val="en-GB" w:eastAsia="en-US"/>
              </w:rPr>
              <w:t>12 p.</w:t>
            </w:r>
            <w:r w:rsidRPr="006E725C">
              <w:rPr>
                <w:spacing w:val="-1"/>
                <w:lang w:val="en-GB" w:eastAsia="en-US"/>
              </w:rPr>
              <w:t>p</w:t>
            </w:r>
            <w:r w:rsidR="00137F06" w:rsidRPr="006E725C">
              <w:rPr>
                <w:spacing w:val="-1"/>
                <w:lang w:val="en-GB" w:eastAsia="en-US"/>
              </w:rPr>
              <w:t>.</w:t>
            </w:r>
            <w:r w:rsidRPr="006E725C">
              <w:rPr>
                <w:spacing w:val="-1"/>
                <w:lang w:val="en-GB" w:eastAsia="en-US"/>
              </w:rPr>
              <w:t xml:space="preserve"> to </w:t>
            </w:r>
            <w:r w:rsidR="00137F06" w:rsidRPr="006E725C">
              <w:rPr>
                <w:spacing w:val="-1"/>
                <w:lang w:val="en-GB" w:eastAsia="en-US"/>
              </w:rPr>
              <w:t>6</w:t>
            </w:r>
            <w:r w:rsidRPr="006E725C">
              <w:rPr>
                <w:spacing w:val="-1"/>
                <w:lang w:val="en-GB" w:eastAsia="en-US"/>
              </w:rPr>
              <w:t>.</w:t>
            </w:r>
            <w:r w:rsidR="00137F06" w:rsidRPr="006E725C">
              <w:rPr>
                <w:spacing w:val="-1"/>
                <w:lang w:val="en-GB" w:eastAsia="en-US"/>
              </w:rPr>
              <w:t xml:space="preserve">97%. </w:t>
            </w:r>
            <w:r w:rsidRPr="006E725C">
              <w:rPr>
                <w:spacing w:val="-1"/>
                <w:lang w:val="en-GB" w:eastAsia="en-US"/>
              </w:rPr>
              <w:t xml:space="preserve">While </w:t>
            </w:r>
            <w:r w:rsidR="004A3454" w:rsidRPr="006E725C">
              <w:rPr>
                <w:spacing w:val="-1"/>
                <w:lang w:val="en-GB" w:eastAsia="en-US"/>
              </w:rPr>
              <w:t xml:space="preserve">the rates on deposits with short maturity however changed only in December in reaction to the loosening of the monetary conditions, rates of deposits with longer maturity were gradually falling in the anticipation of the change of monetary policy-relevant rates set up during the whole quarter. Six-month </w:t>
            </w:r>
            <w:r w:rsidR="00137F06" w:rsidRPr="006E725C">
              <w:rPr>
                <w:spacing w:val="-1"/>
                <w:lang w:val="en-GB" w:eastAsia="en-US"/>
              </w:rPr>
              <w:t>PRIBOR (−0</w:t>
            </w:r>
            <w:r w:rsidR="004A3454" w:rsidRPr="006E725C">
              <w:rPr>
                <w:spacing w:val="-1"/>
                <w:lang w:val="en-GB" w:eastAsia="en-US"/>
              </w:rPr>
              <w:t>.</w:t>
            </w:r>
            <w:r w:rsidR="00137F06" w:rsidRPr="006E725C">
              <w:rPr>
                <w:spacing w:val="-1"/>
                <w:lang w:val="en-GB" w:eastAsia="en-US"/>
              </w:rPr>
              <w:t>35 p.</w:t>
            </w:r>
            <w:r w:rsidR="004A3454" w:rsidRPr="006E725C">
              <w:rPr>
                <w:spacing w:val="-1"/>
                <w:lang w:val="en-GB" w:eastAsia="en-US"/>
              </w:rPr>
              <w:t>p</w:t>
            </w:r>
            <w:r w:rsidR="00137F06" w:rsidRPr="006E725C">
              <w:rPr>
                <w:spacing w:val="-1"/>
                <w:lang w:val="en-GB" w:eastAsia="en-US"/>
              </w:rPr>
              <w:t>.</w:t>
            </w:r>
            <w:r w:rsidR="004A3454" w:rsidRPr="006E725C">
              <w:rPr>
                <w:spacing w:val="-1"/>
                <w:lang w:val="en-GB" w:eastAsia="en-US"/>
              </w:rPr>
              <w:t xml:space="preserve"> to </w:t>
            </w:r>
            <w:r w:rsidR="00137F06" w:rsidRPr="006E725C">
              <w:rPr>
                <w:spacing w:val="-1"/>
                <w:lang w:val="en-GB" w:eastAsia="en-US"/>
              </w:rPr>
              <w:t>6</w:t>
            </w:r>
            <w:r w:rsidR="004A3454" w:rsidRPr="006E725C">
              <w:rPr>
                <w:spacing w:val="-1"/>
                <w:lang w:val="en-GB" w:eastAsia="en-US"/>
              </w:rPr>
              <w:t>.</w:t>
            </w:r>
            <w:r w:rsidR="00137F06" w:rsidRPr="006E725C">
              <w:rPr>
                <w:spacing w:val="-1"/>
                <w:lang w:val="en-GB" w:eastAsia="en-US"/>
              </w:rPr>
              <w:t>71%)</w:t>
            </w:r>
            <w:r w:rsidR="004A3454" w:rsidRPr="006E725C">
              <w:rPr>
                <w:spacing w:val="-1"/>
                <w:lang w:val="en-GB" w:eastAsia="en-US"/>
              </w:rPr>
              <w:t xml:space="preserve"> started to decrease in October more notably. </w:t>
            </w:r>
            <w:r w:rsidR="00A276E9" w:rsidRPr="006E725C">
              <w:rPr>
                <w:spacing w:val="-1"/>
                <w:lang w:val="en-GB" w:eastAsia="en-US"/>
              </w:rPr>
              <w:t xml:space="preserve">Annual </w:t>
            </w:r>
            <w:r w:rsidR="00137F06" w:rsidRPr="006E725C">
              <w:rPr>
                <w:spacing w:val="-1"/>
                <w:lang w:val="en-GB" w:eastAsia="en-US"/>
              </w:rPr>
              <w:t>PRIBOR (−0</w:t>
            </w:r>
            <w:r w:rsidR="00A276E9" w:rsidRPr="006E725C">
              <w:rPr>
                <w:spacing w:val="-1"/>
                <w:lang w:val="en-GB" w:eastAsia="en-US"/>
              </w:rPr>
              <w:t>.</w:t>
            </w:r>
            <w:r w:rsidR="00137F06" w:rsidRPr="006E725C">
              <w:rPr>
                <w:spacing w:val="-1"/>
                <w:lang w:val="en-GB" w:eastAsia="en-US"/>
              </w:rPr>
              <w:t>66 p.</w:t>
            </w:r>
            <w:r w:rsidR="00A276E9" w:rsidRPr="006E725C">
              <w:rPr>
                <w:spacing w:val="-1"/>
                <w:lang w:val="en-GB" w:eastAsia="en-US"/>
              </w:rPr>
              <w:t xml:space="preserve">p. to </w:t>
            </w:r>
            <w:r w:rsidR="00137F06" w:rsidRPr="006E725C">
              <w:rPr>
                <w:spacing w:val="-1"/>
                <w:lang w:val="en-GB" w:eastAsia="en-US"/>
              </w:rPr>
              <w:t>6</w:t>
            </w:r>
            <w:r w:rsidR="00A276E9" w:rsidRPr="006E725C">
              <w:rPr>
                <w:spacing w:val="-1"/>
                <w:lang w:val="en-GB" w:eastAsia="en-US"/>
              </w:rPr>
              <w:t>.</w:t>
            </w:r>
            <w:r w:rsidR="00137F06" w:rsidRPr="006E725C">
              <w:rPr>
                <w:spacing w:val="-1"/>
                <w:lang w:val="en-GB" w:eastAsia="en-US"/>
              </w:rPr>
              <w:t xml:space="preserve">19%) </w:t>
            </w:r>
            <w:r w:rsidR="00A276E9" w:rsidRPr="006E725C">
              <w:rPr>
                <w:spacing w:val="-1"/>
                <w:lang w:val="en-GB" w:eastAsia="en-US"/>
              </w:rPr>
              <w:t xml:space="preserve">featured a downward movement already in the summer months. </w:t>
            </w:r>
            <w:r w:rsidR="00217CC3" w:rsidRPr="006E725C">
              <w:rPr>
                <w:spacing w:val="-1"/>
                <w:lang w:val="en-GB" w:eastAsia="en-US"/>
              </w:rPr>
              <w:t>Yields on all government bonds of all types of maturities fell in Q</w:t>
            </w:r>
            <w:r w:rsidR="00137F06" w:rsidRPr="006E725C">
              <w:rPr>
                <w:spacing w:val="-1"/>
                <w:lang w:val="en-GB" w:eastAsia="en-US"/>
              </w:rPr>
              <w:t>4.</w:t>
            </w:r>
            <w:r w:rsidR="00217CC3" w:rsidRPr="006E725C">
              <w:rPr>
                <w:spacing w:val="-1"/>
                <w:lang w:val="en-GB" w:eastAsia="en-US"/>
              </w:rPr>
              <w:t xml:space="preserve"> Interest rate on short-term bonds thus ended the year </w:t>
            </w:r>
            <w:r w:rsidR="00137F06" w:rsidRPr="006E725C">
              <w:rPr>
                <w:spacing w:val="-1"/>
                <w:lang w:val="en-GB" w:eastAsia="en-US"/>
              </w:rPr>
              <w:t>202</w:t>
            </w:r>
            <w:r w:rsidR="00217CC3" w:rsidRPr="006E725C">
              <w:rPr>
                <w:spacing w:val="-1"/>
                <w:lang w:val="en-GB" w:eastAsia="en-US"/>
              </w:rPr>
              <w:t xml:space="preserve">3 </w:t>
            </w:r>
            <w:r w:rsidR="00137F06" w:rsidRPr="006E725C">
              <w:rPr>
                <w:spacing w:val="-1"/>
                <w:lang w:val="en-GB" w:eastAsia="en-US"/>
              </w:rPr>
              <w:t>4</w:t>
            </w:r>
            <w:r w:rsidR="00217CC3" w:rsidRPr="006E725C">
              <w:rPr>
                <w:spacing w:val="-1"/>
                <w:lang w:val="en-GB" w:eastAsia="en-US"/>
              </w:rPr>
              <w:t>.</w:t>
            </w:r>
            <w:r w:rsidR="00137F06" w:rsidRPr="006E725C">
              <w:rPr>
                <w:spacing w:val="-1"/>
                <w:lang w:val="en-GB" w:eastAsia="en-US"/>
              </w:rPr>
              <w:t>61% (−0</w:t>
            </w:r>
            <w:r w:rsidR="00217CC3" w:rsidRPr="006E725C">
              <w:rPr>
                <w:spacing w:val="-1"/>
                <w:lang w:val="en-GB" w:eastAsia="en-US"/>
              </w:rPr>
              <w:t>.</w:t>
            </w:r>
            <w:r w:rsidR="00137F06" w:rsidRPr="006E725C">
              <w:rPr>
                <w:spacing w:val="-1"/>
                <w:lang w:val="en-GB" w:eastAsia="en-US"/>
              </w:rPr>
              <w:t>44 p.</w:t>
            </w:r>
            <w:r w:rsidR="00217CC3" w:rsidRPr="006E725C">
              <w:rPr>
                <w:spacing w:val="-1"/>
                <w:lang w:val="en-GB" w:eastAsia="en-US"/>
              </w:rPr>
              <w:t>p</w:t>
            </w:r>
            <w:r w:rsidR="00137F06" w:rsidRPr="006E725C">
              <w:rPr>
                <w:spacing w:val="-1"/>
                <w:lang w:val="en-GB" w:eastAsia="en-US"/>
              </w:rPr>
              <w:t>.),</w:t>
            </w:r>
            <w:r w:rsidR="00217CC3" w:rsidRPr="006E725C">
              <w:rPr>
                <w:spacing w:val="-1"/>
                <w:lang w:val="en-GB" w:eastAsia="en-US"/>
              </w:rPr>
              <w:t xml:space="preserve"> it was </w:t>
            </w:r>
            <w:r w:rsidR="00137F06" w:rsidRPr="006E725C">
              <w:rPr>
                <w:spacing w:val="-1"/>
                <w:lang w:val="en-GB" w:eastAsia="en-US"/>
              </w:rPr>
              <w:t>3</w:t>
            </w:r>
            <w:r w:rsidR="00217CC3" w:rsidRPr="006E725C">
              <w:rPr>
                <w:spacing w:val="-1"/>
                <w:lang w:val="en-GB" w:eastAsia="en-US"/>
              </w:rPr>
              <w:t>.</w:t>
            </w:r>
            <w:r w:rsidR="00137F06" w:rsidRPr="006E725C">
              <w:rPr>
                <w:spacing w:val="-1"/>
                <w:lang w:val="en-GB" w:eastAsia="en-US"/>
              </w:rPr>
              <w:t>96%</w:t>
            </w:r>
            <w:r w:rsidR="00217CC3" w:rsidRPr="006E725C">
              <w:rPr>
                <w:spacing w:val="-1"/>
                <w:lang w:val="en-GB" w:eastAsia="en-US"/>
              </w:rPr>
              <w:t xml:space="preserve"> for medium-term bonds</w:t>
            </w:r>
            <w:r w:rsidR="00137F06" w:rsidRPr="006E725C">
              <w:rPr>
                <w:spacing w:val="-1"/>
                <w:lang w:val="en-GB" w:eastAsia="en-US"/>
              </w:rPr>
              <w:t xml:space="preserve"> (−0</w:t>
            </w:r>
            <w:r w:rsidR="00217CC3" w:rsidRPr="006E725C">
              <w:rPr>
                <w:spacing w:val="-1"/>
                <w:lang w:val="en-GB" w:eastAsia="en-US"/>
              </w:rPr>
              <w:t>.</w:t>
            </w:r>
            <w:r w:rsidR="00137F06" w:rsidRPr="006E725C">
              <w:rPr>
                <w:spacing w:val="-1"/>
                <w:lang w:val="en-GB" w:eastAsia="en-US"/>
              </w:rPr>
              <w:t>61 p.</w:t>
            </w:r>
            <w:r w:rsidR="00217CC3" w:rsidRPr="006E725C">
              <w:rPr>
                <w:spacing w:val="-1"/>
                <w:lang w:val="en-GB" w:eastAsia="en-US"/>
              </w:rPr>
              <w:t>p</w:t>
            </w:r>
            <w:r w:rsidR="00137F06" w:rsidRPr="006E725C">
              <w:rPr>
                <w:spacing w:val="-1"/>
                <w:lang w:val="en-GB" w:eastAsia="en-US"/>
              </w:rPr>
              <w:t>.) a</w:t>
            </w:r>
            <w:r w:rsidR="00217CC3" w:rsidRPr="006E725C">
              <w:rPr>
                <w:spacing w:val="-1"/>
                <w:lang w:val="en-GB" w:eastAsia="en-US"/>
              </w:rPr>
              <w:t xml:space="preserve">nd </w:t>
            </w:r>
            <w:r w:rsidR="00137F06" w:rsidRPr="006E725C">
              <w:rPr>
                <w:spacing w:val="-1"/>
                <w:lang w:val="en-GB" w:eastAsia="en-US"/>
              </w:rPr>
              <w:t>3</w:t>
            </w:r>
            <w:r w:rsidR="00217CC3" w:rsidRPr="006E725C">
              <w:rPr>
                <w:spacing w:val="-1"/>
                <w:lang w:val="en-GB" w:eastAsia="en-US"/>
              </w:rPr>
              <w:t>.</w:t>
            </w:r>
            <w:r w:rsidR="00137F06" w:rsidRPr="006E725C">
              <w:rPr>
                <w:spacing w:val="-1"/>
                <w:lang w:val="en-GB" w:eastAsia="en-US"/>
              </w:rPr>
              <w:t>97%</w:t>
            </w:r>
            <w:r w:rsidR="00217CC3" w:rsidRPr="006E725C">
              <w:rPr>
                <w:spacing w:val="-1"/>
                <w:lang w:val="en-GB" w:eastAsia="en-US"/>
              </w:rPr>
              <w:t xml:space="preserve"> for long-term bonds</w:t>
            </w:r>
            <w:r w:rsidR="00137F06" w:rsidRPr="006E725C">
              <w:rPr>
                <w:spacing w:val="-1"/>
                <w:lang w:val="en-GB" w:eastAsia="en-US"/>
              </w:rPr>
              <w:t xml:space="preserve"> (−0</w:t>
            </w:r>
            <w:r w:rsidR="00217CC3" w:rsidRPr="006E725C">
              <w:rPr>
                <w:spacing w:val="-1"/>
                <w:lang w:val="en-GB" w:eastAsia="en-US"/>
              </w:rPr>
              <w:t>.</w:t>
            </w:r>
            <w:r w:rsidR="00137F06" w:rsidRPr="006E725C">
              <w:rPr>
                <w:spacing w:val="-1"/>
                <w:lang w:val="en-GB" w:eastAsia="en-US"/>
              </w:rPr>
              <w:t>52 p.</w:t>
            </w:r>
            <w:r w:rsidR="00217CC3" w:rsidRPr="006E725C">
              <w:rPr>
                <w:spacing w:val="-1"/>
                <w:lang w:val="en-GB" w:eastAsia="en-US"/>
              </w:rPr>
              <w:t>p</w:t>
            </w:r>
            <w:r w:rsidR="00137F06" w:rsidRPr="006E725C">
              <w:rPr>
                <w:spacing w:val="-1"/>
                <w:lang w:val="en-GB" w:eastAsia="en-US"/>
              </w:rPr>
              <w:t xml:space="preserve">.)   </w:t>
            </w:r>
          </w:p>
        </w:tc>
      </w:tr>
      <w:tr w:rsidR="00137F06" w:rsidRPr="006E725C" w14:paraId="6581F46B" w14:textId="77777777" w:rsidTr="00C07C2F">
        <w:trPr>
          <w:trHeight w:val="145"/>
        </w:trPr>
        <w:tc>
          <w:tcPr>
            <w:tcW w:w="1802" w:type="dxa"/>
          </w:tcPr>
          <w:p w14:paraId="6904F4E4" w14:textId="2DE57C9B" w:rsidR="00137F06" w:rsidRPr="006E725C" w:rsidRDefault="0049505A" w:rsidP="00C07C2F">
            <w:pPr>
              <w:pStyle w:val="Marginlie"/>
              <w:rPr>
                <w:lang w:val="en-GB" w:eastAsia="en-US"/>
              </w:rPr>
            </w:pPr>
            <w:r w:rsidRPr="006E725C">
              <w:rPr>
                <w:lang w:val="en-GB" w:eastAsia="en-US"/>
              </w:rPr>
              <w:t xml:space="preserve">Interest rates on term deposits decreased. </w:t>
            </w:r>
          </w:p>
        </w:tc>
        <w:tc>
          <w:tcPr>
            <w:tcW w:w="229" w:type="dxa"/>
          </w:tcPr>
          <w:p w14:paraId="7E33B7A6" w14:textId="77777777" w:rsidR="00137F06" w:rsidRPr="006E725C" w:rsidRDefault="00137F06" w:rsidP="00C07C2F">
            <w:pPr>
              <w:pStyle w:val="Textpoznpodarou"/>
              <w:jc w:val="both"/>
              <w:rPr>
                <w:spacing w:val="-4"/>
                <w:lang w:val="en-GB" w:eastAsia="en-US"/>
              </w:rPr>
            </w:pPr>
          </w:p>
        </w:tc>
        <w:tc>
          <w:tcPr>
            <w:tcW w:w="7610" w:type="dxa"/>
          </w:tcPr>
          <w:p w14:paraId="21195FEE" w14:textId="0F6F39CE" w:rsidR="00137F06" w:rsidRPr="006E725C" w:rsidRDefault="00A276E9" w:rsidP="00C07C2F">
            <w:pPr>
              <w:rPr>
                <w:spacing w:val="-3"/>
                <w:lang w:val="en-GB" w:eastAsia="en-US"/>
              </w:rPr>
            </w:pPr>
            <w:r w:rsidRPr="006E725C">
              <w:rPr>
                <w:spacing w:val="-3"/>
                <w:lang w:val="en-GB" w:eastAsia="en-US"/>
              </w:rPr>
              <w:t>Impact of changes on the set-up of the monetary conditions on rates of the client accounts was mixed in Q</w:t>
            </w:r>
            <w:r w:rsidR="00137F06" w:rsidRPr="006E725C">
              <w:rPr>
                <w:spacing w:val="-3"/>
                <w:lang w:val="en-GB" w:eastAsia="en-US"/>
              </w:rPr>
              <w:t xml:space="preserve">4. </w:t>
            </w:r>
            <w:r w:rsidRPr="006E725C">
              <w:rPr>
                <w:spacing w:val="-3"/>
                <w:lang w:val="en-GB" w:eastAsia="en-US"/>
              </w:rPr>
              <w:t xml:space="preserve">While </w:t>
            </w:r>
            <w:r w:rsidR="00051810" w:rsidRPr="006E725C">
              <w:rPr>
                <w:spacing w:val="-3"/>
                <w:lang w:val="en-GB" w:eastAsia="en-US"/>
              </w:rPr>
              <w:t>one-day</w:t>
            </w:r>
            <w:r w:rsidR="00D51BC9" w:rsidRPr="006E725C">
              <w:rPr>
                <w:spacing w:val="-3"/>
                <w:lang w:val="en-GB" w:eastAsia="en-US"/>
              </w:rPr>
              <w:t xml:space="preserve"> deposits and current accounts of households did not experience any larger shift, term deposits had their interest on average markedly decreased</w:t>
            </w:r>
            <w:r w:rsidR="00137F06" w:rsidRPr="006E725C">
              <w:rPr>
                <w:spacing w:val="-3"/>
                <w:lang w:val="en-GB" w:eastAsia="en-US"/>
              </w:rPr>
              <w:t xml:space="preserve">. </w:t>
            </w:r>
            <w:r w:rsidRPr="006E725C">
              <w:rPr>
                <w:spacing w:val="-3"/>
                <w:lang w:val="en-GB" w:eastAsia="en-US"/>
              </w:rPr>
              <w:t xml:space="preserve">In </w:t>
            </w:r>
            <w:r w:rsidR="00051810" w:rsidRPr="006E725C">
              <w:rPr>
                <w:spacing w:val="-3"/>
                <w:lang w:val="en-GB" w:eastAsia="en-US"/>
              </w:rPr>
              <w:t>total,</w:t>
            </w:r>
            <w:r w:rsidRPr="006E725C">
              <w:rPr>
                <w:spacing w:val="-3"/>
                <w:lang w:val="en-GB" w:eastAsia="en-US"/>
              </w:rPr>
              <w:t xml:space="preserve"> the deposits with agreed maturity bore interest on average </w:t>
            </w:r>
            <w:r w:rsidR="00137F06" w:rsidRPr="006E725C">
              <w:rPr>
                <w:spacing w:val="-3"/>
                <w:lang w:val="en-GB" w:eastAsia="en-US"/>
              </w:rPr>
              <w:t>5</w:t>
            </w:r>
            <w:r w:rsidRPr="006E725C">
              <w:rPr>
                <w:spacing w:val="-3"/>
                <w:lang w:val="en-GB" w:eastAsia="en-US"/>
              </w:rPr>
              <w:t>.</w:t>
            </w:r>
            <w:r w:rsidR="00137F06" w:rsidRPr="006E725C">
              <w:rPr>
                <w:spacing w:val="-3"/>
                <w:lang w:val="en-GB" w:eastAsia="en-US"/>
              </w:rPr>
              <w:t>72% (−0</w:t>
            </w:r>
            <w:r w:rsidRPr="006E725C">
              <w:rPr>
                <w:spacing w:val="-3"/>
                <w:lang w:val="en-GB" w:eastAsia="en-US"/>
              </w:rPr>
              <w:t>.</w:t>
            </w:r>
            <w:r w:rsidR="00137F06" w:rsidRPr="006E725C">
              <w:rPr>
                <w:spacing w:val="-3"/>
                <w:lang w:val="en-GB" w:eastAsia="en-US"/>
              </w:rPr>
              <w:t>29 p.</w:t>
            </w:r>
            <w:r w:rsidRPr="006E725C">
              <w:rPr>
                <w:spacing w:val="-3"/>
                <w:lang w:val="en-GB" w:eastAsia="en-US"/>
              </w:rPr>
              <w:t>p</w:t>
            </w:r>
            <w:r w:rsidR="00137F06" w:rsidRPr="006E725C">
              <w:rPr>
                <w:spacing w:val="-3"/>
                <w:lang w:val="en-GB" w:eastAsia="en-US"/>
              </w:rPr>
              <w:t>.) a</w:t>
            </w:r>
            <w:r w:rsidRPr="006E725C">
              <w:rPr>
                <w:spacing w:val="-3"/>
                <w:lang w:val="en-GB" w:eastAsia="en-US"/>
              </w:rPr>
              <w:t xml:space="preserve">nd interest on deposits with maturity above one year was falling faster. </w:t>
            </w:r>
            <w:r w:rsidR="00AE38DD" w:rsidRPr="006E725C">
              <w:rPr>
                <w:spacing w:val="-3"/>
                <w:lang w:val="en-GB" w:eastAsia="en-US"/>
              </w:rPr>
              <w:t xml:space="preserve">The average interest of one-day deposits relatively substantially fell for the non-financial businesses </w:t>
            </w:r>
            <w:r w:rsidR="00137F06" w:rsidRPr="006E725C">
              <w:rPr>
                <w:spacing w:val="-3"/>
                <w:lang w:val="en-GB" w:eastAsia="en-US"/>
              </w:rPr>
              <w:t>(−0</w:t>
            </w:r>
            <w:r w:rsidR="00AE38DD" w:rsidRPr="006E725C">
              <w:rPr>
                <w:spacing w:val="-3"/>
                <w:lang w:val="en-GB" w:eastAsia="en-US"/>
              </w:rPr>
              <w:t>.</w:t>
            </w:r>
            <w:r w:rsidR="00137F06" w:rsidRPr="006E725C">
              <w:rPr>
                <w:spacing w:val="-3"/>
                <w:lang w:val="en-GB" w:eastAsia="en-US"/>
              </w:rPr>
              <w:t>49 p.</w:t>
            </w:r>
            <w:r w:rsidR="00AE38DD" w:rsidRPr="006E725C">
              <w:rPr>
                <w:spacing w:val="-3"/>
                <w:lang w:val="en-GB" w:eastAsia="en-US"/>
              </w:rPr>
              <w:t xml:space="preserve">p. to </w:t>
            </w:r>
            <w:r w:rsidR="00137F06" w:rsidRPr="006E725C">
              <w:rPr>
                <w:spacing w:val="-3"/>
                <w:lang w:val="en-GB" w:eastAsia="en-US"/>
              </w:rPr>
              <w:t>1</w:t>
            </w:r>
            <w:r w:rsidR="00AE38DD" w:rsidRPr="006E725C">
              <w:rPr>
                <w:spacing w:val="-3"/>
                <w:lang w:val="en-GB" w:eastAsia="en-US"/>
              </w:rPr>
              <w:t>.</w:t>
            </w:r>
            <w:r w:rsidR="00137F06" w:rsidRPr="006E725C">
              <w:rPr>
                <w:spacing w:val="-3"/>
                <w:lang w:val="en-GB" w:eastAsia="en-US"/>
              </w:rPr>
              <w:t>57%) a</w:t>
            </w:r>
            <w:r w:rsidR="00AE38DD" w:rsidRPr="006E725C">
              <w:rPr>
                <w:spacing w:val="-3"/>
                <w:lang w:val="en-GB" w:eastAsia="en-US"/>
              </w:rPr>
              <w:t xml:space="preserve">nd the average interest rate on deposits with agreed maturity was also lower </w:t>
            </w:r>
            <w:r w:rsidR="00137F06" w:rsidRPr="006E725C">
              <w:rPr>
                <w:spacing w:val="-3"/>
                <w:lang w:val="en-GB" w:eastAsia="en-US"/>
              </w:rPr>
              <w:t>(−0</w:t>
            </w:r>
            <w:r w:rsidR="00AE38DD" w:rsidRPr="006E725C">
              <w:rPr>
                <w:spacing w:val="-3"/>
                <w:lang w:val="en-GB" w:eastAsia="en-US"/>
              </w:rPr>
              <w:t>.</w:t>
            </w:r>
            <w:r w:rsidR="00137F06" w:rsidRPr="006E725C">
              <w:rPr>
                <w:spacing w:val="-3"/>
                <w:lang w:val="en-GB" w:eastAsia="en-US"/>
              </w:rPr>
              <w:t>19 p.</w:t>
            </w:r>
            <w:r w:rsidR="00AE38DD" w:rsidRPr="006E725C">
              <w:rPr>
                <w:spacing w:val="-3"/>
                <w:lang w:val="en-GB" w:eastAsia="en-US"/>
              </w:rPr>
              <w:t xml:space="preserve">p. to </w:t>
            </w:r>
            <w:r w:rsidR="00137F06" w:rsidRPr="006E725C">
              <w:rPr>
                <w:spacing w:val="-3"/>
                <w:lang w:val="en-GB" w:eastAsia="en-US"/>
              </w:rPr>
              <w:t>1</w:t>
            </w:r>
            <w:r w:rsidR="00AE38DD" w:rsidRPr="006E725C">
              <w:rPr>
                <w:spacing w:val="-3"/>
                <w:lang w:val="en-GB" w:eastAsia="en-US"/>
              </w:rPr>
              <w:t>.</w:t>
            </w:r>
            <w:r w:rsidR="00137F06" w:rsidRPr="006E725C">
              <w:rPr>
                <w:spacing w:val="-3"/>
                <w:lang w:val="en-GB" w:eastAsia="en-US"/>
              </w:rPr>
              <w:t>03</w:t>
            </w:r>
            <w:r w:rsidR="00AE38DD" w:rsidRPr="006E725C">
              <w:rPr>
                <w:spacing w:val="-3"/>
                <w:lang w:val="en-GB" w:eastAsia="en-US"/>
              </w:rPr>
              <w:t>%</w:t>
            </w:r>
            <w:r w:rsidR="00137F06" w:rsidRPr="006E725C">
              <w:rPr>
                <w:spacing w:val="-3"/>
                <w:lang w:val="en-GB" w:eastAsia="en-US"/>
              </w:rPr>
              <w:t xml:space="preserve">). </w:t>
            </w:r>
            <w:r w:rsidR="00AF5C91" w:rsidRPr="006E725C">
              <w:rPr>
                <w:spacing w:val="-3"/>
                <w:lang w:val="en-GB" w:eastAsia="en-US"/>
              </w:rPr>
              <w:t xml:space="preserve">Total volume of deposits attained </w:t>
            </w:r>
            <w:r w:rsidR="00137F06" w:rsidRPr="006E725C">
              <w:rPr>
                <w:spacing w:val="-3"/>
                <w:lang w:val="en-GB" w:eastAsia="en-US"/>
              </w:rPr>
              <w:t>6</w:t>
            </w:r>
            <w:r w:rsidR="00B94A46" w:rsidRPr="006E725C">
              <w:rPr>
                <w:spacing w:val="-3"/>
                <w:lang w:val="en-GB" w:eastAsia="en-US"/>
              </w:rPr>
              <w:t> </w:t>
            </w:r>
            <w:r w:rsidR="00137F06" w:rsidRPr="006E725C">
              <w:rPr>
                <w:spacing w:val="-3"/>
                <w:lang w:val="en-GB" w:eastAsia="en-US"/>
              </w:rPr>
              <w:t>701</w:t>
            </w:r>
            <w:r w:rsidR="00B94A46" w:rsidRPr="006E725C">
              <w:rPr>
                <w:spacing w:val="-3"/>
                <w:lang w:val="en-GB" w:eastAsia="en-US"/>
              </w:rPr>
              <w:t>.</w:t>
            </w:r>
            <w:r w:rsidR="00137F06" w:rsidRPr="006E725C">
              <w:rPr>
                <w:spacing w:val="-3"/>
                <w:lang w:val="en-GB" w:eastAsia="en-US"/>
              </w:rPr>
              <w:t>2</w:t>
            </w:r>
            <w:r w:rsidR="00B94A46" w:rsidRPr="006E725C">
              <w:rPr>
                <w:spacing w:val="-3"/>
                <w:lang w:val="en-GB" w:eastAsia="en-US"/>
              </w:rPr>
              <w:t xml:space="preserve"> </w:t>
            </w:r>
            <w:r w:rsidR="009C0832">
              <w:rPr>
                <w:spacing w:val="-3"/>
                <w:lang w:val="en-GB" w:eastAsia="en-US"/>
              </w:rPr>
              <w:t xml:space="preserve">CZK </w:t>
            </w:r>
            <w:proofErr w:type="spellStart"/>
            <w:r w:rsidR="009C0832">
              <w:rPr>
                <w:spacing w:val="-3"/>
                <w:lang w:val="en-GB" w:eastAsia="en-US"/>
              </w:rPr>
              <w:t>bn</w:t>
            </w:r>
            <w:proofErr w:type="spellEnd"/>
            <w:r w:rsidR="00B94A46" w:rsidRPr="006E725C">
              <w:rPr>
                <w:spacing w:val="-3"/>
                <w:lang w:val="en-GB" w:eastAsia="en-US"/>
              </w:rPr>
              <w:t xml:space="preserve"> </w:t>
            </w:r>
            <w:r w:rsidR="00AF5C91" w:rsidRPr="006E725C">
              <w:rPr>
                <w:spacing w:val="-3"/>
                <w:lang w:val="en-GB" w:eastAsia="en-US"/>
              </w:rPr>
              <w:t xml:space="preserve">at the end of year 2023 and it was by </w:t>
            </w:r>
            <w:r w:rsidR="00137F06" w:rsidRPr="006E725C">
              <w:rPr>
                <w:spacing w:val="-3"/>
                <w:lang w:val="en-GB" w:eastAsia="en-US"/>
              </w:rPr>
              <w:t>842</w:t>
            </w:r>
            <w:r w:rsidR="00AF5C91" w:rsidRPr="006E725C">
              <w:rPr>
                <w:spacing w:val="-3"/>
                <w:lang w:val="en-GB" w:eastAsia="en-US"/>
              </w:rPr>
              <w:t>.</w:t>
            </w:r>
            <w:r w:rsidR="00137F06" w:rsidRPr="006E725C">
              <w:rPr>
                <w:spacing w:val="-3"/>
                <w:lang w:val="en-GB" w:eastAsia="en-US"/>
              </w:rPr>
              <w:t>3</w:t>
            </w:r>
            <w:r w:rsidR="00AF5C91" w:rsidRPr="006E725C">
              <w:rPr>
                <w:spacing w:val="-3"/>
                <w:lang w:val="en-GB" w:eastAsia="en-US"/>
              </w:rPr>
              <w:t xml:space="preserve"> </w:t>
            </w:r>
            <w:proofErr w:type="spellStart"/>
            <w:r w:rsidR="00AF5C91" w:rsidRPr="006E725C">
              <w:rPr>
                <w:spacing w:val="-3"/>
                <w:lang w:val="en-GB" w:eastAsia="en-US"/>
              </w:rPr>
              <w:t>bn</w:t>
            </w:r>
            <w:proofErr w:type="spellEnd"/>
            <w:r w:rsidR="00AF5C91" w:rsidRPr="006E725C">
              <w:rPr>
                <w:spacing w:val="-3"/>
                <w:lang w:val="en-GB" w:eastAsia="en-US"/>
              </w:rPr>
              <w:t xml:space="preserve"> higher year-on-year </w:t>
            </w:r>
            <w:r w:rsidR="00137F06" w:rsidRPr="006E725C">
              <w:rPr>
                <w:spacing w:val="-3"/>
                <w:lang w:val="en-GB" w:eastAsia="en-US"/>
              </w:rPr>
              <w:t>(14</w:t>
            </w:r>
            <w:r w:rsidR="00AF5C91" w:rsidRPr="006E725C">
              <w:rPr>
                <w:spacing w:val="-3"/>
                <w:lang w:val="en-GB" w:eastAsia="en-US"/>
              </w:rPr>
              <w:t>.</w:t>
            </w:r>
            <w:r w:rsidR="00137F06" w:rsidRPr="006E725C">
              <w:rPr>
                <w:spacing w:val="-3"/>
                <w:lang w:val="en-GB" w:eastAsia="en-US"/>
              </w:rPr>
              <w:t xml:space="preserve">4%). </w:t>
            </w:r>
            <w:r w:rsidR="00043033" w:rsidRPr="006E725C">
              <w:rPr>
                <w:spacing w:val="-3"/>
                <w:lang w:val="en-GB" w:eastAsia="en-US"/>
              </w:rPr>
              <w:t>After slowdown, which occurred in Q</w:t>
            </w:r>
            <w:r w:rsidR="00137F06" w:rsidRPr="006E725C">
              <w:rPr>
                <w:spacing w:val="-3"/>
                <w:lang w:val="en-GB" w:eastAsia="en-US"/>
              </w:rPr>
              <w:t>2</w:t>
            </w:r>
            <w:r w:rsidR="00043033" w:rsidRPr="006E725C">
              <w:rPr>
                <w:spacing w:val="-3"/>
                <w:lang w:val="en-GB" w:eastAsia="en-US"/>
              </w:rPr>
              <w:t xml:space="preserve"> and Q</w:t>
            </w:r>
            <w:r w:rsidR="00137F06" w:rsidRPr="006E725C">
              <w:rPr>
                <w:spacing w:val="-3"/>
                <w:lang w:val="en-GB" w:eastAsia="en-US"/>
              </w:rPr>
              <w:t xml:space="preserve">3, </w:t>
            </w:r>
            <w:r w:rsidR="00A97C59" w:rsidRPr="006E725C">
              <w:rPr>
                <w:spacing w:val="-3"/>
                <w:lang w:val="en-GB" w:eastAsia="en-US"/>
              </w:rPr>
              <w:t xml:space="preserve">the year-on-year increase of the volume of term deposits again gained pace </w:t>
            </w:r>
            <w:r w:rsidR="00137F06" w:rsidRPr="006E725C">
              <w:rPr>
                <w:spacing w:val="-3"/>
                <w:lang w:val="en-GB" w:eastAsia="en-US"/>
              </w:rPr>
              <w:t>(42</w:t>
            </w:r>
            <w:r w:rsidR="00A97C59" w:rsidRPr="006E725C">
              <w:rPr>
                <w:spacing w:val="-3"/>
                <w:lang w:val="en-GB" w:eastAsia="en-US"/>
              </w:rPr>
              <w:t>.</w:t>
            </w:r>
            <w:r w:rsidR="00137F06" w:rsidRPr="006E725C">
              <w:rPr>
                <w:spacing w:val="-3"/>
                <w:lang w:val="en-GB" w:eastAsia="en-US"/>
              </w:rPr>
              <w:t>7%),</w:t>
            </w:r>
            <w:r w:rsidR="00A97C59" w:rsidRPr="006E725C">
              <w:rPr>
                <w:spacing w:val="-3"/>
                <w:lang w:val="en-GB" w:eastAsia="en-US"/>
              </w:rPr>
              <w:t xml:space="preserve"> likely also in connection to the effort to close contracts before the anticipated decrease of interest rates. The volume of non-term deposits </w:t>
            </w:r>
            <w:r w:rsidR="00137F06" w:rsidRPr="006E725C">
              <w:rPr>
                <w:spacing w:val="-3"/>
                <w:lang w:val="en-GB" w:eastAsia="en-US"/>
              </w:rPr>
              <w:t>(3</w:t>
            </w:r>
            <w:r w:rsidR="00A97C59" w:rsidRPr="006E725C">
              <w:rPr>
                <w:spacing w:val="-3"/>
                <w:lang w:val="en-GB" w:eastAsia="en-US"/>
              </w:rPr>
              <w:t>.</w:t>
            </w:r>
            <w:r w:rsidR="00137F06" w:rsidRPr="006E725C">
              <w:rPr>
                <w:spacing w:val="-3"/>
                <w:lang w:val="en-GB" w:eastAsia="en-US"/>
              </w:rPr>
              <w:t>3%)</w:t>
            </w:r>
            <w:r w:rsidR="00A97C59" w:rsidRPr="006E725C">
              <w:rPr>
                <w:spacing w:val="-3"/>
                <w:lang w:val="en-GB" w:eastAsia="en-US"/>
              </w:rPr>
              <w:t xml:space="preserve"> was also slightly expanding at the end of the year</w:t>
            </w:r>
            <w:r w:rsidR="00137F06" w:rsidRPr="006E725C">
              <w:rPr>
                <w:spacing w:val="-3"/>
                <w:lang w:val="en-GB" w:eastAsia="en-US"/>
              </w:rPr>
              <w:t xml:space="preserve">. </w:t>
            </w:r>
            <w:r w:rsidR="00B94A46" w:rsidRPr="006E725C">
              <w:rPr>
                <w:spacing w:val="-3"/>
                <w:lang w:val="en-GB" w:eastAsia="en-US"/>
              </w:rPr>
              <w:t>Their downfall</w:t>
            </w:r>
            <w:r w:rsidR="00051810">
              <w:rPr>
                <w:spacing w:val="-3"/>
                <w:lang w:val="en-GB" w:eastAsia="en-US"/>
              </w:rPr>
              <w:t>,</w:t>
            </w:r>
            <w:r w:rsidR="00B94A46" w:rsidRPr="006E725C">
              <w:rPr>
                <w:spacing w:val="-3"/>
                <w:lang w:val="en-GB" w:eastAsia="en-US"/>
              </w:rPr>
              <w:t xml:space="preserve"> apparent since the beginning of year 2022, when </w:t>
            </w:r>
            <w:r w:rsidR="00446613" w:rsidRPr="006E725C">
              <w:rPr>
                <w:spacing w:val="-3"/>
                <w:lang w:val="en-GB" w:eastAsia="en-US"/>
              </w:rPr>
              <w:t xml:space="preserve">in connection to strong inflation the funds were transferred to term deposits, </w:t>
            </w:r>
            <w:r w:rsidR="00B94A46" w:rsidRPr="006E725C">
              <w:rPr>
                <w:spacing w:val="-3"/>
                <w:lang w:val="en-GB" w:eastAsia="en-US"/>
              </w:rPr>
              <w:t>thus halted</w:t>
            </w:r>
            <w:r w:rsidR="00137F06" w:rsidRPr="006E725C">
              <w:rPr>
                <w:spacing w:val="-3"/>
                <w:lang w:val="en-GB" w:eastAsia="en-US"/>
              </w:rPr>
              <w:t xml:space="preserve">. </w:t>
            </w:r>
            <w:r w:rsidR="00B94A46" w:rsidRPr="006E725C">
              <w:rPr>
                <w:spacing w:val="-3"/>
                <w:lang w:val="en-GB" w:eastAsia="en-US"/>
              </w:rPr>
              <w:t xml:space="preserve">From the view of sectors, the government </w:t>
            </w:r>
            <w:r w:rsidR="00446613" w:rsidRPr="006E725C">
              <w:rPr>
                <w:spacing w:val="-3"/>
                <w:lang w:val="en-GB" w:eastAsia="en-US"/>
              </w:rPr>
              <w:t>institutions</w:t>
            </w:r>
            <w:r w:rsidR="00B94A46" w:rsidRPr="006E725C">
              <w:rPr>
                <w:spacing w:val="-3"/>
                <w:lang w:val="en-GB" w:eastAsia="en-US"/>
              </w:rPr>
              <w:t xml:space="preserve"> contributed to the increase of volume of deposits the most </w:t>
            </w:r>
            <w:r w:rsidR="00137F06" w:rsidRPr="006E725C">
              <w:rPr>
                <w:spacing w:val="-3"/>
                <w:lang w:val="en-GB" w:eastAsia="en-US"/>
              </w:rPr>
              <w:t>(+325</w:t>
            </w:r>
            <w:r w:rsidR="00B94A46" w:rsidRPr="006E725C">
              <w:rPr>
                <w:spacing w:val="-3"/>
                <w:lang w:val="en-GB" w:eastAsia="en-US"/>
              </w:rPr>
              <w:t>.</w:t>
            </w:r>
            <w:r w:rsidR="00137F06" w:rsidRPr="006E725C">
              <w:rPr>
                <w:spacing w:val="-3"/>
                <w:lang w:val="en-GB" w:eastAsia="en-US"/>
              </w:rPr>
              <w:t>2</w:t>
            </w:r>
            <w:r w:rsidR="00B94A46" w:rsidRPr="006E725C">
              <w:rPr>
                <w:spacing w:val="-3"/>
                <w:lang w:val="en-GB" w:eastAsia="en-US"/>
              </w:rPr>
              <w:t xml:space="preserve"> </w:t>
            </w:r>
            <w:r w:rsidR="009C0832">
              <w:rPr>
                <w:spacing w:val="-3"/>
                <w:lang w:val="en-GB" w:eastAsia="en-US"/>
              </w:rPr>
              <w:t xml:space="preserve">CZK </w:t>
            </w:r>
            <w:proofErr w:type="spellStart"/>
            <w:r w:rsidR="009C0832">
              <w:rPr>
                <w:spacing w:val="-3"/>
                <w:lang w:val="en-GB" w:eastAsia="en-US"/>
              </w:rPr>
              <w:t>bn</w:t>
            </w:r>
            <w:proofErr w:type="spellEnd"/>
            <w:r w:rsidR="00137F06" w:rsidRPr="006E725C">
              <w:rPr>
                <w:spacing w:val="-3"/>
                <w:lang w:val="en-GB" w:eastAsia="en-US"/>
              </w:rPr>
              <w:t>)</w:t>
            </w:r>
            <w:r w:rsidR="00B94A46" w:rsidRPr="006E725C">
              <w:rPr>
                <w:spacing w:val="-3"/>
                <w:lang w:val="en-GB" w:eastAsia="en-US"/>
              </w:rPr>
              <w:t xml:space="preserve"> followed by households</w:t>
            </w:r>
            <w:r w:rsidR="00137F06" w:rsidRPr="006E725C">
              <w:rPr>
                <w:rStyle w:val="Znakapoznpodarou"/>
                <w:spacing w:val="-3"/>
                <w:lang w:val="en-GB" w:eastAsia="en-US"/>
              </w:rPr>
              <w:footnoteReference w:id="96"/>
            </w:r>
            <w:r w:rsidR="00137F06" w:rsidRPr="006E725C">
              <w:rPr>
                <w:spacing w:val="-3"/>
                <w:lang w:val="en-GB" w:eastAsia="en-US"/>
              </w:rPr>
              <w:t xml:space="preserve"> (+254</w:t>
            </w:r>
            <w:r w:rsidR="00B94A46" w:rsidRPr="006E725C">
              <w:rPr>
                <w:spacing w:val="-3"/>
                <w:lang w:val="en-GB" w:eastAsia="en-US"/>
              </w:rPr>
              <w:t>.</w:t>
            </w:r>
            <w:r w:rsidR="00137F06" w:rsidRPr="006E725C">
              <w:rPr>
                <w:spacing w:val="-3"/>
                <w:lang w:val="en-GB" w:eastAsia="en-US"/>
              </w:rPr>
              <w:t>7</w:t>
            </w:r>
            <w:r w:rsidR="00B94A46" w:rsidRPr="006E725C">
              <w:rPr>
                <w:spacing w:val="-3"/>
                <w:lang w:val="en-GB" w:eastAsia="en-US"/>
              </w:rPr>
              <w:t xml:space="preserve"> </w:t>
            </w:r>
            <w:proofErr w:type="spellStart"/>
            <w:r w:rsidR="00B94A46" w:rsidRPr="006E725C">
              <w:rPr>
                <w:spacing w:val="-3"/>
                <w:lang w:val="en-GB" w:eastAsia="en-US"/>
              </w:rPr>
              <w:t>bn</w:t>
            </w:r>
            <w:proofErr w:type="spellEnd"/>
            <w:r w:rsidR="00137F06" w:rsidRPr="006E725C">
              <w:rPr>
                <w:spacing w:val="-3"/>
                <w:lang w:val="en-GB" w:eastAsia="en-US"/>
              </w:rPr>
              <w:t>) a</w:t>
            </w:r>
            <w:r w:rsidR="00B94A46" w:rsidRPr="006E725C">
              <w:rPr>
                <w:spacing w:val="-3"/>
                <w:lang w:val="en-GB" w:eastAsia="en-US"/>
              </w:rPr>
              <w:t xml:space="preserve">nd financial institutions </w:t>
            </w:r>
            <w:r w:rsidR="00137F06" w:rsidRPr="006E725C">
              <w:rPr>
                <w:spacing w:val="-3"/>
                <w:lang w:val="en-GB" w:eastAsia="en-US"/>
              </w:rPr>
              <w:t>(+151</w:t>
            </w:r>
            <w:r w:rsidR="00B94A46" w:rsidRPr="006E725C">
              <w:rPr>
                <w:spacing w:val="-3"/>
                <w:lang w:val="en-GB" w:eastAsia="en-US"/>
              </w:rPr>
              <w:t>.</w:t>
            </w:r>
            <w:r w:rsidR="00137F06" w:rsidRPr="006E725C">
              <w:rPr>
                <w:spacing w:val="-3"/>
                <w:lang w:val="en-GB" w:eastAsia="en-US"/>
              </w:rPr>
              <w:t>0</w:t>
            </w:r>
            <w:r w:rsidR="00B94A46" w:rsidRPr="006E725C">
              <w:rPr>
                <w:spacing w:val="-3"/>
                <w:lang w:val="en-GB" w:eastAsia="en-US"/>
              </w:rPr>
              <w:t xml:space="preserve"> </w:t>
            </w:r>
            <w:proofErr w:type="spellStart"/>
            <w:r w:rsidR="00B94A46" w:rsidRPr="006E725C">
              <w:rPr>
                <w:spacing w:val="-3"/>
                <w:lang w:val="en-GB" w:eastAsia="en-US"/>
              </w:rPr>
              <w:t>bn</w:t>
            </w:r>
            <w:proofErr w:type="spellEnd"/>
            <w:r w:rsidR="00137F06" w:rsidRPr="006E725C">
              <w:rPr>
                <w:spacing w:val="-3"/>
                <w:lang w:val="en-GB" w:eastAsia="en-US"/>
              </w:rPr>
              <w:t xml:space="preserve">). </w:t>
            </w:r>
            <w:r w:rsidR="004A3454" w:rsidRPr="006E725C">
              <w:rPr>
                <w:spacing w:val="-3"/>
                <w:lang w:val="en-GB" w:eastAsia="en-US"/>
              </w:rPr>
              <w:t xml:space="preserve">Deposits of non-financial businesses went also up </w:t>
            </w:r>
            <w:r w:rsidR="00137F06" w:rsidRPr="006E725C">
              <w:rPr>
                <w:spacing w:val="-3"/>
                <w:lang w:val="en-GB" w:eastAsia="en-US"/>
              </w:rPr>
              <w:t>(+103</w:t>
            </w:r>
            <w:r w:rsidR="004A3454" w:rsidRPr="006E725C">
              <w:rPr>
                <w:spacing w:val="-3"/>
                <w:lang w:val="en-GB" w:eastAsia="en-US"/>
              </w:rPr>
              <w:t>.</w:t>
            </w:r>
            <w:r w:rsidR="00137F06" w:rsidRPr="006E725C">
              <w:rPr>
                <w:spacing w:val="-3"/>
                <w:lang w:val="en-GB" w:eastAsia="en-US"/>
              </w:rPr>
              <w:t>2</w:t>
            </w:r>
            <w:r w:rsidR="004A3454" w:rsidRPr="006E725C">
              <w:rPr>
                <w:spacing w:val="-3"/>
                <w:lang w:val="en-GB" w:eastAsia="en-US"/>
              </w:rPr>
              <w:t xml:space="preserve"> </w:t>
            </w:r>
            <w:r w:rsidR="009C0832">
              <w:rPr>
                <w:spacing w:val="-3"/>
                <w:lang w:val="en-GB" w:eastAsia="en-US"/>
              </w:rPr>
              <w:t xml:space="preserve">CZK </w:t>
            </w:r>
            <w:proofErr w:type="spellStart"/>
            <w:r w:rsidR="009C0832">
              <w:rPr>
                <w:spacing w:val="-3"/>
                <w:lang w:val="en-GB" w:eastAsia="en-US"/>
              </w:rPr>
              <w:t>bn</w:t>
            </w:r>
            <w:proofErr w:type="spellEnd"/>
            <w:r w:rsidR="00137F06" w:rsidRPr="006E725C">
              <w:rPr>
                <w:spacing w:val="-3"/>
                <w:lang w:val="en-GB" w:eastAsia="en-US"/>
              </w:rPr>
              <w:t xml:space="preserve">).   </w:t>
            </w:r>
          </w:p>
        </w:tc>
      </w:tr>
      <w:tr w:rsidR="00137F06" w:rsidRPr="006E725C" w14:paraId="12383E94" w14:textId="77777777" w:rsidTr="00C07C2F">
        <w:trPr>
          <w:trHeight w:val="145"/>
        </w:trPr>
        <w:tc>
          <w:tcPr>
            <w:tcW w:w="1802" w:type="dxa"/>
          </w:tcPr>
          <w:p w14:paraId="458A873C" w14:textId="33AB8356" w:rsidR="00137F06" w:rsidRPr="006E725C" w:rsidRDefault="00B33D14" w:rsidP="00C07C2F">
            <w:pPr>
              <w:pStyle w:val="Marginlie"/>
              <w:rPr>
                <w:lang w:val="en-GB" w:eastAsia="en-US"/>
              </w:rPr>
            </w:pPr>
            <w:r w:rsidRPr="006E725C">
              <w:rPr>
                <w:lang w:val="en-GB" w:eastAsia="en-US"/>
              </w:rPr>
              <w:lastRenderedPageBreak/>
              <w:t xml:space="preserve">Interest rates on consumer credit as well as mortgages started to fall. </w:t>
            </w:r>
          </w:p>
        </w:tc>
        <w:tc>
          <w:tcPr>
            <w:tcW w:w="229" w:type="dxa"/>
          </w:tcPr>
          <w:p w14:paraId="6E72E4E2" w14:textId="77777777" w:rsidR="00137F06" w:rsidRPr="006E725C" w:rsidRDefault="00137F06" w:rsidP="00C07C2F">
            <w:pPr>
              <w:pStyle w:val="Textpoznpodarou"/>
              <w:jc w:val="both"/>
              <w:rPr>
                <w:spacing w:val="-4"/>
                <w:lang w:val="en-GB" w:eastAsia="en-US"/>
              </w:rPr>
            </w:pPr>
          </w:p>
        </w:tc>
        <w:tc>
          <w:tcPr>
            <w:tcW w:w="7610" w:type="dxa"/>
          </w:tcPr>
          <w:p w14:paraId="48C39502" w14:textId="5A522528" w:rsidR="00137F06" w:rsidRPr="006E725C" w:rsidRDefault="00B33D14" w:rsidP="00C07C2F">
            <w:pPr>
              <w:rPr>
                <w:lang w:val="en-GB" w:eastAsia="en-US"/>
              </w:rPr>
            </w:pPr>
            <w:r w:rsidRPr="006E725C">
              <w:rPr>
                <w:lang w:val="en-GB" w:eastAsia="en-US"/>
              </w:rPr>
              <w:t xml:space="preserve">Expected change of the monetary conditions set-up also partially manifested in the interest rates of credit for households. The average interest on consumer credit slightly decreased </w:t>
            </w:r>
            <w:r w:rsidR="00137F06" w:rsidRPr="006E725C">
              <w:rPr>
                <w:lang w:val="en-GB" w:eastAsia="en-US"/>
              </w:rPr>
              <w:t>(</w:t>
            </w:r>
            <w:r w:rsidRPr="006E725C">
              <w:rPr>
                <w:lang w:val="en-GB" w:eastAsia="en-US"/>
              </w:rPr>
              <w:t xml:space="preserve">by </w:t>
            </w:r>
            <w:r w:rsidR="00137F06" w:rsidRPr="006E725C">
              <w:rPr>
                <w:lang w:val="en-GB" w:eastAsia="en-US"/>
              </w:rPr>
              <w:t>0</w:t>
            </w:r>
            <w:r w:rsidRPr="006E725C">
              <w:rPr>
                <w:lang w:val="en-GB" w:eastAsia="en-US"/>
              </w:rPr>
              <w:t>.</w:t>
            </w:r>
            <w:r w:rsidR="00137F06" w:rsidRPr="006E725C">
              <w:rPr>
                <w:lang w:val="en-GB" w:eastAsia="en-US"/>
              </w:rPr>
              <w:t>23 p.</w:t>
            </w:r>
            <w:r w:rsidRPr="006E725C">
              <w:rPr>
                <w:lang w:val="en-GB" w:eastAsia="en-US"/>
              </w:rPr>
              <w:t>p</w:t>
            </w:r>
            <w:r w:rsidR="00137F06" w:rsidRPr="006E725C">
              <w:rPr>
                <w:lang w:val="en-GB" w:eastAsia="en-US"/>
              </w:rPr>
              <w:t>.</w:t>
            </w:r>
            <w:r w:rsidRPr="006E725C">
              <w:rPr>
                <w:lang w:val="en-GB" w:eastAsia="en-US"/>
              </w:rPr>
              <w:t xml:space="preserve"> to </w:t>
            </w:r>
            <w:r w:rsidR="00137F06" w:rsidRPr="006E725C">
              <w:rPr>
                <w:lang w:val="en-GB" w:eastAsia="en-US"/>
              </w:rPr>
              <w:t>9</w:t>
            </w:r>
            <w:r w:rsidRPr="006E725C">
              <w:rPr>
                <w:lang w:val="en-GB" w:eastAsia="en-US"/>
              </w:rPr>
              <w:t>.</w:t>
            </w:r>
            <w:r w:rsidR="00137F06" w:rsidRPr="006E725C">
              <w:rPr>
                <w:lang w:val="en-GB" w:eastAsia="en-US"/>
              </w:rPr>
              <w:t xml:space="preserve">29% </w:t>
            </w:r>
            <w:r w:rsidRPr="006E725C">
              <w:rPr>
                <w:lang w:val="en-GB" w:eastAsia="en-US"/>
              </w:rPr>
              <w:t xml:space="preserve">as of </w:t>
            </w:r>
            <w:r w:rsidR="00137F06" w:rsidRPr="006E725C">
              <w:rPr>
                <w:lang w:val="en-GB" w:eastAsia="en-US"/>
              </w:rPr>
              <w:t>31.12.)</w:t>
            </w:r>
            <w:r w:rsidRPr="006E725C">
              <w:rPr>
                <w:lang w:val="en-GB" w:eastAsia="en-US"/>
              </w:rPr>
              <w:t xml:space="preserve"> in Q4</w:t>
            </w:r>
            <w:r w:rsidR="00137F06" w:rsidRPr="006E725C">
              <w:rPr>
                <w:lang w:val="en-GB" w:eastAsia="en-US"/>
              </w:rPr>
              <w:t xml:space="preserve">. </w:t>
            </w:r>
            <w:r w:rsidRPr="006E725C">
              <w:rPr>
                <w:lang w:val="en-GB" w:eastAsia="en-US"/>
              </w:rPr>
              <w:t>From the peak reached in Q</w:t>
            </w:r>
            <w:r w:rsidR="00137F06" w:rsidRPr="006E725C">
              <w:rPr>
                <w:lang w:val="en-GB" w:eastAsia="en-US"/>
              </w:rPr>
              <w:t>3</w:t>
            </w:r>
            <w:r w:rsidRPr="006E725C">
              <w:rPr>
                <w:lang w:val="en-GB" w:eastAsia="en-US"/>
              </w:rPr>
              <w:t xml:space="preserve"> </w:t>
            </w:r>
            <w:r w:rsidR="00137F06" w:rsidRPr="006E725C">
              <w:rPr>
                <w:lang w:val="en-GB" w:eastAsia="en-US"/>
              </w:rPr>
              <w:t>2023</w:t>
            </w:r>
            <w:r w:rsidRPr="006E725C">
              <w:rPr>
                <w:lang w:val="en-GB" w:eastAsia="en-US"/>
              </w:rPr>
              <w:t xml:space="preserve">, the interest rates on mortgages also descended lower </w:t>
            </w:r>
            <w:r w:rsidR="00137F06" w:rsidRPr="006E725C">
              <w:rPr>
                <w:lang w:val="en-GB" w:eastAsia="en-US"/>
              </w:rPr>
              <w:t>(</w:t>
            </w:r>
            <w:r w:rsidRPr="006E725C">
              <w:rPr>
                <w:lang w:val="en-GB" w:eastAsia="en-US"/>
              </w:rPr>
              <w:t xml:space="preserve">total average arrived at </w:t>
            </w:r>
            <w:r w:rsidR="00137F06" w:rsidRPr="006E725C">
              <w:rPr>
                <w:lang w:val="en-GB" w:eastAsia="en-US"/>
              </w:rPr>
              <w:t>5</w:t>
            </w:r>
            <w:r w:rsidRPr="006E725C">
              <w:rPr>
                <w:lang w:val="en-GB" w:eastAsia="en-US"/>
              </w:rPr>
              <w:t>.</w:t>
            </w:r>
            <w:r w:rsidR="00137F06" w:rsidRPr="006E725C">
              <w:rPr>
                <w:lang w:val="en-GB" w:eastAsia="en-US"/>
              </w:rPr>
              <w:t>41% a</w:t>
            </w:r>
            <w:r w:rsidRPr="006E725C">
              <w:rPr>
                <w:lang w:val="en-GB" w:eastAsia="en-US"/>
              </w:rPr>
              <w:t xml:space="preserve">nd fell by </w:t>
            </w:r>
            <w:r w:rsidR="00137F06" w:rsidRPr="006E725C">
              <w:rPr>
                <w:lang w:val="en-GB" w:eastAsia="en-US"/>
              </w:rPr>
              <w:t>0</w:t>
            </w:r>
            <w:r w:rsidRPr="006E725C">
              <w:rPr>
                <w:lang w:val="en-GB" w:eastAsia="en-US"/>
              </w:rPr>
              <w:t>.</w:t>
            </w:r>
            <w:r w:rsidR="00137F06" w:rsidRPr="006E725C">
              <w:rPr>
                <w:lang w:val="en-GB" w:eastAsia="en-US"/>
              </w:rPr>
              <w:t>09 p.</w:t>
            </w:r>
            <w:r w:rsidRPr="006E725C">
              <w:rPr>
                <w:lang w:val="en-GB" w:eastAsia="en-US"/>
              </w:rPr>
              <w:t>p</w:t>
            </w:r>
            <w:r w:rsidR="00137F06" w:rsidRPr="006E725C">
              <w:rPr>
                <w:lang w:val="en-GB" w:eastAsia="en-US"/>
              </w:rPr>
              <w:t xml:space="preserve">.). </w:t>
            </w:r>
            <w:r w:rsidRPr="006E725C">
              <w:rPr>
                <w:lang w:val="en-GB" w:eastAsia="en-US"/>
              </w:rPr>
              <w:t xml:space="preserve">The interest rates </w:t>
            </w:r>
            <w:r w:rsidR="00D746CF" w:rsidRPr="006E725C">
              <w:rPr>
                <w:lang w:val="en-GB" w:eastAsia="en-US"/>
              </w:rPr>
              <w:t xml:space="preserve">for all fixations of the interest rate fell, the most for fixations between </w:t>
            </w:r>
            <w:r w:rsidR="00137F06" w:rsidRPr="006E725C">
              <w:rPr>
                <w:lang w:val="en-GB" w:eastAsia="en-US"/>
              </w:rPr>
              <w:t>5 a</w:t>
            </w:r>
            <w:r w:rsidR="00D746CF" w:rsidRPr="006E725C">
              <w:rPr>
                <w:lang w:val="en-GB" w:eastAsia="en-US"/>
              </w:rPr>
              <w:t>nd</w:t>
            </w:r>
            <w:r w:rsidR="00137F06" w:rsidRPr="006E725C">
              <w:rPr>
                <w:lang w:val="en-GB" w:eastAsia="en-US"/>
              </w:rPr>
              <w:t xml:space="preserve"> 10 </w:t>
            </w:r>
            <w:r w:rsidR="00D746CF" w:rsidRPr="006E725C">
              <w:rPr>
                <w:lang w:val="en-GB" w:eastAsia="en-US"/>
              </w:rPr>
              <w:t xml:space="preserve">years, where the interest was at the same time the lowest </w:t>
            </w:r>
            <w:r w:rsidR="00137F06" w:rsidRPr="006E725C">
              <w:rPr>
                <w:lang w:val="en-GB" w:eastAsia="en-US"/>
              </w:rPr>
              <w:t>(−0</w:t>
            </w:r>
            <w:r w:rsidR="00D746CF" w:rsidRPr="006E725C">
              <w:rPr>
                <w:lang w:val="en-GB" w:eastAsia="en-US"/>
              </w:rPr>
              <w:t>.</w:t>
            </w:r>
            <w:r w:rsidR="00137F06" w:rsidRPr="006E725C">
              <w:rPr>
                <w:lang w:val="en-GB" w:eastAsia="en-US"/>
              </w:rPr>
              <w:t>29 p.</w:t>
            </w:r>
            <w:r w:rsidR="00D746CF" w:rsidRPr="006E725C">
              <w:rPr>
                <w:lang w:val="en-GB" w:eastAsia="en-US"/>
              </w:rPr>
              <w:t>p</w:t>
            </w:r>
            <w:r w:rsidR="00137F06" w:rsidRPr="006E725C">
              <w:rPr>
                <w:lang w:val="en-GB" w:eastAsia="en-US"/>
              </w:rPr>
              <w:t xml:space="preserve">. </w:t>
            </w:r>
            <w:r w:rsidR="00D746CF" w:rsidRPr="006E725C">
              <w:rPr>
                <w:lang w:val="en-GB" w:eastAsia="en-US"/>
              </w:rPr>
              <w:t xml:space="preserve">to </w:t>
            </w:r>
            <w:r w:rsidR="00137F06" w:rsidRPr="006E725C">
              <w:rPr>
                <w:lang w:val="en-GB" w:eastAsia="en-US"/>
              </w:rPr>
              <w:t>4</w:t>
            </w:r>
            <w:r w:rsidR="00D746CF" w:rsidRPr="006E725C">
              <w:rPr>
                <w:lang w:val="en-GB" w:eastAsia="en-US"/>
              </w:rPr>
              <w:t>.</w:t>
            </w:r>
            <w:r w:rsidR="00137F06" w:rsidRPr="006E725C">
              <w:rPr>
                <w:lang w:val="en-GB" w:eastAsia="en-US"/>
              </w:rPr>
              <w:t>14%).</w:t>
            </w:r>
            <w:r w:rsidR="00D746CF" w:rsidRPr="006E725C">
              <w:rPr>
                <w:lang w:val="en-GB" w:eastAsia="en-US"/>
              </w:rPr>
              <w:t xml:space="preserve"> Total household indebtedness </w:t>
            </w:r>
            <w:r w:rsidR="006C5C22" w:rsidRPr="006E725C">
              <w:rPr>
                <w:lang w:val="en-GB" w:eastAsia="en-US"/>
              </w:rPr>
              <w:t xml:space="preserve">was </w:t>
            </w:r>
            <w:r w:rsidR="00137F06" w:rsidRPr="006E725C">
              <w:rPr>
                <w:lang w:val="en-GB" w:eastAsia="en-US"/>
              </w:rPr>
              <w:t>2</w:t>
            </w:r>
            <w:r w:rsidR="00D746CF" w:rsidRPr="006E725C">
              <w:rPr>
                <w:lang w:val="en-GB" w:eastAsia="en-US"/>
              </w:rPr>
              <w:t> </w:t>
            </w:r>
            <w:r w:rsidR="00137F06" w:rsidRPr="006E725C">
              <w:rPr>
                <w:lang w:val="en-GB" w:eastAsia="en-US"/>
              </w:rPr>
              <w:t>315</w:t>
            </w:r>
            <w:r w:rsidR="00D746CF" w:rsidRPr="006E725C">
              <w:rPr>
                <w:lang w:val="en-GB" w:eastAsia="en-US"/>
              </w:rPr>
              <w:t>.</w:t>
            </w:r>
            <w:r w:rsidR="00137F06" w:rsidRPr="006E725C">
              <w:rPr>
                <w:lang w:val="en-GB" w:eastAsia="en-US"/>
              </w:rPr>
              <w:t>9</w:t>
            </w:r>
            <w:r w:rsidR="00D746CF" w:rsidRPr="006E725C">
              <w:rPr>
                <w:lang w:val="en-GB" w:eastAsia="en-US"/>
              </w:rPr>
              <w:t xml:space="preserve"> </w:t>
            </w:r>
            <w:r w:rsidR="009C0832">
              <w:rPr>
                <w:lang w:val="en-GB" w:eastAsia="en-US"/>
              </w:rPr>
              <w:t xml:space="preserve">CZK </w:t>
            </w:r>
            <w:proofErr w:type="spellStart"/>
            <w:r w:rsidR="009C0832">
              <w:rPr>
                <w:lang w:val="en-GB" w:eastAsia="en-US"/>
              </w:rPr>
              <w:t>bn</w:t>
            </w:r>
            <w:proofErr w:type="spellEnd"/>
            <w:r w:rsidR="00D746CF" w:rsidRPr="006E725C">
              <w:rPr>
                <w:lang w:val="en-GB" w:eastAsia="en-US"/>
              </w:rPr>
              <w:t xml:space="preserve"> towards the end of year 2023 and it was thus by </w:t>
            </w:r>
            <w:r w:rsidR="00137F06" w:rsidRPr="006E725C">
              <w:rPr>
                <w:lang w:val="en-GB" w:eastAsia="en-US"/>
              </w:rPr>
              <w:t>4</w:t>
            </w:r>
            <w:r w:rsidR="00D746CF" w:rsidRPr="006E725C">
              <w:rPr>
                <w:lang w:val="en-GB" w:eastAsia="en-US"/>
              </w:rPr>
              <w:t>.</w:t>
            </w:r>
            <w:r w:rsidR="00137F06" w:rsidRPr="006E725C">
              <w:rPr>
                <w:lang w:val="en-GB" w:eastAsia="en-US"/>
              </w:rPr>
              <w:t>7%</w:t>
            </w:r>
            <w:r w:rsidR="00D746CF" w:rsidRPr="006E725C">
              <w:rPr>
                <w:lang w:val="en-GB" w:eastAsia="en-US"/>
              </w:rPr>
              <w:t xml:space="preserve"> higher year-on-year</w:t>
            </w:r>
            <w:r w:rsidR="00137F06" w:rsidRPr="006E725C">
              <w:rPr>
                <w:lang w:val="en-GB" w:eastAsia="en-US"/>
              </w:rPr>
              <w:t>.</w:t>
            </w:r>
            <w:r w:rsidR="00D746CF" w:rsidRPr="006E725C">
              <w:rPr>
                <w:lang w:val="en-GB" w:eastAsia="en-US"/>
              </w:rPr>
              <w:t xml:space="preserve"> The volume of provided consumer credit was by </w:t>
            </w:r>
            <w:r w:rsidR="00137F06" w:rsidRPr="006E725C">
              <w:rPr>
                <w:lang w:val="en-GB" w:eastAsia="en-US"/>
              </w:rPr>
              <w:t>8</w:t>
            </w:r>
            <w:r w:rsidR="00D746CF" w:rsidRPr="006E725C">
              <w:rPr>
                <w:lang w:val="en-GB" w:eastAsia="en-US"/>
              </w:rPr>
              <w:t>.</w:t>
            </w:r>
            <w:r w:rsidR="00137F06" w:rsidRPr="006E725C">
              <w:rPr>
                <w:lang w:val="en-GB" w:eastAsia="en-US"/>
              </w:rPr>
              <w:t>5%</w:t>
            </w:r>
            <w:r w:rsidR="00D746CF" w:rsidRPr="006E725C">
              <w:rPr>
                <w:lang w:val="en-GB" w:eastAsia="en-US"/>
              </w:rPr>
              <w:t xml:space="preserve"> higher and the pace again decreased below 10% after two quarters. The volume of credit provided for housing further grew only slightly </w:t>
            </w:r>
            <w:r w:rsidR="00137F06" w:rsidRPr="006E725C">
              <w:rPr>
                <w:lang w:val="en-GB" w:eastAsia="en-US"/>
              </w:rPr>
              <w:t>(4</w:t>
            </w:r>
            <w:r w:rsidR="00D746CF" w:rsidRPr="006E725C">
              <w:rPr>
                <w:lang w:val="en-GB" w:eastAsia="en-US"/>
              </w:rPr>
              <w:t>.</w:t>
            </w:r>
            <w:r w:rsidR="00137F06" w:rsidRPr="006E725C">
              <w:rPr>
                <w:lang w:val="en-GB" w:eastAsia="en-US"/>
              </w:rPr>
              <w:t>1%).</w:t>
            </w:r>
            <w:r w:rsidR="00D746CF" w:rsidRPr="006E725C">
              <w:rPr>
                <w:lang w:val="en-GB" w:eastAsia="en-US"/>
              </w:rPr>
              <w:t xml:space="preserve"> While the mortgages were by </w:t>
            </w:r>
            <w:r w:rsidR="00137F06" w:rsidRPr="006E725C">
              <w:rPr>
                <w:lang w:val="en-GB" w:eastAsia="en-US"/>
              </w:rPr>
              <w:t>3</w:t>
            </w:r>
            <w:r w:rsidR="00D746CF" w:rsidRPr="006E725C">
              <w:rPr>
                <w:lang w:val="en-GB" w:eastAsia="en-US"/>
              </w:rPr>
              <w:t>.</w:t>
            </w:r>
            <w:r w:rsidR="00137F06" w:rsidRPr="006E725C">
              <w:rPr>
                <w:lang w:val="en-GB" w:eastAsia="en-US"/>
              </w:rPr>
              <w:t>9%</w:t>
            </w:r>
            <w:r w:rsidR="00D746CF" w:rsidRPr="006E725C">
              <w:rPr>
                <w:lang w:val="en-GB" w:eastAsia="en-US"/>
              </w:rPr>
              <w:t xml:space="preserve"> higher</w:t>
            </w:r>
            <w:r w:rsidR="00137F06" w:rsidRPr="006E725C">
              <w:rPr>
                <w:lang w:val="en-GB" w:eastAsia="en-US"/>
              </w:rPr>
              <w:t>,</w:t>
            </w:r>
            <w:r w:rsidR="00D746CF" w:rsidRPr="006E725C">
              <w:rPr>
                <w:lang w:val="en-GB" w:eastAsia="en-US"/>
              </w:rPr>
              <w:t xml:space="preserve"> the growth of </w:t>
            </w:r>
            <w:r w:rsidR="002165A2" w:rsidRPr="006E725C">
              <w:rPr>
                <w:lang w:val="en-GB" w:eastAsia="en-US"/>
              </w:rPr>
              <w:t xml:space="preserve">credit from the building society accounts strengthened to substantial </w:t>
            </w:r>
            <w:r w:rsidR="00137F06" w:rsidRPr="006E725C">
              <w:rPr>
                <w:lang w:val="en-GB" w:eastAsia="en-US"/>
              </w:rPr>
              <w:t>32</w:t>
            </w:r>
            <w:r w:rsidR="002165A2" w:rsidRPr="006E725C">
              <w:rPr>
                <w:lang w:val="en-GB" w:eastAsia="en-US"/>
              </w:rPr>
              <w:t>.</w:t>
            </w:r>
            <w:r w:rsidR="00137F06" w:rsidRPr="006E725C">
              <w:rPr>
                <w:lang w:val="en-GB" w:eastAsia="en-US"/>
              </w:rPr>
              <w:t>1%</w:t>
            </w:r>
            <w:r w:rsidR="00137F06" w:rsidRPr="006E725C">
              <w:rPr>
                <w:rStyle w:val="Znakapoznpodarou"/>
                <w:lang w:val="en-GB" w:eastAsia="en-US"/>
              </w:rPr>
              <w:footnoteReference w:id="97"/>
            </w:r>
            <w:r w:rsidR="00137F06" w:rsidRPr="006E725C">
              <w:rPr>
                <w:lang w:val="en-GB" w:eastAsia="en-US"/>
              </w:rPr>
              <w:t xml:space="preserve">. </w:t>
            </w:r>
            <w:r w:rsidR="004839DD" w:rsidRPr="006E725C">
              <w:rPr>
                <w:lang w:val="en-GB" w:eastAsia="en-US"/>
              </w:rPr>
              <w:t>Number of new mortgages</w:t>
            </w:r>
            <w:r w:rsidR="00137F06" w:rsidRPr="006E725C">
              <w:rPr>
                <w:rStyle w:val="Znakapoznpodarou"/>
                <w:lang w:val="en-GB" w:eastAsia="en-US"/>
              </w:rPr>
              <w:footnoteReference w:id="98"/>
            </w:r>
            <w:r w:rsidR="004839DD" w:rsidRPr="006E725C">
              <w:rPr>
                <w:lang w:val="en-GB" w:eastAsia="en-US"/>
              </w:rPr>
              <w:t xml:space="preserve"> expanded more in Q</w:t>
            </w:r>
            <w:r w:rsidR="00137F06" w:rsidRPr="006E725C">
              <w:rPr>
                <w:lang w:val="en-GB" w:eastAsia="en-US"/>
              </w:rPr>
              <w:t>4</w:t>
            </w:r>
            <w:r w:rsidR="004839DD" w:rsidRPr="006E725C">
              <w:rPr>
                <w:lang w:val="en-GB" w:eastAsia="en-US"/>
              </w:rPr>
              <w:t xml:space="preserve"> than </w:t>
            </w:r>
            <w:r w:rsidR="006C5C22" w:rsidRPr="006E725C">
              <w:rPr>
                <w:lang w:val="en-GB" w:eastAsia="en-US"/>
              </w:rPr>
              <w:t>in</w:t>
            </w:r>
            <w:r w:rsidR="004839DD" w:rsidRPr="006E725C">
              <w:rPr>
                <w:lang w:val="en-GB" w:eastAsia="en-US"/>
              </w:rPr>
              <w:t xml:space="preserve"> the preceding quarters. Amount of net new credit including extension was in fact the same and other new contracts, mainly renegotiated credit after the end of the fixation were the source of growth. </w:t>
            </w:r>
            <w:r w:rsidR="00137F06" w:rsidRPr="006E725C">
              <w:rPr>
                <w:lang w:val="en-GB" w:eastAsia="en-US"/>
              </w:rPr>
              <w:t xml:space="preserve">         </w:t>
            </w:r>
          </w:p>
        </w:tc>
      </w:tr>
      <w:tr w:rsidR="00BF5759" w:rsidRPr="006E725C" w14:paraId="33B4B941" w14:textId="77777777" w:rsidTr="00BF5759">
        <w:trPr>
          <w:trHeight w:val="170"/>
        </w:trPr>
        <w:tc>
          <w:tcPr>
            <w:tcW w:w="1802" w:type="dxa"/>
            <w:vMerge w:val="restart"/>
          </w:tcPr>
          <w:p w14:paraId="3B4BB99C" w14:textId="6E752184" w:rsidR="00BF5759" w:rsidRPr="006E725C" w:rsidRDefault="00BF5759" w:rsidP="00BF5759">
            <w:pPr>
              <w:pStyle w:val="Marginlie"/>
              <w:rPr>
                <w:lang w:val="en-GB" w:eastAsia="en-US"/>
              </w:rPr>
            </w:pPr>
          </w:p>
        </w:tc>
        <w:tc>
          <w:tcPr>
            <w:tcW w:w="229" w:type="dxa"/>
            <w:vMerge w:val="restart"/>
          </w:tcPr>
          <w:p w14:paraId="631C7C2C" w14:textId="77777777" w:rsidR="00BF5759" w:rsidRPr="006E725C" w:rsidRDefault="00BF5759" w:rsidP="00BF5759">
            <w:pPr>
              <w:pStyle w:val="Textpoznpodarou"/>
              <w:jc w:val="both"/>
              <w:rPr>
                <w:spacing w:val="-4"/>
                <w:lang w:val="en-GB" w:eastAsia="en-US"/>
              </w:rPr>
            </w:pPr>
          </w:p>
        </w:tc>
        <w:tc>
          <w:tcPr>
            <w:tcW w:w="7610" w:type="dxa"/>
          </w:tcPr>
          <w:p w14:paraId="56D49068" w14:textId="2523EE2E" w:rsidR="00BF5759" w:rsidRPr="006E725C" w:rsidRDefault="00BF5759" w:rsidP="00BF5759">
            <w:pPr>
              <w:spacing w:after="0"/>
              <w:rPr>
                <w:lang w:val="en-GB" w:eastAsia="en-US"/>
              </w:rPr>
            </w:pPr>
            <w:r w:rsidRPr="006E725C">
              <w:rPr>
                <w:rFonts w:cs="Arial"/>
                <w:b/>
                <w:bCs/>
                <w:color w:val="000000"/>
                <w:szCs w:val="20"/>
                <w:lang w:val="en-GB" w:eastAsia="en-US"/>
              </w:rPr>
              <w:t xml:space="preserve">Chart 17 Market interest rates </w:t>
            </w:r>
            <w:r w:rsidRPr="006E725C">
              <w:rPr>
                <w:bCs/>
                <w:spacing w:val="-4"/>
                <w:szCs w:val="20"/>
                <w:lang w:val="en-GB" w:eastAsia="en-US"/>
              </w:rPr>
              <w:t>(in %)</w:t>
            </w:r>
          </w:p>
        </w:tc>
      </w:tr>
      <w:tr w:rsidR="00BF5759" w:rsidRPr="006E725C" w14:paraId="118F6654" w14:textId="77777777" w:rsidTr="00C07C2F">
        <w:trPr>
          <w:trHeight w:val="170"/>
        </w:trPr>
        <w:tc>
          <w:tcPr>
            <w:tcW w:w="1802" w:type="dxa"/>
            <w:vMerge/>
          </w:tcPr>
          <w:p w14:paraId="445CCDFB" w14:textId="77777777" w:rsidR="00BF5759" w:rsidRDefault="00BF5759" w:rsidP="00BF5759">
            <w:pPr>
              <w:pStyle w:val="Marginlie"/>
              <w:rPr>
                <w:lang w:val="en-GB" w:eastAsia="en-US"/>
              </w:rPr>
            </w:pPr>
          </w:p>
        </w:tc>
        <w:tc>
          <w:tcPr>
            <w:tcW w:w="229" w:type="dxa"/>
            <w:vMerge/>
          </w:tcPr>
          <w:p w14:paraId="3756E070" w14:textId="77777777" w:rsidR="00BF5759" w:rsidRPr="006E725C" w:rsidRDefault="00BF5759" w:rsidP="00BF5759">
            <w:pPr>
              <w:pStyle w:val="Textpoznpodarou"/>
              <w:jc w:val="both"/>
              <w:rPr>
                <w:spacing w:val="-4"/>
                <w:lang w:val="en-GB" w:eastAsia="en-US"/>
              </w:rPr>
            </w:pPr>
          </w:p>
        </w:tc>
        <w:tc>
          <w:tcPr>
            <w:tcW w:w="7610" w:type="dxa"/>
          </w:tcPr>
          <w:p w14:paraId="1AED02C1" w14:textId="6CFFFCD3" w:rsidR="00BF5759" w:rsidRDefault="00BF5759" w:rsidP="00BF5759">
            <w:pPr>
              <w:spacing w:after="0"/>
              <w:rPr>
                <w:lang w:val="en-GB" w:eastAsia="en-US"/>
              </w:rPr>
            </w:pPr>
            <w:r>
              <w:rPr>
                <w:noProof/>
              </w:rPr>
              <w:drawing>
                <wp:inline distT="0" distB="0" distL="0" distR="0" wp14:anchorId="339324F0" wp14:editId="2EFCCF73">
                  <wp:extent cx="4734425" cy="3559550"/>
                  <wp:effectExtent l="0" t="0" r="0" b="3175"/>
                  <wp:docPr id="47" name="Graf 47">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BF5759" w:rsidRPr="006E725C" w14:paraId="309738DB" w14:textId="77777777" w:rsidTr="00C07C2F">
        <w:trPr>
          <w:trHeight w:val="170"/>
        </w:trPr>
        <w:tc>
          <w:tcPr>
            <w:tcW w:w="1802" w:type="dxa"/>
            <w:vMerge/>
          </w:tcPr>
          <w:p w14:paraId="4555718B" w14:textId="77777777" w:rsidR="00BF5759" w:rsidRDefault="00BF5759" w:rsidP="00BF5759">
            <w:pPr>
              <w:pStyle w:val="Marginlie"/>
              <w:rPr>
                <w:lang w:val="en-GB" w:eastAsia="en-US"/>
              </w:rPr>
            </w:pPr>
          </w:p>
        </w:tc>
        <w:tc>
          <w:tcPr>
            <w:tcW w:w="229" w:type="dxa"/>
            <w:vMerge/>
          </w:tcPr>
          <w:p w14:paraId="79F1B0D8" w14:textId="77777777" w:rsidR="00BF5759" w:rsidRPr="006E725C" w:rsidRDefault="00BF5759" w:rsidP="00BF5759">
            <w:pPr>
              <w:pStyle w:val="Textpoznpodarou"/>
              <w:jc w:val="both"/>
              <w:rPr>
                <w:spacing w:val="-4"/>
                <w:lang w:val="en-GB" w:eastAsia="en-US"/>
              </w:rPr>
            </w:pPr>
          </w:p>
        </w:tc>
        <w:tc>
          <w:tcPr>
            <w:tcW w:w="7610" w:type="dxa"/>
          </w:tcPr>
          <w:p w14:paraId="481A3605" w14:textId="637C69DB" w:rsidR="00BF5759" w:rsidRDefault="00BF5759" w:rsidP="00BF5759">
            <w:pPr>
              <w:rPr>
                <w:lang w:val="en-GB" w:eastAsia="en-US"/>
              </w:rPr>
            </w:pPr>
            <w:r w:rsidRPr="006E725C">
              <w:rPr>
                <w:sz w:val="14"/>
                <w:szCs w:val="14"/>
                <w:lang w:val="en-GB" w:eastAsia="en-US"/>
              </w:rPr>
              <w:t>Source: ARAD, CNB</w:t>
            </w:r>
          </w:p>
        </w:tc>
      </w:tr>
      <w:tr w:rsidR="00BF5759" w:rsidRPr="006E725C" w14:paraId="5C4D1ECC" w14:textId="77777777" w:rsidTr="00C07C2F">
        <w:trPr>
          <w:trHeight w:val="145"/>
        </w:trPr>
        <w:tc>
          <w:tcPr>
            <w:tcW w:w="1802" w:type="dxa"/>
          </w:tcPr>
          <w:p w14:paraId="12C566DF" w14:textId="76DA71D7" w:rsidR="00BF5759" w:rsidRPr="006E725C" w:rsidRDefault="00BF5759" w:rsidP="00BF5759">
            <w:pPr>
              <w:pStyle w:val="Marginlie"/>
              <w:rPr>
                <w:lang w:val="en-GB" w:eastAsia="en-US"/>
              </w:rPr>
            </w:pPr>
            <w:r w:rsidRPr="006E725C">
              <w:rPr>
                <w:lang w:val="en-GB" w:eastAsia="en-US"/>
              </w:rPr>
              <w:t xml:space="preserve">Interest rates of credit for businesses also dropped at the end of the year. </w:t>
            </w:r>
          </w:p>
        </w:tc>
        <w:tc>
          <w:tcPr>
            <w:tcW w:w="229" w:type="dxa"/>
          </w:tcPr>
          <w:p w14:paraId="3A0827D8" w14:textId="77777777" w:rsidR="00BF5759" w:rsidRPr="006E725C" w:rsidRDefault="00BF5759" w:rsidP="00BF5759">
            <w:pPr>
              <w:pStyle w:val="Textpoznpodarou"/>
              <w:jc w:val="both"/>
              <w:rPr>
                <w:spacing w:val="-4"/>
                <w:lang w:val="en-GB" w:eastAsia="en-US"/>
              </w:rPr>
            </w:pPr>
          </w:p>
        </w:tc>
        <w:tc>
          <w:tcPr>
            <w:tcW w:w="7610" w:type="dxa"/>
          </w:tcPr>
          <w:p w14:paraId="65ED5119" w14:textId="7A06156A" w:rsidR="00BF5759" w:rsidRPr="006E725C" w:rsidRDefault="00BF5759" w:rsidP="00BF5759">
            <w:pPr>
              <w:rPr>
                <w:lang w:val="en-GB" w:eastAsia="en-US"/>
              </w:rPr>
            </w:pPr>
            <w:r w:rsidRPr="006E725C">
              <w:rPr>
                <w:lang w:val="en-GB" w:eastAsia="en-US"/>
              </w:rPr>
              <w:t xml:space="preserve">Businesses also felt the loosening of the monetary conditions via the lowering of interest rates at the end of year 2023. Credit in the volume up to 7.5 mil thus bore interest on average 7.76% (−0.54 p.p.), credit between 7.5 and 30 mil 8.60% (−0.37 p.p.) and the highest category of credit over 30 mil had on average interest rate 8.52% (−0.30 p.p.). Total volume of credit of businesses reached 4 356.5 </w:t>
            </w:r>
            <w:r w:rsidR="009C0832">
              <w:rPr>
                <w:lang w:val="en-GB" w:eastAsia="en-US"/>
              </w:rPr>
              <w:t xml:space="preserve">CZK </w:t>
            </w:r>
            <w:proofErr w:type="spellStart"/>
            <w:r w:rsidR="009C0832">
              <w:rPr>
                <w:lang w:val="en-GB" w:eastAsia="en-US"/>
              </w:rPr>
              <w:t>bn</w:t>
            </w:r>
            <w:proofErr w:type="spellEnd"/>
            <w:r w:rsidRPr="006E725C">
              <w:rPr>
                <w:lang w:val="en-GB" w:eastAsia="en-US"/>
              </w:rPr>
              <w:t xml:space="preserve"> towards the end of year 2023 and it was by 7.0% higher year-on-year. The largest year-on-year increase of credit was recorded in professional, scientific, technical and administrative activities (36.8%), generation and distribution of electricity, gas, heat, air, water and sewerage (16.9%) and real estate activities (13.2%). Volume of provided credit was in </w:t>
            </w:r>
            <w:r w:rsidRPr="006E725C">
              <w:rPr>
                <w:lang w:val="en-GB" w:eastAsia="en-US"/>
              </w:rPr>
              <w:lastRenderedPageBreak/>
              <w:t>contrast falling for entities in the area of transport and warehousing (−5.7%), wholesale, retail and repairs and maintenance of motor vehicles (−0.8%) and in manufacturing (−0.7%). Trend of growing number of credits in foreign currency, which overtook the boundary of one half of total credit and claims of the non-financial businesses (51.1%</w:t>
            </w:r>
            <w:r w:rsidRPr="006E725C">
              <w:rPr>
                <w:rStyle w:val="Znakapoznpodarou"/>
                <w:lang w:val="en-GB" w:eastAsia="en-US"/>
              </w:rPr>
              <w:footnoteReference w:id="99"/>
            </w:r>
            <w:r w:rsidRPr="006E725C">
              <w:rPr>
                <w:lang w:val="en-GB" w:eastAsia="en-US"/>
              </w:rPr>
              <w:t xml:space="preserve">)     for the first time towards the end of year 2023, remained the same.  </w:t>
            </w:r>
          </w:p>
        </w:tc>
      </w:tr>
      <w:bookmarkEnd w:id="43"/>
    </w:tbl>
    <w:p w14:paraId="0A7E49C9" w14:textId="77777777" w:rsidR="00BF5759" w:rsidRDefault="00BF5759" w:rsidP="0011055D">
      <w:pPr>
        <w:pStyle w:val="Nadpis11"/>
        <w:rPr>
          <w:szCs w:val="32"/>
          <w:lang w:val="en-GB"/>
        </w:rPr>
      </w:pPr>
    </w:p>
    <w:p w14:paraId="46B81FDC" w14:textId="77777777" w:rsidR="00BF5759" w:rsidRDefault="00BF5759">
      <w:pPr>
        <w:spacing w:after="0" w:line="240" w:lineRule="auto"/>
        <w:jc w:val="left"/>
        <w:rPr>
          <w:rFonts w:eastAsia="MS Gothic"/>
          <w:b/>
          <w:bCs/>
          <w:color w:val="71818C"/>
          <w:sz w:val="32"/>
          <w:szCs w:val="32"/>
          <w:lang w:val="en-GB"/>
        </w:rPr>
      </w:pPr>
      <w:r>
        <w:rPr>
          <w:szCs w:val="32"/>
          <w:lang w:val="en-GB"/>
        </w:rPr>
        <w:br w:type="page"/>
      </w:r>
    </w:p>
    <w:p w14:paraId="75D3DAB4" w14:textId="29E163A3" w:rsidR="0011055D" w:rsidRPr="006E725C" w:rsidRDefault="0011055D" w:rsidP="0011055D">
      <w:pPr>
        <w:pStyle w:val="Nadpis11"/>
        <w:rPr>
          <w:lang w:val="en-GB"/>
        </w:rPr>
      </w:pPr>
      <w:bookmarkStart w:id="46" w:name="_Toc164682190"/>
      <w:r w:rsidRPr="006E725C">
        <w:rPr>
          <w:szCs w:val="32"/>
          <w:lang w:val="en-GB"/>
        </w:rPr>
        <w:lastRenderedPageBreak/>
        <w:t>8</w:t>
      </w:r>
      <w:r w:rsidRPr="006E725C">
        <w:rPr>
          <w:lang w:val="en-GB"/>
        </w:rPr>
        <w:t>. St</w:t>
      </w:r>
      <w:r w:rsidR="00427538" w:rsidRPr="006E725C">
        <w:rPr>
          <w:lang w:val="en-GB"/>
        </w:rPr>
        <w:t>ate Budget</w:t>
      </w:r>
      <w:bookmarkEnd w:id="46"/>
    </w:p>
    <w:tbl>
      <w:tblPr>
        <w:tblW w:w="9669" w:type="dxa"/>
        <w:tblInd w:w="-20" w:type="dxa"/>
        <w:tblLayout w:type="fixed"/>
        <w:tblCellMar>
          <w:left w:w="0" w:type="dxa"/>
          <w:right w:w="0" w:type="dxa"/>
        </w:tblCellMar>
        <w:tblLook w:val="00A0" w:firstRow="1" w:lastRow="0" w:firstColumn="1" w:lastColumn="0" w:noHBand="0" w:noVBand="0"/>
      </w:tblPr>
      <w:tblGrid>
        <w:gridCol w:w="1792"/>
        <w:gridCol w:w="203"/>
        <w:gridCol w:w="7674"/>
      </w:tblGrid>
      <w:tr w:rsidR="0011055D" w:rsidRPr="006E725C" w14:paraId="5EEBA577" w14:textId="77777777" w:rsidTr="00C07C2F">
        <w:trPr>
          <w:trHeight w:val="60"/>
        </w:trPr>
        <w:tc>
          <w:tcPr>
            <w:tcW w:w="1792" w:type="dxa"/>
            <w:shd w:val="clear" w:color="auto" w:fill="auto"/>
            <w:tcMar>
              <w:left w:w="0" w:type="dxa"/>
            </w:tcMar>
          </w:tcPr>
          <w:p w14:paraId="5B7A1629" w14:textId="61F4FE30" w:rsidR="0011055D" w:rsidRPr="006E725C" w:rsidRDefault="001D3A7F" w:rsidP="00C07C2F">
            <w:pPr>
              <w:pStyle w:val="Marginlie"/>
              <w:rPr>
                <w:lang w:val="en-GB"/>
              </w:rPr>
            </w:pPr>
            <w:r w:rsidRPr="006E725C">
              <w:rPr>
                <w:lang w:val="en-GB"/>
              </w:rPr>
              <w:t xml:space="preserve">Deep budget deficit persisted, </w:t>
            </w:r>
            <w:r w:rsidR="00EF433F" w:rsidRPr="006E725C">
              <w:rPr>
                <w:lang w:val="en-GB"/>
              </w:rPr>
              <w:t>nevertheless</w:t>
            </w:r>
            <w:r w:rsidRPr="006E725C">
              <w:rPr>
                <w:lang w:val="en-GB"/>
              </w:rPr>
              <w:t xml:space="preserve"> it decreased for the second year in a row. </w:t>
            </w:r>
          </w:p>
        </w:tc>
        <w:tc>
          <w:tcPr>
            <w:tcW w:w="203" w:type="dxa"/>
            <w:shd w:val="clear" w:color="auto" w:fill="auto"/>
            <w:tcMar>
              <w:left w:w="0" w:type="dxa"/>
            </w:tcMar>
          </w:tcPr>
          <w:p w14:paraId="75B11CF3"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26B0925C" w14:textId="186E67FB" w:rsidR="0011055D" w:rsidRPr="006E725C" w:rsidRDefault="00427538" w:rsidP="00C07C2F">
            <w:pPr>
              <w:spacing w:after="200"/>
              <w:rPr>
                <w:spacing w:val="-4"/>
                <w:lang w:val="en-GB"/>
              </w:rPr>
            </w:pPr>
            <w:r w:rsidRPr="006E725C">
              <w:rPr>
                <w:spacing w:val="-4"/>
                <w:lang w:val="en-GB"/>
              </w:rPr>
              <w:t>State budget</w:t>
            </w:r>
            <w:r w:rsidR="0011055D" w:rsidRPr="006E725C">
              <w:rPr>
                <w:rStyle w:val="Znakapoznpodarou"/>
                <w:spacing w:val="-4"/>
                <w:lang w:val="en-GB"/>
              </w:rPr>
              <w:footnoteReference w:id="100"/>
            </w:r>
            <w:r w:rsidRPr="006E725C">
              <w:rPr>
                <w:spacing w:val="-4"/>
                <w:lang w:val="en-GB"/>
              </w:rPr>
              <w:t xml:space="preserve"> of the CR continued with deep deficit for the fourth year in a row and consequently still presented one of the most important macroeconomic imbalances. </w:t>
            </w:r>
            <w:r w:rsidR="00D55E68" w:rsidRPr="006E725C">
              <w:rPr>
                <w:spacing w:val="-4"/>
                <w:lang w:val="en-GB"/>
              </w:rPr>
              <w:t xml:space="preserve">The deficit equalled </w:t>
            </w:r>
            <w:r w:rsidR="0011055D" w:rsidRPr="006E725C">
              <w:rPr>
                <w:spacing w:val="-4"/>
                <w:lang w:val="en-GB"/>
              </w:rPr>
              <w:t>288</w:t>
            </w:r>
            <w:r w:rsidR="00D55E68" w:rsidRPr="006E725C">
              <w:rPr>
                <w:spacing w:val="-4"/>
                <w:lang w:val="en-GB"/>
              </w:rPr>
              <w:t>.</w:t>
            </w:r>
            <w:r w:rsidR="0011055D" w:rsidRPr="006E725C">
              <w:rPr>
                <w:spacing w:val="-4"/>
                <w:lang w:val="en-GB"/>
              </w:rPr>
              <w:t>5</w:t>
            </w:r>
            <w:r w:rsidR="00D55E68" w:rsidRPr="006E725C">
              <w:rPr>
                <w:spacing w:val="-4"/>
                <w:lang w:val="en-GB"/>
              </w:rPr>
              <w:t xml:space="preserve"> </w:t>
            </w:r>
            <w:r w:rsidR="009C0832">
              <w:rPr>
                <w:spacing w:val="-4"/>
                <w:lang w:val="en-GB"/>
              </w:rPr>
              <w:t xml:space="preserve">CZK </w:t>
            </w:r>
            <w:proofErr w:type="spellStart"/>
            <w:r w:rsidR="009C0832">
              <w:rPr>
                <w:spacing w:val="-4"/>
                <w:lang w:val="en-GB"/>
              </w:rPr>
              <w:t>bn</w:t>
            </w:r>
            <w:proofErr w:type="spellEnd"/>
            <w:r w:rsidR="00D55E68" w:rsidRPr="006E725C">
              <w:rPr>
                <w:spacing w:val="-4"/>
                <w:lang w:val="en-GB"/>
              </w:rPr>
              <w:t xml:space="preserve"> in year 2023 </w:t>
            </w:r>
            <w:r w:rsidR="0011055D" w:rsidRPr="006E725C">
              <w:rPr>
                <w:spacing w:val="-4"/>
                <w:lang w:val="en-GB"/>
              </w:rPr>
              <w:t>a</w:t>
            </w:r>
            <w:r w:rsidR="00075068" w:rsidRPr="006E725C">
              <w:rPr>
                <w:spacing w:val="-4"/>
                <w:lang w:val="en-GB"/>
              </w:rPr>
              <w:t xml:space="preserve">nd in fact fulfilled the budget </w:t>
            </w:r>
            <w:r w:rsidR="001C4ABB" w:rsidRPr="006E725C">
              <w:rPr>
                <w:spacing w:val="-4"/>
                <w:lang w:val="en-GB"/>
              </w:rPr>
              <w:t>anticipations</w:t>
            </w:r>
            <w:r w:rsidR="0011055D" w:rsidRPr="006E725C">
              <w:rPr>
                <w:rStyle w:val="Znakapoznpodarou"/>
                <w:spacing w:val="-4"/>
                <w:lang w:val="en-GB"/>
              </w:rPr>
              <w:footnoteReference w:id="101"/>
            </w:r>
            <w:r w:rsidR="0011055D" w:rsidRPr="006E725C">
              <w:rPr>
                <w:spacing w:val="-4"/>
                <w:lang w:val="en-GB"/>
              </w:rPr>
              <w:t xml:space="preserve">. </w:t>
            </w:r>
            <w:r w:rsidR="001C4ABB" w:rsidRPr="006E725C">
              <w:rPr>
                <w:spacing w:val="-4"/>
                <w:lang w:val="en-GB"/>
              </w:rPr>
              <w:t xml:space="preserve">Budget lowered year-on-year for the second </w:t>
            </w:r>
            <w:r w:rsidR="0010228E" w:rsidRPr="006E725C">
              <w:rPr>
                <w:spacing w:val="-4"/>
                <w:lang w:val="en-GB"/>
              </w:rPr>
              <w:t xml:space="preserve">time in a row, it fell by one fifth against year </w:t>
            </w:r>
            <w:r w:rsidR="0011055D" w:rsidRPr="006E725C">
              <w:rPr>
                <w:spacing w:val="-4"/>
                <w:lang w:val="en-GB"/>
              </w:rPr>
              <w:t>2022</w:t>
            </w:r>
            <w:r w:rsidR="0010228E" w:rsidRPr="006E725C">
              <w:rPr>
                <w:spacing w:val="-4"/>
                <w:lang w:val="en-GB"/>
              </w:rPr>
              <w:t xml:space="preserve"> </w:t>
            </w:r>
            <w:r w:rsidR="0011055D" w:rsidRPr="006E725C">
              <w:rPr>
                <w:spacing w:val="-4"/>
                <w:lang w:val="en-GB"/>
              </w:rPr>
              <w:t>(71</w:t>
            </w:r>
            <w:r w:rsidR="0010228E" w:rsidRPr="006E725C">
              <w:rPr>
                <w:spacing w:val="-4"/>
                <w:lang w:val="en-GB"/>
              </w:rPr>
              <w:t>.</w:t>
            </w:r>
            <w:r w:rsidR="0011055D" w:rsidRPr="006E725C">
              <w:rPr>
                <w:spacing w:val="-4"/>
                <w:lang w:val="en-GB"/>
              </w:rPr>
              <w:t>9</w:t>
            </w:r>
            <w:r w:rsidR="0010228E" w:rsidRPr="006E725C">
              <w:rPr>
                <w:spacing w:val="-4"/>
                <w:lang w:val="en-GB"/>
              </w:rPr>
              <w:t xml:space="preserve"> </w:t>
            </w:r>
            <w:r w:rsidR="009C0832">
              <w:rPr>
                <w:spacing w:val="-4"/>
                <w:lang w:val="en-GB"/>
              </w:rPr>
              <w:t xml:space="preserve">CZK </w:t>
            </w:r>
            <w:proofErr w:type="spellStart"/>
            <w:r w:rsidR="009C0832">
              <w:rPr>
                <w:spacing w:val="-4"/>
                <w:lang w:val="en-GB"/>
              </w:rPr>
              <w:t>bn</w:t>
            </w:r>
            <w:proofErr w:type="spellEnd"/>
            <w:r w:rsidR="0011055D" w:rsidRPr="006E725C">
              <w:rPr>
                <w:spacing w:val="-4"/>
                <w:lang w:val="en-GB"/>
              </w:rPr>
              <w:t>). T</w:t>
            </w:r>
            <w:r w:rsidR="0010228E" w:rsidRPr="006E725C">
              <w:rPr>
                <w:spacing w:val="-4"/>
                <w:lang w:val="en-GB"/>
              </w:rPr>
              <w:t xml:space="preserve">his positive trend was also </w:t>
            </w:r>
            <w:r w:rsidR="00432337" w:rsidRPr="006E725C">
              <w:rPr>
                <w:spacing w:val="-4"/>
                <w:lang w:val="en-GB"/>
              </w:rPr>
              <w:t xml:space="preserve">apparent after adjustment for the effect of </w:t>
            </w:r>
            <w:r w:rsidR="00806955" w:rsidRPr="006E725C">
              <w:rPr>
                <w:spacing w:val="-4"/>
                <w:lang w:val="en-GB"/>
              </w:rPr>
              <w:t>fun</w:t>
            </w:r>
            <w:r w:rsidR="006C65FF" w:rsidRPr="006E725C">
              <w:rPr>
                <w:spacing w:val="-4"/>
                <w:lang w:val="en-GB"/>
              </w:rPr>
              <w:t>d</w:t>
            </w:r>
            <w:r w:rsidR="00806955" w:rsidRPr="006E725C">
              <w:rPr>
                <w:spacing w:val="-4"/>
                <w:lang w:val="en-GB"/>
              </w:rPr>
              <w:t xml:space="preserve">s from the EU budget </w:t>
            </w:r>
            <w:r w:rsidR="0011055D" w:rsidRPr="006E725C">
              <w:rPr>
                <w:spacing w:val="-4"/>
                <w:lang w:val="en-GB"/>
              </w:rPr>
              <w:t>(</w:t>
            </w:r>
            <w:r w:rsidR="00806955" w:rsidRPr="006E725C">
              <w:rPr>
                <w:spacing w:val="-4"/>
                <w:lang w:val="en-GB"/>
              </w:rPr>
              <w:t xml:space="preserve">including </w:t>
            </w:r>
            <w:r w:rsidR="00224335" w:rsidRPr="006E725C">
              <w:rPr>
                <w:spacing w:val="-4"/>
                <w:lang w:val="en-GB"/>
              </w:rPr>
              <w:t>F</w:t>
            </w:r>
            <w:r w:rsidR="00806955" w:rsidRPr="006E725C">
              <w:rPr>
                <w:spacing w:val="-4"/>
                <w:lang w:val="en-GB"/>
              </w:rPr>
              <w:t>inancial mechanisms</w:t>
            </w:r>
            <w:r w:rsidR="0011055D" w:rsidRPr="006E725C">
              <w:rPr>
                <w:spacing w:val="-4"/>
                <w:lang w:val="en-GB"/>
              </w:rPr>
              <w:t>)</w:t>
            </w:r>
            <w:r w:rsidR="0011055D" w:rsidRPr="006E725C">
              <w:rPr>
                <w:rStyle w:val="Znakapoznpodarou"/>
                <w:spacing w:val="-4"/>
                <w:lang w:val="en-GB"/>
              </w:rPr>
              <w:footnoteReference w:id="102"/>
            </w:r>
            <w:r w:rsidR="0011055D" w:rsidRPr="006E725C">
              <w:rPr>
                <w:spacing w:val="-4"/>
                <w:lang w:val="en-GB"/>
              </w:rPr>
              <w:t xml:space="preserve">. </w:t>
            </w:r>
            <w:r w:rsidR="00F2334D" w:rsidRPr="006E725C">
              <w:rPr>
                <w:spacing w:val="-4"/>
                <w:lang w:val="en-GB"/>
              </w:rPr>
              <w:t>Budget deficit</w:t>
            </w:r>
            <w:r w:rsidR="004945C1" w:rsidRPr="006E725C">
              <w:rPr>
                <w:spacing w:val="-4"/>
                <w:lang w:val="en-GB"/>
              </w:rPr>
              <w:t xml:space="preserve"> development was </w:t>
            </w:r>
            <w:r w:rsidR="006D4F1E" w:rsidRPr="006E725C">
              <w:rPr>
                <w:spacing w:val="-4"/>
                <w:lang w:val="en-GB"/>
              </w:rPr>
              <w:t xml:space="preserve">very </w:t>
            </w:r>
            <w:r w:rsidR="004945C1" w:rsidRPr="006E725C">
              <w:rPr>
                <w:spacing w:val="-4"/>
                <w:lang w:val="en-GB"/>
              </w:rPr>
              <w:t>unevenly distributed</w:t>
            </w:r>
            <w:r w:rsidR="006D4F1E" w:rsidRPr="006E725C">
              <w:rPr>
                <w:spacing w:val="-4"/>
                <w:lang w:val="en-GB"/>
              </w:rPr>
              <w:t xml:space="preserve"> during </w:t>
            </w:r>
            <w:r w:rsidR="007A0C93" w:rsidRPr="006E725C">
              <w:rPr>
                <w:spacing w:val="-4"/>
                <w:lang w:val="en-GB"/>
              </w:rPr>
              <w:t>the last year</w:t>
            </w:r>
            <w:r w:rsidR="0011055D" w:rsidRPr="006E725C">
              <w:rPr>
                <w:rStyle w:val="Znakapoznpodarou"/>
                <w:spacing w:val="-4"/>
                <w:lang w:val="en-GB"/>
              </w:rPr>
              <w:footnoteReference w:id="103"/>
            </w:r>
            <w:r w:rsidR="0011055D" w:rsidRPr="006E725C">
              <w:rPr>
                <w:spacing w:val="-4"/>
                <w:lang w:val="en-GB"/>
              </w:rPr>
              <w:t xml:space="preserve">, </w:t>
            </w:r>
            <w:r w:rsidR="00FF4667" w:rsidRPr="006E725C">
              <w:rPr>
                <w:spacing w:val="-4"/>
                <w:lang w:val="en-GB"/>
              </w:rPr>
              <w:t xml:space="preserve">which was caused by extraordinary, however </w:t>
            </w:r>
            <w:r w:rsidR="00E82D9B" w:rsidRPr="006E725C">
              <w:rPr>
                <w:spacing w:val="-4"/>
                <w:lang w:val="en-GB"/>
              </w:rPr>
              <w:t xml:space="preserve">largely planned revenues </w:t>
            </w:r>
            <w:r w:rsidR="0011055D" w:rsidRPr="006E725C">
              <w:rPr>
                <w:spacing w:val="-4"/>
                <w:lang w:val="en-GB"/>
              </w:rPr>
              <w:t>(dividend</w:t>
            </w:r>
            <w:r w:rsidR="00E82D9B" w:rsidRPr="006E725C">
              <w:rPr>
                <w:spacing w:val="-4"/>
                <w:lang w:val="en-GB"/>
              </w:rPr>
              <w:t xml:space="preserve">s, </w:t>
            </w:r>
            <w:r w:rsidR="00232B6D" w:rsidRPr="006E725C">
              <w:rPr>
                <w:spacing w:val="-4"/>
                <w:lang w:val="en-GB"/>
              </w:rPr>
              <w:t>proceeds from the exceptional business taxes</w:t>
            </w:r>
            <w:r w:rsidR="0011055D" w:rsidRPr="006E725C">
              <w:rPr>
                <w:spacing w:val="-4"/>
                <w:lang w:val="en-GB"/>
              </w:rPr>
              <w:t xml:space="preserve">, </w:t>
            </w:r>
            <w:r w:rsidR="0010544F" w:rsidRPr="006E725C">
              <w:rPr>
                <w:spacing w:val="-4"/>
                <w:lang w:val="en-GB"/>
              </w:rPr>
              <w:t>especially in the area of energetics</w:t>
            </w:r>
            <w:r w:rsidR="0011055D" w:rsidRPr="006E725C">
              <w:rPr>
                <w:spacing w:val="-4"/>
                <w:lang w:val="en-GB"/>
              </w:rPr>
              <w:t xml:space="preserve">), </w:t>
            </w:r>
            <w:r w:rsidR="007A0C93" w:rsidRPr="006E725C">
              <w:rPr>
                <w:spacing w:val="-4"/>
                <w:lang w:val="en-GB"/>
              </w:rPr>
              <w:t xml:space="preserve">swift growth of collection of </w:t>
            </w:r>
            <w:r w:rsidR="006428D3" w:rsidRPr="006E725C">
              <w:rPr>
                <w:spacing w:val="-4"/>
                <w:lang w:val="en-GB"/>
              </w:rPr>
              <w:t>“</w:t>
            </w:r>
            <w:r w:rsidR="00FF4667" w:rsidRPr="006E725C">
              <w:rPr>
                <w:spacing w:val="-4"/>
                <w:lang w:val="en-GB"/>
              </w:rPr>
              <w:t>common</w:t>
            </w:r>
            <w:r w:rsidR="00051810">
              <w:rPr>
                <w:spacing w:val="-4"/>
                <w:lang w:val="en-GB"/>
              </w:rPr>
              <w:t>”</w:t>
            </w:r>
            <w:r w:rsidR="0011055D" w:rsidRPr="006E725C">
              <w:rPr>
                <w:spacing w:val="-4"/>
                <w:lang w:val="en-GB"/>
              </w:rPr>
              <w:t xml:space="preserve"> </w:t>
            </w:r>
            <w:r w:rsidR="007A0C93" w:rsidRPr="006E725C">
              <w:rPr>
                <w:spacing w:val="-4"/>
                <w:lang w:val="en-GB"/>
              </w:rPr>
              <w:t xml:space="preserve">business taxes, as well as inclusion of funds from the </w:t>
            </w:r>
            <w:r w:rsidR="009C7782" w:rsidRPr="006E725C">
              <w:rPr>
                <w:spacing w:val="-4"/>
                <w:lang w:val="en-GB"/>
              </w:rPr>
              <w:t xml:space="preserve">national </w:t>
            </w:r>
            <w:r w:rsidR="00565083" w:rsidRPr="006E725C">
              <w:rPr>
                <w:spacing w:val="-4"/>
                <w:lang w:val="en-GB"/>
              </w:rPr>
              <w:t>r</w:t>
            </w:r>
            <w:r w:rsidR="009C7782" w:rsidRPr="006E725C">
              <w:rPr>
                <w:spacing w:val="-4"/>
                <w:lang w:val="en-GB"/>
              </w:rPr>
              <w:t>ecovery plan</w:t>
            </w:r>
            <w:r w:rsidR="00565083" w:rsidRPr="006E725C">
              <w:rPr>
                <w:spacing w:val="-4"/>
                <w:lang w:val="en-GB"/>
              </w:rPr>
              <w:t xml:space="preserve"> </w:t>
            </w:r>
            <w:r w:rsidR="0011055D" w:rsidRPr="006E725C">
              <w:rPr>
                <w:spacing w:val="-4"/>
                <w:lang w:val="en-GB"/>
              </w:rPr>
              <w:t>(</w:t>
            </w:r>
            <w:r w:rsidR="00565083" w:rsidRPr="006E725C">
              <w:rPr>
                <w:spacing w:val="-4"/>
                <w:lang w:val="en-GB"/>
              </w:rPr>
              <w:t xml:space="preserve">these significantly expanded the total revenues of the CR from the EU </w:t>
            </w:r>
            <w:r w:rsidR="0028405F" w:rsidRPr="006E725C">
              <w:rPr>
                <w:spacing w:val="-4"/>
                <w:lang w:val="en-GB"/>
              </w:rPr>
              <w:t>last year from June</w:t>
            </w:r>
            <w:r w:rsidR="0011055D" w:rsidRPr="006E725C">
              <w:rPr>
                <w:spacing w:val="-4"/>
                <w:lang w:val="en-GB"/>
              </w:rPr>
              <w:t>).</w:t>
            </w:r>
          </w:p>
        </w:tc>
      </w:tr>
      <w:tr w:rsidR="0011055D" w:rsidRPr="006E725C" w14:paraId="51FB3905" w14:textId="77777777" w:rsidTr="00C07C2F">
        <w:trPr>
          <w:trHeight w:val="60"/>
        </w:trPr>
        <w:tc>
          <w:tcPr>
            <w:tcW w:w="1792" w:type="dxa"/>
            <w:shd w:val="clear" w:color="auto" w:fill="auto"/>
            <w:tcMar>
              <w:left w:w="0" w:type="dxa"/>
            </w:tcMar>
          </w:tcPr>
          <w:p w14:paraId="1137C277" w14:textId="49E6E761" w:rsidR="0011055D" w:rsidRPr="006E725C" w:rsidRDefault="0010544F" w:rsidP="00C07C2F">
            <w:pPr>
              <w:pStyle w:val="Marginlie"/>
              <w:rPr>
                <w:lang w:val="en-GB"/>
              </w:rPr>
            </w:pPr>
            <w:r w:rsidRPr="006E725C">
              <w:rPr>
                <w:lang w:val="en-GB"/>
              </w:rPr>
              <w:t>Growth of SB revenues markedly accelerated last year compared to year 20</w:t>
            </w:r>
            <w:r w:rsidR="0011055D" w:rsidRPr="006E725C">
              <w:rPr>
                <w:lang w:val="en-GB"/>
              </w:rPr>
              <w:t>22</w:t>
            </w:r>
            <w:r w:rsidRPr="006E725C">
              <w:rPr>
                <w:lang w:val="en-GB"/>
              </w:rPr>
              <w:t xml:space="preserve">, still it did not </w:t>
            </w:r>
            <w:r w:rsidR="00BF6E0F" w:rsidRPr="006E725C">
              <w:rPr>
                <w:lang w:val="en-GB"/>
              </w:rPr>
              <w:t xml:space="preserve">completely </w:t>
            </w:r>
            <w:r w:rsidR="00D22517" w:rsidRPr="006E725C">
              <w:rPr>
                <w:lang w:val="en-GB"/>
              </w:rPr>
              <w:t>fulfil</w:t>
            </w:r>
            <w:r w:rsidR="00BF6E0F" w:rsidRPr="006E725C">
              <w:rPr>
                <w:lang w:val="en-GB"/>
              </w:rPr>
              <w:t xml:space="preserve"> the budget anticipations. </w:t>
            </w:r>
          </w:p>
        </w:tc>
        <w:tc>
          <w:tcPr>
            <w:tcW w:w="203" w:type="dxa"/>
            <w:shd w:val="clear" w:color="auto" w:fill="auto"/>
            <w:tcMar>
              <w:left w:w="0" w:type="dxa"/>
            </w:tcMar>
          </w:tcPr>
          <w:p w14:paraId="232C08DA"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6B5C60D2" w14:textId="4D0A7725" w:rsidR="0011055D" w:rsidRPr="006E725C" w:rsidRDefault="006C1F94" w:rsidP="00C07C2F">
            <w:pPr>
              <w:spacing w:after="200"/>
              <w:rPr>
                <w:spacing w:val="-4"/>
                <w:lang w:val="en-GB"/>
              </w:rPr>
            </w:pPr>
            <w:r w:rsidRPr="006E725C">
              <w:rPr>
                <w:color w:val="0D0D0D" w:themeColor="text1" w:themeTint="F2"/>
                <w:spacing w:val="-4"/>
                <w:lang w:val="en-GB"/>
              </w:rPr>
              <w:t xml:space="preserve">Even though the growth of total SB revenues arrived at record </w:t>
            </w:r>
            <w:r w:rsidR="0011055D" w:rsidRPr="006E725C">
              <w:rPr>
                <w:color w:val="0D0D0D" w:themeColor="text1" w:themeTint="F2"/>
                <w:spacing w:val="-4"/>
                <w:lang w:val="en-GB"/>
              </w:rPr>
              <w:t>289</w:t>
            </w:r>
            <w:r w:rsidRPr="006E725C">
              <w:rPr>
                <w:color w:val="0D0D0D" w:themeColor="text1" w:themeTint="F2"/>
                <w:spacing w:val="-4"/>
                <w:lang w:val="en-GB"/>
              </w:rPr>
              <w:t>.</w:t>
            </w:r>
            <w:r w:rsidR="0011055D" w:rsidRPr="006E725C">
              <w:rPr>
                <w:color w:val="0D0D0D" w:themeColor="text1" w:themeTint="F2"/>
                <w:spacing w:val="-4"/>
                <w:lang w:val="en-GB"/>
              </w:rPr>
              <w:t>7</w:t>
            </w:r>
            <w:r w:rsidRPr="006E725C">
              <w:rPr>
                <w:color w:val="0D0D0D" w:themeColor="text1" w:themeTint="F2"/>
                <w:spacing w:val="-4"/>
                <w:lang w:val="en-GB"/>
              </w:rPr>
              <w:t xml:space="preserve"> </w:t>
            </w:r>
            <w:r w:rsidR="009C0832">
              <w:rPr>
                <w:color w:val="0D0D0D" w:themeColor="text1" w:themeTint="F2"/>
                <w:spacing w:val="-4"/>
                <w:lang w:val="en-GB"/>
              </w:rPr>
              <w:t xml:space="preserve">CZK </w:t>
            </w:r>
            <w:proofErr w:type="spellStart"/>
            <w:r w:rsidR="009C0832">
              <w:rPr>
                <w:color w:val="0D0D0D" w:themeColor="text1" w:themeTint="F2"/>
                <w:spacing w:val="-4"/>
                <w:lang w:val="en-GB"/>
              </w:rPr>
              <w:t>bn</w:t>
            </w:r>
            <w:proofErr w:type="spellEnd"/>
            <w:r w:rsidR="0011055D" w:rsidRPr="006E725C">
              <w:rPr>
                <w:color w:val="0D0D0D" w:themeColor="text1" w:themeTint="F2"/>
                <w:spacing w:val="-4"/>
                <w:lang w:val="en-GB"/>
              </w:rPr>
              <w:t xml:space="preserve">, </w:t>
            </w:r>
            <w:r w:rsidR="002F2D8A" w:rsidRPr="006E725C">
              <w:rPr>
                <w:color w:val="0D0D0D" w:themeColor="text1" w:themeTint="F2"/>
                <w:spacing w:val="-4"/>
                <w:lang w:val="en-GB"/>
              </w:rPr>
              <w:t>i.e.</w:t>
            </w:r>
            <w:r w:rsidR="0011055D" w:rsidRPr="006E725C">
              <w:rPr>
                <w:color w:val="0D0D0D" w:themeColor="text1" w:themeTint="F2"/>
                <w:spacing w:val="-4"/>
                <w:lang w:val="en-GB"/>
              </w:rPr>
              <w:t xml:space="preserve"> 17</w:t>
            </w:r>
            <w:r w:rsidRPr="006E725C">
              <w:rPr>
                <w:color w:val="0D0D0D" w:themeColor="text1" w:themeTint="F2"/>
                <w:spacing w:val="-4"/>
                <w:lang w:val="en-GB"/>
              </w:rPr>
              <w:t>.</w:t>
            </w:r>
            <w:r w:rsidR="0011055D" w:rsidRPr="006E725C">
              <w:rPr>
                <w:color w:val="0D0D0D" w:themeColor="text1" w:themeTint="F2"/>
                <w:spacing w:val="-4"/>
                <w:lang w:val="en-GB"/>
              </w:rPr>
              <w:t>8%</w:t>
            </w:r>
            <w:r w:rsidRPr="006E725C">
              <w:rPr>
                <w:color w:val="0D0D0D" w:themeColor="text1" w:themeTint="F2"/>
                <w:spacing w:val="-4"/>
                <w:lang w:val="en-GB"/>
              </w:rPr>
              <w:t xml:space="preserve"> for the last year</w:t>
            </w:r>
            <w:r w:rsidR="0011055D" w:rsidRPr="006E725C">
              <w:rPr>
                <w:color w:val="0D0D0D" w:themeColor="text1" w:themeTint="F2"/>
                <w:spacing w:val="-4"/>
                <w:lang w:val="en-GB"/>
              </w:rPr>
              <w:t xml:space="preserve"> (</w:t>
            </w:r>
            <w:r w:rsidRPr="006E725C">
              <w:rPr>
                <w:color w:val="0D0D0D" w:themeColor="text1" w:themeTint="F2"/>
                <w:spacing w:val="-4"/>
                <w:lang w:val="en-GB"/>
              </w:rPr>
              <w:t xml:space="preserve">nearly the double the pace against year </w:t>
            </w:r>
            <w:r w:rsidR="0011055D" w:rsidRPr="006E725C">
              <w:rPr>
                <w:color w:val="0D0D0D" w:themeColor="text1" w:themeTint="F2"/>
                <w:spacing w:val="-4"/>
                <w:lang w:val="en-GB"/>
              </w:rPr>
              <w:t xml:space="preserve">2022), </w:t>
            </w:r>
            <w:r w:rsidRPr="006E725C">
              <w:rPr>
                <w:color w:val="0D0D0D" w:themeColor="text1" w:themeTint="F2"/>
                <w:spacing w:val="-4"/>
                <w:lang w:val="en-GB"/>
              </w:rPr>
              <w:t xml:space="preserve">it did not completely fulfil the budget anticipations </w:t>
            </w:r>
            <w:r w:rsidR="0011055D" w:rsidRPr="006E725C">
              <w:rPr>
                <w:color w:val="0D0D0D" w:themeColor="text1" w:themeTint="F2"/>
                <w:spacing w:val="-4"/>
                <w:lang w:val="en-GB"/>
              </w:rPr>
              <w:t>(−2</w:t>
            </w:r>
            <w:r w:rsidRPr="006E725C">
              <w:rPr>
                <w:color w:val="0D0D0D" w:themeColor="text1" w:themeTint="F2"/>
                <w:spacing w:val="-4"/>
                <w:lang w:val="en-GB"/>
              </w:rPr>
              <w:t>.</w:t>
            </w:r>
            <w:r w:rsidR="0011055D" w:rsidRPr="006E725C">
              <w:rPr>
                <w:color w:val="0D0D0D" w:themeColor="text1" w:themeTint="F2"/>
                <w:spacing w:val="-4"/>
                <w:lang w:val="en-GB"/>
              </w:rPr>
              <w:t xml:space="preserve">1%). </w:t>
            </w:r>
            <w:r w:rsidR="000F7C7E" w:rsidRPr="006E725C">
              <w:rPr>
                <w:color w:val="0D0D0D" w:themeColor="text1" w:themeTint="F2"/>
                <w:spacing w:val="-4"/>
                <w:lang w:val="en-GB"/>
              </w:rPr>
              <w:t>Strong growth of prices in the e</w:t>
            </w:r>
            <w:r w:rsidR="00044906" w:rsidRPr="006E725C">
              <w:rPr>
                <w:color w:val="0D0D0D" w:themeColor="text1" w:themeTint="F2"/>
                <w:spacing w:val="-4"/>
                <w:lang w:val="en-GB"/>
              </w:rPr>
              <w:t>co</w:t>
            </w:r>
            <w:r w:rsidR="000F7C7E" w:rsidRPr="006E725C">
              <w:rPr>
                <w:color w:val="0D0D0D" w:themeColor="text1" w:themeTint="F2"/>
                <w:spacing w:val="-4"/>
                <w:lang w:val="en-GB"/>
              </w:rPr>
              <w:t>nom</w:t>
            </w:r>
            <w:r w:rsidR="00C05F0A" w:rsidRPr="006E725C">
              <w:rPr>
                <w:color w:val="0D0D0D" w:themeColor="text1" w:themeTint="F2"/>
                <w:spacing w:val="-4"/>
                <w:lang w:val="en-GB"/>
              </w:rPr>
              <w:t>y</w:t>
            </w:r>
            <w:r w:rsidR="000F7C7E" w:rsidRPr="006E725C">
              <w:rPr>
                <w:color w:val="0D0D0D" w:themeColor="text1" w:themeTint="F2"/>
                <w:spacing w:val="-4"/>
                <w:lang w:val="en-GB"/>
              </w:rPr>
              <w:t xml:space="preserve">, which also pushed on </w:t>
            </w:r>
            <w:r w:rsidR="00877957" w:rsidRPr="006E725C">
              <w:rPr>
                <w:color w:val="0D0D0D" w:themeColor="text1" w:themeTint="F2"/>
                <w:spacing w:val="-4"/>
                <w:lang w:val="en-GB"/>
              </w:rPr>
              <w:t xml:space="preserve">higher dynamics of wages in the private sphere and simultaneously subdued the adverse impacts of the </w:t>
            </w:r>
            <w:r w:rsidR="00C05F0A" w:rsidRPr="006E725C">
              <w:rPr>
                <w:color w:val="0D0D0D" w:themeColor="text1" w:themeTint="F2"/>
                <w:spacing w:val="-4"/>
                <w:lang w:val="en-GB"/>
              </w:rPr>
              <w:t>ongoing weak household consumption of the collection of indirect taxes</w:t>
            </w:r>
            <w:r w:rsidR="00044906" w:rsidRPr="006E725C">
              <w:rPr>
                <w:color w:val="0D0D0D" w:themeColor="text1" w:themeTint="F2"/>
                <w:spacing w:val="-4"/>
                <w:lang w:val="en-GB"/>
              </w:rPr>
              <w:t xml:space="preserve">, participated on the development of revenues apart from the above-mentioned items. More than one half of the last year’s increase </w:t>
            </w:r>
            <w:r w:rsidR="00046F12" w:rsidRPr="006E725C">
              <w:rPr>
                <w:color w:val="0D0D0D" w:themeColor="text1" w:themeTint="F2"/>
                <w:spacing w:val="-4"/>
                <w:lang w:val="en-GB"/>
              </w:rPr>
              <w:t xml:space="preserve">of total SB revenues </w:t>
            </w:r>
            <w:r w:rsidR="007B7AD3" w:rsidRPr="006E725C">
              <w:rPr>
                <w:color w:val="0D0D0D" w:themeColor="text1" w:themeTint="F2"/>
                <w:spacing w:val="-4"/>
                <w:lang w:val="en-GB"/>
              </w:rPr>
              <w:t>flowed from the higher tax collection, nearly one third from the non-tax and capital revenues and the rest from the mandatory insurance</w:t>
            </w:r>
            <w:r w:rsidR="0011055D" w:rsidRPr="006E725C">
              <w:rPr>
                <w:rStyle w:val="Znakapoznpodarou"/>
                <w:spacing w:val="-4"/>
                <w:lang w:val="en-GB"/>
              </w:rPr>
              <w:footnoteReference w:id="104"/>
            </w:r>
            <w:r w:rsidR="0011055D" w:rsidRPr="006E725C">
              <w:rPr>
                <w:spacing w:val="-4"/>
                <w:lang w:val="en-GB"/>
              </w:rPr>
              <w:t xml:space="preserve">. </w:t>
            </w:r>
            <w:r w:rsidR="007B7AD3" w:rsidRPr="006E725C">
              <w:rPr>
                <w:spacing w:val="-4"/>
                <w:lang w:val="en-GB"/>
              </w:rPr>
              <w:t>Pace of insurance collection however weakened due to cooling on the labour market</w:t>
            </w:r>
            <w:r w:rsidR="0011055D" w:rsidRPr="006E725C">
              <w:rPr>
                <w:rStyle w:val="Znakapoznpodarou"/>
                <w:spacing w:val="-4"/>
                <w:lang w:val="en-GB"/>
              </w:rPr>
              <w:footnoteReference w:id="105"/>
            </w:r>
            <w:r w:rsidR="007B7AD3" w:rsidRPr="006E725C">
              <w:rPr>
                <w:spacing w:val="-4"/>
                <w:lang w:val="en-GB"/>
              </w:rPr>
              <w:t xml:space="preserve"> during the year </w:t>
            </w:r>
            <w:r w:rsidR="0011055D" w:rsidRPr="006E725C">
              <w:rPr>
                <w:spacing w:val="-4"/>
                <w:lang w:val="en-GB"/>
              </w:rPr>
              <w:t>(</w:t>
            </w:r>
            <w:r w:rsidR="007B7AD3" w:rsidRPr="006E725C">
              <w:rPr>
                <w:spacing w:val="-4"/>
                <w:lang w:val="en-GB"/>
              </w:rPr>
              <w:t>Q</w:t>
            </w:r>
            <w:r w:rsidR="0011055D" w:rsidRPr="006E725C">
              <w:rPr>
                <w:spacing w:val="-4"/>
                <w:lang w:val="en-GB"/>
              </w:rPr>
              <w:t>1: 10</w:t>
            </w:r>
            <w:r w:rsidR="007B7AD3" w:rsidRPr="006E725C">
              <w:rPr>
                <w:spacing w:val="-4"/>
                <w:lang w:val="en-GB"/>
              </w:rPr>
              <w:t>.</w:t>
            </w:r>
            <w:r w:rsidR="0011055D" w:rsidRPr="006E725C">
              <w:rPr>
                <w:spacing w:val="-4"/>
                <w:lang w:val="en-GB"/>
              </w:rPr>
              <w:t xml:space="preserve">5%, </w:t>
            </w:r>
            <w:r w:rsidR="007B7AD3" w:rsidRPr="006E725C">
              <w:rPr>
                <w:spacing w:val="-4"/>
                <w:lang w:val="en-GB"/>
              </w:rPr>
              <w:t>Q</w:t>
            </w:r>
            <w:r w:rsidR="0011055D" w:rsidRPr="006E725C">
              <w:rPr>
                <w:spacing w:val="-4"/>
                <w:lang w:val="en-GB"/>
              </w:rPr>
              <w:t>4: +6</w:t>
            </w:r>
            <w:r w:rsidR="007B7AD3" w:rsidRPr="006E725C">
              <w:rPr>
                <w:spacing w:val="-4"/>
                <w:lang w:val="en-GB"/>
              </w:rPr>
              <w:t>.</w:t>
            </w:r>
            <w:r w:rsidR="0011055D" w:rsidRPr="006E725C">
              <w:rPr>
                <w:spacing w:val="-4"/>
                <w:lang w:val="en-GB"/>
              </w:rPr>
              <w:t xml:space="preserve">4%). </w:t>
            </w:r>
            <w:r w:rsidR="007B7AD3" w:rsidRPr="006E725C">
              <w:rPr>
                <w:spacing w:val="-4"/>
                <w:lang w:val="en-GB"/>
              </w:rPr>
              <w:t xml:space="preserve">In contrast, the growth of the </w:t>
            </w:r>
            <w:r w:rsidR="000D0D18" w:rsidRPr="006E725C">
              <w:rPr>
                <w:spacing w:val="-4"/>
                <w:lang w:val="en-GB"/>
              </w:rPr>
              <w:t>state-wide</w:t>
            </w:r>
            <w:r w:rsidR="007B7AD3" w:rsidRPr="006E725C">
              <w:rPr>
                <w:spacing w:val="-4"/>
                <w:lang w:val="en-GB"/>
              </w:rPr>
              <w:t xml:space="preserve"> tax collection did not slow down </w:t>
            </w:r>
            <w:r w:rsidR="0011055D" w:rsidRPr="006E725C">
              <w:rPr>
                <w:spacing w:val="-4"/>
                <w:lang w:val="en-GB"/>
              </w:rPr>
              <w:t xml:space="preserve">– </w:t>
            </w:r>
            <w:r w:rsidR="007B7AD3" w:rsidRPr="006E725C">
              <w:rPr>
                <w:spacing w:val="-4"/>
                <w:lang w:val="en-GB"/>
              </w:rPr>
              <w:t xml:space="preserve">it was </w:t>
            </w:r>
            <w:r w:rsidR="0011055D" w:rsidRPr="006E725C">
              <w:rPr>
                <w:spacing w:val="-4"/>
                <w:lang w:val="en-GB"/>
              </w:rPr>
              <w:t>15</w:t>
            </w:r>
            <w:r w:rsidR="007B7AD3" w:rsidRPr="006E725C">
              <w:rPr>
                <w:spacing w:val="-4"/>
                <w:lang w:val="en-GB"/>
              </w:rPr>
              <w:t>.</w:t>
            </w:r>
            <w:r w:rsidR="0011055D" w:rsidRPr="006E725C">
              <w:rPr>
                <w:spacing w:val="-4"/>
                <w:lang w:val="en-GB"/>
              </w:rPr>
              <w:t>4%</w:t>
            </w:r>
            <w:r w:rsidR="007B7AD3" w:rsidRPr="006E725C">
              <w:rPr>
                <w:spacing w:val="-4"/>
                <w:lang w:val="en-GB"/>
              </w:rPr>
              <w:t xml:space="preserve"> for the whole last year</w:t>
            </w:r>
            <w:r w:rsidR="0011055D" w:rsidRPr="006E725C">
              <w:rPr>
                <w:spacing w:val="-4"/>
                <w:lang w:val="en-GB"/>
              </w:rPr>
              <w:t xml:space="preserve"> (resp. 12</w:t>
            </w:r>
            <w:r w:rsidR="007B7AD3" w:rsidRPr="006E725C">
              <w:rPr>
                <w:spacing w:val="-4"/>
                <w:lang w:val="en-GB"/>
              </w:rPr>
              <w:t>.</w:t>
            </w:r>
            <w:r w:rsidR="0011055D" w:rsidRPr="006E725C">
              <w:rPr>
                <w:spacing w:val="-4"/>
                <w:lang w:val="en-GB"/>
              </w:rPr>
              <w:t>2%</w:t>
            </w:r>
            <w:r w:rsidR="007B7AD3" w:rsidRPr="006E725C">
              <w:rPr>
                <w:spacing w:val="-4"/>
                <w:lang w:val="en-GB"/>
              </w:rPr>
              <w:t xml:space="preserve"> after deduction of extraordinary business taxes </w:t>
            </w:r>
            <w:r w:rsidR="0011055D" w:rsidRPr="006E725C">
              <w:rPr>
                <w:spacing w:val="-4"/>
                <w:lang w:val="en-GB"/>
              </w:rPr>
              <w:t>(</w:t>
            </w:r>
            <w:r w:rsidR="007B7AD3" w:rsidRPr="006E725C">
              <w:rPr>
                <w:spacing w:val="-4"/>
                <w:lang w:val="en-GB"/>
              </w:rPr>
              <w:t>from excessive income or unexpected profits</w:t>
            </w:r>
            <w:r w:rsidR="0011055D" w:rsidRPr="006E725C">
              <w:rPr>
                <w:spacing w:val="-4"/>
                <w:lang w:val="en-GB"/>
              </w:rPr>
              <w:t xml:space="preserve">). </w:t>
            </w:r>
          </w:p>
        </w:tc>
      </w:tr>
      <w:tr w:rsidR="0011055D" w:rsidRPr="006E725C" w14:paraId="714D38C9" w14:textId="77777777" w:rsidTr="00C07C2F">
        <w:trPr>
          <w:trHeight w:val="60"/>
        </w:trPr>
        <w:tc>
          <w:tcPr>
            <w:tcW w:w="1792" w:type="dxa"/>
            <w:shd w:val="clear" w:color="auto" w:fill="auto"/>
            <w:tcMar>
              <w:left w:w="0" w:type="dxa"/>
            </w:tcMar>
          </w:tcPr>
          <w:p w14:paraId="2DC761D7" w14:textId="41BCA09D" w:rsidR="0011055D" w:rsidRPr="006E725C" w:rsidRDefault="00D763AD" w:rsidP="00C07C2F">
            <w:pPr>
              <w:pStyle w:val="Marginlie"/>
              <w:rPr>
                <w:lang w:val="en-GB"/>
              </w:rPr>
            </w:pPr>
            <w:r w:rsidRPr="006E725C">
              <w:rPr>
                <w:lang w:val="en-GB"/>
              </w:rPr>
              <w:t xml:space="preserve">Newly introduced extraordinary business taxes the most </w:t>
            </w:r>
            <w:r w:rsidR="00657964" w:rsidRPr="006E725C">
              <w:rPr>
                <w:lang w:val="en-GB"/>
              </w:rPr>
              <w:t>contributed</w:t>
            </w:r>
            <w:r w:rsidRPr="006E725C">
              <w:rPr>
                <w:lang w:val="en-GB"/>
              </w:rPr>
              <w:t xml:space="preserve"> to the growth of the tax </w:t>
            </w:r>
            <w:r w:rsidR="00657964" w:rsidRPr="006E725C">
              <w:rPr>
                <w:lang w:val="en-GB"/>
              </w:rPr>
              <w:t>collection</w:t>
            </w:r>
            <w:r w:rsidRPr="006E725C">
              <w:rPr>
                <w:lang w:val="en-GB"/>
              </w:rPr>
              <w:t xml:space="preserve">. </w:t>
            </w:r>
          </w:p>
        </w:tc>
        <w:tc>
          <w:tcPr>
            <w:tcW w:w="203" w:type="dxa"/>
            <w:shd w:val="clear" w:color="auto" w:fill="auto"/>
            <w:tcMar>
              <w:left w:w="0" w:type="dxa"/>
            </w:tcMar>
          </w:tcPr>
          <w:p w14:paraId="55013398"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2A253ACB" w14:textId="5D0140A2" w:rsidR="0011055D" w:rsidRPr="006E725C" w:rsidRDefault="00D763AD" w:rsidP="00C07C2F">
            <w:pPr>
              <w:spacing w:after="200"/>
              <w:rPr>
                <w:spacing w:val="-4"/>
                <w:lang w:val="en-GB"/>
              </w:rPr>
            </w:pPr>
            <w:r w:rsidRPr="006E725C">
              <w:rPr>
                <w:color w:val="0D0D0D" w:themeColor="text1" w:themeTint="F2"/>
                <w:spacing w:val="-4"/>
                <w:lang w:val="en-GB"/>
              </w:rPr>
              <w:t xml:space="preserve">Mainly the funds from the extraordinary taxes of companies stood behind the last year’s growth of the total SB tax income </w:t>
            </w:r>
            <w:r w:rsidR="0011055D" w:rsidRPr="006E725C">
              <w:rPr>
                <w:color w:val="0D0D0D" w:themeColor="text1" w:themeTint="F2"/>
                <w:spacing w:val="-4"/>
                <w:lang w:val="en-GB"/>
              </w:rPr>
              <w:t>(57</w:t>
            </w:r>
            <w:r w:rsidRPr="006E725C">
              <w:rPr>
                <w:color w:val="0D0D0D" w:themeColor="text1" w:themeTint="F2"/>
                <w:spacing w:val="-4"/>
                <w:lang w:val="en-GB"/>
              </w:rPr>
              <w:t>.</w:t>
            </w:r>
            <w:r w:rsidR="0011055D" w:rsidRPr="006E725C">
              <w:rPr>
                <w:color w:val="0D0D0D" w:themeColor="text1" w:themeTint="F2"/>
                <w:spacing w:val="-4"/>
                <w:lang w:val="en-GB"/>
              </w:rPr>
              <w:t>7</w:t>
            </w:r>
            <w:r w:rsidRPr="006E725C">
              <w:rPr>
                <w:color w:val="0D0D0D" w:themeColor="text1" w:themeTint="F2"/>
                <w:spacing w:val="-4"/>
                <w:lang w:val="en-GB"/>
              </w:rPr>
              <w:t xml:space="preserve"> </w:t>
            </w:r>
            <w:r w:rsidR="009C0832">
              <w:rPr>
                <w:color w:val="0D0D0D" w:themeColor="text1" w:themeTint="F2"/>
                <w:spacing w:val="-4"/>
                <w:lang w:val="en-GB"/>
              </w:rPr>
              <w:t xml:space="preserve">CZK </w:t>
            </w:r>
            <w:proofErr w:type="spellStart"/>
            <w:r w:rsidR="009C0832">
              <w:rPr>
                <w:color w:val="0D0D0D" w:themeColor="text1" w:themeTint="F2"/>
                <w:spacing w:val="-4"/>
                <w:lang w:val="en-GB"/>
              </w:rPr>
              <w:t>bn</w:t>
            </w:r>
            <w:proofErr w:type="spellEnd"/>
            <w:r w:rsidR="0011055D" w:rsidRPr="006E725C">
              <w:rPr>
                <w:color w:val="0D0D0D" w:themeColor="text1" w:themeTint="F2"/>
                <w:spacing w:val="-4"/>
                <w:lang w:val="en-GB"/>
              </w:rPr>
              <w:t>),</w:t>
            </w:r>
            <w:r w:rsidRPr="006E725C">
              <w:rPr>
                <w:color w:val="0D0D0D" w:themeColor="text1" w:themeTint="F2"/>
                <w:spacing w:val="-4"/>
                <w:lang w:val="en-GB"/>
              </w:rPr>
              <w:t xml:space="preserve"> regardless of the fact, that their total collection was far from fulfilling the original budget anticipations</w:t>
            </w:r>
            <w:r w:rsidR="0011055D" w:rsidRPr="006E725C">
              <w:rPr>
                <w:rStyle w:val="Znakapoznpodarou"/>
                <w:color w:val="0D0D0D" w:themeColor="text1" w:themeTint="F2"/>
                <w:spacing w:val="-4"/>
                <w:lang w:val="en-GB"/>
              </w:rPr>
              <w:footnoteReference w:id="106"/>
            </w:r>
            <w:r w:rsidR="0011055D" w:rsidRPr="006E725C">
              <w:rPr>
                <w:color w:val="0D0D0D" w:themeColor="text1" w:themeTint="F2"/>
                <w:spacing w:val="-4"/>
                <w:lang w:val="en-GB"/>
              </w:rPr>
              <w:t xml:space="preserve">. </w:t>
            </w:r>
            <w:r w:rsidR="0011055D" w:rsidRPr="006E725C">
              <w:rPr>
                <w:spacing w:val="-4"/>
                <w:lang w:val="en-GB"/>
              </w:rPr>
              <w:t>T</w:t>
            </w:r>
            <w:r w:rsidRPr="006E725C">
              <w:rPr>
                <w:spacing w:val="-4"/>
                <w:lang w:val="en-GB"/>
              </w:rPr>
              <w:t xml:space="preserve">his is valid for its key item </w:t>
            </w:r>
            <w:r w:rsidR="0011055D" w:rsidRPr="006E725C">
              <w:rPr>
                <w:spacing w:val="-4"/>
                <w:lang w:val="en-GB"/>
              </w:rPr>
              <w:t xml:space="preserve">– </w:t>
            </w:r>
            <w:r w:rsidR="00E06436" w:rsidRPr="006E725C">
              <w:rPr>
                <w:spacing w:val="-4"/>
                <w:lang w:val="en-GB"/>
              </w:rPr>
              <w:t>tax on unexpected profit</w:t>
            </w:r>
            <w:r w:rsidR="0011055D" w:rsidRPr="006E725C">
              <w:rPr>
                <w:rStyle w:val="Znakapoznpodarou"/>
                <w:spacing w:val="-4"/>
                <w:lang w:val="en-GB"/>
              </w:rPr>
              <w:footnoteReference w:id="107"/>
            </w:r>
            <w:r w:rsidR="0011055D" w:rsidRPr="006E725C">
              <w:rPr>
                <w:spacing w:val="-4"/>
                <w:lang w:val="en-GB"/>
              </w:rPr>
              <w:t xml:space="preserve"> – </w:t>
            </w:r>
            <w:r w:rsidR="00E06436" w:rsidRPr="006E725C">
              <w:rPr>
                <w:spacing w:val="-4"/>
                <w:lang w:val="en-GB"/>
              </w:rPr>
              <w:t>whose advance</w:t>
            </w:r>
            <w:r w:rsidR="00657964" w:rsidRPr="006E725C">
              <w:rPr>
                <w:spacing w:val="-4"/>
                <w:lang w:val="en-GB"/>
              </w:rPr>
              <w:t>d</w:t>
            </w:r>
            <w:r w:rsidR="00E06436" w:rsidRPr="006E725C">
              <w:rPr>
                <w:spacing w:val="-4"/>
                <w:lang w:val="en-GB"/>
              </w:rPr>
              <w:t xml:space="preserve"> payments already brought </w:t>
            </w:r>
            <w:r w:rsidR="0011055D" w:rsidRPr="006E725C">
              <w:rPr>
                <w:spacing w:val="-4"/>
                <w:lang w:val="en-GB"/>
              </w:rPr>
              <w:t>39</w:t>
            </w:r>
            <w:r w:rsidR="00E06436" w:rsidRPr="006E725C">
              <w:rPr>
                <w:spacing w:val="-4"/>
                <w:lang w:val="en-GB"/>
              </w:rPr>
              <w:t>.</w:t>
            </w:r>
            <w:r w:rsidR="0011055D" w:rsidRPr="006E725C">
              <w:rPr>
                <w:spacing w:val="-4"/>
                <w:lang w:val="en-GB"/>
              </w:rPr>
              <w:t>1</w:t>
            </w:r>
            <w:r w:rsidR="00E06436" w:rsidRPr="006E725C">
              <w:rPr>
                <w:spacing w:val="-4"/>
                <w:lang w:val="en-GB"/>
              </w:rPr>
              <w:t xml:space="preserve"> </w:t>
            </w:r>
            <w:r w:rsidR="009C0832">
              <w:rPr>
                <w:spacing w:val="-4"/>
                <w:lang w:val="en-GB"/>
              </w:rPr>
              <w:t xml:space="preserve">CZK </w:t>
            </w:r>
            <w:proofErr w:type="spellStart"/>
            <w:r w:rsidR="009C0832">
              <w:rPr>
                <w:spacing w:val="-4"/>
                <w:lang w:val="en-GB"/>
              </w:rPr>
              <w:t>bn</w:t>
            </w:r>
            <w:proofErr w:type="spellEnd"/>
            <w:r w:rsidR="00E06436" w:rsidRPr="006E725C">
              <w:rPr>
                <w:spacing w:val="-4"/>
                <w:lang w:val="en-GB"/>
              </w:rPr>
              <w:t xml:space="preserve"> to the SB. </w:t>
            </w:r>
            <w:r w:rsidR="00AA7E0C" w:rsidRPr="006E725C">
              <w:rPr>
                <w:spacing w:val="-4"/>
                <w:lang w:val="en-GB"/>
              </w:rPr>
              <w:t xml:space="preserve">On the contrary, energetic companies paid to state 18.5 </w:t>
            </w:r>
            <w:r w:rsidR="009C0832">
              <w:rPr>
                <w:spacing w:val="-4"/>
                <w:lang w:val="en-GB"/>
              </w:rPr>
              <w:t xml:space="preserve">CZK </w:t>
            </w:r>
            <w:proofErr w:type="spellStart"/>
            <w:r w:rsidR="009C0832">
              <w:rPr>
                <w:spacing w:val="-4"/>
                <w:lang w:val="en-GB"/>
              </w:rPr>
              <w:t>bn</w:t>
            </w:r>
            <w:proofErr w:type="spellEnd"/>
            <w:r w:rsidR="00AA7E0C" w:rsidRPr="006E725C">
              <w:rPr>
                <w:spacing w:val="-4"/>
                <w:lang w:val="en-GB"/>
              </w:rPr>
              <w:t xml:space="preserve"> on the tax on excess income</w:t>
            </w:r>
            <w:r w:rsidR="0011055D" w:rsidRPr="006E725C">
              <w:rPr>
                <w:rStyle w:val="Znakapoznpodarou"/>
                <w:spacing w:val="-4"/>
                <w:lang w:val="en-GB"/>
              </w:rPr>
              <w:footnoteReference w:id="108"/>
            </w:r>
            <w:r w:rsidR="0011055D" w:rsidRPr="006E725C">
              <w:rPr>
                <w:spacing w:val="-4"/>
                <w:lang w:val="en-GB"/>
              </w:rPr>
              <w:t xml:space="preserve"> </w:t>
            </w:r>
            <w:r w:rsidR="00AA7E0C" w:rsidRPr="006E725C">
              <w:rPr>
                <w:spacing w:val="-4"/>
                <w:lang w:val="en-GB"/>
              </w:rPr>
              <w:t xml:space="preserve">and the planned annual revenues were achieved already last year in September here. </w:t>
            </w:r>
          </w:p>
        </w:tc>
      </w:tr>
      <w:tr w:rsidR="0011055D" w:rsidRPr="006E725C" w14:paraId="6CAE1AE0" w14:textId="77777777" w:rsidTr="00C07C2F">
        <w:trPr>
          <w:trHeight w:val="60"/>
        </w:trPr>
        <w:tc>
          <w:tcPr>
            <w:tcW w:w="1792" w:type="dxa"/>
            <w:shd w:val="clear" w:color="auto" w:fill="auto"/>
            <w:tcMar>
              <w:left w:w="0" w:type="dxa"/>
            </w:tcMar>
          </w:tcPr>
          <w:p w14:paraId="3A887C51" w14:textId="30B48309" w:rsidR="0011055D" w:rsidRPr="006E725C" w:rsidRDefault="00626B3B" w:rsidP="00C07C2F">
            <w:pPr>
              <w:pStyle w:val="Marginlie"/>
              <w:rPr>
                <w:lang w:val="en-GB"/>
              </w:rPr>
            </w:pPr>
            <w:r w:rsidRPr="006E725C">
              <w:rPr>
                <w:lang w:val="en-GB"/>
              </w:rPr>
              <w:t xml:space="preserve">High yield of the corporate tax is linked to the growth of the profit rate of businesses, </w:t>
            </w:r>
            <w:r w:rsidRPr="006E725C">
              <w:rPr>
                <w:lang w:val="en-GB"/>
              </w:rPr>
              <w:lastRenderedPageBreak/>
              <w:t xml:space="preserve">mainly in financial activities and energy industry. </w:t>
            </w:r>
          </w:p>
          <w:p w14:paraId="21160EA9" w14:textId="77777777" w:rsidR="0011055D" w:rsidRPr="006E725C" w:rsidRDefault="0011055D" w:rsidP="00C07C2F">
            <w:pPr>
              <w:pStyle w:val="Marginlie"/>
              <w:rPr>
                <w:lang w:val="en-GB"/>
              </w:rPr>
            </w:pPr>
          </w:p>
          <w:p w14:paraId="663D3E10" w14:textId="77777777" w:rsidR="0011055D" w:rsidRPr="006E725C" w:rsidRDefault="0011055D" w:rsidP="00C07C2F">
            <w:pPr>
              <w:pStyle w:val="Marginlie"/>
              <w:rPr>
                <w:lang w:val="en-GB"/>
              </w:rPr>
            </w:pPr>
          </w:p>
          <w:p w14:paraId="5682CF64" w14:textId="77777777" w:rsidR="0011055D" w:rsidRPr="006E725C" w:rsidRDefault="0011055D" w:rsidP="00C07C2F">
            <w:pPr>
              <w:pStyle w:val="Marginlie"/>
              <w:rPr>
                <w:lang w:val="en-GB"/>
              </w:rPr>
            </w:pPr>
          </w:p>
          <w:p w14:paraId="735B1886" w14:textId="02C3A818" w:rsidR="0011055D" w:rsidRPr="006E725C" w:rsidRDefault="0068020C" w:rsidP="00C07C2F">
            <w:pPr>
              <w:pStyle w:val="Marginlie"/>
              <w:rPr>
                <w:lang w:val="en-GB"/>
              </w:rPr>
            </w:pPr>
            <w:r w:rsidRPr="006E725C">
              <w:rPr>
                <w:lang w:val="en-GB"/>
              </w:rPr>
              <w:t xml:space="preserve">Collection of all types of income tax of natural persons significantly exceeded the budget anticipations. Year-on-year growth of the collection however weakened during the year. </w:t>
            </w:r>
          </w:p>
        </w:tc>
        <w:tc>
          <w:tcPr>
            <w:tcW w:w="203" w:type="dxa"/>
            <w:shd w:val="clear" w:color="auto" w:fill="auto"/>
            <w:tcMar>
              <w:left w:w="0" w:type="dxa"/>
            </w:tcMar>
          </w:tcPr>
          <w:p w14:paraId="08C8CDC9"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1A8B4A4D" w14:textId="5A4CA668" w:rsidR="0011055D" w:rsidRPr="006E725C" w:rsidRDefault="00626B3B" w:rsidP="00C07C2F">
            <w:pPr>
              <w:spacing w:after="180"/>
              <w:rPr>
                <w:color w:val="0D0D0D" w:themeColor="text1" w:themeTint="F2"/>
                <w:spacing w:val="-4"/>
                <w:lang w:val="en-GB"/>
              </w:rPr>
            </w:pPr>
            <w:r w:rsidRPr="006E725C">
              <w:rPr>
                <w:spacing w:val="-4"/>
                <w:lang w:val="en-GB"/>
              </w:rPr>
              <w:t xml:space="preserve">Among common taxes, the income tax of legal persons, whose collection strengthened by one third year-on-year </w:t>
            </w:r>
            <w:r w:rsidR="0011055D" w:rsidRPr="006E725C">
              <w:rPr>
                <w:spacing w:val="-4"/>
                <w:lang w:val="en-GB"/>
              </w:rPr>
              <w:t>(+52</w:t>
            </w:r>
            <w:r w:rsidRPr="006E725C">
              <w:rPr>
                <w:spacing w:val="-4"/>
                <w:lang w:val="en-GB"/>
              </w:rPr>
              <w:t xml:space="preserve"> </w:t>
            </w:r>
            <w:r w:rsidR="009C0832">
              <w:rPr>
                <w:spacing w:val="-4"/>
                <w:lang w:val="en-GB"/>
              </w:rPr>
              <w:t xml:space="preserve">CZK </w:t>
            </w:r>
            <w:proofErr w:type="spellStart"/>
            <w:r w:rsidR="009C0832">
              <w:rPr>
                <w:spacing w:val="-4"/>
                <w:lang w:val="en-GB"/>
              </w:rPr>
              <w:t>bn</w:t>
            </w:r>
            <w:proofErr w:type="spellEnd"/>
            <w:r w:rsidR="0011055D" w:rsidRPr="006E725C">
              <w:rPr>
                <w:spacing w:val="-4"/>
                <w:lang w:val="en-GB"/>
              </w:rPr>
              <w:t>) a</w:t>
            </w:r>
            <w:r w:rsidRPr="006E725C">
              <w:rPr>
                <w:spacing w:val="-4"/>
                <w:lang w:val="en-GB"/>
              </w:rPr>
              <w:t xml:space="preserve">nd whose annual planned size was exceeded by more than one quarter </w:t>
            </w:r>
            <w:r w:rsidR="0011055D" w:rsidRPr="006E725C">
              <w:rPr>
                <w:spacing w:val="-2"/>
                <w:lang w:val="en-GB"/>
              </w:rPr>
              <w:t>(</w:t>
            </w:r>
            <w:r w:rsidRPr="006E725C">
              <w:rPr>
                <w:spacing w:val="-2"/>
                <w:lang w:val="en-GB"/>
              </w:rPr>
              <w:t xml:space="preserve">also thanks to the higher collection in the area of financial activities </w:t>
            </w:r>
            <w:r w:rsidRPr="006E725C">
              <w:rPr>
                <w:spacing w:val="-2"/>
                <w:lang w:val="en-GB"/>
              </w:rPr>
              <w:lastRenderedPageBreak/>
              <w:t>and energy industry</w:t>
            </w:r>
            <w:r w:rsidR="0011055D" w:rsidRPr="006E725C">
              <w:rPr>
                <w:spacing w:val="-5"/>
                <w:lang w:val="en-GB"/>
              </w:rPr>
              <w:t>)</w:t>
            </w:r>
            <w:r w:rsidRPr="006E725C">
              <w:rPr>
                <w:spacing w:val="-5"/>
                <w:lang w:val="en-GB"/>
              </w:rPr>
              <w:t xml:space="preserve"> supported the growth of the SB revenues the most last year</w:t>
            </w:r>
            <w:r w:rsidR="0011055D" w:rsidRPr="006E725C">
              <w:rPr>
                <w:spacing w:val="-5"/>
                <w:lang w:val="en-GB"/>
              </w:rPr>
              <w:t>.</w:t>
            </w:r>
            <w:r w:rsidRPr="006E725C">
              <w:rPr>
                <w:spacing w:val="-5"/>
                <w:lang w:val="en-GB"/>
              </w:rPr>
              <w:t xml:space="preserve"> Yield of the corporate tax is connected to the relatively high and still growing rate of profit of businesses</w:t>
            </w:r>
            <w:r w:rsidR="0011055D" w:rsidRPr="006E725C">
              <w:rPr>
                <w:rStyle w:val="Znakapoznpodarou"/>
                <w:spacing w:val="-5"/>
                <w:lang w:val="en-GB"/>
              </w:rPr>
              <w:footnoteReference w:id="109"/>
            </w:r>
            <w:r w:rsidR="0011055D" w:rsidRPr="006E725C">
              <w:rPr>
                <w:spacing w:val="-5"/>
                <w:lang w:val="en-GB"/>
              </w:rPr>
              <w:t xml:space="preserve">. </w:t>
            </w:r>
            <w:r w:rsidR="004D1A7B" w:rsidRPr="006E725C">
              <w:rPr>
                <w:spacing w:val="-5"/>
                <w:lang w:val="en-GB"/>
              </w:rPr>
              <w:t xml:space="preserve">Collection of income tax of natural persons (ITNP) also grew briskly last year – by one fifth </w:t>
            </w:r>
            <w:r w:rsidR="0011055D" w:rsidRPr="006E725C">
              <w:rPr>
                <w:color w:val="0D0D0D" w:themeColor="text1" w:themeTint="F2"/>
                <w:spacing w:val="-4"/>
                <w:lang w:val="en-GB"/>
              </w:rPr>
              <w:t>(resp. 25</w:t>
            </w:r>
            <w:r w:rsidR="004D1A7B" w:rsidRPr="006E725C">
              <w:rPr>
                <w:color w:val="0D0D0D" w:themeColor="text1" w:themeTint="F2"/>
                <w:spacing w:val="-4"/>
                <w:lang w:val="en-GB"/>
              </w:rPr>
              <w:t>.</w:t>
            </w:r>
            <w:r w:rsidR="0011055D" w:rsidRPr="006E725C">
              <w:rPr>
                <w:color w:val="0D0D0D" w:themeColor="text1" w:themeTint="F2"/>
                <w:spacing w:val="-4"/>
                <w:lang w:val="en-GB"/>
              </w:rPr>
              <w:t>2</w:t>
            </w:r>
            <w:r w:rsidR="004D1A7B" w:rsidRPr="006E725C">
              <w:rPr>
                <w:color w:val="0D0D0D" w:themeColor="text1" w:themeTint="F2"/>
                <w:spacing w:val="-4"/>
                <w:lang w:val="en-GB"/>
              </w:rPr>
              <w:t xml:space="preserve"> </w:t>
            </w:r>
            <w:r w:rsidR="009C0832">
              <w:rPr>
                <w:color w:val="0D0D0D" w:themeColor="text1" w:themeTint="F2"/>
                <w:spacing w:val="-4"/>
                <w:lang w:val="en-GB"/>
              </w:rPr>
              <w:t xml:space="preserve">CZK </w:t>
            </w:r>
            <w:proofErr w:type="spellStart"/>
            <w:r w:rsidR="009C0832">
              <w:rPr>
                <w:color w:val="0D0D0D" w:themeColor="text1" w:themeTint="F2"/>
                <w:spacing w:val="-4"/>
                <w:lang w:val="en-GB"/>
              </w:rPr>
              <w:t>bn</w:t>
            </w:r>
            <w:proofErr w:type="spellEnd"/>
            <w:r w:rsidR="0011055D" w:rsidRPr="006E725C">
              <w:rPr>
                <w:color w:val="0D0D0D" w:themeColor="text1" w:themeTint="F2"/>
                <w:spacing w:val="-4"/>
                <w:lang w:val="en-GB"/>
              </w:rPr>
              <w:t xml:space="preserve">). </w:t>
            </w:r>
            <w:r w:rsidR="007E413C" w:rsidRPr="006E725C">
              <w:rPr>
                <w:color w:val="0D0D0D" w:themeColor="text1" w:themeTint="F2"/>
                <w:spacing w:val="-4"/>
                <w:lang w:val="en-GB"/>
              </w:rPr>
              <w:t xml:space="preserve">Despite slower growth of collection during the year, it was mainly thanks to the key income tax from dependent activity </w:t>
            </w:r>
            <w:r w:rsidR="0011055D" w:rsidRPr="006E725C">
              <w:rPr>
                <w:color w:val="0D0D0D" w:themeColor="text1" w:themeTint="F2"/>
                <w:spacing w:val="-4"/>
                <w:lang w:val="en-GB"/>
              </w:rPr>
              <w:t>(+17</w:t>
            </w:r>
            <w:r w:rsidR="007E413C" w:rsidRPr="006E725C">
              <w:rPr>
                <w:color w:val="0D0D0D" w:themeColor="text1" w:themeTint="F2"/>
                <w:spacing w:val="-4"/>
                <w:lang w:val="en-GB"/>
              </w:rPr>
              <w:t xml:space="preserve"> </w:t>
            </w:r>
            <w:r w:rsidR="009C0832">
              <w:rPr>
                <w:color w:val="0D0D0D" w:themeColor="text1" w:themeTint="F2"/>
                <w:spacing w:val="-4"/>
                <w:lang w:val="en-GB"/>
              </w:rPr>
              <w:t xml:space="preserve">CZK </w:t>
            </w:r>
            <w:proofErr w:type="spellStart"/>
            <w:r w:rsidR="009C0832">
              <w:rPr>
                <w:color w:val="0D0D0D" w:themeColor="text1" w:themeTint="F2"/>
                <w:spacing w:val="-4"/>
                <w:lang w:val="en-GB"/>
              </w:rPr>
              <w:t>bn</w:t>
            </w:r>
            <w:proofErr w:type="spellEnd"/>
            <w:r w:rsidR="0011055D" w:rsidRPr="006E725C">
              <w:rPr>
                <w:color w:val="0D0D0D" w:themeColor="text1" w:themeTint="F2"/>
                <w:spacing w:val="-4"/>
                <w:lang w:val="en-GB"/>
              </w:rPr>
              <w:t>)</w:t>
            </w:r>
            <w:r w:rsidR="0011055D" w:rsidRPr="006E725C">
              <w:rPr>
                <w:rStyle w:val="Znakapoznpodarou"/>
                <w:color w:val="0D0D0D" w:themeColor="text1" w:themeTint="F2"/>
                <w:spacing w:val="-4"/>
                <w:lang w:val="en-GB"/>
              </w:rPr>
              <w:footnoteReference w:id="110"/>
            </w:r>
            <w:r w:rsidR="0011055D" w:rsidRPr="006E725C">
              <w:rPr>
                <w:color w:val="0D0D0D" w:themeColor="text1" w:themeTint="F2"/>
                <w:spacing w:val="-4"/>
                <w:lang w:val="en-GB"/>
              </w:rPr>
              <w:t xml:space="preserve">. </w:t>
            </w:r>
            <w:r w:rsidR="007E413C" w:rsidRPr="006E725C">
              <w:rPr>
                <w:color w:val="0D0D0D" w:themeColor="text1" w:themeTint="F2"/>
                <w:spacing w:val="-4"/>
                <w:lang w:val="en-GB"/>
              </w:rPr>
              <w:t xml:space="preserve">It favourably reflected the higher employment as well as the brisk growth of the nominal average wage in the business sphere. </w:t>
            </w:r>
            <w:r w:rsidR="00C327D8" w:rsidRPr="006E725C">
              <w:rPr>
                <w:color w:val="0D0D0D" w:themeColor="text1" w:themeTint="F2"/>
                <w:spacing w:val="-4"/>
                <w:lang w:val="en-GB"/>
              </w:rPr>
              <w:t xml:space="preserve">On the contrary, the tax changes had an adverse effect to a lesser extent </w:t>
            </w:r>
            <w:r w:rsidR="0011055D" w:rsidRPr="006E725C">
              <w:rPr>
                <w:color w:val="0D0D0D" w:themeColor="text1" w:themeTint="F2"/>
                <w:spacing w:val="-4"/>
                <w:lang w:val="en-GB"/>
              </w:rPr>
              <w:t>(</w:t>
            </w:r>
            <w:r w:rsidR="00C327D8" w:rsidRPr="006E725C">
              <w:rPr>
                <w:color w:val="0D0D0D" w:themeColor="text1" w:themeTint="F2"/>
                <w:spacing w:val="-4"/>
                <w:lang w:val="en-GB"/>
              </w:rPr>
              <w:t>especially the higher tax deduction on second and third child</w:t>
            </w:r>
            <w:r w:rsidR="0011055D" w:rsidRPr="006E725C">
              <w:rPr>
                <w:color w:val="0D0D0D" w:themeColor="text1" w:themeTint="F2"/>
                <w:spacing w:val="-4"/>
                <w:lang w:val="en-GB"/>
              </w:rPr>
              <w:t>).</w:t>
            </w:r>
            <w:r w:rsidR="00C327D8" w:rsidRPr="006E725C">
              <w:rPr>
                <w:color w:val="0D0D0D" w:themeColor="text1" w:themeTint="F2"/>
                <w:spacing w:val="-4"/>
                <w:lang w:val="en-GB"/>
              </w:rPr>
              <w:t xml:space="preserve"> C</w:t>
            </w:r>
            <w:r w:rsidR="005140CB" w:rsidRPr="006E725C">
              <w:rPr>
                <w:spacing w:val="-4"/>
                <w:lang w:val="en-GB"/>
              </w:rPr>
              <w:t xml:space="preserve">ollection of the weight less significant tax ITNP paid by payers (aimed mainly at small entrepreneurs) grew slower year-on-year </w:t>
            </w:r>
            <w:r w:rsidR="0011055D" w:rsidRPr="006E725C">
              <w:rPr>
                <w:color w:val="0D0D0D" w:themeColor="text1" w:themeTint="F2"/>
                <w:spacing w:val="-4"/>
                <w:lang w:val="en-GB"/>
              </w:rPr>
              <w:t>(+7</w:t>
            </w:r>
            <w:r w:rsidR="005140CB" w:rsidRPr="006E725C">
              <w:rPr>
                <w:color w:val="0D0D0D" w:themeColor="text1" w:themeTint="F2"/>
                <w:spacing w:val="-4"/>
                <w:lang w:val="en-GB"/>
              </w:rPr>
              <w:t>.</w:t>
            </w:r>
            <w:r w:rsidR="0011055D" w:rsidRPr="006E725C">
              <w:rPr>
                <w:color w:val="0D0D0D" w:themeColor="text1" w:themeTint="F2"/>
                <w:spacing w:val="-4"/>
                <w:lang w:val="en-GB"/>
              </w:rPr>
              <w:t>5%)</w:t>
            </w:r>
            <w:r w:rsidR="005140CB" w:rsidRPr="006E725C">
              <w:rPr>
                <w:spacing w:val="-4"/>
                <w:lang w:val="en-GB"/>
              </w:rPr>
              <w:t xml:space="preserve">, </w:t>
            </w:r>
            <w:r w:rsidR="00C327D8" w:rsidRPr="006E725C">
              <w:rPr>
                <w:color w:val="0D0D0D" w:themeColor="text1" w:themeTint="F2"/>
                <w:spacing w:val="-4"/>
                <w:lang w:val="en-GB"/>
              </w:rPr>
              <w:t xml:space="preserve">nevertheless exceeded the planned collection by more than one third. </w:t>
            </w:r>
            <w:r w:rsidR="006C3742" w:rsidRPr="006E725C">
              <w:rPr>
                <w:color w:val="0D0D0D" w:themeColor="text1" w:themeTint="F2"/>
                <w:spacing w:val="-4"/>
                <w:lang w:val="en-GB"/>
              </w:rPr>
              <w:t xml:space="preserve">It was assisted by the ongoing recovery of a number of services afflicted in the pandemic era as well as the rising number of entrepreneurs. Some tax changes </w:t>
            </w:r>
            <w:r w:rsidR="0011055D" w:rsidRPr="006E725C">
              <w:rPr>
                <w:color w:val="0D0D0D" w:themeColor="text1" w:themeTint="F2"/>
                <w:spacing w:val="-4"/>
                <w:lang w:val="en-GB"/>
              </w:rPr>
              <w:t>(</w:t>
            </w:r>
            <w:r w:rsidR="006C3742" w:rsidRPr="006E725C">
              <w:rPr>
                <w:color w:val="0D0D0D" w:themeColor="text1" w:themeTint="F2"/>
                <w:spacing w:val="-4"/>
                <w:lang w:val="en-GB"/>
              </w:rPr>
              <w:t>increase of the tax discount per taxpayer, increase of the income limit for the possi</w:t>
            </w:r>
            <w:r w:rsidR="00D1007E" w:rsidRPr="006E725C">
              <w:rPr>
                <w:color w:val="0D0D0D" w:themeColor="text1" w:themeTint="F2"/>
                <w:spacing w:val="-4"/>
                <w:lang w:val="en-GB"/>
              </w:rPr>
              <w:t xml:space="preserve">bility </w:t>
            </w:r>
            <w:r w:rsidR="006C3742" w:rsidRPr="006E725C">
              <w:rPr>
                <w:color w:val="0D0D0D" w:themeColor="text1" w:themeTint="F2"/>
                <w:spacing w:val="-4"/>
                <w:lang w:val="en-GB"/>
              </w:rPr>
              <w:t xml:space="preserve">of access to the </w:t>
            </w:r>
            <w:r w:rsidR="00D1007E" w:rsidRPr="006E725C">
              <w:rPr>
                <w:color w:val="0D0D0D" w:themeColor="text1" w:themeTint="F2"/>
                <w:spacing w:val="-4"/>
                <w:lang w:val="en-GB"/>
              </w:rPr>
              <w:t>flat rate scheme</w:t>
            </w:r>
            <w:r w:rsidR="0011055D" w:rsidRPr="006E725C">
              <w:rPr>
                <w:color w:val="0D0D0D" w:themeColor="text1" w:themeTint="F2"/>
                <w:spacing w:val="-4"/>
                <w:lang w:val="en-GB"/>
              </w:rPr>
              <w:t>)</w:t>
            </w:r>
            <w:r w:rsidR="006C3742" w:rsidRPr="006E725C">
              <w:rPr>
                <w:color w:val="0D0D0D" w:themeColor="text1" w:themeTint="F2"/>
                <w:spacing w:val="-4"/>
                <w:lang w:val="en-GB"/>
              </w:rPr>
              <w:t xml:space="preserve"> had the opposite effect</w:t>
            </w:r>
            <w:r w:rsidR="0011055D" w:rsidRPr="006E725C">
              <w:rPr>
                <w:color w:val="0D0D0D" w:themeColor="text1" w:themeTint="F2"/>
                <w:spacing w:val="-4"/>
                <w:lang w:val="en-GB"/>
              </w:rPr>
              <w:t xml:space="preserve">. </w:t>
            </w:r>
            <w:r w:rsidR="006C3742" w:rsidRPr="006E725C">
              <w:rPr>
                <w:color w:val="0D0D0D" w:themeColor="text1" w:themeTint="F2"/>
                <w:spacing w:val="-4"/>
                <w:lang w:val="en-GB"/>
              </w:rPr>
              <w:t xml:space="preserve">Collection of ITNP collected by deduction still thrived. </w:t>
            </w:r>
            <w:r w:rsidR="00C327D8" w:rsidRPr="006E725C">
              <w:rPr>
                <w:color w:val="0D0D0D" w:themeColor="text1" w:themeTint="F2"/>
                <w:spacing w:val="-4"/>
                <w:lang w:val="en-GB"/>
              </w:rPr>
              <w:t xml:space="preserve">Even though </w:t>
            </w:r>
            <w:r w:rsidR="003073BA" w:rsidRPr="006E725C">
              <w:rPr>
                <w:color w:val="0D0D0D" w:themeColor="text1" w:themeTint="F2"/>
                <w:spacing w:val="-4"/>
                <w:lang w:val="en-GB"/>
              </w:rPr>
              <w:t>its</w:t>
            </w:r>
            <w:r w:rsidR="00C327D8" w:rsidRPr="006E725C">
              <w:rPr>
                <w:color w:val="0D0D0D" w:themeColor="text1" w:themeTint="F2"/>
                <w:spacing w:val="-4"/>
                <w:lang w:val="en-GB"/>
              </w:rPr>
              <w:t xml:space="preserve"> year-on-year growth gradually weakened during the year, collection widened by more than one third for the whole last year </w:t>
            </w:r>
            <w:r w:rsidR="0011055D" w:rsidRPr="006E725C">
              <w:rPr>
                <w:color w:val="0D0D0D" w:themeColor="text1" w:themeTint="F2"/>
                <w:spacing w:val="-4"/>
                <w:lang w:val="en-GB"/>
              </w:rPr>
              <w:t>(+7</w:t>
            </w:r>
            <w:r w:rsidR="00C327D8" w:rsidRPr="006E725C">
              <w:rPr>
                <w:color w:val="0D0D0D" w:themeColor="text1" w:themeTint="F2"/>
                <w:spacing w:val="-4"/>
                <w:lang w:val="en-GB"/>
              </w:rPr>
              <w:t>.</w:t>
            </w:r>
            <w:r w:rsidR="0011055D" w:rsidRPr="006E725C">
              <w:rPr>
                <w:color w:val="0D0D0D" w:themeColor="text1" w:themeTint="F2"/>
                <w:spacing w:val="-4"/>
                <w:lang w:val="en-GB"/>
              </w:rPr>
              <w:t>5</w:t>
            </w:r>
            <w:r w:rsidR="00C327D8" w:rsidRPr="006E725C">
              <w:rPr>
                <w:color w:val="0D0D0D" w:themeColor="text1" w:themeTint="F2"/>
                <w:spacing w:val="-4"/>
                <w:lang w:val="en-GB"/>
              </w:rPr>
              <w:t xml:space="preserve"> </w:t>
            </w:r>
            <w:r w:rsidR="009C0832">
              <w:rPr>
                <w:color w:val="0D0D0D" w:themeColor="text1" w:themeTint="F2"/>
                <w:spacing w:val="-4"/>
                <w:lang w:val="en-GB"/>
              </w:rPr>
              <w:t xml:space="preserve">CZK </w:t>
            </w:r>
            <w:proofErr w:type="spellStart"/>
            <w:r w:rsidR="009C0832">
              <w:rPr>
                <w:color w:val="0D0D0D" w:themeColor="text1" w:themeTint="F2"/>
                <w:spacing w:val="-4"/>
                <w:lang w:val="en-GB"/>
              </w:rPr>
              <w:t>bn</w:t>
            </w:r>
            <w:proofErr w:type="spellEnd"/>
            <w:r w:rsidR="0011055D" w:rsidRPr="006E725C">
              <w:rPr>
                <w:color w:val="0D0D0D" w:themeColor="text1" w:themeTint="F2"/>
                <w:spacing w:val="-4"/>
                <w:lang w:val="en-GB"/>
              </w:rPr>
              <w:t xml:space="preserve">). </w:t>
            </w:r>
            <w:r w:rsidR="00B27613" w:rsidRPr="006E725C">
              <w:rPr>
                <w:color w:val="0D0D0D" w:themeColor="text1" w:themeTint="F2"/>
                <w:spacing w:val="-4"/>
                <w:lang w:val="en-GB"/>
              </w:rPr>
              <w:t xml:space="preserve">It was driven by the persisting higher interest rates on deposits and to a lesser extent also by the higher number of persons </w:t>
            </w:r>
            <w:r w:rsidR="00A83FA9" w:rsidRPr="006E725C">
              <w:rPr>
                <w:color w:val="0D0D0D" w:themeColor="text1" w:themeTint="F2"/>
                <w:spacing w:val="-4"/>
                <w:lang w:val="en-GB"/>
              </w:rPr>
              <w:t xml:space="preserve">with job agreement contracts. </w:t>
            </w:r>
          </w:p>
        </w:tc>
      </w:tr>
      <w:tr w:rsidR="0011055D" w:rsidRPr="006E725C" w14:paraId="32F938D7" w14:textId="77777777" w:rsidTr="00C07C2F">
        <w:trPr>
          <w:trHeight w:val="170"/>
        </w:trPr>
        <w:tc>
          <w:tcPr>
            <w:tcW w:w="1792" w:type="dxa"/>
            <w:vMerge w:val="restart"/>
            <w:shd w:val="clear" w:color="auto" w:fill="auto"/>
            <w:tcMar>
              <w:left w:w="0" w:type="dxa"/>
            </w:tcMar>
          </w:tcPr>
          <w:p w14:paraId="6E49F856" w14:textId="77777777" w:rsidR="0011055D" w:rsidRPr="006E725C" w:rsidRDefault="0011055D" w:rsidP="00C07C2F">
            <w:pPr>
              <w:pStyle w:val="Marginlie"/>
              <w:rPr>
                <w:lang w:val="en-GB"/>
              </w:rPr>
            </w:pPr>
          </w:p>
        </w:tc>
        <w:tc>
          <w:tcPr>
            <w:tcW w:w="203" w:type="dxa"/>
            <w:vMerge w:val="restart"/>
            <w:shd w:val="clear" w:color="auto" w:fill="auto"/>
            <w:tcMar>
              <w:left w:w="0" w:type="dxa"/>
            </w:tcMar>
          </w:tcPr>
          <w:p w14:paraId="26C8E9EA"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04C2746D" w14:textId="4A806FD3" w:rsidR="0011055D" w:rsidRPr="006E725C" w:rsidRDefault="005D33A3" w:rsidP="00C07C2F">
            <w:pPr>
              <w:spacing w:after="0"/>
              <w:rPr>
                <w:rFonts w:cs="Arial"/>
                <w:b/>
                <w:bCs/>
                <w:color w:val="000000"/>
                <w:spacing w:val="-2"/>
                <w:szCs w:val="20"/>
                <w:lang w:val="en-GB"/>
              </w:rPr>
            </w:pPr>
            <w:r w:rsidRPr="006E725C">
              <w:rPr>
                <w:rFonts w:cs="Arial"/>
                <w:b/>
                <w:bCs/>
                <w:color w:val="000000"/>
                <w:spacing w:val="-2"/>
                <w:szCs w:val="20"/>
                <w:lang w:val="en-GB"/>
              </w:rPr>
              <w:t xml:space="preserve">Chart </w:t>
            </w:r>
            <w:r w:rsidR="0011055D" w:rsidRPr="006E725C">
              <w:rPr>
                <w:rFonts w:cs="Arial"/>
                <w:b/>
                <w:bCs/>
                <w:color w:val="000000"/>
                <w:spacing w:val="-2"/>
                <w:szCs w:val="20"/>
                <w:lang w:val="en-GB"/>
              </w:rPr>
              <w:t xml:space="preserve">18 </w:t>
            </w:r>
            <w:r w:rsidR="00BE08AB" w:rsidRPr="006E725C">
              <w:rPr>
                <w:rFonts w:cs="Arial"/>
                <w:b/>
                <w:bCs/>
                <w:color w:val="000000"/>
                <w:spacing w:val="-4"/>
                <w:szCs w:val="20"/>
                <w:lang w:val="en-GB"/>
              </w:rPr>
              <w:t>Contribution of constituent revenues to the growth of the s</w:t>
            </w:r>
            <w:r w:rsidR="00BE08AB" w:rsidRPr="006E725C">
              <w:rPr>
                <w:rFonts w:cs="Arial"/>
                <w:b/>
                <w:bCs/>
                <w:spacing w:val="-4"/>
                <w:lang w:val="en-GB"/>
              </w:rPr>
              <w:t xml:space="preserve">tate wide tax collection </w:t>
            </w:r>
            <w:r w:rsidR="00BE08AB" w:rsidRPr="006E725C">
              <w:rPr>
                <w:rFonts w:cs="Arial"/>
                <w:bCs/>
                <w:spacing w:val="-4"/>
                <w:lang w:val="en-GB"/>
              </w:rPr>
              <w:t>(in p. p.</w:t>
            </w:r>
            <w:r w:rsidR="00BE08AB" w:rsidRPr="006E725C">
              <w:rPr>
                <w:bCs/>
                <w:spacing w:val="-4"/>
                <w:lang w:val="en-GB"/>
              </w:rPr>
              <w:t xml:space="preserve">), </w:t>
            </w:r>
            <w:r w:rsidR="00BE08AB" w:rsidRPr="006E725C">
              <w:rPr>
                <w:b/>
                <w:spacing w:val="-4"/>
                <w:lang w:val="en-GB"/>
              </w:rPr>
              <w:t>year-on-year growth of social security insurance revenues</w:t>
            </w:r>
            <w:r w:rsidR="00BE08AB" w:rsidRPr="006E725C">
              <w:rPr>
                <w:bCs/>
                <w:spacing w:val="-4"/>
                <w:lang w:val="en-GB"/>
              </w:rPr>
              <w:t xml:space="preserve"> (%) </w:t>
            </w:r>
            <w:r w:rsidR="00BE08AB" w:rsidRPr="006E725C">
              <w:rPr>
                <w:rFonts w:cs="Arial"/>
                <w:b/>
                <w:bCs/>
                <w:spacing w:val="-4"/>
                <w:lang w:val="en-GB"/>
              </w:rPr>
              <w:t xml:space="preserve">and state budget balance </w:t>
            </w:r>
            <w:r w:rsidR="00BE08AB" w:rsidRPr="006E725C">
              <w:rPr>
                <w:rFonts w:cs="Arial"/>
                <w:bCs/>
                <w:spacing w:val="-4"/>
                <w:lang w:val="en-GB"/>
              </w:rPr>
              <w:t xml:space="preserve">(in </w:t>
            </w:r>
            <w:r w:rsidR="009C0832">
              <w:rPr>
                <w:rFonts w:cs="Arial"/>
                <w:bCs/>
                <w:spacing w:val="-4"/>
                <w:lang w:val="en-GB"/>
              </w:rPr>
              <w:t xml:space="preserve">CZK </w:t>
            </w:r>
            <w:proofErr w:type="spellStart"/>
            <w:r w:rsidR="009C0832">
              <w:rPr>
                <w:rFonts w:cs="Arial"/>
                <w:bCs/>
                <w:spacing w:val="-4"/>
                <w:lang w:val="en-GB"/>
              </w:rPr>
              <w:t>bn</w:t>
            </w:r>
            <w:proofErr w:type="spellEnd"/>
            <w:r w:rsidR="00BE08AB" w:rsidRPr="006E725C">
              <w:rPr>
                <w:rFonts w:cs="Arial"/>
                <w:bCs/>
                <w:spacing w:val="-4"/>
                <w:lang w:val="en-GB"/>
              </w:rPr>
              <w:t>)</w:t>
            </w:r>
          </w:p>
        </w:tc>
      </w:tr>
      <w:tr w:rsidR="0011055D" w:rsidRPr="006E725C" w14:paraId="0368D539" w14:textId="77777777" w:rsidTr="00D43230">
        <w:tblPrEx>
          <w:tblCellMar>
            <w:left w:w="70" w:type="dxa"/>
            <w:right w:w="70" w:type="dxa"/>
          </w:tblCellMar>
        </w:tblPrEx>
        <w:trPr>
          <w:trHeight w:val="170"/>
        </w:trPr>
        <w:tc>
          <w:tcPr>
            <w:tcW w:w="1792" w:type="dxa"/>
            <w:vMerge/>
            <w:shd w:val="clear" w:color="auto" w:fill="auto"/>
          </w:tcPr>
          <w:p w14:paraId="1E064F46" w14:textId="77777777" w:rsidR="0011055D" w:rsidRPr="006E725C" w:rsidRDefault="0011055D" w:rsidP="00C07C2F">
            <w:pPr>
              <w:pStyle w:val="Marginlie"/>
              <w:rPr>
                <w:lang w:val="en-GB"/>
              </w:rPr>
            </w:pPr>
          </w:p>
        </w:tc>
        <w:tc>
          <w:tcPr>
            <w:tcW w:w="203" w:type="dxa"/>
            <w:vMerge/>
            <w:shd w:val="clear" w:color="auto" w:fill="auto"/>
          </w:tcPr>
          <w:p w14:paraId="731BE8A0" w14:textId="77777777" w:rsidR="0011055D" w:rsidRPr="006E725C" w:rsidRDefault="0011055D" w:rsidP="00C07C2F">
            <w:pPr>
              <w:pStyle w:val="Textpoznpodarou"/>
              <w:jc w:val="both"/>
              <w:rPr>
                <w:spacing w:val="-4"/>
                <w:lang w:val="en-GB"/>
              </w:rPr>
            </w:pPr>
          </w:p>
        </w:tc>
        <w:tc>
          <w:tcPr>
            <w:tcW w:w="7674" w:type="dxa"/>
            <w:shd w:val="clear" w:color="auto" w:fill="auto"/>
          </w:tcPr>
          <w:p w14:paraId="10B824CF" w14:textId="2112A6C2" w:rsidR="0011055D" w:rsidRPr="006E725C" w:rsidRDefault="00D43230" w:rsidP="00C07C2F">
            <w:pPr>
              <w:spacing w:after="40"/>
              <w:rPr>
                <w:spacing w:val="-6"/>
                <w:lang w:val="en-GB"/>
              </w:rPr>
            </w:pPr>
            <w:r>
              <w:rPr>
                <w:noProof/>
              </w:rPr>
              <w:drawing>
                <wp:inline distT="0" distB="0" distL="0" distR="0" wp14:anchorId="63941201" wp14:editId="650288D5">
                  <wp:extent cx="4770051" cy="3475634"/>
                  <wp:effectExtent l="0" t="0" r="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11055D" w:rsidRPr="006E725C" w14:paraId="712D5BD4" w14:textId="77777777" w:rsidTr="00C07C2F">
        <w:trPr>
          <w:trHeight w:val="170"/>
        </w:trPr>
        <w:tc>
          <w:tcPr>
            <w:tcW w:w="1792" w:type="dxa"/>
            <w:vMerge/>
            <w:shd w:val="clear" w:color="auto" w:fill="auto"/>
            <w:tcMar>
              <w:left w:w="0" w:type="dxa"/>
            </w:tcMar>
          </w:tcPr>
          <w:p w14:paraId="67C88BC6" w14:textId="77777777" w:rsidR="0011055D" w:rsidRPr="006E725C" w:rsidRDefault="0011055D" w:rsidP="00C07C2F">
            <w:pPr>
              <w:pStyle w:val="Marginlie"/>
              <w:rPr>
                <w:lang w:val="en-GB"/>
              </w:rPr>
            </w:pPr>
          </w:p>
        </w:tc>
        <w:tc>
          <w:tcPr>
            <w:tcW w:w="203" w:type="dxa"/>
            <w:vMerge/>
            <w:shd w:val="clear" w:color="auto" w:fill="auto"/>
            <w:tcMar>
              <w:left w:w="0" w:type="dxa"/>
            </w:tcMar>
          </w:tcPr>
          <w:p w14:paraId="13A7213F"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0DB31A19" w14:textId="60D1EADF" w:rsidR="0011055D" w:rsidRPr="006E725C" w:rsidRDefault="0011055D" w:rsidP="006035A1">
            <w:pPr>
              <w:tabs>
                <w:tab w:val="right" w:pos="7683"/>
              </w:tabs>
              <w:spacing w:after="0" w:line="240" w:lineRule="auto"/>
              <w:rPr>
                <w:spacing w:val="-2"/>
                <w:sz w:val="14"/>
                <w:szCs w:val="14"/>
                <w:lang w:val="en-GB"/>
              </w:rPr>
            </w:pPr>
            <w:r w:rsidRPr="006E725C">
              <w:rPr>
                <w:spacing w:val="-2"/>
                <w:sz w:val="14"/>
                <w:szCs w:val="14"/>
                <w:lang w:val="en-GB"/>
              </w:rPr>
              <w:t>*</w:t>
            </w:r>
            <w:r w:rsidR="0047766A" w:rsidRPr="006E725C">
              <w:rPr>
                <w:spacing w:val="-2"/>
                <w:sz w:val="14"/>
                <w:szCs w:val="14"/>
                <w:lang w:val="en-GB"/>
              </w:rPr>
              <w:t xml:space="preserve">Include also contributions on state Active employment policy. </w:t>
            </w:r>
          </w:p>
          <w:p w14:paraId="2AFCEB01" w14:textId="66C2FC7C" w:rsidR="0011055D" w:rsidRPr="006E725C" w:rsidRDefault="0011055D" w:rsidP="006035A1">
            <w:pPr>
              <w:tabs>
                <w:tab w:val="right" w:pos="7683"/>
              </w:tabs>
              <w:spacing w:after="0" w:line="240" w:lineRule="auto"/>
              <w:rPr>
                <w:spacing w:val="-2"/>
                <w:sz w:val="14"/>
                <w:szCs w:val="14"/>
                <w:lang w:val="en-GB"/>
              </w:rPr>
            </w:pPr>
            <w:r w:rsidRPr="006E725C">
              <w:rPr>
                <w:spacing w:val="-2"/>
                <w:sz w:val="14"/>
                <w:szCs w:val="14"/>
                <w:lang w:val="en-GB"/>
              </w:rPr>
              <w:t>**</w:t>
            </w:r>
            <w:r w:rsidR="0047766A" w:rsidRPr="006E725C">
              <w:rPr>
                <w:rFonts w:cs="Arial"/>
                <w:spacing w:val="-6"/>
                <w:sz w:val="14"/>
                <w:szCs w:val="14"/>
                <w:lang w:val="en-GB"/>
              </w:rPr>
              <w:t xml:space="preserve"> Balance adjusted for funds on programmes/projects from the EU budget and Financial mechanisms, which were pre-financed from the SB and subsequently reimbursed from the budget of EU and FM. Yearly data are available starting year 2</w:t>
            </w:r>
            <w:r w:rsidRPr="006E725C">
              <w:rPr>
                <w:spacing w:val="-2"/>
                <w:sz w:val="14"/>
                <w:szCs w:val="14"/>
                <w:lang w:val="en-GB"/>
              </w:rPr>
              <w:t>010.</w:t>
            </w:r>
          </w:p>
          <w:p w14:paraId="43D04880" w14:textId="1E13B65E" w:rsidR="0011055D" w:rsidRPr="006E725C" w:rsidRDefault="0047766A" w:rsidP="00D43230">
            <w:pPr>
              <w:tabs>
                <w:tab w:val="right" w:pos="7683"/>
              </w:tabs>
              <w:spacing w:after="0" w:line="240" w:lineRule="auto"/>
              <w:rPr>
                <w:sz w:val="16"/>
                <w:szCs w:val="16"/>
                <w:lang w:val="en-GB"/>
              </w:rPr>
            </w:pPr>
            <w:r w:rsidRPr="006E725C">
              <w:rPr>
                <w:spacing w:val="-2"/>
                <w:sz w:val="14"/>
                <w:szCs w:val="14"/>
                <w:lang w:val="en-GB"/>
              </w:rPr>
              <w:t>NP</w:t>
            </w:r>
            <w:r w:rsidR="0011055D" w:rsidRPr="006E725C">
              <w:rPr>
                <w:spacing w:val="-2"/>
                <w:sz w:val="14"/>
                <w:szCs w:val="14"/>
                <w:lang w:val="en-GB"/>
              </w:rPr>
              <w:t xml:space="preserve"> = </w:t>
            </w:r>
            <w:r w:rsidRPr="006E725C">
              <w:rPr>
                <w:spacing w:val="-2"/>
                <w:sz w:val="14"/>
                <w:szCs w:val="14"/>
                <w:lang w:val="en-GB"/>
              </w:rPr>
              <w:t>natural persons</w:t>
            </w:r>
            <w:r w:rsidR="0011055D" w:rsidRPr="006E725C">
              <w:rPr>
                <w:spacing w:val="-2"/>
                <w:sz w:val="14"/>
                <w:szCs w:val="14"/>
                <w:lang w:val="en-GB"/>
              </w:rPr>
              <w:t xml:space="preserve">, </w:t>
            </w:r>
            <w:r w:rsidRPr="006E725C">
              <w:rPr>
                <w:spacing w:val="-2"/>
                <w:sz w:val="14"/>
                <w:szCs w:val="14"/>
                <w:lang w:val="en-GB"/>
              </w:rPr>
              <w:t>LP</w:t>
            </w:r>
            <w:r w:rsidR="0011055D" w:rsidRPr="006E725C">
              <w:rPr>
                <w:spacing w:val="-2"/>
                <w:sz w:val="14"/>
                <w:szCs w:val="14"/>
                <w:lang w:val="en-GB"/>
              </w:rPr>
              <w:t xml:space="preserve"> = </w:t>
            </w:r>
            <w:r w:rsidRPr="006E725C">
              <w:rPr>
                <w:spacing w:val="-2"/>
                <w:sz w:val="14"/>
                <w:szCs w:val="14"/>
                <w:lang w:val="en-GB"/>
              </w:rPr>
              <w:t>legal persons</w:t>
            </w:r>
            <w:r w:rsidR="0011055D" w:rsidRPr="006E725C">
              <w:rPr>
                <w:spacing w:val="-2"/>
                <w:sz w:val="14"/>
                <w:szCs w:val="14"/>
                <w:lang w:val="en-GB"/>
              </w:rPr>
              <w:t>. O</w:t>
            </w:r>
            <w:r w:rsidRPr="006E725C">
              <w:rPr>
                <w:spacing w:val="-2"/>
                <w:sz w:val="14"/>
                <w:szCs w:val="14"/>
                <w:lang w:val="en-GB"/>
              </w:rPr>
              <w:t xml:space="preserve">ther taxes from the incomes of NP include taxes paid by the payers </w:t>
            </w:r>
            <w:r w:rsidR="0011055D" w:rsidRPr="006E725C">
              <w:rPr>
                <w:spacing w:val="-2"/>
                <w:sz w:val="14"/>
                <w:szCs w:val="14"/>
                <w:lang w:val="en-GB"/>
              </w:rPr>
              <w:t>(</w:t>
            </w:r>
            <w:r w:rsidRPr="006E725C">
              <w:rPr>
                <w:spacing w:val="-2"/>
                <w:sz w:val="14"/>
                <w:szCs w:val="14"/>
                <w:lang w:val="en-GB"/>
              </w:rPr>
              <w:t>mainly from small businesses</w:t>
            </w:r>
            <w:r w:rsidR="0011055D" w:rsidRPr="006E725C">
              <w:rPr>
                <w:spacing w:val="-2"/>
                <w:sz w:val="14"/>
                <w:szCs w:val="14"/>
                <w:lang w:val="en-GB"/>
              </w:rPr>
              <w:t>) a</w:t>
            </w:r>
            <w:r w:rsidRPr="006E725C">
              <w:rPr>
                <w:spacing w:val="-2"/>
                <w:sz w:val="14"/>
                <w:szCs w:val="14"/>
                <w:lang w:val="en-GB"/>
              </w:rPr>
              <w:t xml:space="preserve">nd further taxes collected by deduction. </w:t>
            </w:r>
          </w:p>
          <w:p w14:paraId="187D4715" w14:textId="3A562D22" w:rsidR="00D43230" w:rsidRDefault="0047766A" w:rsidP="00D43230">
            <w:pPr>
              <w:tabs>
                <w:tab w:val="right" w:pos="7683"/>
              </w:tabs>
              <w:spacing w:after="0" w:line="240" w:lineRule="auto"/>
              <w:rPr>
                <w:sz w:val="14"/>
                <w:szCs w:val="14"/>
                <w:lang w:val="en-GB"/>
              </w:rPr>
            </w:pPr>
            <w:r w:rsidRPr="006E725C">
              <w:rPr>
                <w:sz w:val="14"/>
                <w:szCs w:val="14"/>
                <w:lang w:val="en-GB"/>
              </w:rPr>
              <w:t xml:space="preserve">Other taxes and fees contain mainly </w:t>
            </w:r>
            <w:r w:rsidR="006035A1" w:rsidRPr="006E725C">
              <w:rPr>
                <w:sz w:val="14"/>
                <w:szCs w:val="14"/>
                <w:lang w:val="en-GB"/>
              </w:rPr>
              <w:t xml:space="preserve">property tax, gambling tax, motorway and other tolls, </w:t>
            </w:r>
            <w:r w:rsidR="0011055D" w:rsidRPr="006E725C">
              <w:rPr>
                <w:sz w:val="14"/>
                <w:szCs w:val="14"/>
                <w:lang w:val="en-GB"/>
              </w:rPr>
              <w:t>a</w:t>
            </w:r>
            <w:r w:rsidR="006035A1" w:rsidRPr="006E725C">
              <w:rPr>
                <w:sz w:val="14"/>
                <w:szCs w:val="14"/>
                <w:lang w:val="en-GB"/>
              </w:rPr>
              <w:t xml:space="preserve">nd levy form excess income and unexpected profit also in year </w:t>
            </w:r>
            <w:r w:rsidR="0011055D" w:rsidRPr="006E725C">
              <w:rPr>
                <w:sz w:val="14"/>
                <w:szCs w:val="14"/>
                <w:lang w:val="en-GB"/>
              </w:rPr>
              <w:t>2023</w:t>
            </w:r>
            <w:r w:rsidR="00D43230">
              <w:rPr>
                <w:sz w:val="14"/>
                <w:szCs w:val="14"/>
                <w:lang w:val="en-GB"/>
              </w:rPr>
              <w:t>.</w:t>
            </w:r>
          </w:p>
          <w:p w14:paraId="287A26C0" w14:textId="5CF61166" w:rsidR="00BE08AB" w:rsidRPr="00D43230" w:rsidRDefault="0049505A" w:rsidP="00D43230">
            <w:pPr>
              <w:tabs>
                <w:tab w:val="right" w:pos="7683"/>
              </w:tabs>
              <w:spacing w:after="180" w:line="240" w:lineRule="auto"/>
              <w:rPr>
                <w:sz w:val="14"/>
                <w:szCs w:val="14"/>
                <w:lang w:val="en-GB"/>
              </w:rPr>
            </w:pPr>
            <w:r w:rsidRPr="006E725C">
              <w:rPr>
                <w:sz w:val="14"/>
                <w:szCs w:val="14"/>
                <w:lang w:val="en-GB"/>
              </w:rPr>
              <w:t>Source</w:t>
            </w:r>
            <w:r w:rsidR="0011055D" w:rsidRPr="006E725C">
              <w:rPr>
                <w:sz w:val="14"/>
                <w:szCs w:val="14"/>
                <w:lang w:val="en-GB"/>
              </w:rPr>
              <w:t xml:space="preserve">: MF </w:t>
            </w:r>
            <w:r w:rsidRPr="006E725C">
              <w:rPr>
                <w:sz w:val="14"/>
                <w:szCs w:val="14"/>
                <w:lang w:val="en-GB"/>
              </w:rPr>
              <w:t>C</w:t>
            </w:r>
            <w:r w:rsidR="00E2449B">
              <w:rPr>
                <w:sz w:val="14"/>
                <w:szCs w:val="14"/>
                <w:lang w:val="en-GB"/>
              </w:rPr>
              <w:t>R</w:t>
            </w:r>
          </w:p>
        </w:tc>
      </w:tr>
      <w:tr w:rsidR="0011055D" w:rsidRPr="006E725C" w14:paraId="3F446F49" w14:textId="77777777" w:rsidTr="00C07C2F">
        <w:trPr>
          <w:trHeight w:val="170"/>
        </w:trPr>
        <w:tc>
          <w:tcPr>
            <w:tcW w:w="1792" w:type="dxa"/>
            <w:shd w:val="clear" w:color="auto" w:fill="auto"/>
            <w:tcMar>
              <w:left w:w="0" w:type="dxa"/>
            </w:tcMar>
          </w:tcPr>
          <w:p w14:paraId="7428CA2D" w14:textId="64D90CD9" w:rsidR="0011055D" w:rsidRPr="006E725C" w:rsidRDefault="00483359" w:rsidP="00C07C2F">
            <w:pPr>
              <w:pStyle w:val="Marginlie"/>
              <w:rPr>
                <w:spacing w:val="-5"/>
                <w:lang w:val="en-GB"/>
              </w:rPr>
            </w:pPr>
            <w:r w:rsidRPr="006E725C">
              <w:rPr>
                <w:spacing w:val="-5"/>
                <w:lang w:val="en-GB"/>
              </w:rPr>
              <w:lastRenderedPageBreak/>
              <w:t xml:space="preserve">Positive effect of the high growth of prices in the economy on the VAT collection was subdued by the decrease of household consumption. Anticipated collection thus was not </w:t>
            </w:r>
            <w:r w:rsidR="000D0D18" w:rsidRPr="006E725C">
              <w:rPr>
                <w:spacing w:val="-5"/>
                <w:lang w:val="en-GB"/>
              </w:rPr>
              <w:t>fulfilled</w:t>
            </w:r>
            <w:r w:rsidRPr="006E725C">
              <w:rPr>
                <w:spacing w:val="-5"/>
                <w:lang w:val="en-GB"/>
              </w:rPr>
              <w:t xml:space="preserve">. </w:t>
            </w:r>
          </w:p>
        </w:tc>
        <w:tc>
          <w:tcPr>
            <w:tcW w:w="203" w:type="dxa"/>
            <w:shd w:val="clear" w:color="auto" w:fill="auto"/>
            <w:tcMar>
              <w:left w:w="0" w:type="dxa"/>
            </w:tcMar>
          </w:tcPr>
          <w:p w14:paraId="5BE10B6B"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637FF770" w14:textId="20C040A2" w:rsidR="0011055D" w:rsidRPr="006E725C" w:rsidRDefault="00483359" w:rsidP="00C07C2F">
            <w:pPr>
              <w:spacing w:after="220"/>
              <w:rPr>
                <w:color w:val="0D0D0D" w:themeColor="text1" w:themeTint="F2"/>
                <w:spacing w:val="-6"/>
                <w:lang w:val="en-GB"/>
              </w:rPr>
            </w:pPr>
            <w:r w:rsidRPr="006E725C">
              <w:rPr>
                <w:color w:val="0D0D0D" w:themeColor="text1" w:themeTint="F2"/>
                <w:spacing w:val="-6"/>
                <w:lang w:val="en-GB"/>
              </w:rPr>
              <w:t>5.8% more year-on-year flowed into the SB from the VAT collection last year</w:t>
            </w:r>
            <w:r w:rsidR="0011055D" w:rsidRPr="006E725C">
              <w:rPr>
                <w:color w:val="0D0D0D" w:themeColor="text1" w:themeTint="F2"/>
                <w:spacing w:val="-6"/>
                <w:lang w:val="en-GB"/>
              </w:rPr>
              <w:t xml:space="preserve">, </w:t>
            </w:r>
            <w:r w:rsidRPr="006E725C">
              <w:rPr>
                <w:color w:val="0D0D0D" w:themeColor="text1" w:themeTint="F2"/>
                <w:spacing w:val="-6"/>
                <w:lang w:val="en-GB"/>
              </w:rPr>
              <w:t xml:space="preserve">however the originally budgeted size of collection was not again fulfilled </w:t>
            </w:r>
            <w:r w:rsidR="0011055D" w:rsidRPr="006E725C">
              <w:rPr>
                <w:color w:val="0D0D0D" w:themeColor="text1" w:themeTint="F2"/>
                <w:spacing w:val="-6"/>
                <w:lang w:val="en-GB"/>
              </w:rPr>
              <w:t>(</w:t>
            </w:r>
            <w:r w:rsidRPr="006E725C">
              <w:rPr>
                <w:color w:val="0D0D0D" w:themeColor="text1" w:themeTint="F2"/>
                <w:spacing w:val="-6"/>
                <w:lang w:val="en-GB"/>
              </w:rPr>
              <w:t xml:space="preserve">by </w:t>
            </w:r>
            <w:r w:rsidR="0011055D" w:rsidRPr="006E725C">
              <w:rPr>
                <w:color w:val="0D0D0D" w:themeColor="text1" w:themeTint="F2"/>
                <w:spacing w:val="-6"/>
                <w:lang w:val="en-GB"/>
              </w:rPr>
              <w:t>4</w:t>
            </w:r>
            <w:r w:rsidRPr="006E725C">
              <w:rPr>
                <w:color w:val="0D0D0D" w:themeColor="text1" w:themeTint="F2"/>
                <w:spacing w:val="-6"/>
                <w:lang w:val="en-GB"/>
              </w:rPr>
              <w:t>.</w:t>
            </w:r>
            <w:r w:rsidR="0011055D" w:rsidRPr="006E725C">
              <w:rPr>
                <w:color w:val="0D0D0D" w:themeColor="text1" w:themeTint="F2"/>
                <w:spacing w:val="-6"/>
                <w:lang w:val="en-GB"/>
              </w:rPr>
              <w:t>4%, resp. 16</w:t>
            </w:r>
            <w:r w:rsidRPr="006E725C">
              <w:rPr>
                <w:color w:val="0D0D0D" w:themeColor="text1" w:themeTint="F2"/>
                <w:spacing w:val="-6"/>
                <w:lang w:val="en-GB"/>
              </w:rPr>
              <w:t>.</w:t>
            </w:r>
            <w:r w:rsidR="0011055D" w:rsidRPr="006E725C">
              <w:rPr>
                <w:color w:val="0D0D0D" w:themeColor="text1" w:themeTint="F2"/>
                <w:spacing w:val="-6"/>
                <w:lang w:val="en-GB"/>
              </w:rPr>
              <w:t>7</w:t>
            </w:r>
            <w:r w:rsidRPr="006E725C">
              <w:rPr>
                <w:color w:val="0D0D0D" w:themeColor="text1" w:themeTint="F2"/>
                <w:spacing w:val="-6"/>
                <w:lang w:val="en-GB"/>
              </w:rPr>
              <w:t xml:space="preserve"> </w:t>
            </w:r>
            <w:r w:rsidR="009C0832">
              <w:rPr>
                <w:color w:val="0D0D0D" w:themeColor="text1" w:themeTint="F2"/>
                <w:spacing w:val="-6"/>
                <w:lang w:val="en-GB"/>
              </w:rPr>
              <w:t xml:space="preserve">CZK </w:t>
            </w:r>
            <w:proofErr w:type="spellStart"/>
            <w:r w:rsidR="009C0832">
              <w:rPr>
                <w:color w:val="0D0D0D" w:themeColor="text1" w:themeTint="F2"/>
                <w:spacing w:val="-6"/>
                <w:lang w:val="en-GB"/>
              </w:rPr>
              <w:t>bn</w:t>
            </w:r>
            <w:proofErr w:type="spellEnd"/>
            <w:r w:rsidR="0011055D" w:rsidRPr="006E725C">
              <w:rPr>
                <w:color w:val="0D0D0D" w:themeColor="text1" w:themeTint="F2"/>
                <w:spacing w:val="-6"/>
                <w:lang w:val="en-GB"/>
              </w:rPr>
              <w:t xml:space="preserve">). </w:t>
            </w:r>
            <w:r w:rsidR="00113A77" w:rsidRPr="006E725C">
              <w:rPr>
                <w:color w:val="0D0D0D" w:themeColor="text1" w:themeTint="F2"/>
                <w:spacing w:val="-6"/>
                <w:lang w:val="en-GB"/>
              </w:rPr>
              <w:t xml:space="preserve">Growth of the VAT collection </w:t>
            </w:r>
            <w:r w:rsidR="0098417C" w:rsidRPr="006E725C">
              <w:rPr>
                <w:color w:val="0D0D0D" w:themeColor="text1" w:themeTint="F2"/>
                <w:spacing w:val="-6"/>
                <w:lang w:val="en-GB"/>
              </w:rPr>
              <w:t>weakened</w:t>
            </w:r>
            <w:r w:rsidR="00113A77" w:rsidRPr="006E725C">
              <w:rPr>
                <w:color w:val="0D0D0D" w:themeColor="text1" w:themeTint="F2"/>
                <w:spacing w:val="-6"/>
                <w:lang w:val="en-GB"/>
              </w:rPr>
              <w:t xml:space="preserve"> under the influence of subsiding high inflation during H</w:t>
            </w:r>
            <w:r w:rsidR="0011055D" w:rsidRPr="006E725C">
              <w:rPr>
                <w:color w:val="0D0D0D" w:themeColor="text1" w:themeTint="F2"/>
                <w:spacing w:val="-6"/>
                <w:lang w:val="en-GB"/>
              </w:rPr>
              <w:t>1, m</w:t>
            </w:r>
            <w:r w:rsidR="0098417C" w:rsidRPr="006E725C">
              <w:rPr>
                <w:color w:val="0D0D0D" w:themeColor="text1" w:themeTint="F2"/>
                <w:spacing w:val="-6"/>
                <w:lang w:val="en-GB"/>
              </w:rPr>
              <w:t>ild increase of collection in Q</w:t>
            </w:r>
            <w:r w:rsidR="0011055D" w:rsidRPr="006E725C">
              <w:rPr>
                <w:color w:val="0D0D0D" w:themeColor="text1" w:themeTint="F2"/>
                <w:spacing w:val="-6"/>
                <w:lang w:val="en-GB"/>
              </w:rPr>
              <w:t>4</w:t>
            </w:r>
            <w:r w:rsidR="0098417C" w:rsidRPr="006E725C">
              <w:rPr>
                <w:color w:val="0D0D0D" w:themeColor="text1" w:themeTint="F2"/>
                <w:spacing w:val="-6"/>
                <w:lang w:val="en-GB"/>
              </w:rPr>
              <w:t xml:space="preserve"> </w:t>
            </w:r>
            <w:r w:rsidR="0011055D" w:rsidRPr="006E725C">
              <w:rPr>
                <w:color w:val="0D0D0D" w:themeColor="text1" w:themeTint="F2"/>
                <w:spacing w:val="-6"/>
                <w:lang w:val="en-GB"/>
              </w:rPr>
              <w:t>(</w:t>
            </w:r>
            <w:r w:rsidR="00E82AB6" w:rsidRPr="006E725C">
              <w:rPr>
                <w:color w:val="0D0D0D" w:themeColor="text1" w:themeTint="F2"/>
                <w:spacing w:val="-6"/>
                <w:lang w:val="en-GB"/>
              </w:rPr>
              <w:t>+6</w:t>
            </w:r>
            <w:r w:rsidR="0098417C" w:rsidRPr="006E725C">
              <w:rPr>
                <w:color w:val="0D0D0D" w:themeColor="text1" w:themeTint="F2"/>
                <w:spacing w:val="-6"/>
                <w:lang w:val="en-GB"/>
              </w:rPr>
              <w:t>.</w:t>
            </w:r>
            <w:r w:rsidR="00E82AB6" w:rsidRPr="006E725C">
              <w:rPr>
                <w:color w:val="0D0D0D" w:themeColor="text1" w:themeTint="F2"/>
                <w:spacing w:val="-6"/>
                <w:lang w:val="en-GB"/>
              </w:rPr>
              <w:t>5%</w:t>
            </w:r>
            <w:r w:rsidR="0098417C" w:rsidRPr="006E725C">
              <w:rPr>
                <w:color w:val="0D0D0D" w:themeColor="text1" w:themeTint="F2"/>
                <w:spacing w:val="-6"/>
                <w:lang w:val="en-GB"/>
              </w:rPr>
              <w:t xml:space="preserve"> year-on-year</w:t>
            </w:r>
            <w:r w:rsidR="00E82AB6" w:rsidRPr="006E725C">
              <w:rPr>
                <w:color w:val="0D0D0D" w:themeColor="text1" w:themeTint="F2"/>
                <w:spacing w:val="-6"/>
                <w:lang w:val="en-GB"/>
              </w:rPr>
              <w:t>)</w:t>
            </w:r>
            <w:r w:rsidR="0098417C" w:rsidRPr="006E725C">
              <w:rPr>
                <w:color w:val="0D0D0D" w:themeColor="text1" w:themeTint="F2"/>
                <w:spacing w:val="-6"/>
                <w:lang w:val="en-GB"/>
              </w:rPr>
              <w:t xml:space="preserve"> was linked to the light revival of household consumption</w:t>
            </w:r>
            <w:r w:rsidR="0011055D" w:rsidRPr="006E725C">
              <w:rPr>
                <w:rStyle w:val="Znakapoznpodarou"/>
                <w:color w:val="0D0D0D" w:themeColor="text1" w:themeTint="F2"/>
                <w:spacing w:val="-6"/>
                <w:lang w:val="en-GB"/>
              </w:rPr>
              <w:footnoteReference w:id="111"/>
            </w:r>
            <w:r w:rsidR="0011055D" w:rsidRPr="006E725C">
              <w:rPr>
                <w:color w:val="0D0D0D" w:themeColor="text1" w:themeTint="F2"/>
                <w:spacing w:val="-6"/>
                <w:lang w:val="en-GB"/>
              </w:rPr>
              <w:t>.</w:t>
            </w:r>
            <w:r w:rsidR="0011055D" w:rsidRPr="006E725C">
              <w:rPr>
                <w:spacing w:val="-6"/>
                <w:lang w:val="en-GB"/>
              </w:rPr>
              <w:t xml:space="preserve"> </w:t>
            </w:r>
            <w:r w:rsidR="00FB1469" w:rsidRPr="006E725C">
              <w:rPr>
                <w:spacing w:val="-6"/>
                <w:lang w:val="en-GB"/>
              </w:rPr>
              <w:t>Increasing of tax collection was mildly suppressed by the impact of the shifted sales threshold for VAT registration</w:t>
            </w:r>
            <w:r w:rsidR="0011055D" w:rsidRPr="006E725C">
              <w:rPr>
                <w:rStyle w:val="Znakapoznpodarou"/>
                <w:spacing w:val="-6"/>
                <w:lang w:val="en-GB"/>
              </w:rPr>
              <w:footnoteReference w:id="112"/>
            </w:r>
            <w:r w:rsidR="00FB1469" w:rsidRPr="006E725C">
              <w:rPr>
                <w:spacing w:val="-6"/>
                <w:lang w:val="en-GB"/>
              </w:rPr>
              <w:t xml:space="preserve"> for the whole year</w:t>
            </w:r>
            <w:r w:rsidR="0011055D" w:rsidRPr="006E725C">
              <w:rPr>
                <w:spacing w:val="-6"/>
                <w:lang w:val="en-GB"/>
              </w:rPr>
              <w:t>.</w:t>
            </w:r>
          </w:p>
        </w:tc>
      </w:tr>
      <w:tr w:rsidR="0011055D" w:rsidRPr="006E725C" w14:paraId="74299C39" w14:textId="77777777" w:rsidTr="00C07C2F">
        <w:trPr>
          <w:trHeight w:val="170"/>
        </w:trPr>
        <w:tc>
          <w:tcPr>
            <w:tcW w:w="1792" w:type="dxa"/>
            <w:shd w:val="clear" w:color="auto" w:fill="auto"/>
            <w:tcMar>
              <w:left w:w="0" w:type="dxa"/>
            </w:tcMar>
          </w:tcPr>
          <w:p w14:paraId="7D77AEF4" w14:textId="60546B77" w:rsidR="0011055D" w:rsidRPr="006E725C" w:rsidRDefault="00B0236E" w:rsidP="00B0236E">
            <w:pPr>
              <w:pStyle w:val="Marginlie"/>
              <w:rPr>
                <w:spacing w:val="-5"/>
                <w:lang w:val="en-GB"/>
              </w:rPr>
            </w:pPr>
            <w:r w:rsidRPr="006E725C">
              <w:rPr>
                <w:spacing w:val="-5"/>
                <w:lang w:val="en-GB"/>
              </w:rPr>
              <w:t xml:space="preserve">Collection of the </w:t>
            </w:r>
            <w:r w:rsidR="00362E63" w:rsidRPr="006E725C">
              <w:rPr>
                <w:spacing w:val="-5"/>
                <w:lang w:val="en-GB"/>
              </w:rPr>
              <w:t xml:space="preserve">consumption </w:t>
            </w:r>
            <w:r w:rsidRPr="006E725C">
              <w:rPr>
                <w:spacing w:val="-5"/>
                <w:lang w:val="en-GB"/>
              </w:rPr>
              <w:t xml:space="preserve">tax decreased and stayed behind the budget anticipation. Collection of tax on tobacco products dropped to the </w:t>
            </w:r>
            <w:r w:rsidR="00236D2A" w:rsidRPr="006E725C">
              <w:rPr>
                <w:spacing w:val="-5"/>
                <w:lang w:val="en-GB"/>
              </w:rPr>
              <w:t>eight-year</w:t>
            </w:r>
            <w:r w:rsidRPr="006E725C">
              <w:rPr>
                <w:spacing w:val="-5"/>
                <w:lang w:val="en-GB"/>
              </w:rPr>
              <w:t xml:space="preserve"> minimum.</w:t>
            </w:r>
          </w:p>
          <w:p w14:paraId="737FC74A" w14:textId="77777777" w:rsidR="0011055D" w:rsidRPr="006E725C" w:rsidRDefault="0011055D" w:rsidP="00C07C2F">
            <w:pPr>
              <w:pStyle w:val="Marginlie"/>
              <w:rPr>
                <w:spacing w:val="-5"/>
                <w:lang w:val="en-GB"/>
              </w:rPr>
            </w:pPr>
          </w:p>
          <w:p w14:paraId="080D5D71" w14:textId="77777777" w:rsidR="0011055D" w:rsidRPr="006E725C" w:rsidRDefault="0011055D" w:rsidP="00C07C2F">
            <w:pPr>
              <w:pStyle w:val="Marginlie"/>
              <w:rPr>
                <w:spacing w:val="-5"/>
                <w:lang w:val="en-GB"/>
              </w:rPr>
            </w:pPr>
          </w:p>
          <w:p w14:paraId="03C67FC3" w14:textId="77777777" w:rsidR="0011055D" w:rsidRPr="006E725C" w:rsidRDefault="0011055D" w:rsidP="00C07C2F">
            <w:pPr>
              <w:pStyle w:val="Marginlie"/>
              <w:rPr>
                <w:spacing w:val="-5"/>
                <w:lang w:val="en-GB"/>
              </w:rPr>
            </w:pPr>
          </w:p>
          <w:p w14:paraId="712008CB" w14:textId="77777777" w:rsidR="0011055D" w:rsidRPr="006E725C" w:rsidRDefault="0011055D" w:rsidP="00C07C2F">
            <w:pPr>
              <w:pStyle w:val="Marginlie"/>
              <w:rPr>
                <w:spacing w:val="-5"/>
                <w:lang w:val="en-GB"/>
              </w:rPr>
            </w:pPr>
          </w:p>
          <w:p w14:paraId="74FE5359" w14:textId="6CBC2E46" w:rsidR="0011055D" w:rsidRPr="006E725C" w:rsidRDefault="00236D2A" w:rsidP="00C07C2F">
            <w:pPr>
              <w:pStyle w:val="Marginlie"/>
              <w:rPr>
                <w:spacing w:val="-5"/>
                <w:lang w:val="en-GB"/>
              </w:rPr>
            </w:pPr>
            <w:r w:rsidRPr="006E725C">
              <w:rPr>
                <w:spacing w:val="-5"/>
                <w:lang w:val="en-GB"/>
              </w:rPr>
              <w:t xml:space="preserve">Collection of tax from mineral oils went up due to the increase of tax rate on diesel fuel. </w:t>
            </w:r>
          </w:p>
          <w:p w14:paraId="5BD0640F" w14:textId="77777777" w:rsidR="0011055D" w:rsidRPr="006E725C" w:rsidRDefault="0011055D" w:rsidP="00C07C2F">
            <w:pPr>
              <w:pStyle w:val="Marginlie"/>
              <w:rPr>
                <w:spacing w:val="-5"/>
                <w:lang w:val="en-GB"/>
              </w:rPr>
            </w:pPr>
          </w:p>
        </w:tc>
        <w:tc>
          <w:tcPr>
            <w:tcW w:w="203" w:type="dxa"/>
            <w:shd w:val="clear" w:color="auto" w:fill="auto"/>
            <w:tcMar>
              <w:left w:w="0" w:type="dxa"/>
            </w:tcMar>
          </w:tcPr>
          <w:p w14:paraId="649B6E7C"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39EA7F7C" w14:textId="02ED8B14" w:rsidR="0011055D" w:rsidRPr="006E725C" w:rsidRDefault="00B0236E" w:rsidP="00C07C2F">
            <w:pPr>
              <w:spacing w:after="200"/>
              <w:rPr>
                <w:color w:val="0D0D0D" w:themeColor="text1" w:themeTint="F2"/>
                <w:spacing w:val="-6"/>
                <w:lang w:val="en-GB"/>
              </w:rPr>
            </w:pPr>
            <w:r w:rsidRPr="006E725C">
              <w:rPr>
                <w:color w:val="0D0D0D" w:themeColor="text1" w:themeTint="F2"/>
                <w:spacing w:val="-6"/>
                <w:lang w:val="en-GB"/>
              </w:rPr>
              <w:t>Collection of the consum</w:t>
            </w:r>
            <w:r w:rsidR="00362E63" w:rsidRPr="006E725C">
              <w:rPr>
                <w:color w:val="0D0D0D" w:themeColor="text1" w:themeTint="F2"/>
                <w:spacing w:val="-6"/>
                <w:lang w:val="en-GB"/>
              </w:rPr>
              <w:t>ption</w:t>
            </w:r>
            <w:r w:rsidRPr="006E725C">
              <w:rPr>
                <w:color w:val="0D0D0D" w:themeColor="text1" w:themeTint="F2"/>
                <w:spacing w:val="-6"/>
                <w:lang w:val="en-GB"/>
              </w:rPr>
              <w:t xml:space="preserve"> tax</w:t>
            </w:r>
            <w:r w:rsidR="0011055D" w:rsidRPr="006E725C">
              <w:rPr>
                <w:rStyle w:val="Znakapoznpodarou"/>
                <w:color w:val="0D0D0D" w:themeColor="text1" w:themeTint="F2"/>
                <w:spacing w:val="-6"/>
                <w:lang w:val="en-GB"/>
              </w:rPr>
              <w:footnoteReference w:id="113"/>
            </w:r>
            <w:r w:rsidRPr="006E725C">
              <w:rPr>
                <w:color w:val="0D0D0D" w:themeColor="text1" w:themeTint="F2"/>
                <w:spacing w:val="-6"/>
                <w:lang w:val="en-GB"/>
              </w:rPr>
              <w:t xml:space="preserve"> decreased year-on-year last year </w:t>
            </w:r>
            <w:r w:rsidR="0011055D" w:rsidRPr="006E725C">
              <w:rPr>
                <w:color w:val="0D0D0D" w:themeColor="text1" w:themeTint="F2"/>
                <w:spacing w:val="-6"/>
                <w:lang w:val="en-GB"/>
              </w:rPr>
              <w:t>(−3</w:t>
            </w:r>
            <w:r w:rsidRPr="006E725C">
              <w:rPr>
                <w:color w:val="0D0D0D" w:themeColor="text1" w:themeTint="F2"/>
                <w:spacing w:val="-6"/>
                <w:lang w:val="en-GB"/>
              </w:rPr>
              <w:t>.</w:t>
            </w:r>
            <w:r w:rsidR="0011055D" w:rsidRPr="006E725C">
              <w:rPr>
                <w:color w:val="0D0D0D" w:themeColor="text1" w:themeTint="F2"/>
                <w:spacing w:val="-6"/>
                <w:lang w:val="en-GB"/>
              </w:rPr>
              <w:t>4%) a</w:t>
            </w:r>
            <w:r w:rsidRPr="006E725C">
              <w:rPr>
                <w:color w:val="0D0D0D" w:themeColor="text1" w:themeTint="F2"/>
                <w:spacing w:val="-6"/>
                <w:lang w:val="en-GB"/>
              </w:rPr>
              <w:t xml:space="preserve">nd it lagged behind the budget anticipation for the third time in a row </w:t>
            </w:r>
            <w:r w:rsidR="0011055D" w:rsidRPr="006E725C">
              <w:rPr>
                <w:color w:val="0D0D0D" w:themeColor="text1" w:themeTint="F2"/>
                <w:spacing w:val="-6"/>
                <w:lang w:val="en-GB"/>
              </w:rPr>
              <w:t>(</w:t>
            </w:r>
            <w:r w:rsidRPr="006E725C">
              <w:rPr>
                <w:color w:val="0D0D0D" w:themeColor="text1" w:themeTint="F2"/>
                <w:spacing w:val="-6"/>
                <w:lang w:val="en-GB"/>
              </w:rPr>
              <w:t xml:space="preserve">last time by </w:t>
            </w:r>
            <w:r w:rsidR="0011055D" w:rsidRPr="006E725C">
              <w:rPr>
                <w:color w:val="0D0D0D" w:themeColor="text1" w:themeTint="F2"/>
                <w:spacing w:val="-6"/>
                <w:lang w:val="en-GB"/>
              </w:rPr>
              <w:t>5</w:t>
            </w:r>
            <w:r w:rsidRPr="006E725C">
              <w:rPr>
                <w:color w:val="0D0D0D" w:themeColor="text1" w:themeTint="F2"/>
                <w:spacing w:val="-6"/>
                <w:lang w:val="en-GB"/>
              </w:rPr>
              <w:t>.</w:t>
            </w:r>
            <w:r w:rsidR="0011055D" w:rsidRPr="006E725C">
              <w:rPr>
                <w:color w:val="0D0D0D" w:themeColor="text1" w:themeTint="F2"/>
                <w:spacing w:val="-6"/>
                <w:lang w:val="en-GB"/>
              </w:rPr>
              <w:t>8%, 9</w:t>
            </w:r>
            <w:r w:rsidRPr="006E725C">
              <w:rPr>
                <w:color w:val="0D0D0D" w:themeColor="text1" w:themeTint="F2"/>
                <w:spacing w:val="-6"/>
                <w:lang w:val="en-GB"/>
              </w:rPr>
              <w:t>.</w:t>
            </w:r>
            <w:r w:rsidR="0011055D" w:rsidRPr="006E725C">
              <w:rPr>
                <w:color w:val="0D0D0D" w:themeColor="text1" w:themeTint="F2"/>
                <w:spacing w:val="-6"/>
                <w:lang w:val="en-GB"/>
              </w:rPr>
              <w:t>1</w:t>
            </w:r>
            <w:r w:rsidRPr="006E725C">
              <w:rPr>
                <w:color w:val="0D0D0D" w:themeColor="text1" w:themeTint="F2"/>
                <w:spacing w:val="-6"/>
                <w:lang w:val="en-GB"/>
              </w:rPr>
              <w:t xml:space="preserve"> </w:t>
            </w:r>
            <w:r w:rsidR="009C0832">
              <w:rPr>
                <w:color w:val="0D0D0D" w:themeColor="text1" w:themeTint="F2"/>
                <w:spacing w:val="-6"/>
                <w:lang w:val="en-GB"/>
              </w:rPr>
              <w:t xml:space="preserve">CZK </w:t>
            </w:r>
            <w:proofErr w:type="spellStart"/>
            <w:r w:rsidR="009C0832">
              <w:rPr>
                <w:color w:val="0D0D0D" w:themeColor="text1" w:themeTint="F2"/>
                <w:spacing w:val="-6"/>
                <w:lang w:val="en-GB"/>
              </w:rPr>
              <w:t>bn</w:t>
            </w:r>
            <w:proofErr w:type="spellEnd"/>
            <w:r w:rsidR="0011055D" w:rsidRPr="006E725C">
              <w:rPr>
                <w:color w:val="0D0D0D" w:themeColor="text1" w:themeTint="F2"/>
                <w:spacing w:val="-6"/>
                <w:lang w:val="en-GB"/>
              </w:rPr>
              <w:t xml:space="preserve">). </w:t>
            </w:r>
            <w:r w:rsidR="00E70C94" w:rsidRPr="006E725C">
              <w:rPr>
                <w:color w:val="0D0D0D" w:themeColor="text1" w:themeTint="F2"/>
                <w:spacing w:val="-6"/>
                <w:lang w:val="en-GB"/>
              </w:rPr>
              <w:t xml:space="preserve">Weak collection from tobacco products, which slumped by one tenth year-on-year, to the lowest level in the last eight years was a factor. </w:t>
            </w:r>
            <w:r w:rsidR="009A1385" w:rsidRPr="006E725C">
              <w:rPr>
                <w:color w:val="0D0D0D" w:themeColor="text1" w:themeTint="F2"/>
                <w:spacing w:val="-6"/>
                <w:lang w:val="en-GB"/>
              </w:rPr>
              <w:t xml:space="preserve">It occurs even despite continuing growth of the tax rate, since the change of the buying preference of the CR citizens had a stronger influence of the collection </w:t>
            </w:r>
            <w:r w:rsidR="0011055D" w:rsidRPr="006E725C">
              <w:rPr>
                <w:spacing w:val="-6"/>
                <w:lang w:val="en-GB"/>
              </w:rPr>
              <w:t>(</w:t>
            </w:r>
            <w:r w:rsidR="001E52DE" w:rsidRPr="006E725C">
              <w:rPr>
                <w:spacing w:val="-6"/>
                <w:lang w:val="en-GB"/>
              </w:rPr>
              <w:t xml:space="preserve">shift of </w:t>
            </w:r>
            <w:r w:rsidR="009A1385" w:rsidRPr="006E725C">
              <w:rPr>
                <w:spacing w:val="-6"/>
                <w:lang w:val="en-GB"/>
              </w:rPr>
              <w:t>consumption</w:t>
            </w:r>
            <w:r w:rsidR="001E52DE" w:rsidRPr="006E725C">
              <w:rPr>
                <w:spacing w:val="-6"/>
                <w:lang w:val="en-GB"/>
              </w:rPr>
              <w:t xml:space="preserve"> to alternative, less taxed products locally</w:t>
            </w:r>
            <w:r w:rsidR="0011055D" w:rsidRPr="006E725C">
              <w:rPr>
                <w:rStyle w:val="Znakapoznpodarou"/>
                <w:spacing w:val="-6"/>
                <w:lang w:val="en-GB"/>
              </w:rPr>
              <w:footnoteReference w:id="114"/>
            </w:r>
            <w:r w:rsidR="0011055D" w:rsidRPr="006E725C">
              <w:rPr>
                <w:spacing w:val="-6"/>
                <w:lang w:val="en-GB"/>
              </w:rPr>
              <w:t xml:space="preserve">, </w:t>
            </w:r>
            <w:r w:rsidR="009A1385" w:rsidRPr="006E725C">
              <w:rPr>
                <w:spacing w:val="-6"/>
                <w:lang w:val="en-GB"/>
              </w:rPr>
              <w:t>rise of purchases across the board</w:t>
            </w:r>
            <w:r w:rsidR="0011055D" w:rsidRPr="006E725C">
              <w:rPr>
                <w:spacing w:val="-6"/>
                <w:lang w:val="en-GB"/>
              </w:rPr>
              <w:t xml:space="preserve">). </w:t>
            </w:r>
            <w:r w:rsidR="00191F6B" w:rsidRPr="006E725C">
              <w:rPr>
                <w:spacing w:val="-6"/>
                <w:lang w:val="en-GB"/>
              </w:rPr>
              <w:t xml:space="preserve">But the collection increased for the key tax on mineral oils last year </w:t>
            </w:r>
            <w:r w:rsidR="0011055D" w:rsidRPr="006E725C">
              <w:rPr>
                <w:spacing w:val="-6"/>
                <w:lang w:val="en-GB"/>
              </w:rPr>
              <w:t>(+3%) a</w:t>
            </w:r>
            <w:r w:rsidR="009D14D7" w:rsidRPr="006E725C">
              <w:rPr>
                <w:spacing w:val="-6"/>
                <w:lang w:val="en-GB"/>
              </w:rPr>
              <w:t xml:space="preserve">nd fulfilled the budget anticipations for the first time in the last three years. </w:t>
            </w:r>
            <w:r w:rsidR="00BE425E" w:rsidRPr="006E725C">
              <w:rPr>
                <w:spacing w:val="-6"/>
                <w:lang w:val="en-GB"/>
              </w:rPr>
              <w:t>Return of the tax rate on diesel fuel to the level before the onset of the energy crisis had a positive effect</w:t>
            </w:r>
            <w:r w:rsidR="0011055D" w:rsidRPr="006E725C">
              <w:rPr>
                <w:rStyle w:val="Znakapoznpodarou"/>
                <w:color w:val="0D0D0D" w:themeColor="text1" w:themeTint="F2"/>
                <w:spacing w:val="-6"/>
                <w:lang w:val="en-GB"/>
              </w:rPr>
              <w:footnoteReference w:id="115"/>
            </w:r>
            <w:r w:rsidR="0011055D" w:rsidRPr="006E725C">
              <w:rPr>
                <w:spacing w:val="-6"/>
                <w:lang w:val="en-GB"/>
              </w:rPr>
              <w:t xml:space="preserve">. </w:t>
            </w:r>
            <w:r w:rsidR="009D14D7" w:rsidRPr="006E725C">
              <w:rPr>
                <w:spacing w:val="-6"/>
                <w:lang w:val="en-GB"/>
              </w:rPr>
              <w:t xml:space="preserve">Consumption of majority types of petroleum products grew in the CR last year, </w:t>
            </w:r>
            <w:r w:rsidR="00BE425E" w:rsidRPr="006E725C">
              <w:rPr>
                <w:spacing w:val="-6"/>
                <w:lang w:val="en-GB"/>
              </w:rPr>
              <w:t>for the key item – diesel fuel – however only slightly due to the weaker demand for freight transport</w:t>
            </w:r>
            <w:r w:rsidR="0011055D" w:rsidRPr="006E725C">
              <w:rPr>
                <w:rStyle w:val="Znakapoznpodarou"/>
                <w:spacing w:val="-6"/>
                <w:lang w:val="en-GB"/>
              </w:rPr>
              <w:footnoteReference w:id="116"/>
            </w:r>
            <w:r w:rsidR="0011055D" w:rsidRPr="006E725C">
              <w:rPr>
                <w:spacing w:val="-6"/>
                <w:lang w:val="en-GB"/>
              </w:rPr>
              <w:t xml:space="preserve">. </w:t>
            </w:r>
            <w:r w:rsidR="00BE425E" w:rsidRPr="006E725C">
              <w:rPr>
                <w:spacing w:val="-6"/>
                <w:lang w:val="en-GB"/>
              </w:rPr>
              <w:t>Collection of tax on specific commodities (alcohol, beer, sparkling wine as well as intermediate products) decreased as a result of limiting non-essential expenditures of domestic households</w:t>
            </w:r>
            <w:r w:rsidR="0011055D" w:rsidRPr="006E725C">
              <w:rPr>
                <w:spacing w:val="-6"/>
                <w:lang w:val="en-GB"/>
              </w:rPr>
              <w:t xml:space="preserve">. </w:t>
            </w:r>
            <w:r w:rsidR="00BE425E" w:rsidRPr="006E725C">
              <w:rPr>
                <w:spacing w:val="-6"/>
                <w:lang w:val="en-GB"/>
              </w:rPr>
              <w:t xml:space="preserve">Economical behaviours of both households and businesses led to </w:t>
            </w:r>
            <w:r w:rsidR="009D14D7" w:rsidRPr="006E725C">
              <w:rPr>
                <w:spacing w:val="-6"/>
                <w:lang w:val="en-GB"/>
              </w:rPr>
              <w:t xml:space="preserve">the general decrease of the collection of all energetic taxes </w:t>
            </w:r>
            <w:r w:rsidR="0011055D" w:rsidRPr="006E725C">
              <w:rPr>
                <w:spacing w:val="-6"/>
                <w:lang w:val="en-GB"/>
              </w:rPr>
              <w:t>(</w:t>
            </w:r>
            <w:r w:rsidR="009D14D7" w:rsidRPr="006E725C">
              <w:rPr>
                <w:spacing w:val="-6"/>
                <w:lang w:val="en-GB"/>
              </w:rPr>
              <w:t>the most o</w:t>
            </w:r>
            <w:r w:rsidR="00D839E9" w:rsidRPr="006E725C">
              <w:rPr>
                <w:spacing w:val="-6"/>
                <w:lang w:val="en-GB"/>
              </w:rPr>
              <w:t xml:space="preserve">n </w:t>
            </w:r>
            <w:r w:rsidR="009D14D7" w:rsidRPr="006E725C">
              <w:rPr>
                <w:spacing w:val="-6"/>
                <w:lang w:val="en-GB"/>
              </w:rPr>
              <w:t>solid fuels</w:t>
            </w:r>
            <w:r w:rsidR="0011055D" w:rsidRPr="006E725C">
              <w:rPr>
                <w:spacing w:val="-6"/>
                <w:lang w:val="en-GB"/>
              </w:rPr>
              <w:t>).</w:t>
            </w:r>
          </w:p>
        </w:tc>
      </w:tr>
      <w:tr w:rsidR="0011055D" w:rsidRPr="006E725C" w14:paraId="388DB6E4" w14:textId="77777777" w:rsidTr="00C07C2F">
        <w:trPr>
          <w:trHeight w:val="170"/>
        </w:trPr>
        <w:tc>
          <w:tcPr>
            <w:tcW w:w="1792" w:type="dxa"/>
            <w:shd w:val="clear" w:color="auto" w:fill="auto"/>
            <w:tcMar>
              <w:left w:w="0" w:type="dxa"/>
            </w:tcMar>
          </w:tcPr>
          <w:p w14:paraId="7B5B3149" w14:textId="03E6522D" w:rsidR="0011055D" w:rsidRPr="006E725C" w:rsidRDefault="0011055D" w:rsidP="00C07C2F">
            <w:pPr>
              <w:pStyle w:val="Marginlie"/>
              <w:rPr>
                <w:spacing w:val="-5"/>
                <w:lang w:val="en-GB"/>
              </w:rPr>
            </w:pPr>
            <w:r w:rsidRPr="006E725C">
              <w:rPr>
                <w:spacing w:val="-5"/>
                <w:lang w:val="en-GB"/>
              </w:rPr>
              <w:t>N</w:t>
            </w:r>
            <w:r w:rsidR="009D14D7" w:rsidRPr="006E725C">
              <w:rPr>
                <w:spacing w:val="-5"/>
                <w:lang w:val="en-GB"/>
              </w:rPr>
              <w:t xml:space="preserve">on-tax and capital revenues swiftly grew thanks to funds from the EU as well as </w:t>
            </w:r>
            <w:r w:rsidR="00EF40C5" w:rsidRPr="006E725C">
              <w:rPr>
                <w:spacing w:val="-5"/>
                <w:lang w:val="en-GB"/>
              </w:rPr>
              <w:t>transfers</w:t>
            </w:r>
            <w:r w:rsidR="009D14D7" w:rsidRPr="006E725C">
              <w:rPr>
                <w:spacing w:val="-5"/>
                <w:lang w:val="en-GB"/>
              </w:rPr>
              <w:t xml:space="preserve"> f</w:t>
            </w:r>
            <w:r w:rsidR="00D839E9" w:rsidRPr="006E725C">
              <w:rPr>
                <w:spacing w:val="-5"/>
                <w:lang w:val="en-GB"/>
              </w:rPr>
              <w:t>rom</w:t>
            </w:r>
            <w:r w:rsidR="009D14D7" w:rsidRPr="006E725C">
              <w:rPr>
                <w:spacing w:val="-5"/>
                <w:lang w:val="en-GB"/>
              </w:rPr>
              <w:t xml:space="preserve"> businesses with state participation. </w:t>
            </w:r>
          </w:p>
        </w:tc>
        <w:tc>
          <w:tcPr>
            <w:tcW w:w="203" w:type="dxa"/>
            <w:shd w:val="clear" w:color="auto" w:fill="auto"/>
            <w:tcMar>
              <w:left w:w="0" w:type="dxa"/>
            </w:tcMar>
          </w:tcPr>
          <w:p w14:paraId="747EC403"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3E32A917" w14:textId="5CFFE5CD" w:rsidR="0011055D" w:rsidRPr="006E725C" w:rsidRDefault="0011055D" w:rsidP="00C07C2F">
            <w:pPr>
              <w:spacing w:after="220"/>
              <w:rPr>
                <w:spacing w:val="-6"/>
                <w:lang w:val="en-GB"/>
              </w:rPr>
            </w:pPr>
            <w:r w:rsidRPr="006E725C">
              <w:rPr>
                <w:color w:val="0D0D0D" w:themeColor="text1" w:themeTint="F2"/>
                <w:spacing w:val="-6"/>
                <w:lang w:val="en-GB"/>
              </w:rPr>
              <w:t>N</w:t>
            </w:r>
            <w:r w:rsidR="009D14D7" w:rsidRPr="006E725C">
              <w:rPr>
                <w:color w:val="0D0D0D" w:themeColor="text1" w:themeTint="F2"/>
                <w:spacing w:val="-6"/>
                <w:lang w:val="en-GB"/>
              </w:rPr>
              <w:t xml:space="preserve">on-tax and capital revenues expanded by nearly one half for the last year, still they stayed behind the planned size by one tenth for the reason of weaker yield from </w:t>
            </w:r>
            <w:r w:rsidR="005D1A8A" w:rsidRPr="006E725C">
              <w:rPr>
                <w:color w:val="0D0D0D" w:themeColor="text1" w:themeTint="F2"/>
                <w:spacing w:val="-6"/>
                <w:lang w:val="en-GB"/>
              </w:rPr>
              <w:t>t</w:t>
            </w:r>
            <w:r w:rsidR="009D14D7" w:rsidRPr="006E725C">
              <w:rPr>
                <w:color w:val="0D0D0D" w:themeColor="text1" w:themeTint="F2"/>
                <w:spacing w:val="-6"/>
                <w:lang w:val="en-GB"/>
              </w:rPr>
              <w:t xml:space="preserve">he emission allowances. </w:t>
            </w:r>
            <w:r w:rsidR="005D1A8A" w:rsidRPr="006E725C">
              <w:rPr>
                <w:color w:val="0D0D0D" w:themeColor="text1" w:themeTint="F2"/>
                <w:spacing w:val="-6"/>
                <w:lang w:val="en-GB"/>
              </w:rPr>
              <w:t xml:space="preserve">Dividends and other transfers of funds from the state businesses </w:t>
            </w:r>
            <w:r w:rsidRPr="006E725C">
              <w:rPr>
                <w:color w:val="0D0D0D" w:themeColor="text1" w:themeTint="F2"/>
                <w:spacing w:val="-6"/>
                <w:lang w:val="en-GB"/>
              </w:rPr>
              <w:t>(+30</w:t>
            </w:r>
            <w:r w:rsidR="005D1A8A" w:rsidRPr="006E725C">
              <w:rPr>
                <w:color w:val="0D0D0D" w:themeColor="text1" w:themeTint="F2"/>
                <w:spacing w:val="-6"/>
                <w:lang w:val="en-GB"/>
              </w:rPr>
              <w:t>.</w:t>
            </w:r>
            <w:r w:rsidRPr="006E725C">
              <w:rPr>
                <w:color w:val="0D0D0D" w:themeColor="text1" w:themeTint="F2"/>
                <w:spacing w:val="-6"/>
                <w:lang w:val="en-GB"/>
              </w:rPr>
              <w:t>6</w:t>
            </w:r>
            <w:r w:rsidR="005D1A8A" w:rsidRPr="006E725C">
              <w:rPr>
                <w:color w:val="0D0D0D" w:themeColor="text1" w:themeTint="F2"/>
                <w:spacing w:val="-6"/>
                <w:lang w:val="en-GB"/>
              </w:rPr>
              <w:t xml:space="preserve"> </w:t>
            </w:r>
            <w:r w:rsidR="009C0832">
              <w:rPr>
                <w:color w:val="0D0D0D" w:themeColor="text1" w:themeTint="F2"/>
                <w:spacing w:val="-6"/>
                <w:lang w:val="en-GB"/>
              </w:rPr>
              <w:t xml:space="preserve">CZK </w:t>
            </w:r>
            <w:proofErr w:type="spellStart"/>
            <w:r w:rsidR="009C0832">
              <w:rPr>
                <w:color w:val="0D0D0D" w:themeColor="text1" w:themeTint="F2"/>
                <w:spacing w:val="-6"/>
                <w:lang w:val="en-GB"/>
              </w:rPr>
              <w:t>bn</w:t>
            </w:r>
            <w:proofErr w:type="spellEnd"/>
            <w:r w:rsidRPr="006E725C">
              <w:rPr>
                <w:color w:val="0D0D0D" w:themeColor="text1" w:themeTint="F2"/>
                <w:spacing w:val="-6"/>
                <w:lang w:val="en-GB"/>
              </w:rPr>
              <w:t>)</w:t>
            </w:r>
            <w:r w:rsidR="005D1A8A" w:rsidRPr="006E725C">
              <w:rPr>
                <w:color w:val="0D0D0D" w:themeColor="text1" w:themeTint="F2"/>
                <w:spacing w:val="-6"/>
                <w:lang w:val="en-GB"/>
              </w:rPr>
              <w:t xml:space="preserve"> and also the revenues from the EU budget substantially enhanced by the received payments from the National recovery plan </w:t>
            </w:r>
            <w:r w:rsidRPr="006E725C">
              <w:rPr>
                <w:color w:val="0D0D0D" w:themeColor="text1" w:themeTint="F2"/>
                <w:spacing w:val="-6"/>
                <w:lang w:val="en-GB"/>
              </w:rPr>
              <w:t>(prim</w:t>
            </w:r>
            <w:r w:rsidR="005D1A8A" w:rsidRPr="006E725C">
              <w:rPr>
                <w:color w:val="0D0D0D" w:themeColor="text1" w:themeTint="F2"/>
                <w:spacing w:val="-6"/>
                <w:lang w:val="en-GB"/>
              </w:rPr>
              <w:t xml:space="preserve">arily into the area of transport and </w:t>
            </w:r>
            <w:r w:rsidR="003C23ED" w:rsidRPr="006E725C">
              <w:rPr>
                <w:color w:val="0D0D0D" w:themeColor="text1" w:themeTint="F2"/>
                <w:spacing w:val="-6"/>
                <w:lang w:val="en-GB"/>
              </w:rPr>
              <w:t>environment</w:t>
            </w:r>
            <w:r w:rsidRPr="006E725C">
              <w:rPr>
                <w:color w:val="0D0D0D" w:themeColor="text1" w:themeTint="F2"/>
                <w:spacing w:val="-6"/>
                <w:lang w:val="en-GB"/>
              </w:rPr>
              <w:t>)</w:t>
            </w:r>
            <w:r w:rsidR="005D1A8A" w:rsidRPr="006E725C">
              <w:rPr>
                <w:color w:val="0D0D0D" w:themeColor="text1" w:themeTint="F2"/>
                <w:spacing w:val="-6"/>
                <w:lang w:val="en-GB"/>
              </w:rPr>
              <w:t xml:space="preserve"> shared the most on the year-on-year growth</w:t>
            </w:r>
            <w:r w:rsidRPr="006E725C">
              <w:rPr>
                <w:color w:val="0D0D0D" w:themeColor="text1" w:themeTint="F2"/>
                <w:spacing w:val="-6"/>
                <w:lang w:val="en-GB"/>
              </w:rPr>
              <w:t xml:space="preserve">. </w:t>
            </w:r>
            <w:r w:rsidR="003C23ED" w:rsidRPr="006E725C">
              <w:rPr>
                <w:color w:val="0D0D0D" w:themeColor="text1" w:themeTint="F2"/>
                <w:spacing w:val="-6"/>
                <w:lang w:val="en-GB"/>
              </w:rPr>
              <w:t xml:space="preserve">Net position of the CR towards the EU budget was </w:t>
            </w:r>
            <w:r w:rsidRPr="006E725C">
              <w:rPr>
                <w:color w:val="0D0D0D" w:themeColor="text1" w:themeTint="F2"/>
                <w:spacing w:val="-6"/>
                <w:lang w:val="en-GB"/>
              </w:rPr>
              <w:t>+49</w:t>
            </w:r>
            <w:r w:rsidR="003C23ED" w:rsidRPr="006E725C">
              <w:rPr>
                <w:color w:val="0D0D0D" w:themeColor="text1" w:themeTint="F2"/>
                <w:spacing w:val="-6"/>
                <w:lang w:val="en-GB"/>
              </w:rPr>
              <w:t>.</w:t>
            </w:r>
            <w:r w:rsidRPr="006E725C">
              <w:rPr>
                <w:color w:val="0D0D0D" w:themeColor="text1" w:themeTint="F2"/>
                <w:spacing w:val="-6"/>
                <w:lang w:val="en-GB"/>
              </w:rPr>
              <w:t>9</w:t>
            </w:r>
            <w:r w:rsidR="003C23ED" w:rsidRPr="006E725C">
              <w:rPr>
                <w:color w:val="0D0D0D" w:themeColor="text1" w:themeTint="F2"/>
                <w:spacing w:val="-6"/>
                <w:lang w:val="en-GB"/>
              </w:rPr>
              <w:t xml:space="preserve"> </w:t>
            </w:r>
            <w:r w:rsidR="009C0832">
              <w:rPr>
                <w:color w:val="0D0D0D" w:themeColor="text1" w:themeTint="F2"/>
                <w:spacing w:val="-6"/>
                <w:lang w:val="en-GB"/>
              </w:rPr>
              <w:t xml:space="preserve">CZK </w:t>
            </w:r>
            <w:proofErr w:type="spellStart"/>
            <w:r w:rsidR="009C0832">
              <w:rPr>
                <w:color w:val="0D0D0D" w:themeColor="text1" w:themeTint="F2"/>
                <w:spacing w:val="-6"/>
                <w:lang w:val="en-GB"/>
              </w:rPr>
              <w:t>bn</w:t>
            </w:r>
            <w:proofErr w:type="spellEnd"/>
            <w:r w:rsidR="003C23ED" w:rsidRPr="006E725C">
              <w:rPr>
                <w:color w:val="0D0D0D" w:themeColor="text1" w:themeTint="F2"/>
                <w:spacing w:val="-6"/>
                <w:lang w:val="en-GB"/>
              </w:rPr>
              <w:t xml:space="preserve"> last year and slightly decreased year-on-year </w:t>
            </w:r>
            <w:r w:rsidRPr="006E725C">
              <w:rPr>
                <w:color w:val="0D0D0D" w:themeColor="text1" w:themeTint="F2"/>
                <w:spacing w:val="-6"/>
                <w:lang w:val="en-GB"/>
              </w:rPr>
              <w:t>(−7%)</w:t>
            </w:r>
            <w:r w:rsidRPr="006E725C">
              <w:rPr>
                <w:rStyle w:val="Znakapoznpodarou"/>
                <w:color w:val="0D0D0D" w:themeColor="text1" w:themeTint="F2"/>
                <w:spacing w:val="-6"/>
                <w:lang w:val="en-GB"/>
              </w:rPr>
              <w:footnoteReference w:id="117"/>
            </w:r>
            <w:r w:rsidRPr="006E725C">
              <w:rPr>
                <w:color w:val="0D0D0D" w:themeColor="text1" w:themeTint="F2"/>
                <w:spacing w:val="-6"/>
                <w:lang w:val="en-GB"/>
              </w:rPr>
              <w:t xml:space="preserve">, </w:t>
            </w:r>
            <w:r w:rsidR="003C23ED" w:rsidRPr="006E725C">
              <w:rPr>
                <w:color w:val="0D0D0D" w:themeColor="text1" w:themeTint="F2"/>
                <w:spacing w:val="-6"/>
                <w:lang w:val="en-GB"/>
              </w:rPr>
              <w:t xml:space="preserve">partially also due to the effect of long-term mildly growing payments of the CR into the EU budget. </w:t>
            </w:r>
            <w:r w:rsidR="00B53B66" w:rsidRPr="006E725C">
              <w:rPr>
                <w:color w:val="0D0D0D" w:themeColor="text1" w:themeTint="F2"/>
                <w:spacing w:val="-6"/>
                <w:lang w:val="en-GB"/>
              </w:rPr>
              <w:t xml:space="preserve">After calculating the revenues within the National recovery plan however the positive balance of the CR virtually doubled </w:t>
            </w:r>
            <w:r w:rsidRPr="006E725C">
              <w:rPr>
                <w:iCs/>
                <w:color w:val="0D0D0D" w:themeColor="text1" w:themeTint="F2"/>
                <w:spacing w:val="-6"/>
                <w:lang w:val="en-GB"/>
              </w:rPr>
              <w:t>(89</w:t>
            </w:r>
            <w:r w:rsidR="00B53B66" w:rsidRPr="006E725C">
              <w:rPr>
                <w:iCs/>
                <w:color w:val="0D0D0D" w:themeColor="text1" w:themeTint="F2"/>
                <w:spacing w:val="-6"/>
                <w:lang w:val="en-GB"/>
              </w:rPr>
              <w:t>.</w:t>
            </w:r>
            <w:r w:rsidRPr="006E725C">
              <w:rPr>
                <w:iCs/>
                <w:color w:val="0D0D0D" w:themeColor="text1" w:themeTint="F2"/>
                <w:spacing w:val="-6"/>
                <w:lang w:val="en-GB"/>
              </w:rPr>
              <w:t>5</w:t>
            </w:r>
            <w:r w:rsidR="00B53B66" w:rsidRPr="006E725C">
              <w:rPr>
                <w:iCs/>
                <w:color w:val="0D0D0D" w:themeColor="text1" w:themeTint="F2"/>
                <w:spacing w:val="-6"/>
                <w:lang w:val="en-GB"/>
              </w:rPr>
              <w:t xml:space="preserve"> </w:t>
            </w:r>
            <w:r w:rsidR="009C0832">
              <w:rPr>
                <w:iCs/>
                <w:color w:val="0D0D0D" w:themeColor="text1" w:themeTint="F2"/>
                <w:spacing w:val="-6"/>
                <w:lang w:val="en-GB"/>
              </w:rPr>
              <w:t xml:space="preserve">CZK </w:t>
            </w:r>
            <w:proofErr w:type="spellStart"/>
            <w:r w:rsidR="009C0832">
              <w:rPr>
                <w:iCs/>
                <w:color w:val="0D0D0D" w:themeColor="text1" w:themeTint="F2"/>
                <w:spacing w:val="-6"/>
                <w:lang w:val="en-GB"/>
              </w:rPr>
              <w:t>bn</w:t>
            </w:r>
            <w:proofErr w:type="spellEnd"/>
            <w:r w:rsidRPr="006E725C">
              <w:rPr>
                <w:iCs/>
                <w:color w:val="0D0D0D" w:themeColor="text1" w:themeTint="F2"/>
                <w:spacing w:val="-6"/>
                <w:lang w:val="en-GB"/>
              </w:rPr>
              <w:t>) a</w:t>
            </w:r>
            <w:r w:rsidR="00B53B66" w:rsidRPr="006E725C">
              <w:rPr>
                <w:iCs/>
                <w:color w:val="0D0D0D" w:themeColor="text1" w:themeTint="F2"/>
                <w:spacing w:val="-6"/>
                <w:lang w:val="en-GB"/>
              </w:rPr>
              <w:t xml:space="preserve">nd strengthened by 25.2 </w:t>
            </w:r>
            <w:proofErr w:type="spellStart"/>
            <w:r w:rsidR="00B53B66" w:rsidRPr="006E725C">
              <w:rPr>
                <w:iCs/>
                <w:color w:val="0D0D0D" w:themeColor="text1" w:themeTint="F2"/>
                <w:spacing w:val="-6"/>
                <w:lang w:val="en-GB"/>
              </w:rPr>
              <w:t>bn</w:t>
            </w:r>
            <w:proofErr w:type="spellEnd"/>
            <w:r w:rsidR="00B53B66" w:rsidRPr="006E725C">
              <w:rPr>
                <w:iCs/>
                <w:color w:val="0D0D0D" w:themeColor="text1" w:themeTint="F2"/>
                <w:spacing w:val="-6"/>
                <w:lang w:val="en-GB"/>
              </w:rPr>
              <w:t xml:space="preserve"> against year </w:t>
            </w:r>
            <w:r w:rsidRPr="006E725C">
              <w:rPr>
                <w:iCs/>
                <w:color w:val="0D0D0D" w:themeColor="text1" w:themeTint="F2"/>
                <w:spacing w:val="-6"/>
                <w:lang w:val="en-GB"/>
              </w:rPr>
              <w:t>2022.</w:t>
            </w:r>
          </w:p>
        </w:tc>
      </w:tr>
      <w:tr w:rsidR="0011055D" w:rsidRPr="006E725C" w14:paraId="354D0690" w14:textId="77777777" w:rsidTr="00C07C2F">
        <w:trPr>
          <w:trHeight w:val="170"/>
        </w:trPr>
        <w:tc>
          <w:tcPr>
            <w:tcW w:w="1792" w:type="dxa"/>
            <w:shd w:val="clear" w:color="auto" w:fill="auto"/>
            <w:tcMar>
              <w:left w:w="0" w:type="dxa"/>
            </w:tcMar>
          </w:tcPr>
          <w:p w14:paraId="2FAE1302" w14:textId="616A5C48" w:rsidR="0011055D" w:rsidRPr="006E725C" w:rsidRDefault="005D1A8A" w:rsidP="00C07C2F">
            <w:pPr>
              <w:pStyle w:val="Marginlie"/>
              <w:rPr>
                <w:lang w:val="en-GB"/>
              </w:rPr>
            </w:pPr>
            <w:r w:rsidRPr="006E725C">
              <w:rPr>
                <w:lang w:val="en-GB"/>
              </w:rPr>
              <w:t xml:space="preserve">Growth of total SB </w:t>
            </w:r>
            <w:r w:rsidR="008414EE" w:rsidRPr="006E725C">
              <w:rPr>
                <w:lang w:val="en-GB"/>
              </w:rPr>
              <w:t>outlays</w:t>
            </w:r>
            <w:r w:rsidRPr="006E725C">
              <w:rPr>
                <w:lang w:val="en-GB"/>
              </w:rPr>
              <w:t xml:space="preserve"> markedly accelerated</w:t>
            </w:r>
            <w:r w:rsidR="008414EE" w:rsidRPr="006E725C">
              <w:rPr>
                <w:lang w:val="en-GB"/>
              </w:rPr>
              <w:t xml:space="preserve"> against the preceding years, the year-on-year pace however slowed in H</w:t>
            </w:r>
            <w:r w:rsidR="0011055D" w:rsidRPr="006E725C">
              <w:rPr>
                <w:lang w:val="en-GB"/>
              </w:rPr>
              <w:t>2</w:t>
            </w:r>
            <w:r w:rsidR="008414EE" w:rsidRPr="006E725C">
              <w:rPr>
                <w:lang w:val="en-GB"/>
              </w:rPr>
              <w:t xml:space="preserve"> 2</w:t>
            </w:r>
            <w:r w:rsidR="0011055D" w:rsidRPr="006E725C">
              <w:rPr>
                <w:lang w:val="en-GB"/>
              </w:rPr>
              <w:t>023</w:t>
            </w:r>
            <w:r w:rsidR="008414EE" w:rsidRPr="006E725C">
              <w:rPr>
                <w:lang w:val="en-GB"/>
              </w:rPr>
              <w:t>.</w:t>
            </w:r>
            <w:r w:rsidR="0011055D" w:rsidRPr="006E725C">
              <w:rPr>
                <w:lang w:val="en-GB"/>
              </w:rPr>
              <w:t xml:space="preserve"> </w:t>
            </w:r>
          </w:p>
        </w:tc>
        <w:tc>
          <w:tcPr>
            <w:tcW w:w="203" w:type="dxa"/>
            <w:shd w:val="clear" w:color="auto" w:fill="auto"/>
            <w:tcMar>
              <w:left w:w="0" w:type="dxa"/>
            </w:tcMar>
          </w:tcPr>
          <w:p w14:paraId="441C06D2"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023E90FE" w14:textId="3ED2795A" w:rsidR="0011055D" w:rsidRPr="006E725C" w:rsidRDefault="008414EE" w:rsidP="00C07C2F">
            <w:pPr>
              <w:spacing w:after="220"/>
              <w:rPr>
                <w:color w:val="0D0D0D" w:themeColor="text1" w:themeTint="F2"/>
                <w:spacing w:val="-6"/>
                <w:lang w:val="en-GB"/>
              </w:rPr>
            </w:pPr>
            <w:r w:rsidRPr="006E725C">
              <w:rPr>
                <w:color w:val="0D0D0D" w:themeColor="text1" w:themeTint="F2"/>
                <w:spacing w:val="-6"/>
                <w:lang w:val="en-GB"/>
              </w:rPr>
              <w:t xml:space="preserve">Year-on-year growth of the total SB outlays hiked up to </w:t>
            </w:r>
            <w:r w:rsidR="0011055D" w:rsidRPr="006E725C">
              <w:rPr>
                <w:color w:val="0D0D0D" w:themeColor="text1" w:themeTint="F2"/>
                <w:spacing w:val="-6"/>
                <w:lang w:val="en-GB"/>
              </w:rPr>
              <w:t>11</w:t>
            </w:r>
            <w:r w:rsidRPr="006E725C">
              <w:rPr>
                <w:color w:val="0D0D0D" w:themeColor="text1" w:themeTint="F2"/>
                <w:spacing w:val="-6"/>
                <w:lang w:val="en-GB"/>
              </w:rPr>
              <w:t>.</w:t>
            </w:r>
            <w:r w:rsidR="0011055D" w:rsidRPr="006E725C">
              <w:rPr>
                <w:color w:val="0D0D0D" w:themeColor="text1" w:themeTint="F2"/>
                <w:spacing w:val="-6"/>
                <w:lang w:val="en-GB"/>
              </w:rPr>
              <w:t>0% a</w:t>
            </w:r>
            <w:r w:rsidRPr="006E725C">
              <w:rPr>
                <w:color w:val="0D0D0D" w:themeColor="text1" w:themeTint="F2"/>
                <w:spacing w:val="-6"/>
                <w:lang w:val="en-GB"/>
              </w:rPr>
              <w:t xml:space="preserve">nd markedly accelerated against years </w:t>
            </w:r>
            <w:r w:rsidR="0011055D" w:rsidRPr="006E725C">
              <w:rPr>
                <w:color w:val="0D0D0D" w:themeColor="text1" w:themeTint="F2"/>
                <w:spacing w:val="-6"/>
                <w:lang w:val="en-GB"/>
              </w:rPr>
              <w:t>2021 a</w:t>
            </w:r>
            <w:r w:rsidRPr="006E725C">
              <w:rPr>
                <w:color w:val="0D0D0D" w:themeColor="text1" w:themeTint="F2"/>
                <w:spacing w:val="-6"/>
                <w:lang w:val="en-GB"/>
              </w:rPr>
              <w:t>nd</w:t>
            </w:r>
            <w:r w:rsidR="0011055D" w:rsidRPr="006E725C">
              <w:rPr>
                <w:color w:val="0D0D0D" w:themeColor="text1" w:themeTint="F2"/>
                <w:spacing w:val="-6"/>
                <w:lang w:val="en-GB"/>
              </w:rPr>
              <w:t xml:space="preserve"> 2022. </w:t>
            </w:r>
            <w:r w:rsidRPr="006E725C">
              <w:rPr>
                <w:color w:val="0D0D0D" w:themeColor="text1" w:themeTint="F2"/>
                <w:spacing w:val="-6"/>
                <w:lang w:val="en-GB"/>
              </w:rPr>
              <w:t xml:space="preserve">Due to the slower pension adjustment as well as lower need to aid both businesses and households </w:t>
            </w:r>
            <w:r w:rsidR="0011055D" w:rsidRPr="006E725C">
              <w:rPr>
                <w:color w:val="0D0D0D" w:themeColor="text1" w:themeTint="F2"/>
                <w:spacing w:val="-6"/>
                <w:lang w:val="en-GB"/>
              </w:rPr>
              <w:t>(</w:t>
            </w:r>
            <w:r w:rsidRPr="006E725C">
              <w:rPr>
                <w:color w:val="0D0D0D" w:themeColor="text1" w:themeTint="F2"/>
                <w:spacing w:val="-6"/>
                <w:lang w:val="en-GB"/>
              </w:rPr>
              <w:t>enabled by the favourable development of prices of energies on the world markets</w:t>
            </w:r>
            <w:r w:rsidR="0011055D" w:rsidRPr="006E725C">
              <w:rPr>
                <w:color w:val="0D0D0D" w:themeColor="text1" w:themeTint="F2"/>
                <w:spacing w:val="-6"/>
                <w:lang w:val="en-GB"/>
              </w:rPr>
              <w:t>)</w:t>
            </w:r>
            <w:r w:rsidRPr="006E725C">
              <w:rPr>
                <w:color w:val="0D0D0D" w:themeColor="text1" w:themeTint="F2"/>
                <w:spacing w:val="-6"/>
                <w:lang w:val="en-GB"/>
              </w:rPr>
              <w:t>, the rate of growth of total SB outlays weakened in H</w:t>
            </w:r>
            <w:r w:rsidR="0011055D" w:rsidRPr="006E725C">
              <w:rPr>
                <w:color w:val="0D0D0D" w:themeColor="text1" w:themeTint="F2"/>
                <w:spacing w:val="-6"/>
                <w:lang w:val="en-GB"/>
              </w:rPr>
              <w:t>2</w:t>
            </w:r>
            <w:r w:rsidRPr="006E725C">
              <w:rPr>
                <w:color w:val="0D0D0D" w:themeColor="text1" w:themeTint="F2"/>
                <w:spacing w:val="-6"/>
                <w:lang w:val="en-GB"/>
              </w:rPr>
              <w:t xml:space="preserve"> 2</w:t>
            </w:r>
            <w:r w:rsidR="0011055D" w:rsidRPr="006E725C">
              <w:rPr>
                <w:color w:val="0D0D0D" w:themeColor="text1" w:themeTint="F2"/>
                <w:spacing w:val="-6"/>
                <w:lang w:val="en-GB"/>
              </w:rPr>
              <w:t>023</w:t>
            </w:r>
            <w:r w:rsidRPr="006E725C">
              <w:rPr>
                <w:color w:val="0D0D0D" w:themeColor="text1" w:themeTint="F2"/>
                <w:spacing w:val="-6"/>
                <w:lang w:val="en-GB"/>
              </w:rPr>
              <w:t xml:space="preserve"> and their annual amount was thus slightly lower compared to the planned budget </w:t>
            </w:r>
            <w:r w:rsidR="0011055D" w:rsidRPr="006E725C">
              <w:rPr>
                <w:color w:val="0D0D0D" w:themeColor="text1" w:themeTint="F2"/>
                <w:spacing w:val="-6"/>
                <w:lang w:val="en-GB"/>
              </w:rPr>
              <w:t>(</w:t>
            </w:r>
            <w:r w:rsidRPr="006E725C">
              <w:rPr>
                <w:color w:val="0D0D0D" w:themeColor="text1" w:themeTint="F2"/>
                <w:spacing w:val="-6"/>
                <w:lang w:val="en-GB"/>
              </w:rPr>
              <w:t xml:space="preserve">by </w:t>
            </w:r>
            <w:r w:rsidR="0011055D" w:rsidRPr="006E725C">
              <w:rPr>
                <w:color w:val="0D0D0D" w:themeColor="text1" w:themeTint="F2"/>
                <w:spacing w:val="-6"/>
                <w:lang w:val="en-GB"/>
              </w:rPr>
              <w:t>2</w:t>
            </w:r>
            <w:r w:rsidRPr="006E725C">
              <w:rPr>
                <w:color w:val="0D0D0D" w:themeColor="text1" w:themeTint="F2"/>
                <w:spacing w:val="-6"/>
                <w:lang w:val="en-GB"/>
              </w:rPr>
              <w:t>.</w:t>
            </w:r>
            <w:r w:rsidR="0011055D" w:rsidRPr="006E725C">
              <w:rPr>
                <w:color w:val="0D0D0D" w:themeColor="text1" w:themeTint="F2"/>
                <w:spacing w:val="-6"/>
                <w:lang w:val="en-GB"/>
              </w:rPr>
              <w:t>2%,</w:t>
            </w:r>
            <w:r w:rsidR="002F2D8A" w:rsidRPr="006E725C">
              <w:rPr>
                <w:color w:val="0D0D0D" w:themeColor="text1" w:themeTint="F2"/>
                <w:spacing w:val="-6"/>
                <w:lang w:val="en-GB"/>
              </w:rPr>
              <w:t xml:space="preserve"> i.e. </w:t>
            </w:r>
            <w:r w:rsidR="00E82AB6" w:rsidRPr="006E725C">
              <w:rPr>
                <w:color w:val="0D0D0D" w:themeColor="text1" w:themeTint="F2"/>
                <w:spacing w:val="-6"/>
                <w:lang w:val="en-GB"/>
              </w:rPr>
              <w:t>48</w:t>
            </w:r>
            <w:r w:rsidRPr="006E725C">
              <w:rPr>
                <w:color w:val="0D0D0D" w:themeColor="text1" w:themeTint="F2"/>
                <w:spacing w:val="-6"/>
                <w:lang w:val="en-GB"/>
              </w:rPr>
              <w:t>.</w:t>
            </w:r>
            <w:r w:rsidR="00E82AB6" w:rsidRPr="006E725C">
              <w:rPr>
                <w:color w:val="0D0D0D" w:themeColor="text1" w:themeTint="F2"/>
                <w:spacing w:val="-6"/>
                <w:lang w:val="en-GB"/>
              </w:rPr>
              <w:t>5</w:t>
            </w:r>
            <w:r w:rsidRPr="006E725C">
              <w:rPr>
                <w:color w:val="0D0D0D" w:themeColor="text1" w:themeTint="F2"/>
                <w:spacing w:val="-6"/>
                <w:lang w:val="en-GB"/>
              </w:rPr>
              <w:t xml:space="preserve"> </w:t>
            </w:r>
            <w:r w:rsidR="009C0832">
              <w:rPr>
                <w:color w:val="0D0D0D" w:themeColor="text1" w:themeTint="F2"/>
                <w:spacing w:val="-6"/>
                <w:lang w:val="en-GB"/>
              </w:rPr>
              <w:t xml:space="preserve">CZK </w:t>
            </w:r>
            <w:proofErr w:type="spellStart"/>
            <w:r w:rsidR="009C0832">
              <w:rPr>
                <w:color w:val="0D0D0D" w:themeColor="text1" w:themeTint="F2"/>
                <w:spacing w:val="-6"/>
                <w:lang w:val="en-GB"/>
              </w:rPr>
              <w:t>bn</w:t>
            </w:r>
            <w:proofErr w:type="spellEnd"/>
            <w:r w:rsidR="00E82AB6" w:rsidRPr="006E725C">
              <w:rPr>
                <w:color w:val="0D0D0D" w:themeColor="text1" w:themeTint="F2"/>
                <w:spacing w:val="-6"/>
                <w:lang w:val="en-GB"/>
              </w:rPr>
              <w:t xml:space="preserve">). </w:t>
            </w:r>
            <w:r w:rsidR="006B7EA8" w:rsidRPr="006E725C">
              <w:rPr>
                <w:color w:val="0D0D0D" w:themeColor="text1" w:themeTint="F2"/>
                <w:spacing w:val="-6"/>
                <w:lang w:val="en-GB"/>
              </w:rPr>
              <w:t xml:space="preserve">Strong last year’s  growth of outlays reflected both the assistance of state related to the high prices of energies </w:t>
            </w:r>
            <w:r w:rsidR="0011055D" w:rsidRPr="006E725C">
              <w:rPr>
                <w:spacing w:val="-6"/>
                <w:lang w:val="en-GB"/>
              </w:rPr>
              <w:t>(</w:t>
            </w:r>
            <w:r w:rsidR="006B7EA8" w:rsidRPr="006E725C">
              <w:rPr>
                <w:spacing w:val="-6"/>
                <w:lang w:val="en-GB"/>
              </w:rPr>
              <w:t>inadequately compensated by the extraordinary revenues from the selected sectors of the economy</w:t>
            </w:r>
            <w:r w:rsidR="0011055D" w:rsidRPr="006E725C">
              <w:rPr>
                <w:spacing w:val="-6"/>
                <w:lang w:val="en-GB"/>
              </w:rPr>
              <w:t>)</w:t>
            </w:r>
            <w:r w:rsidR="006B7EA8" w:rsidRPr="006E725C">
              <w:rPr>
                <w:spacing w:val="-6"/>
                <w:lang w:val="en-GB"/>
              </w:rPr>
              <w:t xml:space="preserve"> and the impacts of the gradually subsiding </w:t>
            </w:r>
            <w:r w:rsidR="006B7EA8" w:rsidRPr="006E725C">
              <w:rPr>
                <w:spacing w:val="-6"/>
                <w:lang w:val="en-GB"/>
              </w:rPr>
              <w:lastRenderedPageBreak/>
              <w:t xml:space="preserve">high inflation </w:t>
            </w:r>
            <w:r w:rsidR="0011055D" w:rsidRPr="006E725C">
              <w:rPr>
                <w:spacing w:val="-6"/>
                <w:lang w:val="en-GB"/>
              </w:rPr>
              <w:t>(</w:t>
            </w:r>
            <w:r w:rsidR="006B7EA8" w:rsidRPr="006E725C">
              <w:rPr>
                <w:spacing w:val="-6"/>
                <w:lang w:val="en-GB"/>
              </w:rPr>
              <w:t>pension adjustment, higher volume of paid out social benefits, growing repayments of the state debt</w:t>
            </w:r>
            <w:r w:rsidR="0011055D" w:rsidRPr="006E725C">
              <w:rPr>
                <w:spacing w:val="-6"/>
                <w:lang w:val="en-GB"/>
              </w:rPr>
              <w:t>)</w:t>
            </w:r>
            <w:r w:rsidR="006B7EA8" w:rsidRPr="006E725C">
              <w:rPr>
                <w:spacing w:val="-6"/>
                <w:lang w:val="en-GB"/>
              </w:rPr>
              <w:t xml:space="preserve"> or higher expenditures in the direct consequence of the was in Ukraine </w:t>
            </w:r>
            <w:r w:rsidR="0011055D" w:rsidRPr="006E725C">
              <w:rPr>
                <w:spacing w:val="-6"/>
                <w:lang w:val="en-GB"/>
              </w:rPr>
              <w:t>(humanit</w:t>
            </w:r>
            <w:r w:rsidR="006B7EA8" w:rsidRPr="006E725C">
              <w:rPr>
                <w:spacing w:val="-6"/>
                <w:lang w:val="en-GB"/>
              </w:rPr>
              <w:t>arian aid, expenditures on defence and security</w:t>
            </w:r>
            <w:r w:rsidR="0011055D" w:rsidRPr="006E725C">
              <w:rPr>
                <w:spacing w:val="-6"/>
                <w:lang w:val="en-GB"/>
              </w:rPr>
              <w:t xml:space="preserve">). </w:t>
            </w:r>
            <w:r w:rsidR="00B43B6C" w:rsidRPr="006E725C">
              <w:rPr>
                <w:spacing w:val="-6"/>
                <w:lang w:val="en-GB"/>
              </w:rPr>
              <w:t xml:space="preserve">Even though mainly current expenditures </w:t>
            </w:r>
            <w:r w:rsidR="0011055D" w:rsidRPr="006E725C">
              <w:rPr>
                <w:spacing w:val="-6"/>
                <w:lang w:val="en-GB"/>
              </w:rPr>
              <w:t>(+192</w:t>
            </w:r>
            <w:r w:rsidR="00B43B6C" w:rsidRPr="006E725C">
              <w:rPr>
                <w:spacing w:val="-6"/>
                <w:lang w:val="en-GB"/>
              </w:rPr>
              <w:t>.</w:t>
            </w:r>
            <w:r w:rsidR="0011055D" w:rsidRPr="006E725C">
              <w:rPr>
                <w:spacing w:val="-6"/>
                <w:lang w:val="en-GB"/>
              </w:rPr>
              <w:t>4</w:t>
            </w:r>
            <w:r w:rsidR="00B43B6C" w:rsidRPr="006E725C">
              <w:rPr>
                <w:spacing w:val="-6"/>
                <w:lang w:val="en-GB"/>
              </w:rPr>
              <w:t xml:space="preserve"> </w:t>
            </w:r>
            <w:r w:rsidR="009C0832">
              <w:rPr>
                <w:spacing w:val="-6"/>
                <w:lang w:val="en-GB"/>
              </w:rPr>
              <w:t xml:space="preserve">CZK </w:t>
            </w:r>
            <w:proofErr w:type="spellStart"/>
            <w:r w:rsidR="009C0832">
              <w:rPr>
                <w:spacing w:val="-6"/>
                <w:lang w:val="en-GB"/>
              </w:rPr>
              <w:t>bn</w:t>
            </w:r>
            <w:proofErr w:type="spellEnd"/>
            <w:r w:rsidR="0011055D" w:rsidRPr="006E725C">
              <w:rPr>
                <w:spacing w:val="-6"/>
                <w:lang w:val="en-GB"/>
              </w:rPr>
              <w:t>)</w:t>
            </w:r>
            <w:r w:rsidR="00B43B6C" w:rsidRPr="006E725C">
              <w:rPr>
                <w:spacing w:val="-6"/>
                <w:lang w:val="en-GB"/>
              </w:rPr>
              <w:t xml:space="preserve"> traditionally contributed to the fiscal expansion last year</w:t>
            </w:r>
            <w:r w:rsidR="0011055D" w:rsidRPr="006E725C">
              <w:rPr>
                <w:spacing w:val="-6"/>
                <w:lang w:val="en-GB"/>
              </w:rPr>
              <w:t xml:space="preserve">, </w:t>
            </w:r>
            <w:r w:rsidR="00AE5672" w:rsidRPr="006E725C">
              <w:rPr>
                <w:spacing w:val="-6"/>
                <w:lang w:val="en-GB"/>
              </w:rPr>
              <w:t xml:space="preserve">higher investment (+25.4 </w:t>
            </w:r>
            <w:proofErr w:type="spellStart"/>
            <w:r w:rsidR="00AE5672" w:rsidRPr="006E725C">
              <w:rPr>
                <w:spacing w:val="-6"/>
                <w:lang w:val="en-GB"/>
              </w:rPr>
              <w:t>bn</w:t>
            </w:r>
            <w:proofErr w:type="spellEnd"/>
            <w:r w:rsidR="00AE5672" w:rsidRPr="006E725C">
              <w:rPr>
                <w:spacing w:val="-6"/>
                <w:lang w:val="en-GB"/>
              </w:rPr>
              <w:t xml:space="preserve">) also played an important role similarly to the preceding years. </w:t>
            </w:r>
            <w:r w:rsidR="0011055D" w:rsidRPr="006E725C">
              <w:rPr>
                <w:spacing w:val="-6"/>
                <w:lang w:val="en-GB"/>
              </w:rPr>
              <w:t xml:space="preserve"> </w:t>
            </w:r>
          </w:p>
        </w:tc>
      </w:tr>
      <w:tr w:rsidR="0011055D" w:rsidRPr="006E725C" w14:paraId="2F1099F1" w14:textId="77777777" w:rsidTr="00C07C2F">
        <w:trPr>
          <w:trHeight w:val="170"/>
        </w:trPr>
        <w:tc>
          <w:tcPr>
            <w:tcW w:w="1792" w:type="dxa"/>
            <w:shd w:val="clear" w:color="auto" w:fill="auto"/>
            <w:tcMar>
              <w:left w:w="0" w:type="dxa"/>
            </w:tcMar>
          </w:tcPr>
          <w:p w14:paraId="6701952F" w14:textId="495D8BE9" w:rsidR="0011055D" w:rsidRPr="006E725C" w:rsidRDefault="00DC0B4A" w:rsidP="00DC0B4A">
            <w:pPr>
              <w:pStyle w:val="Marginlie"/>
              <w:rPr>
                <w:lang w:val="en-GB"/>
              </w:rPr>
            </w:pPr>
            <w:r w:rsidRPr="006E725C">
              <w:rPr>
                <w:lang w:val="en-GB"/>
              </w:rPr>
              <w:lastRenderedPageBreak/>
              <w:t xml:space="preserve">Despite amendment of adjustment, expenditures on pensions contributed the most to the fiscal expansion last year. Pension insurance balance deepened to record </w:t>
            </w:r>
            <w:r w:rsidR="0011055D" w:rsidRPr="006E725C">
              <w:rPr>
                <w:lang w:val="en-GB"/>
              </w:rPr>
              <w:t>73</w:t>
            </w:r>
            <w:r w:rsidRPr="006E725C">
              <w:rPr>
                <w:lang w:val="en-GB"/>
              </w:rPr>
              <w:t xml:space="preserve"> </w:t>
            </w:r>
            <w:r w:rsidR="009C0832">
              <w:rPr>
                <w:lang w:val="en-GB"/>
              </w:rPr>
              <w:t>CZK bn</w:t>
            </w:r>
            <w:r w:rsidR="0011055D" w:rsidRPr="006E725C">
              <w:rPr>
                <w:lang w:val="en-GB"/>
              </w:rPr>
              <w:t xml:space="preserve">. </w:t>
            </w:r>
          </w:p>
        </w:tc>
        <w:tc>
          <w:tcPr>
            <w:tcW w:w="203" w:type="dxa"/>
            <w:shd w:val="clear" w:color="auto" w:fill="auto"/>
            <w:tcMar>
              <w:left w:w="0" w:type="dxa"/>
            </w:tcMar>
          </w:tcPr>
          <w:p w14:paraId="42C518DF"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1E57F2F6" w14:textId="05F27912" w:rsidR="0011055D" w:rsidRPr="006E725C" w:rsidRDefault="003F54B4" w:rsidP="00C07C2F">
            <w:pPr>
              <w:spacing w:after="220"/>
              <w:rPr>
                <w:color w:val="0D0D0D" w:themeColor="text1" w:themeTint="F2"/>
                <w:spacing w:val="-6"/>
                <w:lang w:val="en-GB"/>
              </w:rPr>
            </w:pPr>
            <w:r w:rsidRPr="006E725C">
              <w:rPr>
                <w:color w:val="0D0D0D" w:themeColor="text1" w:themeTint="F2"/>
                <w:spacing w:val="-6"/>
                <w:lang w:val="en-GB"/>
              </w:rPr>
              <w:t xml:space="preserve">Social benefits essentially spoke into the last year’s year-on-year growth of the current expenditures </w:t>
            </w:r>
            <w:r w:rsidR="0011055D" w:rsidRPr="006E725C">
              <w:rPr>
                <w:color w:val="0D0D0D" w:themeColor="text1" w:themeTint="F2"/>
                <w:spacing w:val="-6"/>
                <w:lang w:val="en-GB"/>
              </w:rPr>
              <w:t xml:space="preserve">(+100 </w:t>
            </w:r>
            <w:r w:rsidR="009C0832">
              <w:rPr>
                <w:color w:val="0D0D0D" w:themeColor="text1" w:themeTint="F2"/>
                <w:spacing w:val="-6"/>
                <w:lang w:val="en-GB"/>
              </w:rPr>
              <w:t xml:space="preserve">CZK </w:t>
            </w:r>
            <w:proofErr w:type="spellStart"/>
            <w:r w:rsidR="009C0832">
              <w:rPr>
                <w:color w:val="0D0D0D" w:themeColor="text1" w:themeTint="F2"/>
                <w:spacing w:val="-6"/>
                <w:lang w:val="en-GB"/>
              </w:rPr>
              <w:t>bn</w:t>
            </w:r>
            <w:proofErr w:type="spellEnd"/>
            <w:r w:rsidR="0011055D" w:rsidRPr="006E725C">
              <w:rPr>
                <w:color w:val="0D0D0D" w:themeColor="text1" w:themeTint="F2"/>
                <w:spacing w:val="-6"/>
                <w:lang w:val="en-GB"/>
              </w:rPr>
              <w:t>).</w:t>
            </w:r>
            <w:r w:rsidR="00C85127" w:rsidRPr="006E725C">
              <w:rPr>
                <w:color w:val="0D0D0D" w:themeColor="text1" w:themeTint="F2"/>
                <w:spacing w:val="-6"/>
                <w:lang w:val="en-GB"/>
              </w:rPr>
              <w:t xml:space="preserve"> Their proportion on all SB outlays was the highest in the last five years </w:t>
            </w:r>
            <w:r w:rsidR="0011055D" w:rsidRPr="006E725C">
              <w:rPr>
                <w:spacing w:val="-6"/>
                <w:lang w:val="en-GB"/>
              </w:rPr>
              <w:t>(39</w:t>
            </w:r>
            <w:r w:rsidR="00C85127" w:rsidRPr="006E725C">
              <w:rPr>
                <w:spacing w:val="-6"/>
                <w:lang w:val="en-GB"/>
              </w:rPr>
              <w:t>.</w:t>
            </w:r>
            <w:r w:rsidR="0011055D" w:rsidRPr="006E725C">
              <w:rPr>
                <w:spacing w:val="-6"/>
                <w:lang w:val="en-GB"/>
              </w:rPr>
              <w:t>4%).</w:t>
            </w:r>
            <w:r w:rsidR="00C85127" w:rsidRPr="006E725C">
              <w:rPr>
                <w:spacing w:val="-6"/>
                <w:lang w:val="en-GB"/>
              </w:rPr>
              <w:t xml:space="preserve"> Nearly all growth of social benefits was covered by expenditures on pensions, which reached </w:t>
            </w:r>
            <w:r w:rsidR="0011055D" w:rsidRPr="006E725C">
              <w:rPr>
                <w:spacing w:val="-6"/>
                <w:lang w:val="en-GB"/>
              </w:rPr>
              <w:t>685</w:t>
            </w:r>
            <w:r w:rsidR="00C85127" w:rsidRPr="006E725C">
              <w:rPr>
                <w:spacing w:val="-6"/>
                <w:lang w:val="en-GB"/>
              </w:rPr>
              <w:t>.</w:t>
            </w:r>
            <w:r w:rsidR="0011055D" w:rsidRPr="006E725C">
              <w:rPr>
                <w:spacing w:val="-6"/>
                <w:lang w:val="en-GB"/>
              </w:rPr>
              <w:t>2</w:t>
            </w:r>
            <w:r w:rsidR="00C85127" w:rsidRPr="006E725C">
              <w:rPr>
                <w:spacing w:val="-6"/>
                <w:lang w:val="en-GB"/>
              </w:rPr>
              <w:t xml:space="preserve"> </w:t>
            </w:r>
            <w:r w:rsidR="009C0832">
              <w:rPr>
                <w:spacing w:val="-6"/>
                <w:lang w:val="en-GB"/>
              </w:rPr>
              <w:t xml:space="preserve">CZK </w:t>
            </w:r>
            <w:proofErr w:type="spellStart"/>
            <w:r w:rsidR="009C0832">
              <w:rPr>
                <w:spacing w:val="-6"/>
                <w:lang w:val="en-GB"/>
              </w:rPr>
              <w:t>bn</w:t>
            </w:r>
            <w:proofErr w:type="spellEnd"/>
            <w:r w:rsidR="00C85127" w:rsidRPr="006E725C">
              <w:rPr>
                <w:spacing w:val="-6"/>
                <w:lang w:val="en-GB"/>
              </w:rPr>
              <w:t xml:space="preserve"> </w:t>
            </w:r>
            <w:r w:rsidR="0011055D" w:rsidRPr="006E725C">
              <w:rPr>
                <w:spacing w:val="-6"/>
                <w:lang w:val="en-GB"/>
              </w:rPr>
              <w:t>(+16</w:t>
            </w:r>
            <w:r w:rsidR="00C85127" w:rsidRPr="006E725C">
              <w:rPr>
                <w:spacing w:val="-6"/>
                <w:lang w:val="en-GB"/>
              </w:rPr>
              <w:t>.</w:t>
            </w:r>
            <w:r w:rsidR="0011055D" w:rsidRPr="006E725C">
              <w:rPr>
                <w:spacing w:val="-6"/>
                <w:lang w:val="en-GB"/>
              </w:rPr>
              <w:t xml:space="preserve">5%). </w:t>
            </w:r>
            <w:r w:rsidR="00C85127" w:rsidRPr="006E725C">
              <w:rPr>
                <w:spacing w:val="-6"/>
                <w:lang w:val="en-GB"/>
              </w:rPr>
              <w:t xml:space="preserve">Their drawing was, similarly to year </w:t>
            </w:r>
            <w:r w:rsidR="0011055D" w:rsidRPr="006E725C">
              <w:rPr>
                <w:spacing w:val="-6"/>
                <w:lang w:val="en-GB"/>
              </w:rPr>
              <w:t>2022,</w:t>
            </w:r>
            <w:r w:rsidR="00C85127" w:rsidRPr="006E725C">
              <w:rPr>
                <w:spacing w:val="-6"/>
                <w:lang w:val="en-GB"/>
              </w:rPr>
              <w:t xml:space="preserve"> fundamentally affected both due January adjustment and extraordinary increase during the year</w:t>
            </w:r>
            <w:r w:rsidR="0011055D" w:rsidRPr="006E725C">
              <w:rPr>
                <w:rStyle w:val="Znakapoznpodarou"/>
                <w:spacing w:val="-6"/>
                <w:lang w:val="en-GB"/>
              </w:rPr>
              <w:footnoteReference w:id="118"/>
            </w:r>
            <w:r w:rsidR="0011055D" w:rsidRPr="006E725C">
              <w:rPr>
                <w:spacing w:val="-6"/>
                <w:lang w:val="en-GB"/>
              </w:rPr>
              <w:t xml:space="preserve">. </w:t>
            </w:r>
            <w:r w:rsidR="00404D5C" w:rsidRPr="006E725C">
              <w:rPr>
                <w:spacing w:val="-6"/>
                <w:lang w:val="en-GB"/>
              </w:rPr>
              <w:t>As a result of considerably higher interest in early pensions</w:t>
            </w:r>
            <w:r w:rsidR="0011055D" w:rsidRPr="006E725C">
              <w:rPr>
                <w:rStyle w:val="Znakapoznpodarou"/>
                <w:color w:val="0D0D0D" w:themeColor="text1" w:themeTint="F2"/>
                <w:spacing w:val="-6"/>
                <w:lang w:val="en-GB"/>
              </w:rPr>
              <w:footnoteReference w:id="119"/>
            </w:r>
            <w:r w:rsidR="00404D5C" w:rsidRPr="006E725C">
              <w:rPr>
                <w:spacing w:val="-6"/>
                <w:lang w:val="en-GB"/>
              </w:rPr>
              <w:t xml:space="preserve">, the more than three years lasting decrease of the number of persons, who are recipients of some of the pensions halted. </w:t>
            </w:r>
            <w:r w:rsidR="00321ED1" w:rsidRPr="006E725C">
              <w:rPr>
                <w:spacing w:val="-6"/>
                <w:lang w:val="en-GB"/>
              </w:rPr>
              <w:t xml:space="preserve">Even though still good condition of the domestic labour market supported brisk </w:t>
            </w:r>
            <w:r w:rsidR="00404D5C" w:rsidRPr="006E725C">
              <w:rPr>
                <w:spacing w:val="-6"/>
                <w:lang w:val="en-GB"/>
              </w:rPr>
              <w:t>growth</w:t>
            </w:r>
            <w:r w:rsidR="00321ED1" w:rsidRPr="006E725C">
              <w:rPr>
                <w:spacing w:val="-6"/>
                <w:lang w:val="en-GB"/>
              </w:rPr>
              <w:t xml:space="preserve"> of pension insurance revenues, its year-on-year pace was not even one half compared to expenditures </w:t>
            </w:r>
            <w:r w:rsidR="00D92FFF" w:rsidRPr="006E725C">
              <w:rPr>
                <w:spacing w:val="-6"/>
                <w:lang w:val="en-GB"/>
              </w:rPr>
              <w:t>on pensions last year. Balance of the pension insurance system</w:t>
            </w:r>
            <w:r w:rsidR="0011055D" w:rsidRPr="006E725C">
              <w:rPr>
                <w:rStyle w:val="Znakapoznpodarou"/>
                <w:color w:val="0D0D0D" w:themeColor="text1" w:themeTint="F2"/>
                <w:spacing w:val="-6"/>
                <w:lang w:val="en-GB"/>
              </w:rPr>
              <w:footnoteReference w:id="120"/>
            </w:r>
            <w:r w:rsidR="00D92FFF" w:rsidRPr="006E725C">
              <w:rPr>
                <w:spacing w:val="-6"/>
                <w:lang w:val="en-GB"/>
              </w:rPr>
              <w:t xml:space="preserve"> thus dived into a record deficit last year </w:t>
            </w:r>
            <w:r w:rsidR="0011055D" w:rsidRPr="006E725C">
              <w:rPr>
                <w:rFonts w:cs="Arial"/>
                <w:color w:val="0D0D0D" w:themeColor="text1" w:themeTint="F2"/>
                <w:spacing w:val="-6"/>
                <w:lang w:val="en-GB"/>
              </w:rPr>
              <w:t>(72</w:t>
            </w:r>
            <w:r w:rsidR="00D92FFF" w:rsidRPr="006E725C">
              <w:rPr>
                <w:rFonts w:cs="Arial"/>
                <w:color w:val="0D0D0D" w:themeColor="text1" w:themeTint="F2"/>
                <w:spacing w:val="-6"/>
                <w:lang w:val="en-GB"/>
              </w:rPr>
              <w:t>.</w:t>
            </w:r>
            <w:r w:rsidR="0011055D" w:rsidRPr="006E725C">
              <w:rPr>
                <w:rFonts w:cs="Arial"/>
                <w:color w:val="0D0D0D" w:themeColor="text1" w:themeTint="F2"/>
                <w:spacing w:val="-6"/>
                <w:lang w:val="en-GB"/>
              </w:rPr>
              <w:t>8</w:t>
            </w:r>
            <w:r w:rsidR="00D92FFF" w:rsidRPr="006E725C">
              <w:rPr>
                <w:rFonts w:cs="Arial"/>
                <w:color w:val="0D0D0D" w:themeColor="text1" w:themeTint="F2"/>
                <w:spacing w:val="-6"/>
                <w:lang w:val="en-GB"/>
              </w:rPr>
              <w:t xml:space="preserve"> </w:t>
            </w:r>
            <w:r w:rsidR="009C0832">
              <w:rPr>
                <w:rFonts w:cs="Arial"/>
                <w:color w:val="0D0D0D" w:themeColor="text1" w:themeTint="F2"/>
                <w:spacing w:val="-6"/>
                <w:lang w:val="en-GB"/>
              </w:rPr>
              <w:t xml:space="preserve">CZK </w:t>
            </w:r>
            <w:proofErr w:type="spellStart"/>
            <w:r w:rsidR="009C0832">
              <w:rPr>
                <w:rFonts w:cs="Arial"/>
                <w:color w:val="0D0D0D" w:themeColor="text1" w:themeTint="F2"/>
                <w:spacing w:val="-6"/>
                <w:lang w:val="en-GB"/>
              </w:rPr>
              <w:t>bn</w:t>
            </w:r>
            <w:proofErr w:type="spellEnd"/>
            <w:r w:rsidR="0011055D" w:rsidRPr="006E725C">
              <w:rPr>
                <w:rFonts w:cs="Arial"/>
                <w:color w:val="0D0D0D" w:themeColor="text1" w:themeTint="F2"/>
                <w:spacing w:val="-6"/>
                <w:lang w:val="en-GB"/>
              </w:rPr>
              <w:t>)</w:t>
            </w:r>
            <w:r w:rsidR="00D92FFF" w:rsidRPr="006E725C">
              <w:rPr>
                <w:rFonts w:cs="Arial"/>
                <w:color w:val="0D0D0D" w:themeColor="text1" w:themeTint="F2"/>
                <w:spacing w:val="-6"/>
                <w:lang w:val="en-GB"/>
              </w:rPr>
              <w:t xml:space="preserve">, more than triple year-on-year. </w:t>
            </w:r>
          </w:p>
        </w:tc>
      </w:tr>
      <w:tr w:rsidR="0011055D" w:rsidRPr="006E725C" w14:paraId="17FF59B8" w14:textId="77777777" w:rsidTr="00C07C2F">
        <w:trPr>
          <w:trHeight w:val="170"/>
        </w:trPr>
        <w:tc>
          <w:tcPr>
            <w:tcW w:w="1792" w:type="dxa"/>
            <w:shd w:val="clear" w:color="auto" w:fill="auto"/>
            <w:tcMar>
              <w:left w:w="0" w:type="dxa"/>
            </w:tcMar>
          </w:tcPr>
          <w:p w14:paraId="2AEE6C79" w14:textId="2E3F971F" w:rsidR="0011055D" w:rsidRPr="006E725C" w:rsidRDefault="00DB2495" w:rsidP="00C07C2F">
            <w:pPr>
              <w:pStyle w:val="Marginlie"/>
              <w:rPr>
                <w:lang w:val="en-GB"/>
              </w:rPr>
            </w:pPr>
            <w:r w:rsidRPr="006E725C">
              <w:rPr>
                <w:lang w:val="en-GB"/>
              </w:rPr>
              <w:t>Growth</w:t>
            </w:r>
            <w:r w:rsidR="00D92FFF" w:rsidRPr="006E725C">
              <w:rPr>
                <w:lang w:val="en-GB"/>
              </w:rPr>
              <w:t xml:space="preserve"> of outlays on non-pension social benefits slowed down. </w:t>
            </w:r>
            <w:r w:rsidR="00B34CC8" w:rsidRPr="006E725C">
              <w:rPr>
                <w:lang w:val="en-GB"/>
              </w:rPr>
              <w:t xml:space="preserve">Expenditures on child allowances, </w:t>
            </w:r>
            <w:r w:rsidR="0011055D" w:rsidRPr="006E725C">
              <w:rPr>
                <w:lang w:val="en-GB"/>
              </w:rPr>
              <w:t>humanit</w:t>
            </w:r>
            <w:r w:rsidR="00C73F7B" w:rsidRPr="006E725C">
              <w:rPr>
                <w:lang w:val="en-GB"/>
              </w:rPr>
              <w:t>arian benefit for the refugees</w:t>
            </w:r>
            <w:r w:rsidR="0011055D" w:rsidRPr="006E725C">
              <w:rPr>
                <w:lang w:val="en-GB"/>
              </w:rPr>
              <w:t>,</w:t>
            </w:r>
            <w:r w:rsidR="00C73F7B" w:rsidRPr="006E725C">
              <w:rPr>
                <w:lang w:val="en-GB"/>
              </w:rPr>
              <w:t xml:space="preserve"> parental allowance </w:t>
            </w:r>
            <w:r w:rsidR="00B34CC8" w:rsidRPr="006E725C">
              <w:rPr>
                <w:lang w:val="en-GB"/>
              </w:rPr>
              <w:t>as well as sickness benefits decreased.</w:t>
            </w:r>
          </w:p>
          <w:p w14:paraId="17C42118" w14:textId="77777777" w:rsidR="0011055D" w:rsidRPr="006E725C" w:rsidRDefault="0011055D" w:rsidP="00C07C2F">
            <w:pPr>
              <w:pStyle w:val="Marginlie"/>
              <w:rPr>
                <w:lang w:val="en-GB"/>
              </w:rPr>
            </w:pPr>
          </w:p>
          <w:p w14:paraId="5A3665F7" w14:textId="77777777" w:rsidR="0011055D" w:rsidRPr="006E725C" w:rsidRDefault="0011055D" w:rsidP="00C07C2F">
            <w:pPr>
              <w:pStyle w:val="Marginlie"/>
              <w:rPr>
                <w:lang w:val="en-GB"/>
              </w:rPr>
            </w:pPr>
          </w:p>
          <w:p w14:paraId="73F2A32C" w14:textId="77777777" w:rsidR="0011055D" w:rsidRPr="006E725C" w:rsidRDefault="0011055D" w:rsidP="00C07C2F">
            <w:pPr>
              <w:pStyle w:val="Marginlie"/>
              <w:rPr>
                <w:lang w:val="en-GB"/>
              </w:rPr>
            </w:pPr>
          </w:p>
          <w:p w14:paraId="3E6AC526" w14:textId="77777777" w:rsidR="0011055D" w:rsidRPr="006E725C" w:rsidRDefault="0011055D" w:rsidP="00C07C2F">
            <w:pPr>
              <w:pStyle w:val="Marginlie"/>
              <w:rPr>
                <w:lang w:val="en-GB"/>
              </w:rPr>
            </w:pPr>
          </w:p>
          <w:p w14:paraId="211A0784" w14:textId="503FB241" w:rsidR="0011055D" w:rsidRPr="006E725C" w:rsidRDefault="00DB2495" w:rsidP="00C07C2F">
            <w:pPr>
              <w:pStyle w:val="Marginlie"/>
              <w:rPr>
                <w:lang w:val="en-GB"/>
              </w:rPr>
            </w:pPr>
            <w:r w:rsidRPr="006E725C">
              <w:rPr>
                <w:lang w:val="en-GB"/>
              </w:rPr>
              <w:t xml:space="preserve">Drawing of housing allowance dramatically increased. </w:t>
            </w:r>
          </w:p>
        </w:tc>
        <w:tc>
          <w:tcPr>
            <w:tcW w:w="203" w:type="dxa"/>
            <w:shd w:val="clear" w:color="auto" w:fill="auto"/>
            <w:tcMar>
              <w:left w:w="0" w:type="dxa"/>
            </w:tcMar>
          </w:tcPr>
          <w:p w14:paraId="7E9F1C14"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39053642" w14:textId="4E4D0193" w:rsidR="0011055D" w:rsidRPr="006E725C" w:rsidRDefault="00D92FFF" w:rsidP="00C07C2F">
            <w:pPr>
              <w:spacing w:after="220"/>
              <w:rPr>
                <w:color w:val="0D0D0D" w:themeColor="text1" w:themeTint="F2"/>
                <w:spacing w:val="-6"/>
                <w:lang w:val="en-GB"/>
              </w:rPr>
            </w:pPr>
            <w:r w:rsidRPr="006E725C">
              <w:rPr>
                <w:color w:val="0D0D0D" w:themeColor="text1" w:themeTint="F2"/>
                <w:spacing w:val="-6"/>
                <w:lang w:val="en-GB"/>
              </w:rPr>
              <w:t xml:space="preserve">Growth of expenditures on other social benefits, unlike the pension benefits, </w:t>
            </w:r>
            <w:r w:rsidR="00DB2495" w:rsidRPr="006E725C">
              <w:rPr>
                <w:color w:val="0D0D0D" w:themeColor="text1" w:themeTint="F2"/>
                <w:spacing w:val="-6"/>
                <w:lang w:val="en-GB"/>
              </w:rPr>
              <w:t xml:space="preserve">vigorously slowed down last year (+1.7%, to 182.9 </w:t>
            </w:r>
            <w:r w:rsidR="009C0832">
              <w:rPr>
                <w:color w:val="0D0D0D" w:themeColor="text1" w:themeTint="F2"/>
                <w:spacing w:val="-6"/>
                <w:lang w:val="en-GB"/>
              </w:rPr>
              <w:t xml:space="preserve">CZK </w:t>
            </w:r>
            <w:proofErr w:type="spellStart"/>
            <w:r w:rsidR="009C0832">
              <w:rPr>
                <w:color w:val="0D0D0D" w:themeColor="text1" w:themeTint="F2"/>
                <w:spacing w:val="-6"/>
                <w:lang w:val="en-GB"/>
              </w:rPr>
              <w:t>bn</w:t>
            </w:r>
            <w:proofErr w:type="spellEnd"/>
            <w:r w:rsidR="00DB2495" w:rsidRPr="006E725C">
              <w:rPr>
                <w:color w:val="0D0D0D" w:themeColor="text1" w:themeTint="F2"/>
                <w:spacing w:val="-6"/>
                <w:lang w:val="en-GB"/>
              </w:rPr>
              <w:t xml:space="preserve">) after the fast pace in year </w:t>
            </w:r>
            <w:r w:rsidR="0011055D" w:rsidRPr="006E725C">
              <w:rPr>
                <w:color w:val="0D0D0D" w:themeColor="text1" w:themeTint="F2"/>
                <w:spacing w:val="-6"/>
                <w:lang w:val="en-GB"/>
              </w:rPr>
              <w:t>2022 (+11</w:t>
            </w:r>
            <w:r w:rsidR="00DB2495" w:rsidRPr="006E725C">
              <w:rPr>
                <w:color w:val="0D0D0D" w:themeColor="text1" w:themeTint="F2"/>
                <w:spacing w:val="-6"/>
                <w:lang w:val="en-GB"/>
              </w:rPr>
              <w:t>.</w:t>
            </w:r>
            <w:r w:rsidR="0011055D" w:rsidRPr="006E725C">
              <w:rPr>
                <w:color w:val="0D0D0D" w:themeColor="text1" w:themeTint="F2"/>
                <w:spacing w:val="-6"/>
                <w:lang w:val="en-GB"/>
              </w:rPr>
              <w:t>2%)</w:t>
            </w:r>
            <w:r w:rsidR="00DB2495" w:rsidRPr="006E725C">
              <w:rPr>
                <w:color w:val="0D0D0D" w:themeColor="text1" w:themeTint="F2"/>
                <w:spacing w:val="-6"/>
                <w:lang w:val="en-GB"/>
              </w:rPr>
              <w:t xml:space="preserve">, even above the scope of the budget anticipation. </w:t>
            </w:r>
            <w:r w:rsidR="0011055D" w:rsidRPr="006E725C">
              <w:rPr>
                <w:color w:val="0D0D0D" w:themeColor="text1" w:themeTint="F2"/>
                <w:spacing w:val="-6"/>
                <w:lang w:val="en-GB"/>
              </w:rPr>
              <w:t xml:space="preserve"> </w:t>
            </w:r>
            <w:r w:rsidR="00B52673" w:rsidRPr="006E725C">
              <w:rPr>
                <w:color w:val="0D0D0D" w:themeColor="text1" w:themeTint="F2"/>
                <w:spacing w:val="-6"/>
                <w:lang w:val="en-GB"/>
              </w:rPr>
              <w:t xml:space="preserve">Decrease of the child allowance </w:t>
            </w:r>
            <w:r w:rsidR="0011055D" w:rsidRPr="006E725C">
              <w:rPr>
                <w:color w:val="0D0D0D" w:themeColor="text1" w:themeTint="F2"/>
                <w:spacing w:val="-6"/>
                <w:lang w:val="en-GB"/>
              </w:rPr>
              <w:t>(−4</w:t>
            </w:r>
            <w:r w:rsidR="00B52673" w:rsidRPr="006E725C">
              <w:rPr>
                <w:color w:val="0D0D0D" w:themeColor="text1" w:themeTint="F2"/>
                <w:spacing w:val="-6"/>
                <w:lang w:val="en-GB"/>
              </w:rPr>
              <w:t>.</w:t>
            </w:r>
            <w:r w:rsidR="0011055D" w:rsidRPr="006E725C">
              <w:rPr>
                <w:color w:val="0D0D0D" w:themeColor="text1" w:themeTint="F2"/>
                <w:spacing w:val="-6"/>
                <w:lang w:val="en-GB"/>
              </w:rPr>
              <w:t xml:space="preserve">8 </w:t>
            </w:r>
            <w:r w:rsidR="009C0832">
              <w:rPr>
                <w:color w:val="0D0D0D" w:themeColor="text1" w:themeTint="F2"/>
                <w:spacing w:val="-6"/>
                <w:lang w:val="en-GB"/>
              </w:rPr>
              <w:t xml:space="preserve">CZK </w:t>
            </w:r>
            <w:proofErr w:type="spellStart"/>
            <w:r w:rsidR="009C0832">
              <w:rPr>
                <w:color w:val="0D0D0D" w:themeColor="text1" w:themeTint="F2"/>
                <w:spacing w:val="-6"/>
                <w:lang w:val="en-GB"/>
              </w:rPr>
              <w:t>bn</w:t>
            </w:r>
            <w:proofErr w:type="spellEnd"/>
            <w:r w:rsidR="0011055D" w:rsidRPr="006E725C">
              <w:rPr>
                <w:color w:val="0D0D0D" w:themeColor="text1" w:themeTint="F2"/>
                <w:spacing w:val="-6"/>
                <w:lang w:val="en-GB"/>
              </w:rPr>
              <w:t>,</w:t>
            </w:r>
            <w:r w:rsidR="002F2D8A" w:rsidRPr="006E725C">
              <w:rPr>
                <w:color w:val="0D0D0D" w:themeColor="text1" w:themeTint="F2"/>
                <w:spacing w:val="-6"/>
                <w:lang w:val="en-GB"/>
              </w:rPr>
              <w:t xml:space="preserve"> i.e. </w:t>
            </w:r>
            <w:r w:rsidR="0011055D" w:rsidRPr="006E725C">
              <w:rPr>
                <w:color w:val="0D0D0D" w:themeColor="text1" w:themeTint="F2"/>
                <w:spacing w:val="-6"/>
                <w:lang w:val="en-GB"/>
              </w:rPr>
              <w:t xml:space="preserve">−45%) </w:t>
            </w:r>
            <w:r w:rsidR="00B52673" w:rsidRPr="006E725C">
              <w:rPr>
                <w:color w:val="0D0D0D" w:themeColor="text1" w:themeTint="F2"/>
                <w:spacing w:val="-6"/>
                <w:lang w:val="en-GB"/>
              </w:rPr>
              <w:t xml:space="preserve">caused by the pay out of single benefit to majority of households with children during the summer </w:t>
            </w:r>
            <w:r w:rsidR="0011055D" w:rsidRPr="006E725C">
              <w:rPr>
                <w:color w:val="0D0D0D" w:themeColor="text1" w:themeTint="F2"/>
                <w:spacing w:val="-6"/>
                <w:lang w:val="en-GB"/>
              </w:rPr>
              <w:t>2022 (5 t</w:t>
            </w:r>
            <w:r w:rsidR="00B52673" w:rsidRPr="006E725C">
              <w:rPr>
                <w:color w:val="0D0D0D" w:themeColor="text1" w:themeTint="F2"/>
                <w:spacing w:val="-6"/>
                <w:lang w:val="en-GB"/>
              </w:rPr>
              <w:t>housand per child</w:t>
            </w:r>
            <w:r w:rsidR="0011055D" w:rsidRPr="006E725C">
              <w:rPr>
                <w:color w:val="0D0D0D" w:themeColor="text1" w:themeTint="F2"/>
                <w:spacing w:val="-6"/>
                <w:lang w:val="en-GB"/>
              </w:rPr>
              <w:t>)</w:t>
            </w:r>
            <w:r w:rsidR="00B52673" w:rsidRPr="006E725C">
              <w:rPr>
                <w:color w:val="0D0D0D" w:themeColor="text1" w:themeTint="F2"/>
                <w:spacing w:val="-6"/>
                <w:lang w:val="en-GB"/>
              </w:rPr>
              <w:t xml:space="preserve"> significantly participated on the year-on-year slowdown of the rate of growth. </w:t>
            </w:r>
            <w:r w:rsidR="00FC3123" w:rsidRPr="006E725C">
              <w:rPr>
                <w:color w:val="0D0D0D" w:themeColor="text1" w:themeTint="F2"/>
                <w:spacing w:val="-6"/>
                <w:lang w:val="en-GB"/>
              </w:rPr>
              <w:t xml:space="preserve">The volume of humanitarian benefits for refugees from Ukraine </w:t>
            </w:r>
            <w:r w:rsidR="00FC3123" w:rsidRPr="006E725C">
              <w:rPr>
                <w:rFonts w:cs="Arial"/>
                <w:color w:val="0D0D0D" w:themeColor="text1" w:themeTint="F2"/>
                <w:spacing w:val="-6"/>
                <w:lang w:val="en-GB"/>
              </w:rPr>
              <w:t xml:space="preserve">(−20%, −1.7 </w:t>
            </w:r>
            <w:r w:rsidR="009C0832">
              <w:rPr>
                <w:rFonts w:cs="Arial"/>
                <w:color w:val="0D0D0D" w:themeColor="text1" w:themeTint="F2"/>
                <w:spacing w:val="-6"/>
                <w:lang w:val="en-GB"/>
              </w:rPr>
              <w:t xml:space="preserve">CZK </w:t>
            </w:r>
            <w:proofErr w:type="spellStart"/>
            <w:r w:rsidR="009C0832">
              <w:rPr>
                <w:rFonts w:cs="Arial"/>
                <w:color w:val="0D0D0D" w:themeColor="text1" w:themeTint="F2"/>
                <w:spacing w:val="-6"/>
                <w:lang w:val="en-GB"/>
              </w:rPr>
              <w:t>bn</w:t>
            </w:r>
            <w:proofErr w:type="spellEnd"/>
            <w:r w:rsidR="00FC3123" w:rsidRPr="006E725C">
              <w:rPr>
                <w:rFonts w:cs="Arial"/>
                <w:color w:val="0D0D0D" w:themeColor="text1" w:themeTint="F2"/>
                <w:spacing w:val="-6"/>
                <w:lang w:val="en-GB"/>
              </w:rPr>
              <w:t>) reduced mainly due to the stronger targeting</w:t>
            </w:r>
            <w:r w:rsidR="0011055D" w:rsidRPr="006E725C">
              <w:rPr>
                <w:rStyle w:val="Znakapoznpodarou"/>
                <w:color w:val="0D0D0D" w:themeColor="text1" w:themeTint="F2"/>
                <w:spacing w:val="-6"/>
                <w:lang w:val="en-GB"/>
              </w:rPr>
              <w:footnoteReference w:id="121"/>
            </w:r>
            <w:r w:rsidR="00FC3123" w:rsidRPr="006E725C">
              <w:rPr>
                <w:rFonts w:cs="Arial"/>
                <w:color w:val="0D0D0D" w:themeColor="text1" w:themeTint="F2"/>
                <w:spacing w:val="-6"/>
                <w:lang w:val="en-GB"/>
              </w:rPr>
              <w:t xml:space="preserve">. Lower drawing on weight significant parental allowances </w:t>
            </w:r>
            <w:r w:rsidR="0011055D" w:rsidRPr="006E725C">
              <w:rPr>
                <w:rFonts w:cs="Arial"/>
                <w:color w:val="0D0D0D" w:themeColor="text1" w:themeTint="F2"/>
                <w:spacing w:val="-6"/>
                <w:lang w:val="en-GB"/>
              </w:rPr>
              <w:t>(−5</w:t>
            </w:r>
            <w:r w:rsidR="00FC3123" w:rsidRPr="006E725C">
              <w:rPr>
                <w:rFonts w:cs="Arial"/>
                <w:color w:val="0D0D0D" w:themeColor="text1" w:themeTint="F2"/>
                <w:spacing w:val="-6"/>
                <w:lang w:val="en-GB"/>
              </w:rPr>
              <w:t>.</w:t>
            </w:r>
            <w:r w:rsidR="0011055D" w:rsidRPr="006E725C">
              <w:rPr>
                <w:rFonts w:cs="Arial"/>
                <w:color w:val="0D0D0D" w:themeColor="text1" w:themeTint="F2"/>
                <w:spacing w:val="-6"/>
                <w:lang w:val="en-GB"/>
              </w:rPr>
              <w:t>7%, −1</w:t>
            </w:r>
            <w:r w:rsidR="00FC3123" w:rsidRPr="006E725C">
              <w:rPr>
                <w:rFonts w:cs="Arial"/>
                <w:color w:val="0D0D0D" w:themeColor="text1" w:themeTint="F2"/>
                <w:spacing w:val="-6"/>
                <w:lang w:val="en-GB"/>
              </w:rPr>
              <w:t>.</w:t>
            </w:r>
            <w:r w:rsidR="0011055D" w:rsidRPr="006E725C">
              <w:rPr>
                <w:rFonts w:cs="Arial"/>
                <w:color w:val="0D0D0D" w:themeColor="text1" w:themeTint="F2"/>
                <w:spacing w:val="-6"/>
                <w:lang w:val="en-GB"/>
              </w:rPr>
              <w:t>9</w:t>
            </w:r>
            <w:r w:rsidR="00FC3123" w:rsidRPr="006E725C">
              <w:rPr>
                <w:rFonts w:cs="Arial"/>
                <w:color w:val="0D0D0D" w:themeColor="text1" w:themeTint="F2"/>
                <w:spacing w:val="-6"/>
                <w:lang w:val="en-GB"/>
              </w:rPr>
              <w:t xml:space="preserve"> </w:t>
            </w:r>
            <w:r w:rsidR="009C0832">
              <w:rPr>
                <w:rFonts w:cs="Arial"/>
                <w:color w:val="0D0D0D" w:themeColor="text1" w:themeTint="F2"/>
                <w:spacing w:val="-6"/>
                <w:lang w:val="en-GB"/>
              </w:rPr>
              <w:t xml:space="preserve">CZK </w:t>
            </w:r>
            <w:proofErr w:type="spellStart"/>
            <w:r w:rsidR="009C0832">
              <w:rPr>
                <w:rFonts w:cs="Arial"/>
                <w:color w:val="0D0D0D" w:themeColor="text1" w:themeTint="F2"/>
                <w:spacing w:val="-6"/>
                <w:lang w:val="en-GB"/>
              </w:rPr>
              <w:t>bn</w:t>
            </w:r>
            <w:proofErr w:type="spellEnd"/>
            <w:r w:rsidR="00FC3123" w:rsidRPr="006E725C">
              <w:rPr>
                <w:rFonts w:cs="Arial"/>
                <w:color w:val="0D0D0D" w:themeColor="text1" w:themeTint="F2"/>
                <w:spacing w:val="-6"/>
                <w:lang w:val="en-GB"/>
              </w:rPr>
              <w:t xml:space="preserve"> last year</w:t>
            </w:r>
            <w:r w:rsidR="0011055D" w:rsidRPr="006E725C">
              <w:rPr>
                <w:rFonts w:cs="Arial"/>
                <w:color w:val="0D0D0D" w:themeColor="text1" w:themeTint="F2"/>
                <w:spacing w:val="-6"/>
                <w:lang w:val="en-GB"/>
              </w:rPr>
              <w:t>)</w:t>
            </w:r>
            <w:r w:rsidR="00FC3123" w:rsidRPr="006E725C">
              <w:rPr>
                <w:rFonts w:cs="Arial"/>
                <w:color w:val="0D0D0D" w:themeColor="text1" w:themeTint="F2"/>
                <w:spacing w:val="-6"/>
                <w:lang w:val="en-GB"/>
              </w:rPr>
              <w:t xml:space="preserve"> occurred for the third year in a row. </w:t>
            </w:r>
            <w:r w:rsidR="002110EC" w:rsidRPr="006E725C">
              <w:rPr>
                <w:rFonts w:cs="Arial"/>
                <w:color w:val="0D0D0D" w:themeColor="text1" w:themeTint="F2"/>
                <w:spacing w:val="-6"/>
                <w:lang w:val="en-GB"/>
              </w:rPr>
              <w:t xml:space="preserve">Decrease of expenditures on sickness benefits </w:t>
            </w:r>
            <w:r w:rsidR="0011055D" w:rsidRPr="006E725C">
              <w:rPr>
                <w:rFonts w:cs="Arial"/>
                <w:color w:val="0D0D0D" w:themeColor="text1" w:themeTint="F2"/>
                <w:spacing w:val="-6"/>
                <w:lang w:val="en-GB"/>
              </w:rPr>
              <w:t>(−4</w:t>
            </w:r>
            <w:r w:rsidR="002110EC" w:rsidRPr="006E725C">
              <w:rPr>
                <w:rFonts w:cs="Arial"/>
                <w:color w:val="0D0D0D" w:themeColor="text1" w:themeTint="F2"/>
                <w:spacing w:val="-6"/>
                <w:lang w:val="en-GB"/>
              </w:rPr>
              <w:t>.</w:t>
            </w:r>
            <w:r w:rsidR="0011055D" w:rsidRPr="006E725C">
              <w:rPr>
                <w:rFonts w:cs="Arial"/>
                <w:color w:val="0D0D0D" w:themeColor="text1" w:themeTint="F2"/>
                <w:spacing w:val="-6"/>
                <w:lang w:val="en-GB"/>
              </w:rPr>
              <w:t>6%)</w:t>
            </w:r>
            <w:r w:rsidR="002110EC" w:rsidRPr="006E725C">
              <w:rPr>
                <w:rFonts w:cs="Arial"/>
                <w:color w:val="0D0D0D" w:themeColor="text1" w:themeTint="F2"/>
                <w:spacing w:val="-6"/>
                <w:lang w:val="en-GB"/>
              </w:rPr>
              <w:t xml:space="preserve"> last similar time</w:t>
            </w:r>
            <w:r w:rsidR="0011055D" w:rsidRPr="006E725C">
              <w:rPr>
                <w:rFonts w:cs="Arial"/>
                <w:color w:val="0D0D0D" w:themeColor="text1" w:themeTint="F2"/>
                <w:spacing w:val="-6"/>
                <w:lang w:val="en-GB"/>
              </w:rPr>
              <w:t>,</w:t>
            </w:r>
            <w:r w:rsidR="002110EC" w:rsidRPr="006E725C">
              <w:rPr>
                <w:rFonts w:cs="Arial"/>
                <w:color w:val="0D0D0D" w:themeColor="text1" w:themeTint="F2"/>
                <w:spacing w:val="-6"/>
                <w:lang w:val="en-GB"/>
              </w:rPr>
              <w:t xml:space="preserve"> still their last year amount </w:t>
            </w:r>
            <w:r w:rsidR="0011055D" w:rsidRPr="006E725C">
              <w:rPr>
                <w:rFonts w:cs="Arial"/>
                <w:color w:val="0D0D0D" w:themeColor="text1" w:themeTint="F2"/>
                <w:spacing w:val="-6"/>
                <w:lang w:val="en-GB"/>
              </w:rPr>
              <w:t>(45</w:t>
            </w:r>
            <w:r w:rsidR="002110EC" w:rsidRPr="006E725C">
              <w:rPr>
                <w:rFonts w:cs="Arial"/>
                <w:color w:val="0D0D0D" w:themeColor="text1" w:themeTint="F2"/>
                <w:spacing w:val="-6"/>
                <w:lang w:val="en-GB"/>
              </w:rPr>
              <w:t>.</w:t>
            </w:r>
            <w:r w:rsidR="0011055D" w:rsidRPr="006E725C">
              <w:rPr>
                <w:rFonts w:cs="Arial"/>
                <w:color w:val="0D0D0D" w:themeColor="text1" w:themeTint="F2"/>
                <w:spacing w:val="-6"/>
                <w:lang w:val="en-GB"/>
              </w:rPr>
              <w:t>9</w:t>
            </w:r>
            <w:r w:rsidR="002110EC" w:rsidRPr="006E725C">
              <w:rPr>
                <w:rFonts w:cs="Arial"/>
                <w:color w:val="0D0D0D" w:themeColor="text1" w:themeTint="F2"/>
                <w:spacing w:val="-6"/>
                <w:lang w:val="en-GB"/>
              </w:rPr>
              <w:t xml:space="preserve"> </w:t>
            </w:r>
            <w:r w:rsidR="009C0832">
              <w:rPr>
                <w:rFonts w:cs="Arial"/>
                <w:color w:val="0D0D0D" w:themeColor="text1" w:themeTint="F2"/>
                <w:spacing w:val="-6"/>
                <w:lang w:val="en-GB"/>
              </w:rPr>
              <w:t xml:space="preserve">CZK </w:t>
            </w:r>
            <w:proofErr w:type="spellStart"/>
            <w:r w:rsidR="009C0832">
              <w:rPr>
                <w:rFonts w:cs="Arial"/>
                <w:color w:val="0D0D0D" w:themeColor="text1" w:themeTint="F2"/>
                <w:spacing w:val="-6"/>
                <w:lang w:val="en-GB"/>
              </w:rPr>
              <w:t>bn</w:t>
            </w:r>
            <w:proofErr w:type="spellEnd"/>
            <w:r w:rsidR="0011055D" w:rsidRPr="006E725C">
              <w:rPr>
                <w:rStyle w:val="Znakapoznpodarou"/>
                <w:color w:val="0D0D0D" w:themeColor="text1" w:themeTint="F2"/>
                <w:spacing w:val="-6"/>
                <w:lang w:val="en-GB"/>
              </w:rPr>
              <w:footnoteReference w:id="122"/>
            </w:r>
            <w:r w:rsidR="0011055D" w:rsidRPr="006E725C">
              <w:rPr>
                <w:rFonts w:cs="Arial"/>
                <w:color w:val="0D0D0D" w:themeColor="text1" w:themeTint="F2"/>
                <w:spacing w:val="-6"/>
                <w:lang w:val="en-GB"/>
              </w:rPr>
              <w:t xml:space="preserve">) </w:t>
            </w:r>
            <w:r w:rsidR="002110EC" w:rsidRPr="006E725C">
              <w:rPr>
                <w:rFonts w:cs="Arial"/>
                <w:color w:val="0D0D0D" w:themeColor="text1" w:themeTint="F2"/>
                <w:spacing w:val="-6"/>
                <w:lang w:val="en-GB"/>
              </w:rPr>
              <w:t xml:space="preserve">was distinctly above the level of year </w:t>
            </w:r>
            <w:r w:rsidR="0011055D" w:rsidRPr="006E725C">
              <w:rPr>
                <w:rFonts w:cs="Arial"/>
                <w:color w:val="0D0D0D" w:themeColor="text1" w:themeTint="F2"/>
                <w:spacing w:val="-6"/>
                <w:lang w:val="en-GB"/>
              </w:rPr>
              <w:t xml:space="preserve">2019 (+17%). </w:t>
            </w:r>
            <w:r w:rsidR="00C73F7B" w:rsidRPr="006E725C">
              <w:rPr>
                <w:rFonts w:cs="Arial"/>
                <w:color w:val="0D0D0D" w:themeColor="text1" w:themeTint="F2"/>
                <w:spacing w:val="-6"/>
                <w:lang w:val="en-GB"/>
              </w:rPr>
              <w:t xml:space="preserve">Housing allowance, whose volume more than doubled year-on-year (to 17.9 </w:t>
            </w:r>
            <w:r w:rsidR="009C0832">
              <w:rPr>
                <w:rFonts w:cs="Arial"/>
                <w:color w:val="0D0D0D" w:themeColor="text1" w:themeTint="F2"/>
                <w:spacing w:val="-6"/>
                <w:lang w:val="en-GB"/>
              </w:rPr>
              <w:t xml:space="preserve">CZK </w:t>
            </w:r>
            <w:proofErr w:type="spellStart"/>
            <w:r w:rsidR="009C0832">
              <w:rPr>
                <w:rFonts w:cs="Arial"/>
                <w:color w:val="0D0D0D" w:themeColor="text1" w:themeTint="F2"/>
                <w:spacing w:val="-6"/>
                <w:lang w:val="en-GB"/>
              </w:rPr>
              <w:t>bn</w:t>
            </w:r>
            <w:proofErr w:type="spellEnd"/>
            <w:r w:rsidR="00C73F7B" w:rsidRPr="006E725C">
              <w:rPr>
                <w:rFonts w:cs="Arial"/>
                <w:color w:val="0D0D0D" w:themeColor="text1" w:themeTint="F2"/>
                <w:spacing w:val="-6"/>
                <w:lang w:val="en-GB"/>
              </w:rPr>
              <w:t xml:space="preserve">), worked the most in the direction of growth of non-pension benefits last year. The impact of high prices of energies and </w:t>
            </w:r>
            <w:r w:rsidR="002110EC" w:rsidRPr="006E725C">
              <w:rPr>
                <w:rFonts w:cs="Arial"/>
                <w:color w:val="0D0D0D" w:themeColor="text1" w:themeTint="F2"/>
                <w:spacing w:val="-6"/>
                <w:lang w:val="en-GB"/>
              </w:rPr>
              <w:t xml:space="preserve">increase of costs admitted for </w:t>
            </w:r>
            <w:proofErr w:type="spellStart"/>
            <w:r w:rsidR="002110EC" w:rsidRPr="006E725C">
              <w:rPr>
                <w:rFonts w:cs="Arial"/>
                <w:color w:val="0D0D0D" w:themeColor="text1" w:themeTint="F2"/>
                <w:spacing w:val="-6"/>
                <w:lang w:val="en-GB"/>
              </w:rPr>
              <w:t>payout</w:t>
            </w:r>
            <w:proofErr w:type="spellEnd"/>
            <w:r w:rsidR="0011055D" w:rsidRPr="006E725C">
              <w:rPr>
                <w:spacing w:val="-6"/>
                <w:lang w:val="en-GB"/>
              </w:rPr>
              <w:t xml:space="preserve">, </w:t>
            </w:r>
            <w:r w:rsidR="002110EC" w:rsidRPr="006E725C">
              <w:rPr>
                <w:spacing w:val="-6"/>
                <w:lang w:val="en-GB"/>
              </w:rPr>
              <w:t xml:space="preserve">but also growth of the awareness regarding the possibility to draw on this assistance in the population, or simplification of the procedure of claiming this benefit </w:t>
            </w:r>
            <w:r w:rsidR="00C73F7B" w:rsidRPr="006E725C">
              <w:rPr>
                <w:spacing w:val="-6"/>
                <w:lang w:val="en-GB"/>
              </w:rPr>
              <w:t>manifested here</w:t>
            </w:r>
            <w:r w:rsidR="0011055D" w:rsidRPr="006E725C">
              <w:rPr>
                <w:spacing w:val="-6"/>
                <w:lang w:val="en-GB"/>
              </w:rPr>
              <w:t xml:space="preserve">. </w:t>
            </w:r>
            <w:r w:rsidR="00C73F7B" w:rsidRPr="006E725C">
              <w:rPr>
                <w:spacing w:val="-6"/>
                <w:lang w:val="en-GB"/>
              </w:rPr>
              <w:t xml:space="preserve">One order lower effect on the total growth of benefits had the higher volume of benefits </w:t>
            </w:r>
            <w:r w:rsidR="00EF041F" w:rsidRPr="006E725C">
              <w:rPr>
                <w:spacing w:val="-6"/>
                <w:lang w:val="en-GB"/>
              </w:rPr>
              <w:t xml:space="preserve">for persons with disabilities </w:t>
            </w:r>
            <w:r w:rsidR="0011055D" w:rsidRPr="006E725C">
              <w:rPr>
                <w:rFonts w:cs="Arial"/>
                <w:color w:val="0D0D0D" w:themeColor="text1" w:themeTint="F2"/>
                <w:spacing w:val="-6"/>
                <w:lang w:val="en-GB"/>
              </w:rPr>
              <w:t>(+40</w:t>
            </w:r>
            <w:r w:rsidR="00EF041F" w:rsidRPr="006E725C">
              <w:rPr>
                <w:rFonts w:cs="Arial"/>
                <w:color w:val="0D0D0D" w:themeColor="text1" w:themeTint="F2"/>
                <w:spacing w:val="-6"/>
                <w:lang w:val="en-GB"/>
              </w:rPr>
              <w:t>.</w:t>
            </w:r>
            <w:r w:rsidR="0011055D" w:rsidRPr="006E725C">
              <w:rPr>
                <w:rFonts w:cs="Arial"/>
                <w:color w:val="0D0D0D" w:themeColor="text1" w:themeTint="F2"/>
                <w:spacing w:val="-6"/>
                <w:lang w:val="en-GB"/>
              </w:rPr>
              <w:t>9%)</w:t>
            </w:r>
            <w:r w:rsidR="0011055D" w:rsidRPr="006E725C">
              <w:rPr>
                <w:rStyle w:val="Znakapoznpodarou"/>
                <w:color w:val="0D0D0D" w:themeColor="text1" w:themeTint="F2"/>
                <w:spacing w:val="-6"/>
                <w:lang w:val="en-GB"/>
              </w:rPr>
              <w:footnoteReference w:id="123"/>
            </w:r>
            <w:r w:rsidR="0011055D" w:rsidRPr="006E725C">
              <w:rPr>
                <w:rFonts w:cs="Arial"/>
                <w:color w:val="0D0D0D" w:themeColor="text1" w:themeTint="F2"/>
                <w:spacing w:val="-6"/>
                <w:lang w:val="en-GB"/>
              </w:rPr>
              <w:t>,</w:t>
            </w:r>
            <w:r w:rsidR="00EF041F" w:rsidRPr="006E725C">
              <w:rPr>
                <w:rFonts w:cs="Arial"/>
                <w:color w:val="0D0D0D" w:themeColor="text1" w:themeTint="F2"/>
                <w:spacing w:val="-6"/>
                <w:lang w:val="en-GB"/>
              </w:rPr>
              <w:t xml:space="preserve"> long-term care benefits </w:t>
            </w:r>
            <w:r w:rsidR="0011055D" w:rsidRPr="006E725C">
              <w:rPr>
                <w:spacing w:val="-6"/>
                <w:lang w:val="en-GB"/>
              </w:rPr>
              <w:t>(+2</w:t>
            </w:r>
            <w:r w:rsidR="00EF041F" w:rsidRPr="006E725C">
              <w:rPr>
                <w:spacing w:val="-6"/>
                <w:lang w:val="en-GB"/>
              </w:rPr>
              <w:t>.</w:t>
            </w:r>
            <w:r w:rsidR="0011055D" w:rsidRPr="006E725C">
              <w:rPr>
                <w:spacing w:val="-6"/>
                <w:lang w:val="en-GB"/>
              </w:rPr>
              <w:t>2%)</w:t>
            </w:r>
            <w:r w:rsidR="00EF041F" w:rsidRPr="006E725C">
              <w:rPr>
                <w:spacing w:val="-6"/>
                <w:lang w:val="en-GB"/>
              </w:rPr>
              <w:t xml:space="preserve"> or growth of expenditures of the unemployment benefits </w:t>
            </w:r>
            <w:r w:rsidR="0011055D" w:rsidRPr="006E725C">
              <w:rPr>
                <w:rFonts w:cs="Arial"/>
                <w:color w:val="0D0D0D" w:themeColor="text1" w:themeTint="F2"/>
                <w:spacing w:val="-6"/>
                <w:lang w:val="en-GB"/>
              </w:rPr>
              <w:t>(+6</w:t>
            </w:r>
            <w:r w:rsidR="00EF041F" w:rsidRPr="006E725C">
              <w:rPr>
                <w:rFonts w:cs="Arial"/>
                <w:color w:val="0D0D0D" w:themeColor="text1" w:themeTint="F2"/>
                <w:spacing w:val="-6"/>
                <w:lang w:val="en-GB"/>
              </w:rPr>
              <w:t>.</w:t>
            </w:r>
            <w:r w:rsidR="0011055D" w:rsidRPr="006E725C">
              <w:rPr>
                <w:rFonts w:cs="Arial"/>
                <w:color w:val="0D0D0D" w:themeColor="text1" w:themeTint="F2"/>
                <w:spacing w:val="-6"/>
                <w:lang w:val="en-GB"/>
              </w:rPr>
              <w:t>2%)</w:t>
            </w:r>
            <w:r w:rsidR="0011055D" w:rsidRPr="006E725C">
              <w:rPr>
                <w:rStyle w:val="Znakapoznpodarou"/>
                <w:color w:val="0D0D0D" w:themeColor="text1" w:themeTint="F2"/>
                <w:spacing w:val="-6"/>
                <w:lang w:val="en-GB"/>
              </w:rPr>
              <w:footnoteReference w:id="124"/>
            </w:r>
            <w:r w:rsidR="0011055D" w:rsidRPr="006E725C">
              <w:rPr>
                <w:rFonts w:cs="Arial"/>
                <w:color w:val="0D0D0D" w:themeColor="text1" w:themeTint="F2"/>
                <w:spacing w:val="-6"/>
                <w:lang w:val="en-GB"/>
              </w:rPr>
              <w:t xml:space="preserve">, </w:t>
            </w:r>
            <w:r w:rsidR="00EF041F" w:rsidRPr="006E725C">
              <w:rPr>
                <w:rFonts w:cs="Arial"/>
                <w:color w:val="0D0D0D" w:themeColor="text1" w:themeTint="F2"/>
                <w:spacing w:val="-6"/>
                <w:lang w:val="en-GB"/>
              </w:rPr>
              <w:t xml:space="preserve">which renewed last year after two preceding years. </w:t>
            </w:r>
            <w:r w:rsidR="00140802" w:rsidRPr="006E725C">
              <w:rPr>
                <w:rFonts w:cs="Arial"/>
                <w:color w:val="0D0D0D" w:themeColor="text1" w:themeTint="F2"/>
                <w:spacing w:val="-6"/>
                <w:lang w:val="en-GB"/>
              </w:rPr>
              <w:t xml:space="preserve">Cooling of the labour market was reflected in mild growth of the number of long-term unemployed, which also supported the higher drawing of allowances for living </w:t>
            </w:r>
            <w:r w:rsidR="0011055D" w:rsidRPr="006E725C">
              <w:rPr>
                <w:rFonts w:cs="Arial"/>
                <w:color w:val="0D0D0D" w:themeColor="text1" w:themeTint="F2"/>
                <w:spacing w:val="-6"/>
                <w:lang w:val="en-GB"/>
              </w:rPr>
              <w:t>(+16%, +0</w:t>
            </w:r>
            <w:r w:rsidR="00140802" w:rsidRPr="006E725C">
              <w:rPr>
                <w:rFonts w:cs="Arial"/>
                <w:color w:val="0D0D0D" w:themeColor="text1" w:themeTint="F2"/>
                <w:spacing w:val="-6"/>
                <w:lang w:val="en-GB"/>
              </w:rPr>
              <w:t>.</w:t>
            </w:r>
            <w:r w:rsidR="0011055D" w:rsidRPr="006E725C">
              <w:rPr>
                <w:rFonts w:cs="Arial"/>
                <w:color w:val="0D0D0D" w:themeColor="text1" w:themeTint="F2"/>
                <w:spacing w:val="-6"/>
                <w:lang w:val="en-GB"/>
              </w:rPr>
              <w:t>6</w:t>
            </w:r>
            <w:r w:rsidR="00140802" w:rsidRPr="006E725C">
              <w:rPr>
                <w:rFonts w:cs="Arial"/>
                <w:color w:val="0D0D0D" w:themeColor="text1" w:themeTint="F2"/>
                <w:spacing w:val="-6"/>
                <w:lang w:val="en-GB"/>
              </w:rPr>
              <w:t xml:space="preserve"> </w:t>
            </w:r>
            <w:r w:rsidR="009C0832">
              <w:rPr>
                <w:rFonts w:cs="Arial"/>
                <w:color w:val="0D0D0D" w:themeColor="text1" w:themeTint="F2"/>
                <w:spacing w:val="-6"/>
                <w:lang w:val="en-GB"/>
              </w:rPr>
              <w:t xml:space="preserve">CZK </w:t>
            </w:r>
            <w:proofErr w:type="spellStart"/>
            <w:r w:rsidR="009C0832">
              <w:rPr>
                <w:rFonts w:cs="Arial"/>
                <w:color w:val="0D0D0D" w:themeColor="text1" w:themeTint="F2"/>
                <w:spacing w:val="-6"/>
                <w:lang w:val="en-GB"/>
              </w:rPr>
              <w:t>bn</w:t>
            </w:r>
            <w:proofErr w:type="spellEnd"/>
            <w:r w:rsidR="0011055D" w:rsidRPr="006E725C">
              <w:rPr>
                <w:rFonts w:cs="Arial"/>
                <w:color w:val="0D0D0D" w:themeColor="text1" w:themeTint="F2"/>
                <w:spacing w:val="-6"/>
                <w:lang w:val="en-GB"/>
              </w:rPr>
              <w:t xml:space="preserve">).   </w:t>
            </w:r>
          </w:p>
        </w:tc>
      </w:tr>
      <w:tr w:rsidR="0011055D" w:rsidRPr="006E725C" w14:paraId="2A102030" w14:textId="77777777" w:rsidTr="00C07C2F">
        <w:trPr>
          <w:trHeight w:val="170"/>
        </w:trPr>
        <w:tc>
          <w:tcPr>
            <w:tcW w:w="1792" w:type="dxa"/>
            <w:shd w:val="clear" w:color="auto" w:fill="auto"/>
            <w:tcMar>
              <w:left w:w="0" w:type="dxa"/>
            </w:tcMar>
          </w:tcPr>
          <w:p w14:paraId="3A21B638" w14:textId="2C74B230" w:rsidR="0011055D" w:rsidRPr="006E725C" w:rsidRDefault="00495DA8" w:rsidP="00C07C2F">
            <w:pPr>
              <w:pStyle w:val="Marginlie"/>
              <w:rPr>
                <w:lang w:val="en-GB"/>
              </w:rPr>
            </w:pPr>
            <w:r w:rsidRPr="006E725C">
              <w:rPr>
                <w:lang w:val="en-GB"/>
              </w:rPr>
              <w:t>Sharp growth of the non-</w:t>
            </w:r>
            <w:r w:rsidR="00DB2495" w:rsidRPr="006E725C">
              <w:rPr>
                <w:lang w:val="en-GB"/>
              </w:rPr>
              <w:t>investment</w:t>
            </w:r>
            <w:r w:rsidRPr="006E725C">
              <w:rPr>
                <w:lang w:val="en-GB"/>
              </w:rPr>
              <w:t xml:space="preserve"> subsidies to entrepreneurs was </w:t>
            </w:r>
            <w:r w:rsidRPr="006E725C">
              <w:rPr>
                <w:lang w:val="en-GB"/>
              </w:rPr>
              <w:lastRenderedPageBreak/>
              <w:t>closely connected to the</w:t>
            </w:r>
            <w:r w:rsidR="00DB2495" w:rsidRPr="006E725C">
              <w:rPr>
                <w:lang w:val="en-GB"/>
              </w:rPr>
              <w:t xml:space="preserve"> energy price ceilings for customers. </w:t>
            </w:r>
          </w:p>
          <w:p w14:paraId="3A585C09" w14:textId="77777777" w:rsidR="0011055D" w:rsidRPr="006E725C" w:rsidRDefault="0011055D" w:rsidP="00C07C2F">
            <w:pPr>
              <w:pStyle w:val="Marginlie"/>
              <w:rPr>
                <w:lang w:val="en-GB"/>
              </w:rPr>
            </w:pPr>
          </w:p>
        </w:tc>
        <w:tc>
          <w:tcPr>
            <w:tcW w:w="203" w:type="dxa"/>
            <w:shd w:val="clear" w:color="auto" w:fill="auto"/>
            <w:tcMar>
              <w:left w:w="0" w:type="dxa"/>
            </w:tcMar>
          </w:tcPr>
          <w:p w14:paraId="6ACF8901"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36C7CCFF" w14:textId="04C2108B" w:rsidR="0011055D" w:rsidRPr="006E725C" w:rsidRDefault="0011055D" w:rsidP="00C07C2F">
            <w:pPr>
              <w:spacing w:after="200"/>
              <w:rPr>
                <w:color w:val="0D0D0D" w:themeColor="text1" w:themeTint="F2"/>
                <w:spacing w:val="-6"/>
                <w:lang w:val="en-GB"/>
              </w:rPr>
            </w:pPr>
            <w:r w:rsidRPr="006E725C">
              <w:rPr>
                <w:color w:val="0D0D0D" w:themeColor="text1" w:themeTint="F2"/>
                <w:spacing w:val="-6"/>
                <w:lang w:val="en-GB"/>
              </w:rPr>
              <w:t>N</w:t>
            </w:r>
            <w:r w:rsidR="008E4566" w:rsidRPr="006E725C">
              <w:rPr>
                <w:color w:val="0D0D0D" w:themeColor="text1" w:themeTint="F2"/>
                <w:spacing w:val="-6"/>
                <w:lang w:val="en-GB"/>
              </w:rPr>
              <w:t xml:space="preserve">on-investment subsidies to entrepreneurs presented as expected the fastest growing current outlays of the SB last </w:t>
            </w:r>
            <w:r w:rsidR="00494AA4" w:rsidRPr="006E725C">
              <w:rPr>
                <w:color w:val="0D0D0D" w:themeColor="text1" w:themeTint="F2"/>
                <w:spacing w:val="-6"/>
                <w:lang w:val="en-GB"/>
              </w:rPr>
              <w:t>year when</w:t>
            </w:r>
            <w:r w:rsidR="008E4566" w:rsidRPr="006E725C">
              <w:rPr>
                <w:color w:val="0D0D0D" w:themeColor="text1" w:themeTint="F2"/>
                <w:spacing w:val="-6"/>
                <w:lang w:val="en-GB"/>
              </w:rPr>
              <w:t xml:space="preserve"> they expanded by 54.6% year-on-year and achieved </w:t>
            </w:r>
            <w:r w:rsidRPr="006E725C">
              <w:rPr>
                <w:color w:val="0D0D0D" w:themeColor="text1" w:themeTint="F2"/>
                <w:spacing w:val="-6"/>
                <w:lang w:val="en-GB"/>
              </w:rPr>
              <w:t>137</w:t>
            </w:r>
            <w:r w:rsidR="008E4566" w:rsidRPr="006E725C">
              <w:rPr>
                <w:color w:val="0D0D0D" w:themeColor="text1" w:themeTint="F2"/>
                <w:spacing w:val="-6"/>
                <w:lang w:val="en-GB"/>
              </w:rPr>
              <w:t>.</w:t>
            </w:r>
            <w:r w:rsidRPr="006E725C">
              <w:rPr>
                <w:color w:val="0D0D0D" w:themeColor="text1" w:themeTint="F2"/>
                <w:spacing w:val="-6"/>
                <w:lang w:val="en-GB"/>
              </w:rPr>
              <w:t>8</w:t>
            </w:r>
            <w:r w:rsidR="008E4566" w:rsidRPr="006E725C">
              <w:rPr>
                <w:color w:val="0D0D0D" w:themeColor="text1" w:themeTint="F2"/>
                <w:spacing w:val="-6"/>
                <w:lang w:val="en-GB"/>
              </w:rPr>
              <w:t xml:space="preserve"> </w:t>
            </w:r>
            <w:r w:rsidR="009C0832">
              <w:rPr>
                <w:color w:val="0D0D0D" w:themeColor="text1" w:themeTint="F2"/>
                <w:spacing w:val="-6"/>
                <w:lang w:val="en-GB"/>
              </w:rPr>
              <w:lastRenderedPageBreak/>
              <w:t xml:space="preserve">CZK </w:t>
            </w:r>
            <w:proofErr w:type="spellStart"/>
            <w:r w:rsidR="009C0832">
              <w:rPr>
                <w:color w:val="0D0D0D" w:themeColor="text1" w:themeTint="F2"/>
                <w:spacing w:val="-6"/>
                <w:lang w:val="en-GB"/>
              </w:rPr>
              <w:t>bn</w:t>
            </w:r>
            <w:proofErr w:type="spellEnd"/>
            <w:r w:rsidRPr="006E725C">
              <w:rPr>
                <w:rStyle w:val="Znakapoznpodarou"/>
                <w:color w:val="0D0D0D" w:themeColor="text1" w:themeTint="F2"/>
                <w:spacing w:val="-6"/>
                <w:lang w:val="en-GB"/>
              </w:rPr>
              <w:footnoteReference w:id="125"/>
            </w:r>
            <w:r w:rsidRPr="006E725C">
              <w:rPr>
                <w:color w:val="0D0D0D" w:themeColor="text1" w:themeTint="F2"/>
                <w:spacing w:val="-6"/>
                <w:lang w:val="en-GB"/>
              </w:rPr>
              <w:t xml:space="preserve">. </w:t>
            </w:r>
            <w:r w:rsidR="000F00AA" w:rsidRPr="006E725C">
              <w:rPr>
                <w:color w:val="0D0D0D" w:themeColor="text1" w:themeTint="F2"/>
                <w:spacing w:val="-6"/>
                <w:lang w:val="en-GB"/>
              </w:rPr>
              <w:t xml:space="preserve">Because they contain the extraordinary outlays on the assistance with high prices of energies </w:t>
            </w:r>
            <w:r w:rsidRPr="006E725C">
              <w:rPr>
                <w:color w:val="0D0D0D" w:themeColor="text1" w:themeTint="F2"/>
                <w:spacing w:val="-6"/>
                <w:lang w:val="en-GB"/>
              </w:rPr>
              <w:t xml:space="preserve">– </w:t>
            </w:r>
            <w:r w:rsidR="000F00AA" w:rsidRPr="006E725C">
              <w:rPr>
                <w:color w:val="0D0D0D" w:themeColor="text1" w:themeTint="F2"/>
                <w:spacing w:val="-6"/>
                <w:lang w:val="en-GB"/>
              </w:rPr>
              <w:t xml:space="preserve">mainly compensations for the supplies of electricity and gas to customers and losses due to the ceilings on their prices </w:t>
            </w:r>
            <w:r w:rsidRPr="006E725C">
              <w:rPr>
                <w:color w:val="0D0D0D" w:themeColor="text1" w:themeTint="F2"/>
                <w:spacing w:val="-6"/>
                <w:lang w:val="en-GB"/>
              </w:rPr>
              <w:t>(52</w:t>
            </w:r>
            <w:r w:rsidR="000F00AA" w:rsidRPr="006E725C">
              <w:rPr>
                <w:color w:val="0D0D0D" w:themeColor="text1" w:themeTint="F2"/>
                <w:spacing w:val="-6"/>
                <w:lang w:val="en-GB"/>
              </w:rPr>
              <w:t>.</w:t>
            </w:r>
            <w:r w:rsidRPr="006E725C">
              <w:rPr>
                <w:color w:val="0D0D0D" w:themeColor="text1" w:themeTint="F2"/>
                <w:spacing w:val="-6"/>
                <w:lang w:val="en-GB"/>
              </w:rPr>
              <w:t>8</w:t>
            </w:r>
            <w:r w:rsidR="000F00AA" w:rsidRPr="006E725C">
              <w:rPr>
                <w:color w:val="0D0D0D" w:themeColor="text1" w:themeTint="F2"/>
                <w:spacing w:val="-6"/>
                <w:lang w:val="en-GB"/>
              </w:rPr>
              <w:t xml:space="preserve"> </w:t>
            </w:r>
            <w:r w:rsidR="009C0832">
              <w:rPr>
                <w:color w:val="0D0D0D" w:themeColor="text1" w:themeTint="F2"/>
                <w:spacing w:val="-6"/>
                <w:lang w:val="en-GB"/>
              </w:rPr>
              <w:t xml:space="preserve">CZK </w:t>
            </w:r>
            <w:proofErr w:type="spellStart"/>
            <w:r w:rsidR="009C0832">
              <w:rPr>
                <w:color w:val="0D0D0D" w:themeColor="text1" w:themeTint="F2"/>
                <w:spacing w:val="-6"/>
                <w:lang w:val="en-GB"/>
              </w:rPr>
              <w:t>bn</w:t>
            </w:r>
            <w:proofErr w:type="spellEnd"/>
            <w:r w:rsidRPr="006E725C">
              <w:rPr>
                <w:color w:val="0D0D0D" w:themeColor="text1" w:themeTint="F2"/>
                <w:spacing w:val="-6"/>
                <w:lang w:val="en-GB"/>
              </w:rPr>
              <w:t xml:space="preserve">), </w:t>
            </w:r>
            <w:r w:rsidR="00140802" w:rsidRPr="006E725C">
              <w:rPr>
                <w:color w:val="0D0D0D" w:themeColor="text1" w:themeTint="F2"/>
                <w:spacing w:val="-6"/>
                <w:lang w:val="en-GB"/>
              </w:rPr>
              <w:t xml:space="preserve">further subsidies to the operators of the transmission system </w:t>
            </w:r>
            <w:r w:rsidRPr="006E725C">
              <w:rPr>
                <w:color w:val="0D0D0D" w:themeColor="text1" w:themeTint="F2"/>
                <w:spacing w:val="-6"/>
                <w:lang w:val="en-GB"/>
              </w:rPr>
              <w:t>(18</w:t>
            </w:r>
            <w:r w:rsidR="00140802" w:rsidRPr="006E725C">
              <w:rPr>
                <w:color w:val="0D0D0D" w:themeColor="text1" w:themeTint="F2"/>
                <w:spacing w:val="-6"/>
                <w:lang w:val="en-GB"/>
              </w:rPr>
              <w:t>.</w:t>
            </w:r>
            <w:r w:rsidRPr="006E725C">
              <w:rPr>
                <w:color w:val="0D0D0D" w:themeColor="text1" w:themeTint="F2"/>
                <w:spacing w:val="-6"/>
                <w:lang w:val="en-GB"/>
              </w:rPr>
              <w:t>7</w:t>
            </w:r>
            <w:r w:rsidR="00140802" w:rsidRPr="006E725C">
              <w:rPr>
                <w:color w:val="0D0D0D" w:themeColor="text1" w:themeTint="F2"/>
                <w:spacing w:val="-6"/>
                <w:lang w:val="en-GB"/>
              </w:rPr>
              <w:t xml:space="preserve"> </w:t>
            </w:r>
            <w:proofErr w:type="spellStart"/>
            <w:r w:rsidR="00140802" w:rsidRPr="006E725C">
              <w:rPr>
                <w:color w:val="0D0D0D" w:themeColor="text1" w:themeTint="F2"/>
                <w:spacing w:val="-6"/>
                <w:lang w:val="en-GB"/>
              </w:rPr>
              <w:t>bn</w:t>
            </w:r>
            <w:proofErr w:type="spellEnd"/>
            <w:r w:rsidRPr="006E725C">
              <w:rPr>
                <w:color w:val="0D0D0D" w:themeColor="text1" w:themeTint="F2"/>
                <w:spacing w:val="-6"/>
                <w:lang w:val="en-GB"/>
              </w:rPr>
              <w:t>)</w:t>
            </w:r>
            <w:r w:rsidR="00140802" w:rsidRPr="006E725C">
              <w:rPr>
                <w:color w:val="0D0D0D" w:themeColor="text1" w:themeTint="F2"/>
                <w:spacing w:val="-6"/>
                <w:lang w:val="en-GB"/>
              </w:rPr>
              <w:t xml:space="preserve"> or assistance to firms in energy-intensive branches </w:t>
            </w:r>
            <w:r w:rsidRPr="006E725C">
              <w:rPr>
                <w:color w:val="0D0D0D" w:themeColor="text1" w:themeTint="F2"/>
                <w:spacing w:val="-6"/>
                <w:lang w:val="en-GB"/>
              </w:rPr>
              <w:t>(4</w:t>
            </w:r>
            <w:r w:rsidR="00140802" w:rsidRPr="006E725C">
              <w:rPr>
                <w:color w:val="0D0D0D" w:themeColor="text1" w:themeTint="F2"/>
                <w:spacing w:val="-6"/>
                <w:lang w:val="en-GB"/>
              </w:rPr>
              <w:t>.</w:t>
            </w:r>
            <w:r w:rsidRPr="006E725C">
              <w:rPr>
                <w:color w:val="0D0D0D" w:themeColor="text1" w:themeTint="F2"/>
                <w:spacing w:val="-6"/>
                <w:lang w:val="en-GB"/>
              </w:rPr>
              <w:t>6</w:t>
            </w:r>
            <w:r w:rsidR="00140802" w:rsidRPr="006E725C">
              <w:rPr>
                <w:color w:val="0D0D0D" w:themeColor="text1" w:themeTint="F2"/>
                <w:spacing w:val="-6"/>
                <w:lang w:val="en-GB"/>
              </w:rPr>
              <w:t xml:space="preserve"> </w:t>
            </w:r>
            <w:proofErr w:type="spellStart"/>
            <w:r w:rsidR="00140802" w:rsidRPr="006E725C">
              <w:rPr>
                <w:color w:val="0D0D0D" w:themeColor="text1" w:themeTint="F2"/>
                <w:spacing w:val="-6"/>
                <w:lang w:val="en-GB"/>
              </w:rPr>
              <w:t>bn</w:t>
            </w:r>
            <w:proofErr w:type="spellEnd"/>
            <w:r w:rsidRPr="006E725C">
              <w:rPr>
                <w:color w:val="0D0D0D" w:themeColor="text1" w:themeTint="F2"/>
                <w:spacing w:val="-6"/>
                <w:lang w:val="en-GB"/>
              </w:rPr>
              <w:t>).</w:t>
            </w:r>
            <w:r w:rsidR="00140802" w:rsidRPr="006E725C">
              <w:rPr>
                <w:color w:val="0D0D0D" w:themeColor="text1" w:themeTint="F2"/>
                <w:spacing w:val="-6"/>
                <w:lang w:val="en-GB"/>
              </w:rPr>
              <w:t xml:space="preserve"> More than </w:t>
            </w:r>
            <w:r w:rsidRPr="006E725C">
              <w:rPr>
                <w:color w:val="0D0D0D" w:themeColor="text1" w:themeTint="F2"/>
                <w:spacing w:val="-6"/>
                <w:lang w:val="en-GB"/>
              </w:rPr>
              <w:t>40%</w:t>
            </w:r>
            <w:r w:rsidR="00140802" w:rsidRPr="006E725C">
              <w:rPr>
                <w:color w:val="0D0D0D" w:themeColor="text1" w:themeTint="F2"/>
                <w:spacing w:val="-6"/>
                <w:lang w:val="en-GB"/>
              </w:rPr>
              <w:t xml:space="preserve"> of these expenditures were released already in Q</w:t>
            </w:r>
            <w:r w:rsidRPr="006E725C">
              <w:rPr>
                <w:color w:val="0D0D0D" w:themeColor="text1" w:themeTint="F2"/>
                <w:spacing w:val="-6"/>
                <w:lang w:val="en-GB"/>
              </w:rPr>
              <w:t>1</w:t>
            </w:r>
            <w:r w:rsidR="00140802" w:rsidRPr="006E725C">
              <w:rPr>
                <w:color w:val="0D0D0D" w:themeColor="text1" w:themeTint="F2"/>
                <w:spacing w:val="-6"/>
                <w:lang w:val="en-GB"/>
              </w:rPr>
              <w:t xml:space="preserve"> last year</w:t>
            </w:r>
            <w:r w:rsidRPr="006E725C">
              <w:rPr>
                <w:color w:val="0D0D0D" w:themeColor="text1" w:themeTint="F2"/>
                <w:spacing w:val="-6"/>
                <w:lang w:val="en-GB"/>
              </w:rPr>
              <w:t>.</w:t>
            </w:r>
            <w:r w:rsidR="00140802" w:rsidRPr="006E725C">
              <w:rPr>
                <w:color w:val="0D0D0D" w:themeColor="text1" w:themeTint="F2"/>
                <w:spacing w:val="-6"/>
                <w:lang w:val="en-GB"/>
              </w:rPr>
              <w:t xml:space="preserve"> Year-on-year growth of the transfers to entrepreneurs was subdued by the decrease of the advance subsidies on renewable sources of energy </w:t>
            </w:r>
            <w:r w:rsidRPr="006E725C">
              <w:rPr>
                <w:color w:val="0D0D0D" w:themeColor="text1" w:themeTint="F2"/>
                <w:spacing w:val="-6"/>
                <w:lang w:val="en-GB"/>
              </w:rPr>
              <w:t>(</w:t>
            </w:r>
            <w:r w:rsidR="00140802" w:rsidRPr="006E725C">
              <w:rPr>
                <w:color w:val="0D0D0D" w:themeColor="text1" w:themeTint="F2"/>
                <w:spacing w:val="-6"/>
                <w:lang w:val="en-GB"/>
              </w:rPr>
              <w:t xml:space="preserve">also containing the impacts of the temporary </w:t>
            </w:r>
            <w:r w:rsidR="00886E94" w:rsidRPr="006E725C">
              <w:rPr>
                <w:color w:val="0D0D0D" w:themeColor="text1" w:themeTint="F2"/>
                <w:spacing w:val="-6"/>
                <w:lang w:val="en-GB"/>
              </w:rPr>
              <w:t>waiving of the fees</w:t>
            </w:r>
            <w:r w:rsidRPr="006E725C">
              <w:rPr>
                <w:color w:val="0D0D0D" w:themeColor="text1" w:themeTint="F2"/>
                <w:spacing w:val="-6"/>
                <w:lang w:val="en-GB"/>
              </w:rPr>
              <w:t>),</w:t>
            </w:r>
            <w:r w:rsidR="00886E94" w:rsidRPr="006E725C">
              <w:rPr>
                <w:color w:val="0D0D0D" w:themeColor="text1" w:themeTint="F2"/>
                <w:spacing w:val="-6"/>
                <w:lang w:val="en-GB"/>
              </w:rPr>
              <w:t xml:space="preserve"> smaller saving was also attained for expenditures on solutions of impacts connected to the pandemics. </w:t>
            </w:r>
          </w:p>
        </w:tc>
      </w:tr>
      <w:tr w:rsidR="0011055D" w:rsidRPr="006E725C" w14:paraId="548A4B03" w14:textId="77777777" w:rsidTr="00C07C2F">
        <w:trPr>
          <w:trHeight w:val="170"/>
        </w:trPr>
        <w:tc>
          <w:tcPr>
            <w:tcW w:w="1792" w:type="dxa"/>
            <w:shd w:val="clear" w:color="auto" w:fill="auto"/>
            <w:tcMar>
              <w:left w:w="0" w:type="dxa"/>
            </w:tcMar>
          </w:tcPr>
          <w:p w14:paraId="47AFAB34" w14:textId="52EEE99C" w:rsidR="0011055D" w:rsidRPr="006E725C" w:rsidRDefault="007079E5" w:rsidP="00C07C2F">
            <w:pPr>
              <w:pStyle w:val="Marginlie"/>
              <w:rPr>
                <w:lang w:val="en-GB"/>
              </w:rPr>
            </w:pPr>
            <w:r w:rsidRPr="006E725C">
              <w:rPr>
                <w:lang w:val="en-GB"/>
              </w:rPr>
              <w:lastRenderedPageBreak/>
              <w:t xml:space="preserve">Expenditures on wages of employees in the regional education grew. </w:t>
            </w:r>
          </w:p>
          <w:p w14:paraId="3947B498" w14:textId="77777777" w:rsidR="0011055D" w:rsidRPr="006E725C" w:rsidRDefault="0011055D" w:rsidP="00C07C2F">
            <w:pPr>
              <w:pStyle w:val="Marginlie"/>
              <w:rPr>
                <w:lang w:val="en-GB"/>
              </w:rPr>
            </w:pPr>
          </w:p>
          <w:p w14:paraId="0EE808BC" w14:textId="77777777" w:rsidR="0011055D" w:rsidRPr="006E725C" w:rsidRDefault="0011055D" w:rsidP="00C07C2F">
            <w:pPr>
              <w:pStyle w:val="Marginlie"/>
              <w:rPr>
                <w:lang w:val="en-GB"/>
              </w:rPr>
            </w:pPr>
          </w:p>
          <w:p w14:paraId="76A3BBC8" w14:textId="77777777" w:rsidR="0011055D" w:rsidRPr="006E725C" w:rsidRDefault="0011055D" w:rsidP="00C07C2F">
            <w:pPr>
              <w:pStyle w:val="Marginlie"/>
              <w:rPr>
                <w:lang w:val="en-GB"/>
              </w:rPr>
            </w:pPr>
          </w:p>
          <w:p w14:paraId="0267DD4C" w14:textId="77777777" w:rsidR="0011055D" w:rsidRPr="006E725C" w:rsidRDefault="0011055D" w:rsidP="00C07C2F">
            <w:pPr>
              <w:pStyle w:val="Marginlie"/>
              <w:rPr>
                <w:lang w:val="en-GB"/>
              </w:rPr>
            </w:pPr>
          </w:p>
          <w:p w14:paraId="65A166FA" w14:textId="1859BD75" w:rsidR="0011055D" w:rsidRPr="006E725C" w:rsidRDefault="00C7245F" w:rsidP="00C07C2F">
            <w:pPr>
              <w:pStyle w:val="Marginlie"/>
              <w:rPr>
                <w:lang w:val="en-GB"/>
              </w:rPr>
            </w:pPr>
            <w:r w:rsidRPr="006E725C">
              <w:rPr>
                <w:lang w:val="en-GB"/>
              </w:rPr>
              <w:t xml:space="preserve">Expenditures on servicing the state debt accelerated to record pace. </w:t>
            </w:r>
            <w:r w:rsidR="0011055D" w:rsidRPr="006E725C">
              <w:rPr>
                <w:lang w:val="en-GB"/>
              </w:rPr>
              <w:t xml:space="preserve"> </w:t>
            </w:r>
          </w:p>
          <w:p w14:paraId="7BF871C4" w14:textId="77777777" w:rsidR="0011055D" w:rsidRPr="006E725C" w:rsidRDefault="0011055D" w:rsidP="00C07C2F">
            <w:pPr>
              <w:pStyle w:val="Marginlie"/>
              <w:rPr>
                <w:lang w:val="en-GB"/>
              </w:rPr>
            </w:pPr>
          </w:p>
          <w:p w14:paraId="05316118" w14:textId="77777777" w:rsidR="0011055D" w:rsidRPr="006E725C" w:rsidRDefault="0011055D" w:rsidP="00C07C2F">
            <w:pPr>
              <w:pStyle w:val="Marginlie"/>
              <w:rPr>
                <w:lang w:val="en-GB"/>
              </w:rPr>
            </w:pPr>
          </w:p>
        </w:tc>
        <w:tc>
          <w:tcPr>
            <w:tcW w:w="203" w:type="dxa"/>
            <w:shd w:val="clear" w:color="auto" w:fill="auto"/>
            <w:tcMar>
              <w:left w:w="0" w:type="dxa"/>
            </w:tcMar>
          </w:tcPr>
          <w:p w14:paraId="526696FB"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44BAFD0A" w14:textId="46EBF152" w:rsidR="0011055D" w:rsidRPr="006E725C" w:rsidRDefault="00CD0B7E" w:rsidP="00C07C2F">
            <w:pPr>
              <w:spacing w:after="200"/>
              <w:rPr>
                <w:color w:val="0D0D0D" w:themeColor="text1" w:themeTint="F2"/>
                <w:spacing w:val="-6"/>
                <w:lang w:val="en-GB"/>
              </w:rPr>
            </w:pPr>
            <w:r w:rsidRPr="006E725C">
              <w:rPr>
                <w:color w:val="0D0D0D" w:themeColor="text1" w:themeTint="F2"/>
                <w:spacing w:val="-6"/>
                <w:lang w:val="en-GB"/>
              </w:rPr>
              <w:t xml:space="preserve">Weight significant non-investment transfers to regional budgets increased by </w:t>
            </w:r>
            <w:r w:rsidR="0011055D" w:rsidRPr="006E725C">
              <w:rPr>
                <w:color w:val="0D0D0D" w:themeColor="text1" w:themeTint="F2"/>
                <w:spacing w:val="-6"/>
                <w:lang w:val="en-GB"/>
              </w:rPr>
              <w:t>9</w:t>
            </w:r>
            <w:r w:rsidRPr="006E725C">
              <w:rPr>
                <w:color w:val="0D0D0D" w:themeColor="text1" w:themeTint="F2"/>
                <w:spacing w:val="-6"/>
                <w:lang w:val="en-GB"/>
              </w:rPr>
              <w:t>.</w:t>
            </w:r>
            <w:r w:rsidR="0011055D" w:rsidRPr="006E725C">
              <w:rPr>
                <w:color w:val="0D0D0D" w:themeColor="text1" w:themeTint="F2"/>
                <w:spacing w:val="-6"/>
                <w:lang w:val="en-GB"/>
              </w:rPr>
              <w:t>6%</w:t>
            </w:r>
            <w:r w:rsidRPr="006E725C">
              <w:rPr>
                <w:color w:val="0D0D0D" w:themeColor="text1" w:themeTint="F2"/>
                <w:spacing w:val="-6"/>
                <w:lang w:val="en-GB"/>
              </w:rPr>
              <w:t xml:space="preserve"> year-on-year to 2</w:t>
            </w:r>
            <w:r w:rsidR="0011055D" w:rsidRPr="006E725C">
              <w:rPr>
                <w:color w:val="0D0D0D" w:themeColor="text1" w:themeTint="F2"/>
                <w:spacing w:val="-6"/>
                <w:lang w:val="en-GB"/>
              </w:rPr>
              <w:t>66</w:t>
            </w:r>
            <w:r w:rsidRPr="006E725C">
              <w:rPr>
                <w:color w:val="0D0D0D" w:themeColor="text1" w:themeTint="F2"/>
                <w:spacing w:val="-6"/>
                <w:lang w:val="en-GB"/>
              </w:rPr>
              <w:t>.</w:t>
            </w:r>
            <w:r w:rsidR="0011055D" w:rsidRPr="006E725C">
              <w:rPr>
                <w:color w:val="0D0D0D" w:themeColor="text1" w:themeTint="F2"/>
                <w:spacing w:val="-6"/>
                <w:lang w:val="en-GB"/>
              </w:rPr>
              <w:t>2</w:t>
            </w:r>
            <w:r w:rsidRPr="006E725C">
              <w:rPr>
                <w:color w:val="0D0D0D" w:themeColor="text1" w:themeTint="F2"/>
                <w:spacing w:val="-6"/>
                <w:lang w:val="en-GB"/>
              </w:rPr>
              <w:t xml:space="preserve"> </w:t>
            </w:r>
            <w:r w:rsidR="009C0832">
              <w:rPr>
                <w:color w:val="0D0D0D" w:themeColor="text1" w:themeTint="F2"/>
                <w:spacing w:val="-6"/>
                <w:lang w:val="en-GB"/>
              </w:rPr>
              <w:t>CZK bn</w:t>
            </w:r>
            <w:r w:rsidR="0011055D" w:rsidRPr="006E725C">
              <w:rPr>
                <w:color w:val="0D0D0D" w:themeColor="text1" w:themeTint="F2"/>
                <w:spacing w:val="-6"/>
                <w:lang w:val="en-GB"/>
              </w:rPr>
              <w:t xml:space="preserve">. </w:t>
            </w:r>
            <w:r w:rsidRPr="006E725C">
              <w:rPr>
                <w:color w:val="0D0D0D" w:themeColor="text1" w:themeTint="F2"/>
                <w:spacing w:val="-6"/>
                <w:lang w:val="en-GB"/>
              </w:rPr>
              <w:t xml:space="preserve">More than one half of the last year’s </w:t>
            </w:r>
            <w:r w:rsidR="00372507" w:rsidRPr="006E725C">
              <w:rPr>
                <w:color w:val="0D0D0D" w:themeColor="text1" w:themeTint="F2"/>
                <w:spacing w:val="-6"/>
                <w:lang w:val="en-GB"/>
              </w:rPr>
              <w:t>increase</w:t>
            </w:r>
            <w:r w:rsidRPr="006E725C">
              <w:rPr>
                <w:color w:val="0D0D0D" w:themeColor="text1" w:themeTint="F2"/>
                <w:spacing w:val="-6"/>
                <w:lang w:val="en-GB"/>
              </w:rPr>
              <w:t xml:space="preserve"> </w:t>
            </w:r>
            <w:r w:rsidR="00372507" w:rsidRPr="006E725C">
              <w:rPr>
                <w:color w:val="0D0D0D" w:themeColor="text1" w:themeTint="F2"/>
                <w:spacing w:val="-6"/>
                <w:lang w:val="en-GB"/>
              </w:rPr>
              <w:t>related to the raised wages of workers in primary and secondary schools</w:t>
            </w:r>
            <w:r w:rsidR="0011055D" w:rsidRPr="006E725C">
              <w:rPr>
                <w:rStyle w:val="Znakapoznpodarou"/>
                <w:color w:val="0D0D0D" w:themeColor="text1" w:themeTint="F2"/>
                <w:spacing w:val="-6"/>
                <w:lang w:val="en-GB"/>
              </w:rPr>
              <w:footnoteReference w:id="126"/>
            </w:r>
            <w:r w:rsidR="0011055D" w:rsidRPr="006E725C">
              <w:rPr>
                <w:color w:val="0D0D0D" w:themeColor="text1" w:themeTint="F2"/>
                <w:spacing w:val="-6"/>
                <w:lang w:val="en-GB"/>
              </w:rPr>
              <w:t xml:space="preserve">. </w:t>
            </w:r>
            <w:r w:rsidR="00C7245F" w:rsidRPr="006E725C">
              <w:rPr>
                <w:color w:val="0D0D0D" w:themeColor="text1" w:themeTint="F2"/>
                <w:spacing w:val="-6"/>
                <w:lang w:val="en-GB"/>
              </w:rPr>
              <w:t>Strengthening</w:t>
            </w:r>
            <w:r w:rsidR="00372507" w:rsidRPr="006E725C">
              <w:rPr>
                <w:color w:val="0D0D0D" w:themeColor="text1" w:themeTint="F2"/>
                <w:spacing w:val="-6"/>
                <w:lang w:val="en-GB"/>
              </w:rPr>
              <w:t xml:space="preserve"> of outlays on social services, </w:t>
            </w:r>
            <w:r w:rsidR="004D3EB3" w:rsidRPr="006E725C">
              <w:rPr>
                <w:color w:val="0D0D0D" w:themeColor="text1" w:themeTint="F2"/>
                <w:spacing w:val="-4"/>
                <w:lang w:val="en-GB"/>
              </w:rPr>
              <w:t>compensation allowance on the housing of refugees from Ukraine</w:t>
            </w:r>
            <w:r w:rsidR="004D3EB3" w:rsidRPr="006E725C">
              <w:rPr>
                <w:color w:val="0D0D0D" w:themeColor="text1" w:themeTint="F2"/>
                <w:spacing w:val="-6"/>
                <w:lang w:val="en-GB"/>
              </w:rPr>
              <w:t xml:space="preserve"> or co-financing of programmes in the area of education, supported from the EU budget, also </w:t>
            </w:r>
            <w:r w:rsidR="00372507" w:rsidRPr="006E725C">
              <w:rPr>
                <w:color w:val="0D0D0D" w:themeColor="text1" w:themeTint="F2"/>
                <w:spacing w:val="-6"/>
                <w:lang w:val="en-GB"/>
              </w:rPr>
              <w:t>had an effect</w:t>
            </w:r>
            <w:r w:rsidR="0011055D" w:rsidRPr="006E725C">
              <w:rPr>
                <w:color w:val="0D0D0D" w:themeColor="text1" w:themeTint="F2"/>
                <w:spacing w:val="-6"/>
                <w:lang w:val="en-GB"/>
              </w:rPr>
              <w:t>.</w:t>
            </w:r>
            <w:r w:rsidR="00372507" w:rsidRPr="006E725C">
              <w:rPr>
                <w:color w:val="0D0D0D" w:themeColor="text1" w:themeTint="F2"/>
                <w:spacing w:val="-6"/>
                <w:lang w:val="en-GB"/>
              </w:rPr>
              <w:t xml:space="preserve"> Among other </w:t>
            </w:r>
            <w:r w:rsidR="00C7245F" w:rsidRPr="006E725C">
              <w:rPr>
                <w:color w:val="0D0D0D" w:themeColor="text1" w:themeTint="F2"/>
                <w:spacing w:val="-6"/>
                <w:lang w:val="en-GB"/>
              </w:rPr>
              <w:t>areas, SB</w:t>
            </w:r>
            <w:r w:rsidR="00372507" w:rsidRPr="006E725C">
              <w:rPr>
                <w:color w:val="0D0D0D" w:themeColor="text1" w:themeTint="F2"/>
                <w:spacing w:val="-6"/>
                <w:lang w:val="en-GB"/>
              </w:rPr>
              <w:t xml:space="preserve"> was also notably burdened by anticipated expenditures on servicing the state debt, whose year-on-year growth substantially accelerated to record 3</w:t>
            </w:r>
            <w:r w:rsidR="0011055D" w:rsidRPr="006E725C">
              <w:rPr>
                <w:color w:val="0D0D0D" w:themeColor="text1" w:themeTint="F2"/>
                <w:spacing w:val="-6"/>
                <w:lang w:val="en-GB"/>
              </w:rPr>
              <w:t>7</w:t>
            </w:r>
            <w:r w:rsidR="00372507" w:rsidRPr="006E725C">
              <w:rPr>
                <w:color w:val="0D0D0D" w:themeColor="text1" w:themeTint="F2"/>
                <w:spacing w:val="-6"/>
                <w:lang w:val="en-GB"/>
              </w:rPr>
              <w:t>.</w:t>
            </w:r>
            <w:r w:rsidR="0011055D" w:rsidRPr="006E725C">
              <w:rPr>
                <w:color w:val="0D0D0D" w:themeColor="text1" w:themeTint="F2"/>
                <w:spacing w:val="-6"/>
                <w:lang w:val="en-GB"/>
              </w:rPr>
              <w:t>4%</w:t>
            </w:r>
            <w:r w:rsidR="00372507" w:rsidRPr="006E725C">
              <w:rPr>
                <w:color w:val="0D0D0D" w:themeColor="text1" w:themeTint="F2"/>
                <w:spacing w:val="-6"/>
                <w:lang w:val="en-GB"/>
              </w:rPr>
              <w:t xml:space="preserve"> last year</w:t>
            </w:r>
            <w:r w:rsidR="0011055D" w:rsidRPr="006E725C">
              <w:rPr>
                <w:color w:val="0D0D0D" w:themeColor="text1" w:themeTint="F2"/>
                <w:spacing w:val="-6"/>
                <w:lang w:val="en-GB"/>
              </w:rPr>
              <w:t xml:space="preserve"> (+18</w:t>
            </w:r>
            <w:r w:rsidR="00372507" w:rsidRPr="006E725C">
              <w:rPr>
                <w:color w:val="0D0D0D" w:themeColor="text1" w:themeTint="F2"/>
                <w:spacing w:val="-6"/>
                <w:lang w:val="en-GB"/>
              </w:rPr>
              <w:t>.</w:t>
            </w:r>
            <w:r w:rsidR="0011055D" w:rsidRPr="006E725C">
              <w:rPr>
                <w:color w:val="0D0D0D" w:themeColor="text1" w:themeTint="F2"/>
                <w:spacing w:val="-6"/>
                <w:lang w:val="en-GB"/>
              </w:rPr>
              <w:t>6</w:t>
            </w:r>
            <w:r w:rsidR="00372507" w:rsidRPr="006E725C">
              <w:rPr>
                <w:color w:val="0D0D0D" w:themeColor="text1" w:themeTint="F2"/>
                <w:spacing w:val="-6"/>
                <w:lang w:val="en-GB"/>
              </w:rPr>
              <w:t xml:space="preserve"> </w:t>
            </w:r>
            <w:r w:rsidR="009C0832">
              <w:rPr>
                <w:color w:val="0D0D0D" w:themeColor="text1" w:themeTint="F2"/>
                <w:spacing w:val="-6"/>
                <w:lang w:val="en-GB"/>
              </w:rPr>
              <w:t xml:space="preserve">CZK </w:t>
            </w:r>
            <w:proofErr w:type="spellStart"/>
            <w:r w:rsidR="009C0832">
              <w:rPr>
                <w:color w:val="0D0D0D" w:themeColor="text1" w:themeTint="F2"/>
                <w:spacing w:val="-6"/>
                <w:lang w:val="en-GB"/>
              </w:rPr>
              <w:t>bn</w:t>
            </w:r>
            <w:proofErr w:type="spellEnd"/>
            <w:r w:rsidR="0011055D" w:rsidRPr="006E725C">
              <w:rPr>
                <w:color w:val="0D0D0D" w:themeColor="text1" w:themeTint="F2"/>
                <w:spacing w:val="-6"/>
                <w:lang w:val="en-GB"/>
              </w:rPr>
              <w:t>)</w:t>
            </w:r>
            <w:r w:rsidR="0011055D" w:rsidRPr="006E725C">
              <w:rPr>
                <w:rStyle w:val="Znakapoznpodarou"/>
                <w:spacing w:val="-6"/>
                <w:lang w:val="en-GB"/>
              </w:rPr>
              <w:footnoteReference w:id="127"/>
            </w:r>
            <w:r w:rsidR="0011055D" w:rsidRPr="006E725C">
              <w:rPr>
                <w:color w:val="0D0D0D" w:themeColor="text1" w:themeTint="F2"/>
                <w:spacing w:val="-6"/>
                <w:lang w:val="en-GB"/>
              </w:rPr>
              <w:t>. 7</w:t>
            </w:r>
            <w:r w:rsidR="009E63CF" w:rsidRPr="006E725C">
              <w:rPr>
                <w:color w:val="0D0D0D" w:themeColor="text1" w:themeTint="F2"/>
                <w:spacing w:val="-6"/>
                <w:lang w:val="en-GB"/>
              </w:rPr>
              <w:t>.</w:t>
            </w:r>
            <w:r w:rsidR="0011055D" w:rsidRPr="006E725C">
              <w:rPr>
                <w:color w:val="0D0D0D" w:themeColor="text1" w:themeTint="F2"/>
                <w:spacing w:val="-6"/>
                <w:lang w:val="en-GB"/>
              </w:rPr>
              <w:t>4%</w:t>
            </w:r>
            <w:r w:rsidR="0011055D" w:rsidRPr="006E725C">
              <w:rPr>
                <w:rStyle w:val="Znakapoznpodarou"/>
                <w:color w:val="0D0D0D" w:themeColor="text1" w:themeTint="F2"/>
                <w:spacing w:val="-6"/>
                <w:lang w:val="en-GB"/>
              </w:rPr>
              <w:footnoteReference w:id="128"/>
            </w:r>
            <w:r w:rsidR="0011055D" w:rsidRPr="006E725C">
              <w:rPr>
                <w:color w:val="0D0D0D" w:themeColor="text1" w:themeTint="F2"/>
                <w:spacing w:val="-6"/>
                <w:lang w:val="en-GB"/>
              </w:rPr>
              <w:t xml:space="preserve"> </w:t>
            </w:r>
            <w:r w:rsidR="009E63CF" w:rsidRPr="006E725C">
              <w:rPr>
                <w:color w:val="0D0D0D" w:themeColor="text1" w:themeTint="F2"/>
                <w:spacing w:val="-6"/>
                <w:lang w:val="en-GB"/>
              </w:rPr>
              <w:t xml:space="preserve">more </w:t>
            </w:r>
            <w:r w:rsidR="0011055D" w:rsidRPr="006E725C">
              <w:rPr>
                <w:color w:val="0D0D0D" w:themeColor="text1" w:themeTint="F2"/>
                <w:spacing w:val="-6"/>
                <w:lang w:val="en-GB"/>
              </w:rPr>
              <w:t>(+11</w:t>
            </w:r>
            <w:r w:rsidR="009E63CF" w:rsidRPr="006E725C">
              <w:rPr>
                <w:color w:val="0D0D0D" w:themeColor="text1" w:themeTint="F2"/>
                <w:spacing w:val="-6"/>
                <w:lang w:val="en-GB"/>
              </w:rPr>
              <w:t>.</w:t>
            </w:r>
            <w:r w:rsidR="0011055D" w:rsidRPr="006E725C">
              <w:rPr>
                <w:color w:val="0D0D0D" w:themeColor="text1" w:themeTint="F2"/>
                <w:spacing w:val="-6"/>
                <w:lang w:val="en-GB"/>
              </w:rPr>
              <w:t>4</w:t>
            </w:r>
            <w:r w:rsidR="009E63CF" w:rsidRPr="006E725C">
              <w:rPr>
                <w:color w:val="0D0D0D" w:themeColor="text1" w:themeTint="F2"/>
                <w:spacing w:val="-6"/>
                <w:lang w:val="en-GB"/>
              </w:rPr>
              <w:t xml:space="preserve"> </w:t>
            </w:r>
            <w:r w:rsidR="009C0832">
              <w:rPr>
                <w:color w:val="0D0D0D" w:themeColor="text1" w:themeTint="F2"/>
                <w:spacing w:val="-6"/>
                <w:lang w:val="en-GB"/>
              </w:rPr>
              <w:t xml:space="preserve">CZK </w:t>
            </w:r>
            <w:proofErr w:type="spellStart"/>
            <w:r w:rsidR="009C0832">
              <w:rPr>
                <w:color w:val="0D0D0D" w:themeColor="text1" w:themeTint="F2"/>
                <w:spacing w:val="-6"/>
                <w:lang w:val="en-GB"/>
              </w:rPr>
              <w:t>bn</w:t>
            </w:r>
            <w:proofErr w:type="spellEnd"/>
            <w:r w:rsidR="0011055D" w:rsidRPr="006E725C">
              <w:rPr>
                <w:color w:val="0D0D0D" w:themeColor="text1" w:themeTint="F2"/>
                <w:spacing w:val="-6"/>
                <w:lang w:val="en-GB"/>
              </w:rPr>
              <w:t>)</w:t>
            </w:r>
            <w:r w:rsidR="009E63CF" w:rsidRPr="006E725C">
              <w:rPr>
                <w:color w:val="0D0D0D" w:themeColor="text1" w:themeTint="F2"/>
                <w:spacing w:val="-6"/>
                <w:lang w:val="en-GB"/>
              </w:rPr>
              <w:t xml:space="preserve"> was directed to the wages in the central government institutions last year</w:t>
            </w:r>
            <w:r w:rsidR="0011055D" w:rsidRPr="006E725C">
              <w:rPr>
                <w:color w:val="0D0D0D" w:themeColor="text1" w:themeTint="F2"/>
                <w:spacing w:val="-6"/>
                <w:lang w:val="en-GB"/>
              </w:rPr>
              <w:t xml:space="preserve">. </w:t>
            </w:r>
            <w:r w:rsidR="009E63CF" w:rsidRPr="006E725C">
              <w:rPr>
                <w:color w:val="0D0D0D" w:themeColor="text1" w:themeTint="F2"/>
                <w:spacing w:val="-6"/>
                <w:lang w:val="en-GB"/>
              </w:rPr>
              <w:t xml:space="preserve">It was connected to the increase of wage tariffs of the public security forces and armed forces </w:t>
            </w:r>
            <w:r w:rsidR="0011055D" w:rsidRPr="006E725C">
              <w:rPr>
                <w:color w:val="0D0D0D" w:themeColor="text1" w:themeTint="F2"/>
                <w:spacing w:val="-6"/>
                <w:lang w:val="en-GB"/>
              </w:rPr>
              <w:t>(</w:t>
            </w:r>
            <w:r w:rsidR="009E63CF" w:rsidRPr="006E725C">
              <w:rPr>
                <w:color w:val="0D0D0D" w:themeColor="text1" w:themeTint="F2"/>
                <w:spacing w:val="-6"/>
                <w:lang w:val="en-GB"/>
              </w:rPr>
              <w:t xml:space="preserve">since January </w:t>
            </w:r>
            <w:r w:rsidR="0011055D" w:rsidRPr="006E725C">
              <w:rPr>
                <w:color w:val="0D0D0D" w:themeColor="text1" w:themeTint="F2"/>
                <w:spacing w:val="-6"/>
                <w:lang w:val="en-GB"/>
              </w:rPr>
              <w:t>2023) a</w:t>
            </w:r>
            <w:r w:rsidR="009E63CF" w:rsidRPr="006E725C">
              <w:rPr>
                <w:color w:val="0D0D0D" w:themeColor="text1" w:themeTint="F2"/>
                <w:spacing w:val="-6"/>
                <w:lang w:val="en-GB"/>
              </w:rPr>
              <w:t xml:space="preserve">nd employees in the civil service </w:t>
            </w:r>
            <w:r w:rsidR="0011055D" w:rsidRPr="006E725C">
              <w:rPr>
                <w:color w:val="0D0D0D" w:themeColor="text1" w:themeTint="F2"/>
                <w:spacing w:val="-6"/>
                <w:lang w:val="en-GB"/>
              </w:rPr>
              <w:t>(</w:t>
            </w:r>
            <w:r w:rsidR="009E63CF" w:rsidRPr="006E725C">
              <w:rPr>
                <w:color w:val="0D0D0D" w:themeColor="text1" w:themeTint="F2"/>
                <w:spacing w:val="-6"/>
                <w:lang w:val="en-GB"/>
              </w:rPr>
              <w:t xml:space="preserve">since September </w:t>
            </w:r>
            <w:r w:rsidR="0011055D" w:rsidRPr="006E725C">
              <w:rPr>
                <w:color w:val="0D0D0D" w:themeColor="text1" w:themeTint="F2"/>
                <w:spacing w:val="-6"/>
                <w:lang w:val="en-GB"/>
              </w:rPr>
              <w:t xml:space="preserve">2022). </w:t>
            </w:r>
            <w:r w:rsidR="009E63CF" w:rsidRPr="006E725C">
              <w:rPr>
                <w:color w:val="0D0D0D" w:themeColor="text1" w:themeTint="F2"/>
                <w:spacing w:val="-6"/>
                <w:lang w:val="en-GB"/>
              </w:rPr>
              <w:t xml:space="preserve">After the freeze during the pandemics, outlays on the wages of constitutional authorities also increased last year. </w:t>
            </w:r>
            <w:r w:rsidR="00E63BAE" w:rsidRPr="006E725C">
              <w:rPr>
                <w:color w:val="0D0D0D" w:themeColor="text1" w:themeTint="F2"/>
                <w:spacing w:val="-6"/>
                <w:lang w:val="en-GB"/>
              </w:rPr>
              <w:t xml:space="preserve">Payments of the public health insurance for the so-called state insured person, which grew by 7.2% (+9.3 </w:t>
            </w:r>
            <w:r w:rsidR="009C0832">
              <w:rPr>
                <w:color w:val="0D0D0D" w:themeColor="text1" w:themeTint="F2"/>
                <w:spacing w:val="-6"/>
                <w:lang w:val="en-GB"/>
              </w:rPr>
              <w:t xml:space="preserve">CZK </w:t>
            </w:r>
            <w:proofErr w:type="spellStart"/>
            <w:r w:rsidR="009C0832">
              <w:rPr>
                <w:color w:val="0D0D0D" w:themeColor="text1" w:themeTint="F2"/>
                <w:spacing w:val="-6"/>
                <w:lang w:val="en-GB"/>
              </w:rPr>
              <w:t>bn</w:t>
            </w:r>
            <w:proofErr w:type="spellEnd"/>
            <w:r w:rsidR="00E63BAE" w:rsidRPr="006E725C">
              <w:rPr>
                <w:color w:val="0D0D0D" w:themeColor="text1" w:themeTint="F2"/>
                <w:spacing w:val="-6"/>
                <w:lang w:val="en-GB"/>
              </w:rPr>
              <w:t xml:space="preserve">) primarily due to the increase of the assessment base for payment represented the last chapter sharing more notably on the growth of current expenditures. </w:t>
            </w:r>
          </w:p>
        </w:tc>
      </w:tr>
      <w:tr w:rsidR="0011055D" w:rsidRPr="006E725C" w14:paraId="1D332A8D" w14:textId="77777777" w:rsidTr="00C07C2F">
        <w:trPr>
          <w:trHeight w:val="170"/>
        </w:trPr>
        <w:tc>
          <w:tcPr>
            <w:tcW w:w="1792" w:type="dxa"/>
            <w:shd w:val="clear" w:color="auto" w:fill="auto"/>
            <w:tcMar>
              <w:left w:w="0" w:type="dxa"/>
            </w:tcMar>
          </w:tcPr>
          <w:p w14:paraId="586C9EE2" w14:textId="14909813" w:rsidR="0011055D" w:rsidRPr="006E725C" w:rsidRDefault="009E63CF" w:rsidP="00C07C2F">
            <w:pPr>
              <w:pStyle w:val="Marginlie"/>
              <w:rPr>
                <w:lang w:val="en-GB"/>
              </w:rPr>
            </w:pPr>
            <w:r w:rsidRPr="006E725C">
              <w:rPr>
                <w:lang w:val="en-GB"/>
              </w:rPr>
              <w:t>Size of current subsidies to agriculture or non-</w:t>
            </w:r>
            <w:r w:rsidR="004C29F0" w:rsidRPr="006E725C">
              <w:rPr>
                <w:lang w:val="en-GB"/>
              </w:rPr>
              <w:t>investment</w:t>
            </w:r>
            <w:r w:rsidRPr="006E725C">
              <w:rPr>
                <w:lang w:val="en-GB"/>
              </w:rPr>
              <w:t xml:space="preserve"> purchases went down. </w:t>
            </w:r>
          </w:p>
        </w:tc>
        <w:tc>
          <w:tcPr>
            <w:tcW w:w="203" w:type="dxa"/>
            <w:shd w:val="clear" w:color="auto" w:fill="auto"/>
            <w:tcMar>
              <w:left w:w="0" w:type="dxa"/>
            </w:tcMar>
          </w:tcPr>
          <w:p w14:paraId="5A183A69"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6E85C714" w14:textId="11FD169E" w:rsidR="0011055D" w:rsidRPr="006E725C" w:rsidRDefault="009E63CF" w:rsidP="00C07C2F">
            <w:pPr>
              <w:spacing w:after="200"/>
              <w:rPr>
                <w:color w:val="0D0D0D" w:themeColor="text1" w:themeTint="F2"/>
                <w:spacing w:val="-6"/>
                <w:lang w:val="en-GB"/>
              </w:rPr>
            </w:pPr>
            <w:r w:rsidRPr="006E725C">
              <w:rPr>
                <w:color w:val="0D0D0D" w:themeColor="text1" w:themeTint="F2"/>
                <w:spacing w:val="-6"/>
                <w:lang w:val="en-GB"/>
              </w:rPr>
              <w:t xml:space="preserve">Growth of SB current expenditures was mainly subdued by lower subsidies to the State agricultural intervention fund, which slumped by nearly 30% </w:t>
            </w:r>
            <w:r w:rsidR="0011055D" w:rsidRPr="006E725C">
              <w:rPr>
                <w:color w:val="0D0D0D" w:themeColor="text1" w:themeTint="F2"/>
                <w:spacing w:val="-6"/>
                <w:lang w:val="en-GB"/>
              </w:rPr>
              <w:t>(−12</w:t>
            </w:r>
            <w:r w:rsidRPr="006E725C">
              <w:rPr>
                <w:color w:val="0D0D0D" w:themeColor="text1" w:themeTint="F2"/>
                <w:spacing w:val="-6"/>
                <w:lang w:val="en-GB"/>
              </w:rPr>
              <w:t>.</w:t>
            </w:r>
            <w:r w:rsidR="0011055D" w:rsidRPr="006E725C">
              <w:rPr>
                <w:color w:val="0D0D0D" w:themeColor="text1" w:themeTint="F2"/>
                <w:spacing w:val="-6"/>
                <w:lang w:val="en-GB"/>
              </w:rPr>
              <w:t>9</w:t>
            </w:r>
            <w:r w:rsidRPr="006E725C">
              <w:rPr>
                <w:color w:val="0D0D0D" w:themeColor="text1" w:themeTint="F2"/>
                <w:spacing w:val="-6"/>
                <w:lang w:val="en-GB"/>
              </w:rPr>
              <w:t xml:space="preserve"> </w:t>
            </w:r>
            <w:r w:rsidR="009C0832">
              <w:rPr>
                <w:color w:val="0D0D0D" w:themeColor="text1" w:themeTint="F2"/>
                <w:spacing w:val="-6"/>
                <w:lang w:val="en-GB"/>
              </w:rPr>
              <w:t xml:space="preserve">CZK </w:t>
            </w:r>
            <w:proofErr w:type="spellStart"/>
            <w:r w:rsidR="009C0832">
              <w:rPr>
                <w:color w:val="0D0D0D" w:themeColor="text1" w:themeTint="F2"/>
                <w:spacing w:val="-6"/>
                <w:lang w:val="en-GB"/>
              </w:rPr>
              <w:t>bn</w:t>
            </w:r>
            <w:proofErr w:type="spellEnd"/>
            <w:r w:rsidR="0011055D" w:rsidRPr="006E725C">
              <w:rPr>
                <w:color w:val="0D0D0D" w:themeColor="text1" w:themeTint="F2"/>
                <w:spacing w:val="-6"/>
                <w:lang w:val="en-GB"/>
              </w:rPr>
              <w:t>)</w:t>
            </w:r>
            <w:r w:rsidRPr="006E725C">
              <w:rPr>
                <w:color w:val="0D0D0D" w:themeColor="text1" w:themeTint="F2"/>
                <w:spacing w:val="-6"/>
                <w:lang w:val="en-GB"/>
              </w:rPr>
              <w:t xml:space="preserve"> year-on-year</w:t>
            </w:r>
            <w:r w:rsidR="0011055D" w:rsidRPr="006E725C">
              <w:rPr>
                <w:color w:val="0D0D0D" w:themeColor="text1" w:themeTint="F2"/>
                <w:spacing w:val="-6"/>
                <w:lang w:val="en-GB"/>
              </w:rPr>
              <w:t xml:space="preserve">. </w:t>
            </w:r>
            <w:r w:rsidR="00C446AC" w:rsidRPr="006E725C">
              <w:rPr>
                <w:color w:val="0D0D0D" w:themeColor="text1" w:themeTint="F2"/>
                <w:spacing w:val="-6"/>
                <w:lang w:val="en-GB"/>
              </w:rPr>
              <w:t xml:space="preserve">Non-investment purchases, where was directed by one tenth less </w:t>
            </w:r>
            <w:r w:rsidR="0011055D" w:rsidRPr="006E725C">
              <w:rPr>
                <w:color w:val="0D0D0D" w:themeColor="text1" w:themeTint="F2"/>
                <w:spacing w:val="-6"/>
                <w:lang w:val="en-GB"/>
              </w:rPr>
              <w:t>(−9</w:t>
            </w:r>
            <w:r w:rsidR="00C446AC" w:rsidRPr="006E725C">
              <w:rPr>
                <w:color w:val="0D0D0D" w:themeColor="text1" w:themeTint="F2"/>
                <w:spacing w:val="-6"/>
                <w:lang w:val="en-GB"/>
              </w:rPr>
              <w:t>.</w:t>
            </w:r>
            <w:r w:rsidR="0011055D" w:rsidRPr="006E725C">
              <w:rPr>
                <w:color w:val="0D0D0D" w:themeColor="text1" w:themeTint="F2"/>
                <w:spacing w:val="-6"/>
                <w:lang w:val="en-GB"/>
              </w:rPr>
              <w:t>6</w:t>
            </w:r>
            <w:r w:rsidR="00C446AC" w:rsidRPr="006E725C">
              <w:rPr>
                <w:color w:val="0D0D0D" w:themeColor="text1" w:themeTint="F2"/>
                <w:spacing w:val="-6"/>
                <w:lang w:val="en-GB"/>
              </w:rPr>
              <w:t xml:space="preserve"> </w:t>
            </w:r>
            <w:r w:rsidR="009C0832">
              <w:rPr>
                <w:color w:val="0D0D0D" w:themeColor="text1" w:themeTint="F2"/>
                <w:spacing w:val="-6"/>
                <w:lang w:val="en-GB"/>
              </w:rPr>
              <w:t xml:space="preserve">CZK </w:t>
            </w:r>
            <w:proofErr w:type="spellStart"/>
            <w:r w:rsidR="009C0832">
              <w:rPr>
                <w:color w:val="0D0D0D" w:themeColor="text1" w:themeTint="F2"/>
                <w:spacing w:val="-6"/>
                <w:lang w:val="en-GB"/>
              </w:rPr>
              <w:t>bn</w:t>
            </w:r>
            <w:proofErr w:type="spellEnd"/>
            <w:r w:rsidR="0011055D" w:rsidRPr="006E725C">
              <w:rPr>
                <w:color w:val="0D0D0D" w:themeColor="text1" w:themeTint="F2"/>
                <w:spacing w:val="-6"/>
                <w:lang w:val="en-GB"/>
              </w:rPr>
              <w:t>)</w:t>
            </w:r>
            <w:r w:rsidR="00C446AC" w:rsidRPr="006E725C">
              <w:rPr>
                <w:color w:val="0D0D0D" w:themeColor="text1" w:themeTint="F2"/>
                <w:spacing w:val="-6"/>
                <w:lang w:val="en-GB"/>
              </w:rPr>
              <w:t xml:space="preserve"> against year 2022, also recorded savings. M</w:t>
            </w:r>
            <w:r w:rsidR="00E63BAE" w:rsidRPr="006E725C">
              <w:rPr>
                <w:color w:val="0D0D0D" w:themeColor="text1" w:themeTint="F2"/>
                <w:spacing w:val="-6"/>
                <w:lang w:val="en-GB"/>
              </w:rPr>
              <w:t xml:space="preserve">ainly lower price of natural gas acquired into the state material reserves, decrease of purchases of vaccination as well as lower compensation to the Czech Post stood behind it. Increase of expenditures on the contrary arose for purchases associated with the area of defence and internal security last year. </w:t>
            </w:r>
            <w:r w:rsidR="0011055D" w:rsidRPr="006E725C">
              <w:rPr>
                <w:color w:val="0D0D0D" w:themeColor="text1" w:themeTint="F2"/>
                <w:spacing w:val="-6"/>
                <w:lang w:val="en-GB"/>
              </w:rPr>
              <w:t xml:space="preserve"> </w:t>
            </w:r>
          </w:p>
        </w:tc>
      </w:tr>
      <w:tr w:rsidR="00EB1C78" w:rsidRPr="006E725C" w14:paraId="00375CC1" w14:textId="77777777" w:rsidTr="00C07C2F">
        <w:trPr>
          <w:trHeight w:val="170"/>
        </w:trPr>
        <w:tc>
          <w:tcPr>
            <w:tcW w:w="1792" w:type="dxa"/>
            <w:shd w:val="clear" w:color="auto" w:fill="auto"/>
            <w:tcMar>
              <w:left w:w="0" w:type="dxa"/>
            </w:tcMar>
          </w:tcPr>
          <w:p w14:paraId="335C02F2" w14:textId="77777777" w:rsidR="00EB1C78" w:rsidRPr="006E725C" w:rsidRDefault="00EB1C78" w:rsidP="00EB1C78">
            <w:pPr>
              <w:pStyle w:val="Marginlie"/>
              <w:rPr>
                <w:lang w:val="en-GB"/>
              </w:rPr>
            </w:pPr>
            <w:r w:rsidRPr="006E725C">
              <w:rPr>
                <w:lang w:val="en-GB"/>
              </w:rPr>
              <w:t xml:space="preserve">Expenditures on environment, defence and security contributed to the fast growth of investment.  </w:t>
            </w:r>
          </w:p>
          <w:p w14:paraId="6BE9DB46" w14:textId="77777777" w:rsidR="00EB1C78" w:rsidRPr="006E725C" w:rsidRDefault="00EB1C78" w:rsidP="00EB1C78">
            <w:pPr>
              <w:pStyle w:val="Marginlie"/>
              <w:rPr>
                <w:lang w:val="en-GB"/>
              </w:rPr>
            </w:pPr>
          </w:p>
          <w:p w14:paraId="058DF2B6" w14:textId="77777777" w:rsidR="00EB1C78" w:rsidRPr="006E725C" w:rsidRDefault="00EB1C78" w:rsidP="00EB1C78">
            <w:pPr>
              <w:pStyle w:val="Marginlie"/>
              <w:rPr>
                <w:lang w:val="en-GB"/>
              </w:rPr>
            </w:pPr>
          </w:p>
          <w:p w14:paraId="667A0E7F" w14:textId="4DD81153" w:rsidR="00EB1C78" w:rsidRPr="006E725C" w:rsidRDefault="00EB1C78" w:rsidP="00EB1C78">
            <w:pPr>
              <w:pStyle w:val="Marginlie"/>
              <w:rPr>
                <w:lang w:val="en-GB"/>
              </w:rPr>
            </w:pPr>
          </w:p>
          <w:p w14:paraId="738B077C" w14:textId="77777777" w:rsidR="00EB1C78" w:rsidRPr="006E725C" w:rsidRDefault="00EB1C78" w:rsidP="00EB1C78">
            <w:pPr>
              <w:pStyle w:val="Marginlie"/>
              <w:rPr>
                <w:lang w:val="en-GB"/>
              </w:rPr>
            </w:pPr>
          </w:p>
          <w:p w14:paraId="1767CA17" w14:textId="37AB08B9" w:rsidR="00EB1C78" w:rsidRPr="006E725C" w:rsidRDefault="00EB1C78" w:rsidP="00EB1C78">
            <w:pPr>
              <w:pStyle w:val="Marginlie"/>
              <w:rPr>
                <w:lang w:val="en-GB"/>
              </w:rPr>
            </w:pPr>
            <w:r w:rsidRPr="006E725C">
              <w:rPr>
                <w:lang w:val="en-GB"/>
              </w:rPr>
              <w:t xml:space="preserve">Proportion of investment on total SB expenditures was the highest in the last eight years. </w:t>
            </w:r>
          </w:p>
        </w:tc>
        <w:tc>
          <w:tcPr>
            <w:tcW w:w="203" w:type="dxa"/>
            <w:shd w:val="clear" w:color="auto" w:fill="auto"/>
            <w:tcMar>
              <w:left w:w="0" w:type="dxa"/>
            </w:tcMar>
          </w:tcPr>
          <w:p w14:paraId="03C0A2CF" w14:textId="77777777" w:rsidR="00EB1C78" w:rsidRPr="006E725C" w:rsidRDefault="00EB1C78" w:rsidP="00EB1C78">
            <w:pPr>
              <w:pStyle w:val="Textpoznpodarou"/>
              <w:jc w:val="both"/>
              <w:rPr>
                <w:spacing w:val="-4"/>
                <w:lang w:val="en-GB"/>
              </w:rPr>
            </w:pPr>
          </w:p>
        </w:tc>
        <w:tc>
          <w:tcPr>
            <w:tcW w:w="7674" w:type="dxa"/>
            <w:shd w:val="clear" w:color="auto" w:fill="auto"/>
            <w:tcMar>
              <w:left w:w="0" w:type="dxa"/>
            </w:tcMar>
          </w:tcPr>
          <w:p w14:paraId="1032997F" w14:textId="617E0E91" w:rsidR="00EB1C78" w:rsidRPr="006E725C" w:rsidRDefault="00EB1C78" w:rsidP="00EB1C78">
            <w:pPr>
              <w:spacing w:after="200"/>
              <w:rPr>
                <w:color w:val="0D0D0D" w:themeColor="text1" w:themeTint="F2"/>
                <w:spacing w:val="-6"/>
                <w:lang w:val="en-GB"/>
              </w:rPr>
            </w:pPr>
            <w:r w:rsidRPr="006E725C">
              <w:rPr>
                <w:color w:val="0D0D0D" w:themeColor="text1" w:themeTint="F2"/>
                <w:spacing w:val="-4"/>
                <w:lang w:val="en-GB"/>
              </w:rPr>
              <w:t xml:space="preserve">Rate of growth of the SB capital outlays accelerated to 13.6% last year, by 25.4 </w:t>
            </w:r>
            <w:r>
              <w:rPr>
                <w:color w:val="0D0D0D" w:themeColor="text1" w:themeTint="F2"/>
                <w:spacing w:val="-4"/>
                <w:lang w:val="en-GB"/>
              </w:rPr>
              <w:t xml:space="preserve">CZK </w:t>
            </w:r>
            <w:proofErr w:type="spellStart"/>
            <w:r>
              <w:rPr>
                <w:color w:val="0D0D0D" w:themeColor="text1" w:themeTint="F2"/>
                <w:spacing w:val="-4"/>
                <w:lang w:val="en-GB"/>
              </w:rPr>
              <w:t>bn</w:t>
            </w:r>
            <w:proofErr w:type="spellEnd"/>
            <w:r w:rsidRPr="006E725C">
              <w:rPr>
                <w:color w:val="0D0D0D" w:themeColor="text1" w:themeTint="F2"/>
                <w:spacing w:val="-4"/>
                <w:lang w:val="en-GB"/>
              </w:rPr>
              <w:t xml:space="preserve"> more was invested year-on-year. Still the size of investment remained slightly behind the budget anticipations (−2.6%). Not only resources on common programmes of the CR from the EU, but also investment solely from the national resources (these formed more than one half of all capital expenditures last year) participated on the growth of investment unlike in year 2022. Subsidies to regional budgets (+8.4 </w:t>
            </w:r>
            <w:r>
              <w:rPr>
                <w:color w:val="0D0D0D" w:themeColor="text1" w:themeTint="F2"/>
                <w:spacing w:val="-4"/>
                <w:lang w:val="en-GB"/>
              </w:rPr>
              <w:t xml:space="preserve">CZK </w:t>
            </w:r>
            <w:proofErr w:type="spellStart"/>
            <w:r>
              <w:rPr>
                <w:color w:val="0D0D0D" w:themeColor="text1" w:themeTint="F2"/>
                <w:spacing w:val="-4"/>
                <w:lang w:val="en-GB"/>
              </w:rPr>
              <w:t>bn</w:t>
            </w:r>
            <w:proofErr w:type="spellEnd"/>
            <w:r w:rsidRPr="006E725C">
              <w:rPr>
                <w:color w:val="0D0D0D" w:themeColor="text1" w:themeTint="F2"/>
                <w:spacing w:val="-4"/>
                <w:lang w:val="en-GB"/>
              </w:rPr>
              <w:t xml:space="preserve">) shared the most on the increase of total investment from the SB, all categories of investment however recorded higher increase. Subsides into the transport infrastructure were the exception (−8.7 </w:t>
            </w:r>
            <w:r>
              <w:rPr>
                <w:color w:val="0D0D0D" w:themeColor="text1" w:themeTint="F2"/>
                <w:spacing w:val="-4"/>
                <w:lang w:val="en-GB"/>
              </w:rPr>
              <w:t xml:space="preserve">CZK </w:t>
            </w:r>
            <w:proofErr w:type="spellStart"/>
            <w:r>
              <w:rPr>
                <w:color w:val="0D0D0D" w:themeColor="text1" w:themeTint="F2"/>
                <w:spacing w:val="-4"/>
                <w:lang w:val="en-GB"/>
              </w:rPr>
              <w:t>bn</w:t>
            </w:r>
            <w:proofErr w:type="spellEnd"/>
            <w:r w:rsidRPr="006E725C">
              <w:rPr>
                <w:color w:val="0D0D0D" w:themeColor="text1" w:themeTint="F2"/>
                <w:spacing w:val="-4"/>
                <w:lang w:val="en-GB"/>
              </w:rPr>
              <w:t>)</w:t>
            </w:r>
            <w:r w:rsidRPr="006E725C">
              <w:rPr>
                <w:rStyle w:val="Znakapoznpodarou"/>
                <w:color w:val="0D0D0D" w:themeColor="text1" w:themeTint="F2"/>
                <w:spacing w:val="-4"/>
                <w:lang w:val="en-GB"/>
              </w:rPr>
              <w:footnoteReference w:id="129"/>
            </w:r>
            <w:r w:rsidRPr="006E725C">
              <w:rPr>
                <w:color w:val="0D0D0D" w:themeColor="text1" w:themeTint="F2"/>
                <w:spacing w:val="-4"/>
                <w:lang w:val="en-GB"/>
              </w:rPr>
              <w:t xml:space="preserve">, still they formed one third of all SB investment (68.1 </w:t>
            </w:r>
            <w:proofErr w:type="spellStart"/>
            <w:r w:rsidRPr="006E725C">
              <w:rPr>
                <w:color w:val="0D0D0D" w:themeColor="text1" w:themeTint="F2"/>
                <w:spacing w:val="-4"/>
                <w:lang w:val="en-GB"/>
              </w:rPr>
              <w:t>bn</w:t>
            </w:r>
            <w:proofErr w:type="spellEnd"/>
            <w:r w:rsidRPr="006E725C">
              <w:rPr>
                <w:color w:val="0D0D0D" w:themeColor="text1" w:themeTint="F2"/>
                <w:spacing w:val="-4"/>
                <w:lang w:val="en-GB"/>
              </w:rPr>
              <w:t xml:space="preserve">). Opposed to year 2022, investment purchases also participated on the growth of capital outlays last year (+6.9 </w:t>
            </w:r>
            <w:r>
              <w:rPr>
                <w:color w:val="0D0D0D" w:themeColor="text1" w:themeTint="F2"/>
                <w:spacing w:val="-4"/>
                <w:lang w:val="en-GB"/>
              </w:rPr>
              <w:t xml:space="preserve">CZK </w:t>
            </w:r>
            <w:proofErr w:type="spellStart"/>
            <w:r>
              <w:rPr>
                <w:color w:val="0D0D0D" w:themeColor="text1" w:themeTint="F2"/>
                <w:spacing w:val="-4"/>
                <w:lang w:val="en-GB"/>
              </w:rPr>
              <w:t>bn</w:t>
            </w:r>
            <w:proofErr w:type="spellEnd"/>
            <w:r w:rsidRPr="006E725C">
              <w:rPr>
                <w:color w:val="0D0D0D" w:themeColor="text1" w:themeTint="F2"/>
                <w:spacing w:val="-4"/>
                <w:lang w:val="en-GB"/>
              </w:rPr>
              <w:t xml:space="preserve">), it concerned especially military equipment and transport equipment. Total investment </w:t>
            </w:r>
            <w:r w:rsidRPr="006E725C">
              <w:rPr>
                <w:color w:val="0D0D0D" w:themeColor="text1" w:themeTint="F2"/>
                <w:spacing w:val="-4"/>
                <w:lang w:val="en-GB"/>
              </w:rPr>
              <w:lastRenderedPageBreak/>
              <w:t xml:space="preserve">participated 9.6% on all SB expenditures last year, the most in the last eight years. From the long-time view however (last two decades) it still concerns rather an average value. </w:t>
            </w:r>
          </w:p>
        </w:tc>
      </w:tr>
      <w:tr w:rsidR="00EB1C78" w:rsidRPr="006E725C" w14:paraId="60D04FAD" w14:textId="77777777" w:rsidTr="00C07C2F">
        <w:trPr>
          <w:trHeight w:val="170"/>
        </w:trPr>
        <w:tc>
          <w:tcPr>
            <w:tcW w:w="1792" w:type="dxa"/>
            <w:vMerge w:val="restart"/>
            <w:shd w:val="clear" w:color="auto" w:fill="auto"/>
            <w:tcMar>
              <w:left w:w="0" w:type="dxa"/>
            </w:tcMar>
          </w:tcPr>
          <w:p w14:paraId="4EF4266F" w14:textId="77777777" w:rsidR="00EB1C78" w:rsidRPr="006E725C" w:rsidRDefault="00EB1C78" w:rsidP="00EB1C78">
            <w:pPr>
              <w:pStyle w:val="Marginlie"/>
              <w:rPr>
                <w:lang w:val="en-GB"/>
              </w:rPr>
            </w:pPr>
          </w:p>
        </w:tc>
        <w:tc>
          <w:tcPr>
            <w:tcW w:w="203" w:type="dxa"/>
            <w:vMerge w:val="restart"/>
            <w:shd w:val="clear" w:color="auto" w:fill="auto"/>
            <w:tcMar>
              <w:left w:w="0" w:type="dxa"/>
            </w:tcMar>
          </w:tcPr>
          <w:p w14:paraId="0773478B" w14:textId="77777777" w:rsidR="00EB1C78" w:rsidRPr="006E725C" w:rsidRDefault="00EB1C78" w:rsidP="00EB1C78">
            <w:pPr>
              <w:pStyle w:val="Textpoznpodarou"/>
              <w:jc w:val="both"/>
              <w:rPr>
                <w:spacing w:val="-4"/>
                <w:lang w:val="en-GB"/>
              </w:rPr>
            </w:pPr>
          </w:p>
        </w:tc>
        <w:tc>
          <w:tcPr>
            <w:tcW w:w="7674" w:type="dxa"/>
            <w:shd w:val="clear" w:color="auto" w:fill="auto"/>
            <w:tcMar>
              <w:left w:w="0" w:type="dxa"/>
            </w:tcMar>
          </w:tcPr>
          <w:p w14:paraId="6C8C6374" w14:textId="1B961145" w:rsidR="00EB1C78" w:rsidRPr="006E725C" w:rsidRDefault="00EB1C78" w:rsidP="00EB1C78">
            <w:pPr>
              <w:spacing w:after="20" w:line="240" w:lineRule="auto"/>
              <w:jc w:val="left"/>
              <w:rPr>
                <w:rFonts w:cs="Arial"/>
                <w:b/>
                <w:bCs/>
                <w:lang w:val="en-GB"/>
              </w:rPr>
            </w:pPr>
            <w:r w:rsidRPr="006E725C">
              <w:rPr>
                <w:b/>
                <w:lang w:val="en-GB"/>
              </w:rPr>
              <w:t xml:space="preserve">Chart 19 </w:t>
            </w:r>
            <w:r w:rsidRPr="006E725C">
              <w:rPr>
                <w:rFonts w:cs="Arial"/>
                <w:b/>
                <w:bCs/>
                <w:spacing w:val="-6"/>
                <w:lang w:val="en-GB"/>
              </w:rPr>
              <w:t xml:space="preserve">Selected expenditures of the state budget </w:t>
            </w:r>
          </w:p>
        </w:tc>
      </w:tr>
      <w:tr w:rsidR="00EB1C78" w:rsidRPr="006E725C" w14:paraId="44EBC16C" w14:textId="77777777" w:rsidTr="00EB1C78">
        <w:tblPrEx>
          <w:tblCellMar>
            <w:left w:w="70" w:type="dxa"/>
            <w:right w:w="70" w:type="dxa"/>
          </w:tblCellMar>
        </w:tblPrEx>
        <w:trPr>
          <w:trHeight w:val="170"/>
        </w:trPr>
        <w:tc>
          <w:tcPr>
            <w:tcW w:w="1792" w:type="dxa"/>
            <w:vMerge/>
            <w:shd w:val="clear" w:color="auto" w:fill="auto"/>
          </w:tcPr>
          <w:p w14:paraId="328D877A" w14:textId="77777777" w:rsidR="00EB1C78" w:rsidRPr="006E725C" w:rsidRDefault="00EB1C78" w:rsidP="00EB1C78">
            <w:pPr>
              <w:pStyle w:val="Marginlie"/>
              <w:rPr>
                <w:lang w:val="en-GB"/>
              </w:rPr>
            </w:pPr>
          </w:p>
        </w:tc>
        <w:tc>
          <w:tcPr>
            <w:tcW w:w="203" w:type="dxa"/>
            <w:vMerge/>
            <w:shd w:val="clear" w:color="auto" w:fill="auto"/>
          </w:tcPr>
          <w:p w14:paraId="7A930ECF" w14:textId="77777777" w:rsidR="00EB1C78" w:rsidRPr="006E725C" w:rsidRDefault="00EB1C78" w:rsidP="00EB1C78">
            <w:pPr>
              <w:pStyle w:val="Textpoznpodarou"/>
              <w:jc w:val="both"/>
              <w:rPr>
                <w:spacing w:val="-4"/>
                <w:lang w:val="en-GB"/>
              </w:rPr>
            </w:pPr>
          </w:p>
        </w:tc>
        <w:tc>
          <w:tcPr>
            <w:tcW w:w="7674" w:type="dxa"/>
            <w:shd w:val="clear" w:color="auto" w:fill="auto"/>
          </w:tcPr>
          <w:p w14:paraId="76AC23F1" w14:textId="0E6F481C" w:rsidR="00EB1C78" w:rsidRPr="006E725C" w:rsidRDefault="00EB1C78" w:rsidP="00EB1C78">
            <w:pPr>
              <w:spacing w:after="40"/>
              <w:rPr>
                <w:spacing w:val="-6"/>
                <w:lang w:val="en-GB"/>
              </w:rPr>
            </w:pPr>
            <w:r>
              <w:rPr>
                <w:noProof/>
              </w:rPr>
              <w:drawing>
                <wp:inline distT="0" distB="0" distL="0" distR="0" wp14:anchorId="5E2E0508" wp14:editId="6BA75E61">
                  <wp:extent cx="4712709" cy="3533034"/>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EB1C78" w:rsidRPr="006E725C" w14:paraId="584B6453" w14:textId="77777777" w:rsidTr="00C07C2F">
        <w:trPr>
          <w:trHeight w:val="170"/>
        </w:trPr>
        <w:tc>
          <w:tcPr>
            <w:tcW w:w="1792" w:type="dxa"/>
            <w:vMerge/>
            <w:shd w:val="clear" w:color="auto" w:fill="auto"/>
            <w:tcMar>
              <w:left w:w="0" w:type="dxa"/>
            </w:tcMar>
          </w:tcPr>
          <w:p w14:paraId="2368233A" w14:textId="77777777" w:rsidR="00EB1C78" w:rsidRPr="006E725C" w:rsidRDefault="00EB1C78" w:rsidP="00EB1C78">
            <w:pPr>
              <w:pStyle w:val="Marginlie"/>
              <w:rPr>
                <w:lang w:val="en-GB"/>
              </w:rPr>
            </w:pPr>
          </w:p>
        </w:tc>
        <w:tc>
          <w:tcPr>
            <w:tcW w:w="203" w:type="dxa"/>
            <w:vMerge/>
            <w:shd w:val="clear" w:color="auto" w:fill="auto"/>
            <w:tcMar>
              <w:left w:w="0" w:type="dxa"/>
            </w:tcMar>
          </w:tcPr>
          <w:p w14:paraId="6D1C3D7C" w14:textId="77777777" w:rsidR="00EB1C78" w:rsidRPr="006E725C" w:rsidRDefault="00EB1C78" w:rsidP="00EB1C78">
            <w:pPr>
              <w:pStyle w:val="Textpoznpodarou"/>
              <w:jc w:val="both"/>
              <w:rPr>
                <w:spacing w:val="-4"/>
                <w:lang w:val="en-GB"/>
              </w:rPr>
            </w:pPr>
          </w:p>
        </w:tc>
        <w:tc>
          <w:tcPr>
            <w:tcW w:w="7674" w:type="dxa"/>
            <w:shd w:val="clear" w:color="auto" w:fill="auto"/>
            <w:tcMar>
              <w:left w:w="0" w:type="dxa"/>
            </w:tcMar>
          </w:tcPr>
          <w:p w14:paraId="5F159D77" w14:textId="77777777" w:rsidR="00EB1C78" w:rsidRPr="006E725C" w:rsidRDefault="00EB1C78" w:rsidP="00EB1C78">
            <w:pPr>
              <w:pStyle w:val="Textpoznpodarou"/>
              <w:rPr>
                <w:spacing w:val="-4"/>
                <w:sz w:val="14"/>
                <w:szCs w:val="14"/>
                <w:lang w:val="en-GB"/>
              </w:rPr>
            </w:pPr>
            <w:r w:rsidRPr="006E725C">
              <w:rPr>
                <w:spacing w:val="-4"/>
                <w:sz w:val="14"/>
                <w:szCs w:val="14"/>
                <w:lang w:val="en-GB"/>
              </w:rPr>
              <w:t>*</w:t>
            </w:r>
            <w:r w:rsidRPr="006E725C">
              <w:rPr>
                <w:spacing w:val="-6"/>
                <w:sz w:val="14"/>
                <w:szCs w:val="14"/>
                <w:lang w:val="en-GB"/>
              </w:rPr>
              <w:t xml:space="preserve"> Covers expenditures on salaries in central government institutions. Does not include e.g. wage costs of regional education.</w:t>
            </w:r>
          </w:p>
          <w:p w14:paraId="2DF0B25C" w14:textId="77777777" w:rsidR="00EB1C78" w:rsidRDefault="00EB1C78" w:rsidP="00EB1C78">
            <w:pPr>
              <w:pStyle w:val="Textpoznpodarou"/>
              <w:rPr>
                <w:spacing w:val="-6"/>
                <w:sz w:val="14"/>
                <w:szCs w:val="14"/>
                <w:lang w:val="en-GB"/>
              </w:rPr>
            </w:pPr>
            <w:r w:rsidRPr="006E725C">
              <w:rPr>
                <w:spacing w:val="-6"/>
                <w:sz w:val="14"/>
                <w:szCs w:val="14"/>
                <w:lang w:val="en-GB"/>
              </w:rPr>
              <w:t>**Also include</w:t>
            </w:r>
            <w:r>
              <w:rPr>
                <w:spacing w:val="-6"/>
                <w:sz w:val="14"/>
                <w:szCs w:val="14"/>
                <w:lang w:val="en-GB"/>
              </w:rPr>
              <w:t>s the foster care benefits.</w:t>
            </w:r>
          </w:p>
          <w:p w14:paraId="5B46D7CD" w14:textId="2DE46483" w:rsidR="00EB1C78" w:rsidRPr="006E725C" w:rsidRDefault="00EB1C78" w:rsidP="00EB1C78">
            <w:pPr>
              <w:pStyle w:val="Textpoznpodarou"/>
              <w:rPr>
                <w:spacing w:val="-6"/>
                <w:sz w:val="14"/>
                <w:szCs w:val="14"/>
                <w:lang w:val="en-GB"/>
              </w:rPr>
            </w:pPr>
            <w:r w:rsidRPr="006E725C">
              <w:rPr>
                <w:spacing w:val="-6"/>
                <w:sz w:val="14"/>
                <w:szCs w:val="14"/>
                <w:lang w:val="en-GB"/>
              </w:rPr>
              <w:t>***Include Material deprivation assistance benefits, Benefits for people with disabilities, Care benefits based on Act on State Social Support. Humanitarian aid provided for citizens of Ukraine is also included here.</w:t>
            </w:r>
          </w:p>
          <w:p w14:paraId="29C07145" w14:textId="77777777" w:rsidR="00EB1C78" w:rsidRDefault="00EB1C78" w:rsidP="00EB1C78">
            <w:pPr>
              <w:pStyle w:val="Textpoznpodarou"/>
              <w:rPr>
                <w:spacing w:val="-6"/>
                <w:sz w:val="14"/>
                <w:szCs w:val="14"/>
                <w:lang w:val="en-GB"/>
              </w:rPr>
            </w:pPr>
            <w:r w:rsidRPr="006E725C">
              <w:rPr>
                <w:spacing w:val="-6"/>
                <w:sz w:val="14"/>
                <w:szCs w:val="14"/>
                <w:lang w:val="en-GB"/>
              </w:rPr>
              <w:t xml:space="preserve">****Contains mainly expenditures on purchase of services, materials, energies or other services (e.g. expenditures </w:t>
            </w:r>
            <w:r>
              <w:rPr>
                <w:spacing w:val="-6"/>
                <w:sz w:val="14"/>
                <w:szCs w:val="14"/>
                <w:lang w:val="en-GB"/>
              </w:rPr>
              <w:t>on repairs and maintenance).</w:t>
            </w:r>
          </w:p>
          <w:p w14:paraId="6F6FC0F2" w14:textId="77247F69" w:rsidR="00EB1C78" w:rsidRPr="006E725C" w:rsidRDefault="00EB1C78" w:rsidP="00EB1C78">
            <w:pPr>
              <w:pStyle w:val="Textpoznpodarou"/>
              <w:rPr>
                <w:spacing w:val="-4"/>
                <w:sz w:val="14"/>
                <w:szCs w:val="14"/>
                <w:lang w:val="en-GB"/>
              </w:rPr>
            </w:pPr>
            <w:r w:rsidRPr="006E725C">
              <w:rPr>
                <w:spacing w:val="-6"/>
                <w:sz w:val="14"/>
                <w:szCs w:val="14"/>
                <w:lang w:val="en-GB"/>
              </w:rPr>
              <w:t>*****Corresponds to the balance of the budget chapter</w:t>
            </w:r>
            <w:r>
              <w:rPr>
                <w:spacing w:val="-6"/>
                <w:sz w:val="14"/>
                <w:szCs w:val="14"/>
                <w:lang w:val="en-GB"/>
              </w:rPr>
              <w:t xml:space="preserve"> State debt.</w:t>
            </w:r>
          </w:p>
          <w:p w14:paraId="3B711A94" w14:textId="7F66AE39" w:rsidR="00EB1C78" w:rsidRPr="006E725C" w:rsidRDefault="00EB1C78" w:rsidP="00EB1C78">
            <w:pPr>
              <w:pStyle w:val="Textpoznpodarou"/>
              <w:rPr>
                <w:spacing w:val="-4"/>
                <w:sz w:val="14"/>
                <w:szCs w:val="14"/>
                <w:lang w:val="en-GB"/>
              </w:rPr>
            </w:pPr>
            <w:r w:rsidRPr="006E725C">
              <w:rPr>
                <w:spacing w:val="-4"/>
                <w:sz w:val="14"/>
                <w:szCs w:val="14"/>
                <w:lang w:val="en-GB"/>
              </w:rPr>
              <w:t>Source: MF CR, MPSV</w:t>
            </w:r>
          </w:p>
          <w:p w14:paraId="03C283EA" w14:textId="02EDDBF4" w:rsidR="00EB1C78" w:rsidRPr="006E725C" w:rsidRDefault="00EB1C78" w:rsidP="00EB1C78">
            <w:pPr>
              <w:pStyle w:val="Textpoznpodarou"/>
              <w:rPr>
                <w:spacing w:val="-4"/>
                <w:sz w:val="14"/>
                <w:szCs w:val="14"/>
                <w:lang w:val="en-GB"/>
              </w:rPr>
            </w:pPr>
          </w:p>
        </w:tc>
      </w:tr>
    </w:tbl>
    <w:p w14:paraId="5F54A675" w14:textId="77777777" w:rsidR="0011055D" w:rsidRPr="006E725C" w:rsidRDefault="0011055D" w:rsidP="0011055D">
      <w:pPr>
        <w:pStyle w:val="Nadpis11"/>
        <w:rPr>
          <w:b w:val="0"/>
          <w:sz w:val="2"/>
          <w:szCs w:val="2"/>
          <w:lang w:val="en-GB"/>
        </w:rPr>
      </w:pPr>
    </w:p>
    <w:tbl>
      <w:tblPr>
        <w:tblW w:w="9669" w:type="dxa"/>
        <w:tblInd w:w="-20" w:type="dxa"/>
        <w:tblCellMar>
          <w:left w:w="0" w:type="dxa"/>
          <w:right w:w="0" w:type="dxa"/>
        </w:tblCellMar>
        <w:tblLook w:val="00A0" w:firstRow="1" w:lastRow="0" w:firstColumn="1" w:lastColumn="0" w:noHBand="0" w:noVBand="0"/>
      </w:tblPr>
      <w:tblGrid>
        <w:gridCol w:w="1718"/>
        <w:gridCol w:w="210"/>
        <w:gridCol w:w="7741"/>
      </w:tblGrid>
      <w:tr w:rsidR="0011055D" w:rsidRPr="006E725C" w14:paraId="6344EFA7" w14:textId="77777777" w:rsidTr="00C07C2F">
        <w:trPr>
          <w:trHeight w:val="145"/>
        </w:trPr>
        <w:tc>
          <w:tcPr>
            <w:tcW w:w="1718" w:type="dxa"/>
            <w:shd w:val="clear" w:color="auto" w:fill="auto"/>
            <w:tcMar>
              <w:left w:w="0" w:type="dxa"/>
            </w:tcMar>
          </w:tcPr>
          <w:p w14:paraId="6E2EEB22" w14:textId="1411C261" w:rsidR="0011055D" w:rsidRPr="006E725C" w:rsidRDefault="0011055D" w:rsidP="00C07C2F">
            <w:pPr>
              <w:pStyle w:val="Marginlie"/>
              <w:rPr>
                <w:lang w:val="en-GB"/>
              </w:rPr>
            </w:pPr>
            <w:r w:rsidRPr="006E725C">
              <w:rPr>
                <w:lang w:val="en-GB"/>
              </w:rPr>
              <w:t>St</w:t>
            </w:r>
            <w:r w:rsidR="005D33A3" w:rsidRPr="006E725C">
              <w:rPr>
                <w:lang w:val="en-GB"/>
              </w:rPr>
              <w:t xml:space="preserve">ate debt ascended to record size, the indebtedness growth rate was however the lowest in the last four years. </w:t>
            </w:r>
          </w:p>
        </w:tc>
        <w:tc>
          <w:tcPr>
            <w:tcW w:w="210" w:type="dxa"/>
            <w:shd w:val="clear" w:color="auto" w:fill="auto"/>
            <w:tcMar>
              <w:left w:w="0" w:type="dxa"/>
            </w:tcMar>
          </w:tcPr>
          <w:p w14:paraId="18FF772F" w14:textId="77777777" w:rsidR="0011055D" w:rsidRPr="006E725C" w:rsidRDefault="0011055D" w:rsidP="00C07C2F">
            <w:pPr>
              <w:pStyle w:val="Textpoznpodarou"/>
              <w:jc w:val="both"/>
              <w:rPr>
                <w:spacing w:val="-4"/>
                <w:lang w:val="en-GB"/>
              </w:rPr>
            </w:pPr>
          </w:p>
        </w:tc>
        <w:tc>
          <w:tcPr>
            <w:tcW w:w="7741" w:type="dxa"/>
            <w:shd w:val="clear" w:color="auto" w:fill="auto"/>
            <w:tcMar>
              <w:left w:w="0" w:type="dxa"/>
            </w:tcMar>
          </w:tcPr>
          <w:p w14:paraId="1B8BF50F" w14:textId="0A032898" w:rsidR="0011055D" w:rsidRPr="006E725C" w:rsidRDefault="0011055D" w:rsidP="00C07C2F">
            <w:pPr>
              <w:spacing w:after="200"/>
              <w:rPr>
                <w:color w:val="0D0D0D" w:themeColor="text1" w:themeTint="F2"/>
                <w:spacing w:val="-4"/>
                <w:lang w:val="en-GB"/>
              </w:rPr>
            </w:pPr>
            <w:r w:rsidRPr="006E725C">
              <w:rPr>
                <w:color w:val="0D0D0D" w:themeColor="text1" w:themeTint="F2"/>
                <w:spacing w:val="-4"/>
                <w:lang w:val="en-GB"/>
              </w:rPr>
              <w:t>St</w:t>
            </w:r>
            <w:r w:rsidR="005D33A3" w:rsidRPr="006E725C">
              <w:rPr>
                <w:color w:val="0D0D0D" w:themeColor="text1" w:themeTint="F2"/>
                <w:spacing w:val="-4"/>
                <w:lang w:val="en-GB"/>
              </w:rPr>
              <w:t xml:space="preserve">ate debt ascended to record </w:t>
            </w:r>
            <w:r w:rsidRPr="006E725C">
              <w:rPr>
                <w:color w:val="0D0D0D" w:themeColor="text1" w:themeTint="F2"/>
                <w:spacing w:val="-4"/>
                <w:lang w:val="en-GB"/>
              </w:rPr>
              <w:t xml:space="preserve">3 111 </w:t>
            </w:r>
            <w:r w:rsidR="009C0832">
              <w:rPr>
                <w:color w:val="0D0D0D" w:themeColor="text1" w:themeTint="F2"/>
                <w:spacing w:val="-4"/>
                <w:lang w:val="en-GB"/>
              </w:rPr>
              <w:t xml:space="preserve">CZK </w:t>
            </w:r>
            <w:proofErr w:type="spellStart"/>
            <w:r w:rsidR="009C0832">
              <w:rPr>
                <w:color w:val="0D0D0D" w:themeColor="text1" w:themeTint="F2"/>
                <w:spacing w:val="-4"/>
                <w:lang w:val="en-GB"/>
              </w:rPr>
              <w:t>bn</w:t>
            </w:r>
            <w:proofErr w:type="spellEnd"/>
            <w:r w:rsidR="005D33A3" w:rsidRPr="006E725C">
              <w:rPr>
                <w:color w:val="0D0D0D" w:themeColor="text1" w:themeTint="F2"/>
                <w:spacing w:val="-4"/>
                <w:lang w:val="en-GB"/>
              </w:rPr>
              <w:t xml:space="preserve"> at the end of year 2023</w:t>
            </w:r>
            <w:r w:rsidRPr="006E725C">
              <w:rPr>
                <w:color w:val="0D0D0D" w:themeColor="text1" w:themeTint="F2"/>
                <w:spacing w:val="-4"/>
                <w:lang w:val="en-GB"/>
              </w:rPr>
              <w:t xml:space="preserve">. </w:t>
            </w:r>
            <w:r w:rsidR="0042459A" w:rsidRPr="006E725C">
              <w:rPr>
                <w:color w:val="0D0D0D" w:themeColor="text1" w:themeTint="F2"/>
                <w:spacing w:val="-4"/>
                <w:lang w:val="en-GB"/>
              </w:rPr>
              <w:t xml:space="preserve">It increased by </w:t>
            </w:r>
            <w:r w:rsidRPr="006E725C">
              <w:rPr>
                <w:color w:val="0D0D0D" w:themeColor="text1" w:themeTint="F2"/>
                <w:spacing w:val="-4"/>
                <w:lang w:val="en-GB"/>
              </w:rPr>
              <w:t>216</w:t>
            </w:r>
            <w:r w:rsidR="0042459A" w:rsidRPr="006E725C">
              <w:rPr>
                <w:color w:val="0D0D0D" w:themeColor="text1" w:themeTint="F2"/>
                <w:spacing w:val="-4"/>
                <w:lang w:val="en-GB"/>
              </w:rPr>
              <w:t xml:space="preserve"> </w:t>
            </w:r>
            <w:r w:rsidR="009C0832">
              <w:rPr>
                <w:color w:val="0D0D0D" w:themeColor="text1" w:themeTint="F2"/>
                <w:spacing w:val="-4"/>
                <w:lang w:val="en-GB"/>
              </w:rPr>
              <w:t xml:space="preserve">CZK </w:t>
            </w:r>
            <w:proofErr w:type="spellStart"/>
            <w:r w:rsidR="009C0832">
              <w:rPr>
                <w:color w:val="0D0D0D" w:themeColor="text1" w:themeTint="F2"/>
                <w:spacing w:val="-4"/>
                <w:lang w:val="en-GB"/>
              </w:rPr>
              <w:t>bn</w:t>
            </w:r>
            <w:proofErr w:type="spellEnd"/>
            <w:r w:rsidR="0042459A" w:rsidRPr="006E725C">
              <w:rPr>
                <w:color w:val="0D0D0D" w:themeColor="text1" w:themeTint="F2"/>
                <w:spacing w:val="-4"/>
                <w:lang w:val="en-GB"/>
              </w:rPr>
              <w:t xml:space="preserve"> year-on-year, </w:t>
            </w:r>
            <w:r w:rsidR="008A3D90" w:rsidRPr="006E725C">
              <w:rPr>
                <w:color w:val="0D0D0D" w:themeColor="text1" w:themeTint="F2"/>
                <w:spacing w:val="-4"/>
                <w:lang w:val="en-GB"/>
              </w:rPr>
              <w:t>i.e.,</w:t>
            </w:r>
            <w:r w:rsidR="0042459A" w:rsidRPr="006E725C">
              <w:rPr>
                <w:color w:val="0D0D0D" w:themeColor="text1" w:themeTint="F2"/>
                <w:spacing w:val="-4"/>
                <w:lang w:val="en-GB"/>
              </w:rPr>
              <w:t xml:space="preserve"> approximately one half less than during years </w:t>
            </w:r>
            <w:r w:rsidRPr="006E725C">
              <w:rPr>
                <w:color w:val="0D0D0D" w:themeColor="text1" w:themeTint="F2"/>
                <w:spacing w:val="-4"/>
                <w:lang w:val="en-GB"/>
              </w:rPr>
              <w:t>2020, 2021 a</w:t>
            </w:r>
            <w:r w:rsidR="0042459A" w:rsidRPr="006E725C">
              <w:rPr>
                <w:color w:val="0D0D0D" w:themeColor="text1" w:themeTint="F2"/>
                <w:spacing w:val="-4"/>
                <w:lang w:val="en-GB"/>
              </w:rPr>
              <w:t>nd</w:t>
            </w:r>
            <w:r w:rsidRPr="006E725C">
              <w:rPr>
                <w:color w:val="0D0D0D" w:themeColor="text1" w:themeTint="F2"/>
                <w:spacing w:val="-4"/>
                <w:lang w:val="en-GB"/>
              </w:rPr>
              <w:t xml:space="preserve"> 2022.</w:t>
            </w:r>
            <w:r w:rsidR="0042459A" w:rsidRPr="006E725C">
              <w:rPr>
                <w:color w:val="0D0D0D" w:themeColor="text1" w:themeTint="F2"/>
                <w:spacing w:val="-4"/>
                <w:lang w:val="en-GB"/>
              </w:rPr>
              <w:t xml:space="preserve"> Indebtedness pace moderations is linked to the decrease of the above adopted short-term </w:t>
            </w:r>
            <w:r w:rsidR="008A3D90" w:rsidRPr="006E725C">
              <w:rPr>
                <w:color w:val="0D0D0D" w:themeColor="text1" w:themeTint="F2"/>
                <w:spacing w:val="-4"/>
                <w:lang w:val="en-GB"/>
              </w:rPr>
              <w:t>foreign</w:t>
            </w:r>
            <w:r w:rsidR="0042459A" w:rsidRPr="006E725C">
              <w:rPr>
                <w:color w:val="0D0D0D" w:themeColor="text1" w:themeTint="F2"/>
                <w:spacing w:val="-4"/>
                <w:lang w:val="en-GB"/>
              </w:rPr>
              <w:t xml:space="preserve"> loans and at the same time </w:t>
            </w:r>
            <w:r w:rsidR="008A3D90" w:rsidRPr="006E725C">
              <w:rPr>
                <w:color w:val="0D0D0D" w:themeColor="text1" w:themeTint="F2"/>
                <w:spacing w:val="-4"/>
                <w:lang w:val="en-GB"/>
              </w:rPr>
              <w:t xml:space="preserve">to the increase of repaid loans. Consequently, the external debt shrank by 47.4% during the last year </w:t>
            </w:r>
            <w:r w:rsidRPr="006E725C">
              <w:rPr>
                <w:color w:val="0D0D0D" w:themeColor="text1" w:themeTint="F2"/>
                <w:spacing w:val="-4"/>
                <w:lang w:val="en-GB"/>
              </w:rPr>
              <w:t>(</w:t>
            </w:r>
            <w:r w:rsidR="008A3D90" w:rsidRPr="006E725C">
              <w:rPr>
                <w:color w:val="0D0D0D" w:themeColor="text1" w:themeTint="F2"/>
                <w:spacing w:val="-4"/>
                <w:lang w:val="en-GB"/>
              </w:rPr>
              <w:t xml:space="preserve">to </w:t>
            </w:r>
            <w:r w:rsidRPr="006E725C">
              <w:rPr>
                <w:color w:val="0D0D0D" w:themeColor="text1" w:themeTint="F2"/>
                <w:spacing w:val="-4"/>
                <w:lang w:val="en-GB"/>
              </w:rPr>
              <w:t>152</w:t>
            </w:r>
            <w:r w:rsidR="008A3D90" w:rsidRPr="006E725C">
              <w:rPr>
                <w:color w:val="0D0D0D" w:themeColor="text1" w:themeTint="F2"/>
                <w:spacing w:val="-4"/>
                <w:lang w:val="en-GB"/>
              </w:rPr>
              <w:t xml:space="preserve"> </w:t>
            </w:r>
            <w:r w:rsidR="009C0832">
              <w:rPr>
                <w:color w:val="0D0D0D" w:themeColor="text1" w:themeTint="F2"/>
                <w:spacing w:val="-4"/>
                <w:lang w:val="en-GB"/>
              </w:rPr>
              <w:t xml:space="preserve">CZK </w:t>
            </w:r>
            <w:proofErr w:type="spellStart"/>
            <w:r w:rsidR="009C0832">
              <w:rPr>
                <w:color w:val="0D0D0D" w:themeColor="text1" w:themeTint="F2"/>
                <w:spacing w:val="-4"/>
                <w:lang w:val="en-GB"/>
              </w:rPr>
              <w:t>bn</w:t>
            </w:r>
            <w:proofErr w:type="spellEnd"/>
            <w:r w:rsidRPr="006E725C">
              <w:rPr>
                <w:color w:val="0D0D0D" w:themeColor="text1" w:themeTint="F2"/>
                <w:spacing w:val="-4"/>
                <w:lang w:val="en-GB"/>
              </w:rPr>
              <w:t xml:space="preserve">). </w:t>
            </w:r>
            <w:r w:rsidR="008A3D90" w:rsidRPr="006E725C">
              <w:rPr>
                <w:color w:val="0D0D0D" w:themeColor="text1" w:themeTint="F2"/>
                <w:spacing w:val="-4"/>
                <w:lang w:val="en-GB"/>
              </w:rPr>
              <w:t xml:space="preserve">The internal debt however increased by </w:t>
            </w:r>
            <w:r w:rsidRPr="006E725C">
              <w:rPr>
                <w:color w:val="0D0D0D" w:themeColor="text1" w:themeTint="F2"/>
                <w:spacing w:val="-4"/>
                <w:lang w:val="en-GB"/>
              </w:rPr>
              <w:t>13</w:t>
            </w:r>
            <w:r w:rsidR="008A3D90" w:rsidRPr="006E725C">
              <w:rPr>
                <w:color w:val="0D0D0D" w:themeColor="text1" w:themeTint="F2"/>
                <w:spacing w:val="-4"/>
                <w:lang w:val="en-GB"/>
              </w:rPr>
              <w:t>.</w:t>
            </w:r>
            <w:r w:rsidRPr="006E725C">
              <w:rPr>
                <w:color w:val="0D0D0D" w:themeColor="text1" w:themeTint="F2"/>
                <w:spacing w:val="-4"/>
                <w:lang w:val="en-GB"/>
              </w:rPr>
              <w:t xml:space="preserve">5%, </w:t>
            </w:r>
            <w:r w:rsidR="008A3D90" w:rsidRPr="006E725C">
              <w:rPr>
                <w:color w:val="0D0D0D" w:themeColor="text1" w:themeTint="F2"/>
                <w:spacing w:val="-4"/>
                <w:lang w:val="en-GB"/>
              </w:rPr>
              <w:t xml:space="preserve">mainly because of continuing high issue of medium and long-term state bonds, higher volume of state treasury bills also had a partial effect. </w:t>
            </w:r>
          </w:p>
        </w:tc>
      </w:tr>
      <w:tr w:rsidR="0011055D" w:rsidRPr="006E725C" w14:paraId="121F7445" w14:textId="77777777" w:rsidTr="00C07C2F">
        <w:trPr>
          <w:trHeight w:val="145"/>
        </w:trPr>
        <w:tc>
          <w:tcPr>
            <w:tcW w:w="1718" w:type="dxa"/>
            <w:shd w:val="clear" w:color="auto" w:fill="auto"/>
            <w:tcMar>
              <w:left w:w="0" w:type="dxa"/>
            </w:tcMar>
          </w:tcPr>
          <w:p w14:paraId="66AAC424" w14:textId="54BD0BA1" w:rsidR="0011055D" w:rsidRPr="006E725C" w:rsidRDefault="0063373E" w:rsidP="00C07C2F">
            <w:pPr>
              <w:pStyle w:val="Marginlie"/>
              <w:rPr>
                <w:color w:val="0D0D0D" w:themeColor="text1" w:themeTint="F2"/>
                <w:lang w:val="en-GB"/>
              </w:rPr>
            </w:pPr>
            <w:r w:rsidRPr="006E725C">
              <w:rPr>
                <w:color w:val="0D0D0D" w:themeColor="text1" w:themeTint="F2"/>
                <w:lang w:val="en-GB"/>
              </w:rPr>
              <w:t>Budget deficit of the government sector stayed the same for Q</w:t>
            </w:r>
            <w:r w:rsidR="0011055D" w:rsidRPr="006E725C">
              <w:rPr>
                <w:color w:val="0D0D0D" w:themeColor="text1" w:themeTint="F2"/>
                <w:lang w:val="en-GB"/>
              </w:rPr>
              <w:t>1</w:t>
            </w:r>
            <w:r w:rsidRPr="006E725C">
              <w:rPr>
                <w:color w:val="0D0D0D" w:themeColor="text1" w:themeTint="F2"/>
                <w:lang w:val="en-GB"/>
              </w:rPr>
              <w:t xml:space="preserve"> till Q</w:t>
            </w:r>
            <w:r w:rsidR="0011055D" w:rsidRPr="006E725C">
              <w:rPr>
                <w:color w:val="0D0D0D" w:themeColor="text1" w:themeTint="F2"/>
                <w:lang w:val="en-GB"/>
              </w:rPr>
              <w:t>3</w:t>
            </w:r>
            <w:r w:rsidRPr="006E725C">
              <w:rPr>
                <w:color w:val="0D0D0D" w:themeColor="text1" w:themeTint="F2"/>
                <w:lang w:val="en-GB"/>
              </w:rPr>
              <w:t xml:space="preserve"> year-on-year. </w:t>
            </w:r>
            <w:r w:rsidR="0011055D" w:rsidRPr="006E725C">
              <w:rPr>
                <w:color w:val="0D0D0D" w:themeColor="text1" w:themeTint="F2"/>
                <w:lang w:val="en-GB"/>
              </w:rPr>
              <w:t xml:space="preserve"> </w:t>
            </w:r>
          </w:p>
          <w:p w14:paraId="40337730" w14:textId="77777777" w:rsidR="0011055D" w:rsidRPr="006E725C" w:rsidRDefault="0011055D" w:rsidP="00C07C2F">
            <w:pPr>
              <w:pStyle w:val="Marginlie"/>
              <w:rPr>
                <w:color w:val="0D0D0D" w:themeColor="text1" w:themeTint="F2"/>
                <w:lang w:val="en-GB"/>
              </w:rPr>
            </w:pPr>
          </w:p>
          <w:p w14:paraId="11704BAD" w14:textId="77777777" w:rsidR="0011055D" w:rsidRPr="006E725C" w:rsidRDefault="0011055D" w:rsidP="00C07C2F">
            <w:pPr>
              <w:pStyle w:val="Marginlie"/>
              <w:rPr>
                <w:color w:val="0D0D0D" w:themeColor="text1" w:themeTint="F2"/>
                <w:lang w:val="en-GB"/>
              </w:rPr>
            </w:pPr>
          </w:p>
          <w:p w14:paraId="1C13DA28" w14:textId="77777777" w:rsidR="0011055D" w:rsidRPr="006E725C" w:rsidRDefault="0011055D" w:rsidP="00C07C2F">
            <w:pPr>
              <w:pStyle w:val="Marginlie"/>
              <w:rPr>
                <w:color w:val="0D0D0D" w:themeColor="text1" w:themeTint="F2"/>
                <w:lang w:val="en-GB"/>
              </w:rPr>
            </w:pPr>
          </w:p>
          <w:p w14:paraId="40A4EDBF" w14:textId="77777777" w:rsidR="0011055D" w:rsidRPr="006E725C" w:rsidRDefault="0011055D" w:rsidP="00C07C2F">
            <w:pPr>
              <w:pStyle w:val="Marginlie"/>
              <w:rPr>
                <w:color w:val="0D0D0D" w:themeColor="text1" w:themeTint="F2"/>
                <w:lang w:val="en-GB"/>
              </w:rPr>
            </w:pPr>
          </w:p>
          <w:p w14:paraId="1241A197" w14:textId="77777777" w:rsidR="0011055D" w:rsidRPr="006E725C" w:rsidRDefault="0011055D" w:rsidP="00C07C2F">
            <w:pPr>
              <w:pStyle w:val="Marginlie"/>
              <w:rPr>
                <w:color w:val="0D0D0D" w:themeColor="text1" w:themeTint="F2"/>
                <w:lang w:val="en-GB"/>
              </w:rPr>
            </w:pPr>
          </w:p>
          <w:p w14:paraId="1DEDFA00" w14:textId="13CDA2C3" w:rsidR="0011055D" w:rsidRDefault="0011055D" w:rsidP="00C07C2F">
            <w:pPr>
              <w:pStyle w:val="Marginlie"/>
              <w:rPr>
                <w:color w:val="0D0D0D" w:themeColor="text1" w:themeTint="F2"/>
                <w:lang w:val="en-GB"/>
              </w:rPr>
            </w:pPr>
          </w:p>
          <w:p w14:paraId="52E9C305" w14:textId="148CDD77" w:rsidR="002E7C7A" w:rsidRDefault="002E7C7A" w:rsidP="00C07C2F">
            <w:pPr>
              <w:pStyle w:val="Marginlie"/>
              <w:rPr>
                <w:color w:val="0D0D0D" w:themeColor="text1" w:themeTint="F2"/>
                <w:lang w:val="en-GB"/>
              </w:rPr>
            </w:pPr>
          </w:p>
          <w:p w14:paraId="7B18E5B5" w14:textId="77777777" w:rsidR="002E7C7A" w:rsidRPr="006E725C" w:rsidRDefault="002E7C7A" w:rsidP="00C07C2F">
            <w:pPr>
              <w:pStyle w:val="Marginlie"/>
              <w:rPr>
                <w:color w:val="0D0D0D" w:themeColor="text1" w:themeTint="F2"/>
                <w:lang w:val="en-GB"/>
              </w:rPr>
            </w:pPr>
          </w:p>
          <w:p w14:paraId="4D9CA073" w14:textId="77777777" w:rsidR="0011055D" w:rsidRPr="006E725C" w:rsidRDefault="0011055D" w:rsidP="00C07C2F">
            <w:pPr>
              <w:pStyle w:val="Marginlie"/>
              <w:rPr>
                <w:color w:val="0D0D0D" w:themeColor="text1" w:themeTint="F2"/>
                <w:lang w:val="en-GB"/>
              </w:rPr>
            </w:pPr>
          </w:p>
          <w:p w14:paraId="0161EFFC" w14:textId="56E2BD95" w:rsidR="0011055D" w:rsidRPr="006E725C" w:rsidRDefault="0063373E" w:rsidP="00C07C2F">
            <w:pPr>
              <w:pStyle w:val="Marginlie"/>
              <w:rPr>
                <w:color w:val="0D0D0D" w:themeColor="text1" w:themeTint="F2"/>
                <w:lang w:val="en-GB"/>
              </w:rPr>
            </w:pPr>
            <w:r w:rsidRPr="006E725C">
              <w:rPr>
                <w:color w:val="0D0D0D" w:themeColor="text1" w:themeTint="F2"/>
                <w:lang w:val="en-GB"/>
              </w:rPr>
              <w:lastRenderedPageBreak/>
              <w:t xml:space="preserve">Year-on-year growth of the absolute size of debt again exceeded the budget deficit. </w:t>
            </w:r>
            <w:r w:rsidR="005D33A3" w:rsidRPr="006E725C">
              <w:rPr>
                <w:color w:val="0D0D0D" w:themeColor="text1" w:themeTint="F2"/>
                <w:lang w:val="en-GB"/>
              </w:rPr>
              <w:t xml:space="preserve">Thanks to brisk nominal growth of GDP, the indebtedness rate dropped year-on-year. </w:t>
            </w:r>
            <w:r w:rsidR="0011055D" w:rsidRPr="006E725C">
              <w:rPr>
                <w:color w:val="0D0D0D" w:themeColor="text1" w:themeTint="F2"/>
                <w:lang w:val="en-GB"/>
              </w:rPr>
              <w:t xml:space="preserve"> </w:t>
            </w:r>
          </w:p>
        </w:tc>
        <w:tc>
          <w:tcPr>
            <w:tcW w:w="210" w:type="dxa"/>
            <w:shd w:val="clear" w:color="auto" w:fill="auto"/>
            <w:tcMar>
              <w:left w:w="0" w:type="dxa"/>
            </w:tcMar>
          </w:tcPr>
          <w:p w14:paraId="25403A24" w14:textId="77777777" w:rsidR="0011055D" w:rsidRPr="006E725C" w:rsidRDefault="0011055D" w:rsidP="00C07C2F">
            <w:pPr>
              <w:pStyle w:val="Textpoznpodarou"/>
              <w:jc w:val="both"/>
              <w:rPr>
                <w:color w:val="0D0D0D" w:themeColor="text1" w:themeTint="F2"/>
                <w:spacing w:val="-4"/>
                <w:lang w:val="en-GB"/>
              </w:rPr>
            </w:pPr>
          </w:p>
        </w:tc>
        <w:tc>
          <w:tcPr>
            <w:tcW w:w="7741" w:type="dxa"/>
            <w:shd w:val="clear" w:color="auto" w:fill="auto"/>
            <w:tcMar>
              <w:left w:w="0" w:type="dxa"/>
            </w:tcMar>
          </w:tcPr>
          <w:p w14:paraId="2C033545" w14:textId="3E21F6E9" w:rsidR="0011055D" w:rsidRPr="006E725C" w:rsidRDefault="0011055D" w:rsidP="00C07C2F">
            <w:pPr>
              <w:rPr>
                <w:color w:val="0D0D0D" w:themeColor="text1" w:themeTint="F2"/>
                <w:spacing w:val="-4"/>
                <w:lang w:val="en-GB"/>
              </w:rPr>
            </w:pPr>
            <w:r w:rsidRPr="006E725C">
              <w:rPr>
                <w:color w:val="0D0D0D" w:themeColor="text1" w:themeTint="F2"/>
                <w:spacing w:val="-4"/>
                <w:lang w:val="en-GB"/>
              </w:rPr>
              <w:t>Se</w:t>
            </w:r>
            <w:r w:rsidR="00CB01F1" w:rsidRPr="006E725C">
              <w:rPr>
                <w:color w:val="0D0D0D" w:themeColor="text1" w:themeTint="F2"/>
                <w:spacing w:val="-4"/>
                <w:lang w:val="en-GB"/>
              </w:rPr>
              <w:t xml:space="preserve">ctor of government institutions </w:t>
            </w:r>
            <w:r w:rsidRPr="006E725C">
              <w:rPr>
                <w:color w:val="0D0D0D" w:themeColor="text1" w:themeTint="F2"/>
                <w:spacing w:val="-4"/>
                <w:lang w:val="en-GB"/>
              </w:rPr>
              <w:t>(VI)</w:t>
            </w:r>
            <w:r w:rsidR="00CB01F1" w:rsidRPr="006E725C">
              <w:rPr>
                <w:color w:val="0D0D0D" w:themeColor="text1" w:themeTint="F2"/>
                <w:spacing w:val="-4"/>
                <w:lang w:val="en-GB"/>
              </w:rPr>
              <w:t xml:space="preserve"> in the CR managed a deficit of </w:t>
            </w:r>
            <w:r w:rsidRPr="006E725C">
              <w:rPr>
                <w:color w:val="0D0D0D" w:themeColor="text1" w:themeTint="F2"/>
                <w:spacing w:val="-4"/>
                <w:lang w:val="en-GB"/>
              </w:rPr>
              <w:t>117</w:t>
            </w:r>
            <w:r w:rsidR="00CB01F1" w:rsidRPr="006E725C">
              <w:rPr>
                <w:color w:val="0D0D0D" w:themeColor="text1" w:themeTint="F2"/>
                <w:spacing w:val="-4"/>
                <w:lang w:val="en-GB"/>
              </w:rPr>
              <w:t xml:space="preserve"> </w:t>
            </w:r>
            <w:r w:rsidR="009C0832">
              <w:rPr>
                <w:color w:val="0D0D0D" w:themeColor="text1" w:themeTint="F2"/>
                <w:spacing w:val="-4"/>
                <w:lang w:val="en-GB"/>
              </w:rPr>
              <w:t xml:space="preserve">CZK </w:t>
            </w:r>
            <w:proofErr w:type="spellStart"/>
            <w:r w:rsidR="009C0832">
              <w:rPr>
                <w:color w:val="0D0D0D" w:themeColor="text1" w:themeTint="F2"/>
                <w:spacing w:val="-4"/>
                <w:lang w:val="en-GB"/>
              </w:rPr>
              <w:t>bn</w:t>
            </w:r>
            <w:proofErr w:type="spellEnd"/>
            <w:r w:rsidRPr="006E725C">
              <w:rPr>
                <w:rStyle w:val="Znakapoznpodarou"/>
                <w:color w:val="0D0D0D" w:themeColor="text1" w:themeTint="F2"/>
                <w:spacing w:val="-4"/>
                <w:lang w:val="en-GB"/>
              </w:rPr>
              <w:footnoteReference w:id="130"/>
            </w:r>
            <w:r w:rsidR="00CB01F1" w:rsidRPr="006E725C">
              <w:rPr>
                <w:color w:val="0D0D0D" w:themeColor="text1" w:themeTint="F2"/>
                <w:spacing w:val="-4"/>
                <w:lang w:val="en-GB"/>
              </w:rPr>
              <w:t xml:space="preserve"> in the CR in Q1 to Q3 2023</w:t>
            </w:r>
            <w:r w:rsidR="00CB01F1" w:rsidRPr="006E725C">
              <w:rPr>
                <w:rStyle w:val="Znakapoznpodarou"/>
                <w:color w:val="0D0D0D" w:themeColor="text1" w:themeTint="F2"/>
                <w:spacing w:val="-4"/>
                <w:lang w:val="en-GB"/>
              </w:rPr>
              <w:footnoteReference w:id="131"/>
            </w:r>
            <w:r w:rsidRPr="006E725C">
              <w:rPr>
                <w:color w:val="0D0D0D" w:themeColor="text1" w:themeTint="F2"/>
                <w:spacing w:val="-4"/>
                <w:lang w:val="en-GB"/>
              </w:rPr>
              <w:t xml:space="preserve">, </w:t>
            </w:r>
            <w:r w:rsidR="00CB01F1" w:rsidRPr="006E725C">
              <w:rPr>
                <w:color w:val="0D0D0D" w:themeColor="text1" w:themeTint="F2"/>
                <w:spacing w:val="-4"/>
                <w:lang w:val="en-GB"/>
              </w:rPr>
              <w:t xml:space="preserve">nearly identical as in the same period of the previous year. </w:t>
            </w:r>
            <w:r w:rsidR="005E23A3" w:rsidRPr="006E725C">
              <w:rPr>
                <w:color w:val="0D0D0D" w:themeColor="text1" w:themeTint="F2"/>
                <w:spacing w:val="-4"/>
                <w:lang w:val="en-GB"/>
              </w:rPr>
              <w:t xml:space="preserve">Given the stagnation of the deep deficit of central government institutions </w:t>
            </w:r>
            <w:r w:rsidRPr="006E725C">
              <w:rPr>
                <w:color w:val="0D0D0D" w:themeColor="text1" w:themeTint="F2"/>
                <w:spacing w:val="-4"/>
                <w:lang w:val="en-GB"/>
              </w:rPr>
              <w:t>(</w:t>
            </w:r>
            <w:r w:rsidR="00CB01F1" w:rsidRPr="006E725C">
              <w:rPr>
                <w:color w:val="0D0D0D" w:themeColor="text1" w:themeTint="F2"/>
                <w:spacing w:val="-4"/>
                <w:lang w:val="en-GB"/>
              </w:rPr>
              <w:t>which financed key extraordinary expenditures connected to the solution of the impact of higher inflation or integration of refugees from Ukraine</w:t>
            </w:r>
            <w:r w:rsidRPr="006E725C">
              <w:rPr>
                <w:color w:val="0D0D0D" w:themeColor="text1" w:themeTint="F2"/>
                <w:spacing w:val="-4"/>
                <w:lang w:val="en-GB"/>
              </w:rPr>
              <w:t xml:space="preserve">) </w:t>
            </w:r>
            <w:r w:rsidR="00CB01F1" w:rsidRPr="006E725C">
              <w:rPr>
                <w:color w:val="0D0D0D" w:themeColor="text1" w:themeTint="F2"/>
                <w:spacing w:val="-4"/>
                <w:lang w:val="en-GB"/>
              </w:rPr>
              <w:t xml:space="preserve">mild increase of the surplus of local government institutions arose </w:t>
            </w:r>
            <w:r w:rsidRPr="006E725C">
              <w:rPr>
                <w:color w:val="0D0D0D" w:themeColor="text1" w:themeTint="F2"/>
                <w:spacing w:val="-4"/>
                <w:lang w:val="en-GB"/>
              </w:rPr>
              <w:t>(</w:t>
            </w:r>
            <w:r w:rsidR="00CB01F1" w:rsidRPr="006E725C">
              <w:rPr>
                <w:color w:val="0D0D0D" w:themeColor="text1" w:themeTint="F2"/>
                <w:spacing w:val="-4"/>
                <w:lang w:val="en-GB"/>
              </w:rPr>
              <w:t xml:space="preserve">to record </w:t>
            </w:r>
            <w:r w:rsidRPr="006E725C">
              <w:rPr>
                <w:color w:val="0D0D0D" w:themeColor="text1" w:themeTint="F2"/>
                <w:spacing w:val="-4"/>
                <w:lang w:val="en-GB"/>
              </w:rPr>
              <w:t>93</w:t>
            </w:r>
            <w:r w:rsidR="00CB01F1" w:rsidRPr="006E725C">
              <w:rPr>
                <w:color w:val="0D0D0D" w:themeColor="text1" w:themeTint="F2"/>
                <w:spacing w:val="-4"/>
                <w:lang w:val="en-GB"/>
              </w:rPr>
              <w:t xml:space="preserve"> </w:t>
            </w:r>
            <w:proofErr w:type="spellStart"/>
            <w:r w:rsidR="00CB01F1" w:rsidRPr="006E725C">
              <w:rPr>
                <w:color w:val="0D0D0D" w:themeColor="text1" w:themeTint="F2"/>
                <w:spacing w:val="-4"/>
                <w:lang w:val="en-GB"/>
              </w:rPr>
              <w:t>bn</w:t>
            </w:r>
            <w:proofErr w:type="spellEnd"/>
            <w:r w:rsidRPr="006E725C">
              <w:rPr>
                <w:color w:val="0D0D0D" w:themeColor="text1" w:themeTint="F2"/>
                <w:spacing w:val="-4"/>
                <w:lang w:val="en-GB"/>
              </w:rPr>
              <w:t>),</w:t>
            </w:r>
            <w:r w:rsidR="00CB01F1" w:rsidRPr="006E725C">
              <w:rPr>
                <w:color w:val="0D0D0D" w:themeColor="text1" w:themeTint="F2"/>
                <w:spacing w:val="-4"/>
                <w:lang w:val="en-GB"/>
              </w:rPr>
              <w:t xml:space="preserve"> on the contrary the positive balance of </w:t>
            </w:r>
            <w:r w:rsidR="005E23A3" w:rsidRPr="006E725C">
              <w:rPr>
                <w:color w:val="0D0D0D" w:themeColor="text1" w:themeTint="F2"/>
                <w:spacing w:val="-4"/>
                <w:lang w:val="en-GB"/>
              </w:rPr>
              <w:t xml:space="preserve">budget of health insurance companies slightly worsened </w:t>
            </w:r>
            <w:r w:rsidRPr="006E725C">
              <w:rPr>
                <w:color w:val="0D0D0D" w:themeColor="text1" w:themeTint="F2"/>
                <w:spacing w:val="-4"/>
                <w:lang w:val="en-GB"/>
              </w:rPr>
              <w:t>(</w:t>
            </w:r>
            <w:r w:rsidR="005E23A3" w:rsidRPr="006E725C">
              <w:rPr>
                <w:color w:val="0D0D0D" w:themeColor="text1" w:themeTint="F2"/>
                <w:spacing w:val="-4"/>
                <w:lang w:val="en-GB"/>
              </w:rPr>
              <w:t xml:space="preserve">from </w:t>
            </w:r>
            <w:r w:rsidRPr="006E725C">
              <w:rPr>
                <w:color w:val="0D0D0D" w:themeColor="text1" w:themeTint="F2"/>
                <w:spacing w:val="-4"/>
                <w:lang w:val="en-GB"/>
              </w:rPr>
              <w:t>15</w:t>
            </w:r>
            <w:r w:rsidR="005E23A3" w:rsidRPr="006E725C">
              <w:rPr>
                <w:color w:val="0D0D0D" w:themeColor="text1" w:themeTint="F2"/>
                <w:spacing w:val="-4"/>
                <w:lang w:val="en-GB"/>
              </w:rPr>
              <w:t xml:space="preserve"> </w:t>
            </w:r>
            <w:proofErr w:type="spellStart"/>
            <w:r w:rsidR="005E23A3" w:rsidRPr="006E725C">
              <w:rPr>
                <w:color w:val="0D0D0D" w:themeColor="text1" w:themeTint="F2"/>
                <w:spacing w:val="-4"/>
                <w:lang w:val="en-GB"/>
              </w:rPr>
              <w:t>bn</w:t>
            </w:r>
            <w:proofErr w:type="spellEnd"/>
            <w:r w:rsidR="005E23A3" w:rsidRPr="006E725C">
              <w:rPr>
                <w:color w:val="0D0D0D" w:themeColor="text1" w:themeTint="F2"/>
                <w:spacing w:val="-4"/>
                <w:lang w:val="en-GB"/>
              </w:rPr>
              <w:t xml:space="preserve"> to </w:t>
            </w:r>
            <w:r w:rsidRPr="006E725C">
              <w:rPr>
                <w:color w:val="0D0D0D" w:themeColor="text1" w:themeTint="F2"/>
                <w:spacing w:val="-4"/>
                <w:lang w:val="en-GB"/>
              </w:rPr>
              <w:t>4</w:t>
            </w:r>
            <w:r w:rsidR="005E23A3" w:rsidRPr="006E725C">
              <w:rPr>
                <w:color w:val="0D0D0D" w:themeColor="text1" w:themeTint="F2"/>
                <w:spacing w:val="-4"/>
                <w:lang w:val="en-GB"/>
              </w:rPr>
              <w:t xml:space="preserve"> </w:t>
            </w:r>
            <w:proofErr w:type="spellStart"/>
            <w:r w:rsidR="005E23A3" w:rsidRPr="006E725C">
              <w:rPr>
                <w:color w:val="0D0D0D" w:themeColor="text1" w:themeTint="F2"/>
                <w:spacing w:val="-4"/>
                <w:lang w:val="en-GB"/>
              </w:rPr>
              <w:t>bn</w:t>
            </w:r>
            <w:proofErr w:type="spellEnd"/>
            <w:r w:rsidRPr="006E725C">
              <w:rPr>
                <w:color w:val="0D0D0D" w:themeColor="text1" w:themeTint="F2"/>
                <w:spacing w:val="-4"/>
                <w:lang w:val="en-GB"/>
              </w:rPr>
              <w:t xml:space="preserve">). </w:t>
            </w:r>
            <w:r w:rsidR="005E23A3" w:rsidRPr="006E725C">
              <w:rPr>
                <w:color w:val="0D0D0D" w:themeColor="text1" w:themeTint="F2"/>
                <w:spacing w:val="-4"/>
                <w:lang w:val="en-GB"/>
              </w:rPr>
              <w:t xml:space="preserve">Revenues of the whole sector </w:t>
            </w:r>
            <w:r w:rsidRPr="006E725C">
              <w:rPr>
                <w:color w:val="0D0D0D" w:themeColor="text1" w:themeTint="F2"/>
                <w:spacing w:val="-4"/>
                <w:lang w:val="en-GB"/>
              </w:rPr>
              <w:t xml:space="preserve">VI </w:t>
            </w:r>
            <w:r w:rsidR="005E23A3" w:rsidRPr="006E725C">
              <w:rPr>
                <w:color w:val="0D0D0D" w:themeColor="text1" w:themeTint="F2"/>
                <w:spacing w:val="-4"/>
                <w:lang w:val="en-GB"/>
              </w:rPr>
              <w:t xml:space="preserve">increased by 10.8% year-on-year last year for the three quarters, mainly due to the current taxes on income </w:t>
            </w:r>
            <w:r w:rsidRPr="006E725C">
              <w:rPr>
                <w:color w:val="0D0D0D" w:themeColor="text1" w:themeTint="F2"/>
                <w:spacing w:val="-4"/>
                <w:lang w:val="en-GB"/>
              </w:rPr>
              <w:t>(+72</w:t>
            </w:r>
            <w:r w:rsidR="005E23A3" w:rsidRPr="006E725C">
              <w:rPr>
                <w:color w:val="0D0D0D" w:themeColor="text1" w:themeTint="F2"/>
                <w:spacing w:val="-4"/>
                <w:lang w:val="en-GB"/>
              </w:rPr>
              <w:t xml:space="preserve"> </w:t>
            </w:r>
            <w:r w:rsidR="009C0832">
              <w:rPr>
                <w:color w:val="0D0D0D" w:themeColor="text1" w:themeTint="F2"/>
                <w:spacing w:val="-4"/>
                <w:lang w:val="en-GB"/>
              </w:rPr>
              <w:t xml:space="preserve">CZK </w:t>
            </w:r>
            <w:proofErr w:type="spellStart"/>
            <w:r w:rsidR="009C0832">
              <w:rPr>
                <w:color w:val="0D0D0D" w:themeColor="text1" w:themeTint="F2"/>
                <w:spacing w:val="-4"/>
                <w:lang w:val="en-GB"/>
              </w:rPr>
              <w:t>bn</w:t>
            </w:r>
            <w:proofErr w:type="spellEnd"/>
            <w:r w:rsidRPr="006E725C">
              <w:rPr>
                <w:color w:val="0D0D0D" w:themeColor="text1" w:themeTint="F2"/>
                <w:spacing w:val="-4"/>
                <w:lang w:val="en-GB"/>
              </w:rPr>
              <w:t>),</w:t>
            </w:r>
            <w:r w:rsidR="005E23A3" w:rsidRPr="006E725C">
              <w:rPr>
                <w:color w:val="0D0D0D" w:themeColor="text1" w:themeTint="F2"/>
                <w:spacing w:val="-4"/>
                <w:lang w:val="en-GB"/>
              </w:rPr>
              <w:t xml:space="preserve"> received social contributions </w:t>
            </w:r>
            <w:r w:rsidRPr="006E725C">
              <w:rPr>
                <w:color w:val="0D0D0D" w:themeColor="text1" w:themeTint="F2"/>
                <w:spacing w:val="-4"/>
                <w:lang w:val="en-GB"/>
              </w:rPr>
              <w:t>(+61</w:t>
            </w:r>
            <w:r w:rsidR="005E23A3" w:rsidRPr="006E725C">
              <w:rPr>
                <w:color w:val="0D0D0D" w:themeColor="text1" w:themeTint="F2"/>
                <w:spacing w:val="-4"/>
                <w:lang w:val="en-GB"/>
              </w:rPr>
              <w:t xml:space="preserve"> </w:t>
            </w:r>
            <w:proofErr w:type="spellStart"/>
            <w:r w:rsidR="005E23A3" w:rsidRPr="006E725C">
              <w:rPr>
                <w:color w:val="0D0D0D" w:themeColor="text1" w:themeTint="F2"/>
                <w:spacing w:val="-4"/>
                <w:lang w:val="en-GB"/>
              </w:rPr>
              <w:t>bn</w:t>
            </w:r>
            <w:proofErr w:type="spellEnd"/>
            <w:r w:rsidRPr="006E725C">
              <w:rPr>
                <w:color w:val="0D0D0D" w:themeColor="text1" w:themeTint="F2"/>
                <w:spacing w:val="-4"/>
                <w:lang w:val="en-GB"/>
              </w:rPr>
              <w:t>)</w:t>
            </w:r>
            <w:r w:rsidR="005E23A3" w:rsidRPr="006E725C">
              <w:rPr>
                <w:color w:val="0D0D0D" w:themeColor="text1" w:themeTint="F2"/>
                <w:spacing w:val="-4"/>
                <w:lang w:val="en-GB"/>
              </w:rPr>
              <w:t xml:space="preserve"> or growing importance of received dividends.</w:t>
            </w:r>
            <w:r w:rsidR="004E5342" w:rsidRPr="006E725C">
              <w:rPr>
                <w:color w:val="0D0D0D" w:themeColor="text1" w:themeTint="F2"/>
                <w:spacing w:val="-4"/>
                <w:lang w:val="en-GB"/>
              </w:rPr>
              <w:t xml:space="preserve"> In </w:t>
            </w:r>
            <w:r w:rsidR="0074333D" w:rsidRPr="006E725C">
              <w:rPr>
                <w:color w:val="0D0D0D" w:themeColor="text1" w:themeTint="F2"/>
                <w:spacing w:val="-4"/>
                <w:lang w:val="en-GB"/>
              </w:rPr>
              <w:t>contrast,</w:t>
            </w:r>
            <w:r w:rsidR="004E5342" w:rsidRPr="006E725C">
              <w:rPr>
                <w:color w:val="0D0D0D" w:themeColor="text1" w:themeTint="F2"/>
                <w:spacing w:val="-4"/>
                <w:lang w:val="en-GB"/>
              </w:rPr>
              <w:t xml:space="preserve"> the influence of VAT and consumer taxes weakened. Total expenditures </w:t>
            </w:r>
            <w:r w:rsidRPr="006E725C">
              <w:rPr>
                <w:color w:val="0D0D0D" w:themeColor="text1" w:themeTint="F2"/>
                <w:spacing w:val="-4"/>
                <w:lang w:val="en-GB"/>
              </w:rPr>
              <w:t xml:space="preserve">VI </w:t>
            </w:r>
            <w:r w:rsidR="004E5342" w:rsidRPr="006E725C">
              <w:rPr>
                <w:color w:val="0D0D0D" w:themeColor="text1" w:themeTint="F2"/>
                <w:spacing w:val="-4"/>
                <w:lang w:val="en-GB"/>
              </w:rPr>
              <w:t xml:space="preserve">analogically increased by </w:t>
            </w:r>
            <w:r w:rsidRPr="006E725C">
              <w:rPr>
                <w:color w:val="0D0D0D" w:themeColor="text1" w:themeTint="F2"/>
                <w:spacing w:val="-4"/>
                <w:lang w:val="en-GB"/>
              </w:rPr>
              <w:t>10</w:t>
            </w:r>
            <w:r w:rsidR="004E5342" w:rsidRPr="006E725C">
              <w:rPr>
                <w:color w:val="0D0D0D" w:themeColor="text1" w:themeTint="F2"/>
                <w:spacing w:val="-4"/>
                <w:lang w:val="en-GB"/>
              </w:rPr>
              <w:t>.</w:t>
            </w:r>
            <w:r w:rsidRPr="006E725C">
              <w:rPr>
                <w:color w:val="0D0D0D" w:themeColor="text1" w:themeTint="F2"/>
                <w:spacing w:val="-4"/>
                <w:lang w:val="en-GB"/>
              </w:rPr>
              <w:t xml:space="preserve">2%, </w:t>
            </w:r>
            <w:r w:rsidR="004E5342" w:rsidRPr="006E725C">
              <w:rPr>
                <w:color w:val="0D0D0D" w:themeColor="text1" w:themeTint="F2"/>
                <w:spacing w:val="-4"/>
                <w:lang w:val="en-GB"/>
              </w:rPr>
              <w:t xml:space="preserve">which was the result of mostly social </w:t>
            </w:r>
            <w:r w:rsidR="004E5342" w:rsidRPr="006E725C">
              <w:rPr>
                <w:color w:val="0D0D0D" w:themeColor="text1" w:themeTint="F2"/>
                <w:spacing w:val="-4"/>
                <w:lang w:val="en-GB"/>
              </w:rPr>
              <w:lastRenderedPageBreak/>
              <w:t xml:space="preserve">benefits and natural social transfers </w:t>
            </w:r>
            <w:r w:rsidRPr="006E725C">
              <w:rPr>
                <w:color w:val="0D0D0D" w:themeColor="text1" w:themeTint="F2"/>
                <w:spacing w:val="-4"/>
                <w:lang w:val="en-GB"/>
              </w:rPr>
              <w:t>(+96</w:t>
            </w:r>
            <w:r w:rsidR="004E5342" w:rsidRPr="006E725C">
              <w:rPr>
                <w:color w:val="0D0D0D" w:themeColor="text1" w:themeTint="F2"/>
                <w:spacing w:val="-4"/>
                <w:lang w:val="en-GB"/>
              </w:rPr>
              <w:t xml:space="preserve"> </w:t>
            </w:r>
            <w:r w:rsidR="009C0832">
              <w:rPr>
                <w:color w:val="0D0D0D" w:themeColor="text1" w:themeTint="F2"/>
                <w:spacing w:val="-4"/>
                <w:lang w:val="en-GB"/>
              </w:rPr>
              <w:t xml:space="preserve">CZK </w:t>
            </w:r>
            <w:proofErr w:type="spellStart"/>
            <w:r w:rsidR="009C0832">
              <w:rPr>
                <w:color w:val="0D0D0D" w:themeColor="text1" w:themeTint="F2"/>
                <w:spacing w:val="-4"/>
                <w:lang w:val="en-GB"/>
              </w:rPr>
              <w:t>bn</w:t>
            </w:r>
            <w:proofErr w:type="spellEnd"/>
            <w:r w:rsidRPr="006E725C">
              <w:rPr>
                <w:color w:val="0D0D0D" w:themeColor="text1" w:themeTint="F2"/>
                <w:spacing w:val="-4"/>
                <w:lang w:val="en-GB"/>
              </w:rPr>
              <w:t>)</w:t>
            </w:r>
            <w:r w:rsidR="004E5342" w:rsidRPr="006E725C">
              <w:rPr>
                <w:color w:val="0D0D0D" w:themeColor="text1" w:themeTint="F2"/>
                <w:spacing w:val="-4"/>
                <w:lang w:val="en-GB"/>
              </w:rPr>
              <w:t xml:space="preserve">, paid out subsidies </w:t>
            </w:r>
            <w:r w:rsidRPr="006E725C">
              <w:rPr>
                <w:color w:val="0D0D0D" w:themeColor="text1" w:themeTint="F2"/>
                <w:spacing w:val="-4"/>
                <w:lang w:val="en-GB"/>
              </w:rPr>
              <w:t>(+40</w:t>
            </w:r>
            <w:r w:rsidR="004E5342" w:rsidRPr="006E725C">
              <w:rPr>
                <w:color w:val="0D0D0D" w:themeColor="text1" w:themeTint="F2"/>
                <w:spacing w:val="-4"/>
                <w:lang w:val="en-GB"/>
              </w:rPr>
              <w:t xml:space="preserve"> </w:t>
            </w:r>
            <w:proofErr w:type="spellStart"/>
            <w:r w:rsidR="004E5342" w:rsidRPr="006E725C">
              <w:rPr>
                <w:color w:val="0D0D0D" w:themeColor="text1" w:themeTint="F2"/>
                <w:spacing w:val="-4"/>
                <w:lang w:val="en-GB"/>
              </w:rPr>
              <w:t>bn</w:t>
            </w:r>
            <w:proofErr w:type="spellEnd"/>
            <w:r w:rsidRPr="006E725C">
              <w:rPr>
                <w:color w:val="0D0D0D" w:themeColor="text1" w:themeTint="F2"/>
                <w:spacing w:val="-4"/>
                <w:lang w:val="en-GB"/>
              </w:rPr>
              <w:t>) a</w:t>
            </w:r>
            <w:r w:rsidR="004E5342" w:rsidRPr="006E725C">
              <w:rPr>
                <w:color w:val="0D0D0D" w:themeColor="text1" w:themeTint="F2"/>
                <w:spacing w:val="-4"/>
                <w:lang w:val="en-GB"/>
              </w:rPr>
              <w:t xml:space="preserve">nd compensations to employees </w:t>
            </w:r>
            <w:r w:rsidRPr="006E725C">
              <w:rPr>
                <w:color w:val="0D0D0D" w:themeColor="text1" w:themeTint="F2"/>
                <w:spacing w:val="-4"/>
                <w:lang w:val="en-GB"/>
              </w:rPr>
              <w:t>(+40</w:t>
            </w:r>
            <w:r w:rsidR="004E5342" w:rsidRPr="006E725C">
              <w:rPr>
                <w:color w:val="0D0D0D" w:themeColor="text1" w:themeTint="F2"/>
                <w:spacing w:val="-4"/>
                <w:lang w:val="en-GB"/>
              </w:rPr>
              <w:t xml:space="preserve"> </w:t>
            </w:r>
            <w:proofErr w:type="spellStart"/>
            <w:r w:rsidR="004E5342" w:rsidRPr="006E725C">
              <w:rPr>
                <w:color w:val="0D0D0D" w:themeColor="text1" w:themeTint="F2"/>
                <w:spacing w:val="-4"/>
                <w:lang w:val="en-GB"/>
              </w:rPr>
              <w:t>bn</w:t>
            </w:r>
            <w:proofErr w:type="spellEnd"/>
            <w:r w:rsidRPr="006E725C">
              <w:rPr>
                <w:color w:val="0D0D0D" w:themeColor="text1" w:themeTint="F2"/>
                <w:spacing w:val="-4"/>
                <w:lang w:val="en-GB"/>
              </w:rPr>
              <w:t>),</w:t>
            </w:r>
            <w:r w:rsidR="004E5342" w:rsidRPr="006E725C">
              <w:rPr>
                <w:color w:val="0D0D0D" w:themeColor="text1" w:themeTint="F2"/>
                <w:spacing w:val="-4"/>
                <w:lang w:val="en-GB"/>
              </w:rPr>
              <w:t xml:space="preserve"> whose pro-growth role however strengthened against year </w:t>
            </w:r>
            <w:r w:rsidRPr="006E725C">
              <w:rPr>
                <w:color w:val="0D0D0D" w:themeColor="text1" w:themeTint="F2"/>
                <w:spacing w:val="-4"/>
                <w:lang w:val="en-GB"/>
              </w:rPr>
              <w:t>2022.</w:t>
            </w:r>
            <w:r w:rsidR="004E5342" w:rsidRPr="006E725C">
              <w:rPr>
                <w:color w:val="0D0D0D" w:themeColor="text1" w:themeTint="F2"/>
                <w:spacing w:val="-4"/>
                <w:lang w:val="en-GB"/>
              </w:rPr>
              <w:t xml:space="preserve"> Seasonally adjusted budget deficit </w:t>
            </w:r>
            <w:r w:rsidRPr="006E725C">
              <w:rPr>
                <w:color w:val="0D0D0D" w:themeColor="text1" w:themeTint="F2"/>
                <w:spacing w:val="-4"/>
                <w:lang w:val="en-GB"/>
              </w:rPr>
              <w:t>VI</w:t>
            </w:r>
            <w:r w:rsidR="004E5342" w:rsidRPr="006E725C">
              <w:rPr>
                <w:color w:val="0D0D0D" w:themeColor="text1" w:themeTint="F2"/>
                <w:spacing w:val="-4"/>
                <w:lang w:val="en-GB"/>
              </w:rPr>
              <w:t xml:space="preserve"> attained the size of </w:t>
            </w:r>
            <w:r w:rsidRPr="006E725C">
              <w:rPr>
                <w:color w:val="0D0D0D" w:themeColor="text1" w:themeTint="F2"/>
                <w:spacing w:val="-4"/>
                <w:lang w:val="en-GB"/>
              </w:rPr>
              <w:t>3</w:t>
            </w:r>
            <w:r w:rsidR="005F51D8" w:rsidRPr="006E725C">
              <w:rPr>
                <w:color w:val="0D0D0D" w:themeColor="text1" w:themeTint="F2"/>
                <w:spacing w:val="-4"/>
                <w:lang w:val="en-GB"/>
              </w:rPr>
              <w:t>.</w:t>
            </w:r>
            <w:r w:rsidRPr="006E725C">
              <w:rPr>
                <w:color w:val="0D0D0D" w:themeColor="text1" w:themeTint="F2"/>
                <w:spacing w:val="-4"/>
                <w:lang w:val="en-GB"/>
              </w:rPr>
              <w:t>1%</w:t>
            </w:r>
            <w:r w:rsidR="005F51D8" w:rsidRPr="006E725C">
              <w:rPr>
                <w:color w:val="0D0D0D" w:themeColor="text1" w:themeTint="F2"/>
                <w:spacing w:val="-4"/>
                <w:lang w:val="en-GB"/>
              </w:rPr>
              <w:t xml:space="preserve"> of GDP in Q3 2023 and nearly did not change since the beginning of the year. </w:t>
            </w:r>
            <w:r w:rsidRPr="006E725C">
              <w:rPr>
                <w:color w:val="0D0D0D" w:themeColor="text1" w:themeTint="F2"/>
                <w:spacing w:val="-4"/>
                <w:lang w:val="en-GB"/>
              </w:rPr>
              <w:t>Nomin</w:t>
            </w:r>
            <w:r w:rsidR="005F51D8" w:rsidRPr="006E725C">
              <w:rPr>
                <w:color w:val="0D0D0D" w:themeColor="text1" w:themeTint="F2"/>
                <w:spacing w:val="-4"/>
                <w:lang w:val="en-GB"/>
              </w:rPr>
              <w:t xml:space="preserve">al debt </w:t>
            </w:r>
            <w:r w:rsidRPr="006E725C">
              <w:rPr>
                <w:color w:val="0D0D0D" w:themeColor="text1" w:themeTint="F2"/>
                <w:spacing w:val="-4"/>
                <w:lang w:val="en-GB"/>
              </w:rPr>
              <w:t xml:space="preserve">VI </w:t>
            </w:r>
            <w:r w:rsidR="005F51D8" w:rsidRPr="006E725C">
              <w:rPr>
                <w:color w:val="0D0D0D" w:themeColor="text1" w:themeTint="F2"/>
                <w:spacing w:val="-4"/>
                <w:lang w:val="en-GB"/>
              </w:rPr>
              <w:t xml:space="preserve">reached </w:t>
            </w:r>
            <w:r w:rsidRPr="006E725C">
              <w:rPr>
                <w:color w:val="0D0D0D" w:themeColor="text1" w:themeTint="F2"/>
                <w:spacing w:val="-4"/>
                <w:lang w:val="en-GB"/>
              </w:rPr>
              <w:t xml:space="preserve">3 214 </w:t>
            </w:r>
            <w:r w:rsidR="009C0832">
              <w:rPr>
                <w:color w:val="0D0D0D" w:themeColor="text1" w:themeTint="F2"/>
                <w:spacing w:val="-4"/>
                <w:lang w:val="en-GB"/>
              </w:rPr>
              <w:t xml:space="preserve">CZK </w:t>
            </w:r>
            <w:proofErr w:type="spellStart"/>
            <w:r w:rsidR="009C0832">
              <w:rPr>
                <w:color w:val="0D0D0D" w:themeColor="text1" w:themeTint="F2"/>
                <w:spacing w:val="-4"/>
                <w:lang w:val="en-GB"/>
              </w:rPr>
              <w:t>bn</w:t>
            </w:r>
            <w:proofErr w:type="spellEnd"/>
            <w:r w:rsidR="005F51D8" w:rsidRPr="006E725C">
              <w:rPr>
                <w:color w:val="0D0D0D" w:themeColor="text1" w:themeTint="F2"/>
                <w:spacing w:val="-4"/>
                <w:lang w:val="en-GB"/>
              </w:rPr>
              <w:t xml:space="preserve"> at the end of Q3 2023 and increased by 231 </w:t>
            </w:r>
            <w:proofErr w:type="spellStart"/>
            <w:r w:rsidR="005F51D8" w:rsidRPr="006E725C">
              <w:rPr>
                <w:color w:val="0D0D0D" w:themeColor="text1" w:themeTint="F2"/>
                <w:spacing w:val="-4"/>
                <w:lang w:val="en-GB"/>
              </w:rPr>
              <w:t>bn</w:t>
            </w:r>
            <w:proofErr w:type="spellEnd"/>
            <w:r w:rsidR="005F51D8" w:rsidRPr="006E725C">
              <w:rPr>
                <w:color w:val="0D0D0D" w:themeColor="text1" w:themeTint="F2"/>
                <w:spacing w:val="-4"/>
                <w:lang w:val="en-GB"/>
              </w:rPr>
              <w:t xml:space="preserve"> year-on-year. </w:t>
            </w:r>
            <w:r w:rsidR="00A37311" w:rsidRPr="006E725C">
              <w:rPr>
                <w:color w:val="0D0D0D" w:themeColor="text1" w:themeTint="F2"/>
                <w:spacing w:val="-4"/>
                <w:lang w:val="en-GB"/>
              </w:rPr>
              <w:t xml:space="preserve">The growth of debt significantly exceeded the attained budget deficit VI similarly to the period of years </w:t>
            </w:r>
            <w:r w:rsidRPr="006E725C">
              <w:rPr>
                <w:color w:val="0D0D0D" w:themeColor="text1" w:themeTint="F2"/>
                <w:spacing w:val="-4"/>
                <w:lang w:val="en-GB"/>
              </w:rPr>
              <w:t>2020–2022</w:t>
            </w:r>
            <w:r w:rsidR="00A37311" w:rsidRPr="006E725C">
              <w:rPr>
                <w:color w:val="0D0D0D" w:themeColor="text1" w:themeTint="F2"/>
                <w:spacing w:val="-4"/>
                <w:lang w:val="en-GB"/>
              </w:rPr>
              <w:t xml:space="preserve">. The rate of indebtedness of sector </w:t>
            </w:r>
            <w:r w:rsidRPr="006E725C">
              <w:rPr>
                <w:color w:val="0D0D0D" w:themeColor="text1" w:themeTint="F2"/>
                <w:spacing w:val="-4"/>
                <w:lang w:val="en-GB"/>
              </w:rPr>
              <w:t xml:space="preserve">VI </w:t>
            </w:r>
            <w:r w:rsidR="00A37311" w:rsidRPr="006E725C">
              <w:rPr>
                <w:color w:val="0D0D0D" w:themeColor="text1" w:themeTint="F2"/>
                <w:spacing w:val="-4"/>
                <w:lang w:val="en-GB"/>
              </w:rPr>
              <w:t xml:space="preserve">reached </w:t>
            </w:r>
            <w:r w:rsidRPr="006E725C">
              <w:rPr>
                <w:color w:val="0D0D0D" w:themeColor="text1" w:themeTint="F2"/>
                <w:spacing w:val="-4"/>
                <w:lang w:val="en-GB"/>
              </w:rPr>
              <w:t>44</w:t>
            </w:r>
            <w:r w:rsidR="00A37311" w:rsidRPr="006E725C">
              <w:rPr>
                <w:color w:val="0D0D0D" w:themeColor="text1" w:themeTint="F2"/>
                <w:spacing w:val="-4"/>
                <w:lang w:val="en-GB"/>
              </w:rPr>
              <w:t>.</w:t>
            </w:r>
            <w:r w:rsidRPr="006E725C">
              <w:rPr>
                <w:color w:val="0D0D0D" w:themeColor="text1" w:themeTint="F2"/>
                <w:spacing w:val="-4"/>
                <w:lang w:val="en-GB"/>
              </w:rPr>
              <w:t>5%</w:t>
            </w:r>
            <w:r w:rsidR="00A37311" w:rsidRPr="006E725C">
              <w:rPr>
                <w:color w:val="0D0D0D" w:themeColor="text1" w:themeTint="F2"/>
                <w:spacing w:val="-4"/>
                <w:lang w:val="en-GB"/>
              </w:rPr>
              <w:t xml:space="preserve"> of GDP in Q3 </w:t>
            </w:r>
            <w:r w:rsidRPr="006E725C">
              <w:rPr>
                <w:color w:val="0D0D0D" w:themeColor="text1" w:themeTint="F2"/>
                <w:spacing w:val="-4"/>
                <w:lang w:val="en-GB"/>
              </w:rPr>
              <w:t>(45</w:t>
            </w:r>
            <w:r w:rsidR="00A37311" w:rsidRPr="006E725C">
              <w:rPr>
                <w:color w:val="0D0D0D" w:themeColor="text1" w:themeTint="F2"/>
                <w:spacing w:val="-4"/>
                <w:lang w:val="en-GB"/>
              </w:rPr>
              <w:t>.</w:t>
            </w:r>
            <w:r w:rsidRPr="006E725C">
              <w:rPr>
                <w:color w:val="0D0D0D" w:themeColor="text1" w:themeTint="F2"/>
                <w:spacing w:val="-4"/>
                <w:lang w:val="en-GB"/>
              </w:rPr>
              <w:t>2%</w:t>
            </w:r>
            <w:r w:rsidR="00A37311" w:rsidRPr="006E725C">
              <w:rPr>
                <w:color w:val="0D0D0D" w:themeColor="text1" w:themeTint="F2"/>
                <w:spacing w:val="-4"/>
                <w:lang w:val="en-GB"/>
              </w:rPr>
              <w:t xml:space="preserve"> one year earlier</w:t>
            </w:r>
            <w:r w:rsidRPr="006E725C">
              <w:rPr>
                <w:color w:val="0D0D0D" w:themeColor="text1" w:themeTint="F2"/>
                <w:spacing w:val="-4"/>
                <w:lang w:val="en-GB"/>
              </w:rPr>
              <w:t xml:space="preserve">). </w:t>
            </w:r>
            <w:r w:rsidR="00A37311" w:rsidRPr="006E725C">
              <w:rPr>
                <w:color w:val="0D0D0D" w:themeColor="text1" w:themeTint="F2"/>
                <w:spacing w:val="-4"/>
                <w:lang w:val="en-GB"/>
              </w:rPr>
              <w:t>Year-on-year decrease of indebtedness</w:t>
            </w:r>
            <w:r w:rsidRPr="006E725C">
              <w:rPr>
                <w:rStyle w:val="Znakapoznpodarou"/>
                <w:color w:val="0D0D0D" w:themeColor="text1" w:themeTint="F2"/>
                <w:spacing w:val="-4"/>
                <w:lang w:val="en-GB"/>
              </w:rPr>
              <w:footnoteReference w:id="132"/>
            </w:r>
            <w:r w:rsidRPr="006E725C">
              <w:rPr>
                <w:color w:val="0D0D0D" w:themeColor="text1" w:themeTint="F2"/>
                <w:spacing w:val="-4"/>
                <w:lang w:val="en-GB"/>
              </w:rPr>
              <w:t xml:space="preserve"> </w:t>
            </w:r>
            <w:r w:rsidR="00A37311" w:rsidRPr="006E725C">
              <w:rPr>
                <w:color w:val="0D0D0D" w:themeColor="text1" w:themeTint="F2"/>
                <w:spacing w:val="-4"/>
                <w:lang w:val="en-GB"/>
              </w:rPr>
              <w:t xml:space="preserve">occurred for the first time in the last one and a half years. </w:t>
            </w:r>
          </w:p>
        </w:tc>
      </w:tr>
      <w:tr w:rsidR="0011055D" w:rsidRPr="006E725C" w14:paraId="334E58EE" w14:textId="77777777" w:rsidTr="00C07C2F">
        <w:trPr>
          <w:trHeight w:val="145"/>
        </w:trPr>
        <w:tc>
          <w:tcPr>
            <w:tcW w:w="1718" w:type="dxa"/>
            <w:shd w:val="clear" w:color="auto" w:fill="auto"/>
            <w:tcMar>
              <w:left w:w="0" w:type="dxa"/>
            </w:tcMar>
          </w:tcPr>
          <w:p w14:paraId="5BBC2EE1" w14:textId="1A8D8CEB" w:rsidR="0011055D" w:rsidRPr="006E725C" w:rsidRDefault="00284229" w:rsidP="00C07C2F">
            <w:pPr>
              <w:pStyle w:val="Marginlie"/>
              <w:rPr>
                <w:lang w:val="en-GB"/>
              </w:rPr>
            </w:pPr>
            <w:r w:rsidRPr="006E725C">
              <w:rPr>
                <w:lang w:val="en-GB"/>
              </w:rPr>
              <w:lastRenderedPageBreak/>
              <w:t>After increase of public finance imbalance in H</w:t>
            </w:r>
            <w:r w:rsidR="0011055D" w:rsidRPr="006E725C">
              <w:rPr>
                <w:lang w:val="en-GB"/>
              </w:rPr>
              <w:t>2</w:t>
            </w:r>
            <w:r w:rsidRPr="006E725C">
              <w:rPr>
                <w:lang w:val="en-GB"/>
              </w:rPr>
              <w:t xml:space="preserve"> </w:t>
            </w:r>
            <w:r w:rsidR="0011055D" w:rsidRPr="006E725C">
              <w:rPr>
                <w:lang w:val="en-GB"/>
              </w:rPr>
              <w:t>2022</w:t>
            </w:r>
            <w:r w:rsidRPr="006E725C">
              <w:rPr>
                <w:lang w:val="en-GB"/>
              </w:rPr>
              <w:t xml:space="preserve">, the budget deficits gradually stabilized in the majority of EU states. </w:t>
            </w:r>
          </w:p>
          <w:p w14:paraId="5D5F4B96" w14:textId="77777777" w:rsidR="0011055D" w:rsidRPr="006E725C" w:rsidRDefault="0011055D" w:rsidP="00C07C2F">
            <w:pPr>
              <w:pStyle w:val="Marginlie"/>
              <w:rPr>
                <w:lang w:val="en-GB"/>
              </w:rPr>
            </w:pPr>
          </w:p>
          <w:p w14:paraId="2BE3938F" w14:textId="77777777" w:rsidR="0011055D" w:rsidRPr="006E725C" w:rsidRDefault="0011055D" w:rsidP="00C07C2F">
            <w:pPr>
              <w:pStyle w:val="Marginlie"/>
              <w:rPr>
                <w:lang w:val="en-GB"/>
              </w:rPr>
            </w:pPr>
          </w:p>
          <w:p w14:paraId="54A09529" w14:textId="77777777" w:rsidR="0011055D" w:rsidRPr="006E725C" w:rsidRDefault="0011055D" w:rsidP="00C07C2F">
            <w:pPr>
              <w:pStyle w:val="Marginlie"/>
              <w:rPr>
                <w:lang w:val="en-GB"/>
              </w:rPr>
            </w:pPr>
          </w:p>
          <w:p w14:paraId="2F873949" w14:textId="77777777" w:rsidR="0011055D" w:rsidRPr="006E725C" w:rsidRDefault="0011055D" w:rsidP="00C07C2F">
            <w:pPr>
              <w:pStyle w:val="Marginlie"/>
              <w:rPr>
                <w:lang w:val="en-GB"/>
              </w:rPr>
            </w:pPr>
          </w:p>
          <w:p w14:paraId="71AD74DE" w14:textId="77777777" w:rsidR="0011055D" w:rsidRPr="006E725C" w:rsidRDefault="0011055D" w:rsidP="00C07C2F">
            <w:pPr>
              <w:pStyle w:val="Marginlie"/>
              <w:rPr>
                <w:lang w:val="en-GB"/>
              </w:rPr>
            </w:pPr>
          </w:p>
          <w:p w14:paraId="26695034" w14:textId="56694186" w:rsidR="0011055D" w:rsidRPr="006E725C" w:rsidRDefault="00A37311" w:rsidP="00C07C2F">
            <w:pPr>
              <w:pStyle w:val="Marginlie"/>
              <w:rPr>
                <w:lang w:val="en-GB"/>
              </w:rPr>
            </w:pPr>
            <w:r w:rsidRPr="006E725C">
              <w:rPr>
                <w:lang w:val="en-GB"/>
              </w:rPr>
              <w:t xml:space="preserve">The deficit of the sector of government institutions deepened in the number of states of Central and North Europe. </w:t>
            </w:r>
            <w:r w:rsidR="0011055D" w:rsidRPr="006E725C">
              <w:rPr>
                <w:lang w:val="en-GB"/>
              </w:rPr>
              <w:t xml:space="preserve"> </w:t>
            </w:r>
          </w:p>
        </w:tc>
        <w:tc>
          <w:tcPr>
            <w:tcW w:w="210" w:type="dxa"/>
            <w:shd w:val="clear" w:color="auto" w:fill="auto"/>
            <w:tcMar>
              <w:left w:w="0" w:type="dxa"/>
            </w:tcMar>
          </w:tcPr>
          <w:p w14:paraId="31368F91" w14:textId="77777777" w:rsidR="0011055D" w:rsidRPr="006E725C" w:rsidRDefault="0011055D" w:rsidP="00C07C2F">
            <w:pPr>
              <w:pStyle w:val="Textpoznpodarou"/>
              <w:jc w:val="both"/>
              <w:rPr>
                <w:spacing w:val="-4"/>
                <w:lang w:val="en-GB"/>
              </w:rPr>
            </w:pPr>
          </w:p>
        </w:tc>
        <w:tc>
          <w:tcPr>
            <w:tcW w:w="7741" w:type="dxa"/>
            <w:shd w:val="clear" w:color="auto" w:fill="auto"/>
            <w:tcMar>
              <w:left w:w="0" w:type="dxa"/>
            </w:tcMar>
          </w:tcPr>
          <w:p w14:paraId="152E7BC1" w14:textId="736D506D" w:rsidR="0011055D" w:rsidRPr="006E725C" w:rsidRDefault="00284229" w:rsidP="00C07C2F">
            <w:pPr>
              <w:rPr>
                <w:spacing w:val="-4"/>
                <w:lang w:val="en-GB"/>
              </w:rPr>
            </w:pPr>
            <w:r w:rsidRPr="006E725C">
              <w:rPr>
                <w:color w:val="0D0D0D" w:themeColor="text1" w:themeTint="F2"/>
                <w:spacing w:val="-4"/>
                <w:lang w:val="en-GB"/>
              </w:rPr>
              <w:t xml:space="preserve">The shape of public finances stabilized in the EU last year following the sharp deterioration during year </w:t>
            </w:r>
            <w:r w:rsidR="0011055D" w:rsidRPr="006E725C">
              <w:rPr>
                <w:color w:val="0D0D0D" w:themeColor="text1" w:themeTint="F2"/>
                <w:spacing w:val="-4"/>
                <w:lang w:val="en-GB"/>
              </w:rPr>
              <w:t>2022</w:t>
            </w:r>
            <w:r w:rsidRPr="006E725C">
              <w:rPr>
                <w:color w:val="0D0D0D" w:themeColor="text1" w:themeTint="F2"/>
                <w:spacing w:val="-4"/>
                <w:lang w:val="en-GB"/>
              </w:rPr>
              <w:t xml:space="preserve">. After subsiding of the last year price acceleration for energies, the need for extraordinary public expenditures partially mitigated. On the other side the continuing very weak economic growth of the majority of European economies adversely left its mark also on the revenues of sector </w:t>
            </w:r>
            <w:r w:rsidR="0011055D" w:rsidRPr="006E725C">
              <w:rPr>
                <w:color w:val="0D0D0D" w:themeColor="text1" w:themeTint="F2"/>
                <w:spacing w:val="-4"/>
                <w:lang w:val="en-GB"/>
              </w:rPr>
              <w:t>VI (</w:t>
            </w:r>
            <w:r w:rsidRPr="006E725C">
              <w:rPr>
                <w:color w:val="0D0D0D" w:themeColor="text1" w:themeTint="F2"/>
                <w:spacing w:val="-4"/>
                <w:lang w:val="en-GB"/>
              </w:rPr>
              <w:t>these in relation to GDP remained below the level from year 2022 last year</w:t>
            </w:r>
            <w:r w:rsidR="0011055D" w:rsidRPr="006E725C">
              <w:rPr>
                <w:color w:val="0D0D0D" w:themeColor="text1" w:themeTint="F2"/>
                <w:spacing w:val="-4"/>
                <w:lang w:val="en-GB"/>
              </w:rPr>
              <w:t xml:space="preserve">). </w:t>
            </w:r>
            <w:r w:rsidR="002C3B72" w:rsidRPr="006E725C">
              <w:rPr>
                <w:color w:val="0D0D0D" w:themeColor="text1" w:themeTint="F2"/>
                <w:spacing w:val="-4"/>
                <w:lang w:val="en-GB"/>
              </w:rPr>
              <w:t xml:space="preserve">The budget deficit (after seasonal adjustment) VI was </w:t>
            </w:r>
            <w:r w:rsidR="0011055D" w:rsidRPr="006E725C">
              <w:rPr>
                <w:color w:val="0D0D0D" w:themeColor="text1" w:themeTint="F2"/>
                <w:spacing w:val="-4"/>
                <w:lang w:val="en-GB"/>
              </w:rPr>
              <w:t>2</w:t>
            </w:r>
            <w:r w:rsidR="002C3B72" w:rsidRPr="006E725C">
              <w:rPr>
                <w:color w:val="0D0D0D" w:themeColor="text1" w:themeTint="F2"/>
                <w:spacing w:val="-4"/>
                <w:lang w:val="en-GB"/>
              </w:rPr>
              <w:t>.</w:t>
            </w:r>
            <w:r w:rsidR="0011055D" w:rsidRPr="006E725C">
              <w:rPr>
                <w:color w:val="0D0D0D" w:themeColor="text1" w:themeTint="F2"/>
                <w:spacing w:val="-4"/>
                <w:lang w:val="en-GB"/>
              </w:rPr>
              <w:t>8%</w:t>
            </w:r>
            <w:r w:rsidR="002C3B72" w:rsidRPr="006E725C">
              <w:rPr>
                <w:color w:val="0D0D0D" w:themeColor="text1" w:themeTint="F2"/>
                <w:spacing w:val="-4"/>
                <w:lang w:val="en-GB"/>
              </w:rPr>
              <w:t xml:space="preserve"> of GDP in the EU in Q3 2023</w:t>
            </w:r>
            <w:r w:rsidR="0011055D" w:rsidRPr="006E725C">
              <w:rPr>
                <w:color w:val="0D0D0D" w:themeColor="text1" w:themeTint="F2"/>
                <w:spacing w:val="-4"/>
                <w:lang w:val="en-GB"/>
              </w:rPr>
              <w:t xml:space="preserve">, </w:t>
            </w:r>
            <w:r w:rsidR="002A7B05" w:rsidRPr="006E725C">
              <w:rPr>
                <w:color w:val="0D0D0D" w:themeColor="text1" w:themeTint="F2"/>
                <w:spacing w:val="-4"/>
                <w:lang w:val="en-GB"/>
              </w:rPr>
              <w:t xml:space="preserve">which was by </w:t>
            </w:r>
            <w:r w:rsidR="0011055D" w:rsidRPr="006E725C">
              <w:rPr>
                <w:color w:val="0D0D0D" w:themeColor="text1" w:themeTint="F2"/>
                <w:spacing w:val="-4"/>
                <w:lang w:val="en-GB"/>
              </w:rPr>
              <w:t>0</w:t>
            </w:r>
            <w:r w:rsidR="002A7B05" w:rsidRPr="006E725C">
              <w:rPr>
                <w:color w:val="0D0D0D" w:themeColor="text1" w:themeTint="F2"/>
                <w:spacing w:val="-4"/>
                <w:lang w:val="en-GB"/>
              </w:rPr>
              <w:t>.</w:t>
            </w:r>
            <w:r w:rsidR="0011055D" w:rsidRPr="006E725C">
              <w:rPr>
                <w:color w:val="0D0D0D" w:themeColor="text1" w:themeTint="F2"/>
                <w:spacing w:val="-4"/>
                <w:lang w:val="en-GB"/>
              </w:rPr>
              <w:t>2 p.</w:t>
            </w:r>
            <w:r w:rsidR="002A7B05" w:rsidRPr="006E725C">
              <w:rPr>
                <w:color w:val="0D0D0D" w:themeColor="text1" w:themeTint="F2"/>
                <w:spacing w:val="-4"/>
                <w:lang w:val="en-GB"/>
              </w:rPr>
              <w:t xml:space="preserve">p. less than in the previous quarter and by whole </w:t>
            </w:r>
            <w:r w:rsidR="0011055D" w:rsidRPr="006E725C">
              <w:rPr>
                <w:color w:val="0D0D0D" w:themeColor="text1" w:themeTint="F2"/>
                <w:spacing w:val="-4"/>
                <w:lang w:val="en-GB"/>
              </w:rPr>
              <w:t>1 p.</w:t>
            </w:r>
            <w:r w:rsidR="002A7B05" w:rsidRPr="006E725C">
              <w:rPr>
                <w:color w:val="0D0D0D" w:themeColor="text1" w:themeTint="F2"/>
                <w:spacing w:val="-4"/>
                <w:lang w:val="en-GB"/>
              </w:rPr>
              <w:t xml:space="preserve">p. better result in comparison to the same period of the preceding year. Hungary </w:t>
            </w:r>
            <w:r w:rsidR="0011055D" w:rsidRPr="006E725C">
              <w:rPr>
                <w:color w:val="0D0D0D" w:themeColor="text1" w:themeTint="F2"/>
                <w:spacing w:val="-4"/>
                <w:lang w:val="en-GB"/>
              </w:rPr>
              <w:t>(−7</w:t>
            </w:r>
            <w:r w:rsidR="002A7B05" w:rsidRPr="006E725C">
              <w:rPr>
                <w:color w:val="0D0D0D" w:themeColor="text1" w:themeTint="F2"/>
                <w:spacing w:val="-4"/>
                <w:lang w:val="en-GB"/>
              </w:rPr>
              <w:t>.</w:t>
            </w:r>
            <w:r w:rsidR="0011055D" w:rsidRPr="006E725C">
              <w:rPr>
                <w:color w:val="0D0D0D" w:themeColor="text1" w:themeTint="F2"/>
                <w:spacing w:val="-4"/>
                <w:lang w:val="en-GB"/>
              </w:rPr>
              <w:t>3%</w:t>
            </w:r>
            <w:r w:rsidR="002A7B05" w:rsidRPr="006E725C">
              <w:rPr>
                <w:color w:val="0D0D0D" w:themeColor="text1" w:themeTint="F2"/>
                <w:spacing w:val="-4"/>
                <w:lang w:val="en-GB"/>
              </w:rPr>
              <w:t xml:space="preserve"> of GDP</w:t>
            </w:r>
            <w:r w:rsidR="0011055D" w:rsidRPr="006E725C">
              <w:rPr>
                <w:color w:val="0D0D0D" w:themeColor="text1" w:themeTint="F2"/>
                <w:spacing w:val="-4"/>
                <w:lang w:val="en-GB"/>
              </w:rPr>
              <w:t>), It</w:t>
            </w:r>
            <w:r w:rsidR="002A7B05" w:rsidRPr="006E725C">
              <w:rPr>
                <w:color w:val="0D0D0D" w:themeColor="text1" w:themeTint="F2"/>
                <w:spacing w:val="-4"/>
                <w:lang w:val="en-GB"/>
              </w:rPr>
              <w:t xml:space="preserve">aly </w:t>
            </w:r>
            <w:r w:rsidR="0011055D" w:rsidRPr="006E725C">
              <w:rPr>
                <w:color w:val="0D0D0D" w:themeColor="text1" w:themeTint="F2"/>
                <w:spacing w:val="-4"/>
                <w:lang w:val="en-GB"/>
              </w:rPr>
              <w:t>(−7</w:t>
            </w:r>
            <w:r w:rsidR="002A7B05" w:rsidRPr="006E725C">
              <w:rPr>
                <w:color w:val="0D0D0D" w:themeColor="text1" w:themeTint="F2"/>
                <w:spacing w:val="-4"/>
                <w:lang w:val="en-GB"/>
              </w:rPr>
              <w:t>.</w:t>
            </w:r>
            <w:r w:rsidR="0011055D" w:rsidRPr="006E725C">
              <w:rPr>
                <w:color w:val="0D0D0D" w:themeColor="text1" w:themeTint="F2"/>
                <w:spacing w:val="-4"/>
                <w:lang w:val="en-GB"/>
              </w:rPr>
              <w:t>1%), R</w:t>
            </w:r>
            <w:r w:rsidR="002A7B05" w:rsidRPr="006E725C">
              <w:rPr>
                <w:color w:val="0D0D0D" w:themeColor="text1" w:themeTint="F2"/>
                <w:spacing w:val="-4"/>
                <w:lang w:val="en-GB"/>
              </w:rPr>
              <w:t xml:space="preserve">omania </w:t>
            </w:r>
            <w:r w:rsidR="00E82AB6" w:rsidRPr="006E725C">
              <w:rPr>
                <w:color w:val="0D0D0D" w:themeColor="text1" w:themeTint="F2"/>
                <w:spacing w:val="-4"/>
                <w:lang w:val="en-GB"/>
              </w:rPr>
              <w:t>(−5</w:t>
            </w:r>
            <w:r w:rsidR="002A7B05" w:rsidRPr="006E725C">
              <w:rPr>
                <w:color w:val="0D0D0D" w:themeColor="text1" w:themeTint="F2"/>
                <w:spacing w:val="-4"/>
                <w:lang w:val="en-GB"/>
              </w:rPr>
              <w:t>.</w:t>
            </w:r>
            <w:r w:rsidR="00E82AB6" w:rsidRPr="006E725C">
              <w:rPr>
                <w:color w:val="0D0D0D" w:themeColor="text1" w:themeTint="F2"/>
                <w:spacing w:val="-4"/>
                <w:lang w:val="en-GB"/>
              </w:rPr>
              <w:t>7%) a</w:t>
            </w:r>
            <w:r w:rsidR="002A7B05" w:rsidRPr="006E725C">
              <w:rPr>
                <w:color w:val="0D0D0D" w:themeColor="text1" w:themeTint="F2"/>
                <w:spacing w:val="-4"/>
                <w:lang w:val="en-GB"/>
              </w:rPr>
              <w:t xml:space="preserve">nd Slovakia </w:t>
            </w:r>
            <w:r w:rsidR="00E82AB6" w:rsidRPr="006E725C">
              <w:rPr>
                <w:color w:val="0D0D0D" w:themeColor="text1" w:themeTint="F2"/>
                <w:spacing w:val="-4"/>
                <w:lang w:val="en-GB"/>
              </w:rPr>
              <w:t>(−5</w:t>
            </w:r>
            <w:r w:rsidR="002A7B05" w:rsidRPr="006E725C">
              <w:rPr>
                <w:color w:val="0D0D0D" w:themeColor="text1" w:themeTint="F2"/>
                <w:spacing w:val="-4"/>
                <w:lang w:val="en-GB"/>
              </w:rPr>
              <w:t>.</w:t>
            </w:r>
            <w:r w:rsidR="00E82AB6" w:rsidRPr="006E725C">
              <w:rPr>
                <w:color w:val="0D0D0D" w:themeColor="text1" w:themeTint="F2"/>
                <w:spacing w:val="-4"/>
                <w:lang w:val="en-GB"/>
              </w:rPr>
              <w:t>5%)</w:t>
            </w:r>
            <w:r w:rsidR="002A7B05" w:rsidRPr="006E725C">
              <w:rPr>
                <w:color w:val="0D0D0D" w:themeColor="text1" w:themeTint="F2"/>
                <w:spacing w:val="-4"/>
                <w:lang w:val="en-GB"/>
              </w:rPr>
              <w:t xml:space="preserve"> was hit by the relatively highest deficit in Q1 to Q3 2023.</w:t>
            </w:r>
            <w:r w:rsidR="00E82AB6" w:rsidRPr="006E725C">
              <w:rPr>
                <w:color w:val="0D0D0D" w:themeColor="text1" w:themeTint="F2"/>
                <w:spacing w:val="-4"/>
                <w:lang w:val="en-GB"/>
              </w:rPr>
              <w:t xml:space="preserve"> </w:t>
            </w:r>
            <w:r w:rsidR="00CD0373" w:rsidRPr="006E725C">
              <w:rPr>
                <w:color w:val="0D0D0D" w:themeColor="text1" w:themeTint="F2"/>
                <w:spacing w:val="-4"/>
                <w:lang w:val="en-GB"/>
              </w:rPr>
              <w:t xml:space="preserve">On the contrary, only Denmark, Ireland, Portugal and Cyprus achieved more significant surplus </w:t>
            </w:r>
            <w:r w:rsidR="0011055D" w:rsidRPr="006E725C">
              <w:rPr>
                <w:color w:val="0D0D0D" w:themeColor="text1" w:themeTint="F2"/>
                <w:spacing w:val="-4"/>
                <w:lang w:val="en-GB"/>
              </w:rPr>
              <w:t>(</w:t>
            </w:r>
            <w:r w:rsidR="00CD0373" w:rsidRPr="006E725C">
              <w:rPr>
                <w:color w:val="0D0D0D" w:themeColor="text1" w:themeTint="F2"/>
                <w:spacing w:val="-4"/>
                <w:lang w:val="en-GB"/>
              </w:rPr>
              <w:t xml:space="preserve">above </w:t>
            </w:r>
            <w:r w:rsidR="0011055D" w:rsidRPr="006E725C">
              <w:rPr>
                <w:color w:val="0D0D0D" w:themeColor="text1" w:themeTint="F2"/>
                <w:spacing w:val="-4"/>
                <w:lang w:val="en-GB"/>
              </w:rPr>
              <w:t>1%</w:t>
            </w:r>
            <w:r w:rsidR="00CD0373" w:rsidRPr="006E725C">
              <w:rPr>
                <w:color w:val="0D0D0D" w:themeColor="text1" w:themeTint="F2"/>
                <w:spacing w:val="-4"/>
                <w:lang w:val="en-GB"/>
              </w:rPr>
              <w:t xml:space="preserve"> of GDP</w:t>
            </w:r>
            <w:r w:rsidR="0011055D" w:rsidRPr="006E725C">
              <w:rPr>
                <w:color w:val="0D0D0D" w:themeColor="text1" w:themeTint="F2"/>
                <w:spacing w:val="-4"/>
                <w:lang w:val="en-GB"/>
              </w:rPr>
              <w:t>)</w:t>
            </w:r>
            <w:r w:rsidR="00CD0373" w:rsidRPr="006E725C">
              <w:rPr>
                <w:color w:val="0D0D0D" w:themeColor="text1" w:themeTint="F2"/>
                <w:spacing w:val="-4"/>
                <w:lang w:val="en-GB"/>
              </w:rPr>
              <w:t xml:space="preserve">. </w:t>
            </w:r>
            <w:r w:rsidR="009A049C" w:rsidRPr="006E725C">
              <w:rPr>
                <w:color w:val="0D0D0D" w:themeColor="text1" w:themeTint="F2"/>
                <w:spacing w:val="-4"/>
                <w:lang w:val="en-GB"/>
              </w:rPr>
              <w:t xml:space="preserve">The deficit deepened in the majority of states year-on-year </w:t>
            </w:r>
            <w:r w:rsidR="0011055D" w:rsidRPr="006E725C">
              <w:rPr>
                <w:color w:val="0D0D0D" w:themeColor="text1" w:themeTint="F2"/>
                <w:spacing w:val="-4"/>
                <w:lang w:val="en-GB"/>
              </w:rPr>
              <w:t>(</w:t>
            </w:r>
            <w:r w:rsidR="009A049C" w:rsidRPr="006E725C">
              <w:rPr>
                <w:color w:val="0D0D0D" w:themeColor="text1" w:themeTint="F2"/>
                <w:spacing w:val="-4"/>
                <w:lang w:val="en-GB"/>
              </w:rPr>
              <w:t>since the situation was still stabilised in the area of public deficits in H</w:t>
            </w:r>
            <w:r w:rsidR="0011055D" w:rsidRPr="006E725C">
              <w:rPr>
                <w:color w:val="0D0D0D" w:themeColor="text1" w:themeTint="F2"/>
                <w:spacing w:val="-4"/>
                <w:lang w:val="en-GB"/>
              </w:rPr>
              <w:t>1</w:t>
            </w:r>
            <w:r w:rsidR="009A049C" w:rsidRPr="006E725C">
              <w:rPr>
                <w:color w:val="0D0D0D" w:themeColor="text1" w:themeTint="F2"/>
                <w:spacing w:val="-4"/>
                <w:lang w:val="en-GB"/>
              </w:rPr>
              <w:t xml:space="preserve"> </w:t>
            </w:r>
            <w:r w:rsidR="0011055D" w:rsidRPr="006E725C">
              <w:rPr>
                <w:color w:val="0D0D0D" w:themeColor="text1" w:themeTint="F2"/>
                <w:spacing w:val="-4"/>
                <w:lang w:val="en-GB"/>
              </w:rPr>
              <w:t xml:space="preserve">2022). </w:t>
            </w:r>
            <w:r w:rsidR="009A049C" w:rsidRPr="006E725C">
              <w:rPr>
                <w:color w:val="0D0D0D" w:themeColor="text1" w:themeTint="F2"/>
                <w:spacing w:val="-4"/>
                <w:lang w:val="en-GB"/>
              </w:rPr>
              <w:t xml:space="preserve">It dropped the most in Slovakia </w:t>
            </w:r>
            <w:r w:rsidR="0011055D" w:rsidRPr="006E725C">
              <w:rPr>
                <w:color w:val="0D0D0D" w:themeColor="text1" w:themeTint="F2"/>
                <w:spacing w:val="-4"/>
                <w:lang w:val="en-GB"/>
              </w:rPr>
              <w:t>(</w:t>
            </w:r>
            <w:r w:rsidR="009A049C" w:rsidRPr="006E725C">
              <w:rPr>
                <w:color w:val="0D0D0D" w:themeColor="text1" w:themeTint="F2"/>
                <w:spacing w:val="-4"/>
                <w:lang w:val="en-GB"/>
              </w:rPr>
              <w:t xml:space="preserve">from </w:t>
            </w:r>
            <w:r w:rsidR="0011055D" w:rsidRPr="006E725C">
              <w:rPr>
                <w:color w:val="0D0D0D" w:themeColor="text1" w:themeTint="F2"/>
                <w:spacing w:val="-4"/>
                <w:lang w:val="en-GB"/>
              </w:rPr>
              <w:t>−1</w:t>
            </w:r>
            <w:r w:rsidR="009A049C" w:rsidRPr="006E725C">
              <w:rPr>
                <w:color w:val="0D0D0D" w:themeColor="text1" w:themeTint="F2"/>
                <w:spacing w:val="-4"/>
                <w:lang w:val="en-GB"/>
              </w:rPr>
              <w:t>.</w:t>
            </w:r>
            <w:r w:rsidR="0011055D" w:rsidRPr="006E725C">
              <w:rPr>
                <w:color w:val="0D0D0D" w:themeColor="text1" w:themeTint="F2"/>
                <w:spacing w:val="-4"/>
                <w:lang w:val="en-GB"/>
              </w:rPr>
              <w:t>7%</w:t>
            </w:r>
            <w:r w:rsidR="009A049C" w:rsidRPr="006E725C">
              <w:rPr>
                <w:color w:val="0D0D0D" w:themeColor="text1" w:themeTint="F2"/>
                <w:spacing w:val="-4"/>
                <w:lang w:val="en-GB"/>
              </w:rPr>
              <w:t xml:space="preserve"> to </w:t>
            </w:r>
            <w:r w:rsidR="0011055D" w:rsidRPr="006E725C">
              <w:rPr>
                <w:color w:val="0D0D0D" w:themeColor="text1" w:themeTint="F2"/>
                <w:spacing w:val="-4"/>
                <w:lang w:val="en-GB"/>
              </w:rPr>
              <w:t>−5</w:t>
            </w:r>
            <w:r w:rsidR="009A049C" w:rsidRPr="006E725C">
              <w:rPr>
                <w:color w:val="0D0D0D" w:themeColor="text1" w:themeTint="F2"/>
                <w:spacing w:val="-4"/>
                <w:lang w:val="en-GB"/>
              </w:rPr>
              <w:t>.</w:t>
            </w:r>
            <w:r w:rsidR="0011055D" w:rsidRPr="006E725C">
              <w:rPr>
                <w:color w:val="0D0D0D" w:themeColor="text1" w:themeTint="F2"/>
                <w:spacing w:val="-4"/>
                <w:lang w:val="en-GB"/>
              </w:rPr>
              <w:t>5%</w:t>
            </w:r>
            <w:r w:rsidR="009A049C" w:rsidRPr="006E725C">
              <w:rPr>
                <w:color w:val="0D0D0D" w:themeColor="text1" w:themeTint="F2"/>
                <w:spacing w:val="-4"/>
                <w:lang w:val="en-GB"/>
              </w:rPr>
              <w:t xml:space="preserve"> of GDP</w:t>
            </w:r>
            <w:r w:rsidR="0011055D" w:rsidRPr="006E725C">
              <w:rPr>
                <w:color w:val="0D0D0D" w:themeColor="text1" w:themeTint="F2"/>
                <w:spacing w:val="-4"/>
                <w:lang w:val="en-GB"/>
              </w:rPr>
              <w:t>),</w:t>
            </w:r>
            <w:r w:rsidR="009A049C" w:rsidRPr="006E725C">
              <w:rPr>
                <w:color w:val="0D0D0D" w:themeColor="text1" w:themeTint="F2"/>
                <w:spacing w:val="-4"/>
                <w:lang w:val="en-GB"/>
              </w:rPr>
              <w:t xml:space="preserve"> with mild distance then in Poland, Sweden, Hungary, Estonia and Finland. </w:t>
            </w:r>
            <w:r w:rsidR="002A7B05" w:rsidRPr="006E725C">
              <w:rPr>
                <w:color w:val="0D0D0D" w:themeColor="text1" w:themeTint="F2"/>
                <w:spacing w:val="-4"/>
                <w:lang w:val="en-GB"/>
              </w:rPr>
              <w:t xml:space="preserve">The deficit remained near 3% of GDP in the EU in both years, </w:t>
            </w:r>
            <w:r w:rsidR="009A049C" w:rsidRPr="006E725C">
              <w:rPr>
                <w:color w:val="0D0D0D" w:themeColor="text1" w:themeTint="F2"/>
                <w:spacing w:val="-4"/>
                <w:lang w:val="en-GB"/>
              </w:rPr>
              <w:t>similarly</w:t>
            </w:r>
            <w:r w:rsidR="002A7B05" w:rsidRPr="006E725C">
              <w:rPr>
                <w:color w:val="0D0D0D" w:themeColor="text1" w:themeTint="F2"/>
                <w:spacing w:val="-4"/>
                <w:lang w:val="en-GB"/>
              </w:rPr>
              <w:t xml:space="preserve"> to the CR. </w:t>
            </w:r>
          </w:p>
        </w:tc>
      </w:tr>
      <w:tr w:rsidR="0011055D" w:rsidRPr="006E725C" w14:paraId="4945A3CE" w14:textId="77777777" w:rsidTr="00C07C2F">
        <w:trPr>
          <w:trHeight w:val="145"/>
        </w:trPr>
        <w:tc>
          <w:tcPr>
            <w:tcW w:w="1718" w:type="dxa"/>
            <w:shd w:val="clear" w:color="auto" w:fill="auto"/>
            <w:tcMar>
              <w:left w:w="0" w:type="dxa"/>
            </w:tcMar>
          </w:tcPr>
          <w:p w14:paraId="25B2F888" w14:textId="556EEC92" w:rsidR="0011055D" w:rsidRPr="006E725C" w:rsidRDefault="00A37311" w:rsidP="00A37311">
            <w:pPr>
              <w:pStyle w:val="Marginlie"/>
              <w:rPr>
                <w:lang w:val="en-GB"/>
              </w:rPr>
            </w:pPr>
            <w:r w:rsidRPr="006E725C">
              <w:rPr>
                <w:lang w:val="en-GB"/>
              </w:rPr>
              <w:t xml:space="preserve">Decrease of the rate of indebtedness continues in </w:t>
            </w:r>
            <w:r w:rsidR="000F45A2" w:rsidRPr="006E725C">
              <w:rPr>
                <w:lang w:val="en-GB"/>
              </w:rPr>
              <w:t>the</w:t>
            </w:r>
            <w:r w:rsidRPr="006E725C">
              <w:rPr>
                <w:lang w:val="en-GB"/>
              </w:rPr>
              <w:t xml:space="preserve"> EU countries last year, even though at a slower pace. </w:t>
            </w:r>
          </w:p>
          <w:p w14:paraId="296A77A5" w14:textId="77777777" w:rsidR="00A37311" w:rsidRPr="006E725C" w:rsidRDefault="00A37311" w:rsidP="00A37311">
            <w:pPr>
              <w:pStyle w:val="Marginlie"/>
              <w:rPr>
                <w:lang w:val="en-GB"/>
              </w:rPr>
            </w:pPr>
          </w:p>
          <w:p w14:paraId="5DF5520B" w14:textId="77777777" w:rsidR="0011055D" w:rsidRPr="006E725C" w:rsidRDefault="0011055D" w:rsidP="00C07C2F">
            <w:pPr>
              <w:pStyle w:val="Marginlie"/>
              <w:rPr>
                <w:lang w:val="en-GB"/>
              </w:rPr>
            </w:pPr>
          </w:p>
          <w:p w14:paraId="27596BA1" w14:textId="77777777" w:rsidR="0011055D" w:rsidRPr="006E725C" w:rsidRDefault="0011055D" w:rsidP="00C07C2F">
            <w:pPr>
              <w:pStyle w:val="Marginlie"/>
              <w:rPr>
                <w:lang w:val="en-GB"/>
              </w:rPr>
            </w:pPr>
          </w:p>
          <w:p w14:paraId="2C82CE17" w14:textId="77777777" w:rsidR="0011055D" w:rsidRPr="006E725C" w:rsidRDefault="0011055D" w:rsidP="00C07C2F">
            <w:pPr>
              <w:pStyle w:val="Marginlie"/>
              <w:rPr>
                <w:lang w:val="en-GB"/>
              </w:rPr>
            </w:pPr>
          </w:p>
          <w:p w14:paraId="31291096" w14:textId="77777777" w:rsidR="0011055D" w:rsidRPr="006E725C" w:rsidRDefault="0011055D" w:rsidP="00C07C2F">
            <w:pPr>
              <w:pStyle w:val="Marginlie"/>
              <w:rPr>
                <w:lang w:val="en-GB"/>
              </w:rPr>
            </w:pPr>
          </w:p>
          <w:p w14:paraId="0F6E283B" w14:textId="23010E67" w:rsidR="0011055D" w:rsidRPr="006E725C" w:rsidRDefault="008A3D90" w:rsidP="00C07C2F">
            <w:pPr>
              <w:pStyle w:val="Marginlie"/>
              <w:rPr>
                <w:lang w:val="en-GB"/>
              </w:rPr>
            </w:pPr>
            <w:r w:rsidRPr="006E725C">
              <w:rPr>
                <w:lang w:val="en-GB"/>
              </w:rPr>
              <w:t xml:space="preserve">The CR indebtedness rate was the </w:t>
            </w:r>
            <w:r w:rsidR="00A37311" w:rsidRPr="006E725C">
              <w:rPr>
                <w:lang w:val="en-GB"/>
              </w:rPr>
              <w:t>ninth</w:t>
            </w:r>
            <w:r w:rsidRPr="006E725C">
              <w:rPr>
                <w:lang w:val="en-GB"/>
              </w:rPr>
              <w:t xml:space="preserve"> lowest in the Union, but its total increase was the highest among the states since the end of year 2</w:t>
            </w:r>
            <w:r w:rsidR="0011055D" w:rsidRPr="006E725C">
              <w:rPr>
                <w:lang w:val="en-GB"/>
              </w:rPr>
              <w:t>019</w:t>
            </w:r>
            <w:r w:rsidRPr="006E725C">
              <w:rPr>
                <w:lang w:val="en-GB"/>
              </w:rPr>
              <w:t xml:space="preserve">. </w:t>
            </w:r>
          </w:p>
        </w:tc>
        <w:tc>
          <w:tcPr>
            <w:tcW w:w="210" w:type="dxa"/>
            <w:shd w:val="clear" w:color="auto" w:fill="auto"/>
            <w:tcMar>
              <w:left w:w="0" w:type="dxa"/>
            </w:tcMar>
          </w:tcPr>
          <w:p w14:paraId="100A1BD4" w14:textId="77777777" w:rsidR="0011055D" w:rsidRPr="006E725C" w:rsidRDefault="0011055D" w:rsidP="00C07C2F">
            <w:pPr>
              <w:pStyle w:val="Textpoznpodarou"/>
              <w:jc w:val="both"/>
              <w:rPr>
                <w:spacing w:val="-4"/>
                <w:lang w:val="en-GB"/>
              </w:rPr>
            </w:pPr>
          </w:p>
        </w:tc>
        <w:tc>
          <w:tcPr>
            <w:tcW w:w="7741" w:type="dxa"/>
            <w:shd w:val="clear" w:color="auto" w:fill="auto"/>
            <w:tcMar>
              <w:left w:w="0" w:type="dxa"/>
            </w:tcMar>
          </w:tcPr>
          <w:p w14:paraId="6EDA56ED" w14:textId="14E621D7" w:rsidR="0011055D" w:rsidRPr="006E725C" w:rsidRDefault="00A37311" w:rsidP="0011055D">
            <w:pPr>
              <w:spacing w:after="0"/>
              <w:rPr>
                <w:spacing w:val="-4"/>
                <w:lang w:val="en-GB"/>
              </w:rPr>
            </w:pPr>
            <w:r w:rsidRPr="006E725C">
              <w:rPr>
                <w:spacing w:val="-4"/>
                <w:lang w:val="en-GB"/>
              </w:rPr>
              <w:t xml:space="preserve">The rate of indebtedness of the sector </w:t>
            </w:r>
            <w:r w:rsidR="0011055D" w:rsidRPr="006E725C">
              <w:rPr>
                <w:spacing w:val="-4"/>
                <w:lang w:val="en-GB"/>
              </w:rPr>
              <w:t xml:space="preserve">VI </w:t>
            </w:r>
            <w:r w:rsidRPr="006E725C">
              <w:rPr>
                <w:spacing w:val="-4"/>
                <w:lang w:val="en-GB"/>
              </w:rPr>
              <w:t xml:space="preserve">was </w:t>
            </w:r>
            <w:r w:rsidR="0011055D" w:rsidRPr="006E725C">
              <w:rPr>
                <w:spacing w:val="-4"/>
                <w:lang w:val="en-GB"/>
              </w:rPr>
              <w:t>82</w:t>
            </w:r>
            <w:r w:rsidRPr="006E725C">
              <w:rPr>
                <w:spacing w:val="-4"/>
                <w:lang w:val="en-GB"/>
              </w:rPr>
              <w:t>.</w:t>
            </w:r>
            <w:r w:rsidR="0011055D" w:rsidRPr="006E725C">
              <w:rPr>
                <w:spacing w:val="-4"/>
                <w:lang w:val="en-GB"/>
              </w:rPr>
              <w:t>6%</w:t>
            </w:r>
            <w:r w:rsidRPr="006E725C">
              <w:rPr>
                <w:spacing w:val="-4"/>
                <w:lang w:val="en-GB"/>
              </w:rPr>
              <w:t xml:space="preserve"> of GDP in the EU</w:t>
            </w:r>
            <w:r w:rsidR="0011055D" w:rsidRPr="006E725C">
              <w:rPr>
                <w:spacing w:val="-4"/>
                <w:lang w:val="en-GB"/>
              </w:rPr>
              <w:t>,</w:t>
            </w:r>
            <w:r w:rsidRPr="006E725C">
              <w:rPr>
                <w:spacing w:val="-4"/>
                <w:lang w:val="en-GB"/>
              </w:rPr>
              <w:t xml:space="preserve"> in that </w:t>
            </w:r>
            <w:r w:rsidR="0011055D" w:rsidRPr="006E725C">
              <w:rPr>
                <w:spacing w:val="-4"/>
                <w:lang w:val="en-GB"/>
              </w:rPr>
              <w:t>89</w:t>
            </w:r>
            <w:r w:rsidRPr="006E725C">
              <w:rPr>
                <w:spacing w:val="-4"/>
                <w:lang w:val="en-GB"/>
              </w:rPr>
              <w:t>.</w:t>
            </w:r>
            <w:r w:rsidR="0011055D" w:rsidRPr="006E725C">
              <w:rPr>
                <w:spacing w:val="-4"/>
                <w:lang w:val="en-GB"/>
              </w:rPr>
              <w:t>9%</w:t>
            </w:r>
            <w:r w:rsidRPr="006E725C">
              <w:rPr>
                <w:spacing w:val="-4"/>
                <w:lang w:val="en-GB"/>
              </w:rPr>
              <w:t xml:space="preserve"> of GDP in the euro area at the end of Q3. Quarter-on-quarter decrease of indebtedness thus lasted </w:t>
            </w:r>
            <w:r w:rsidR="0011055D" w:rsidRPr="006E725C">
              <w:rPr>
                <w:spacing w:val="-4"/>
                <w:lang w:val="en-GB"/>
              </w:rPr>
              <w:t>2</w:t>
            </w:r>
            <w:r w:rsidRPr="006E725C">
              <w:rPr>
                <w:spacing w:val="-4"/>
                <w:lang w:val="en-GB"/>
              </w:rPr>
              <w:t>.</w:t>
            </w:r>
            <w:r w:rsidR="0011055D" w:rsidRPr="006E725C">
              <w:rPr>
                <w:spacing w:val="-4"/>
                <w:lang w:val="en-GB"/>
              </w:rPr>
              <w:t>5</w:t>
            </w:r>
            <w:r w:rsidRPr="006E725C">
              <w:rPr>
                <w:spacing w:val="-4"/>
                <w:lang w:val="en-GB"/>
              </w:rPr>
              <w:t xml:space="preserve"> years, even though it took place at a slower pace last year. </w:t>
            </w:r>
            <w:r w:rsidR="009A049C" w:rsidRPr="006E725C">
              <w:rPr>
                <w:spacing w:val="-4"/>
                <w:lang w:val="en-GB"/>
              </w:rPr>
              <w:t>Compared to Q</w:t>
            </w:r>
            <w:r w:rsidR="0011055D" w:rsidRPr="006E725C">
              <w:rPr>
                <w:spacing w:val="-4"/>
                <w:lang w:val="en-GB"/>
              </w:rPr>
              <w:t>3</w:t>
            </w:r>
            <w:r w:rsidR="009A049C" w:rsidRPr="006E725C">
              <w:rPr>
                <w:spacing w:val="-4"/>
                <w:lang w:val="en-GB"/>
              </w:rPr>
              <w:t xml:space="preserve"> </w:t>
            </w:r>
            <w:r w:rsidR="0011055D" w:rsidRPr="006E725C">
              <w:rPr>
                <w:spacing w:val="-4"/>
                <w:lang w:val="en-GB"/>
              </w:rPr>
              <w:t>2022</w:t>
            </w:r>
            <w:r w:rsidR="009A049C" w:rsidRPr="006E725C">
              <w:rPr>
                <w:spacing w:val="-4"/>
                <w:lang w:val="en-GB"/>
              </w:rPr>
              <w:t xml:space="preserve">, the current indebtedness was lower in two thirds of the Union states </w:t>
            </w:r>
            <w:r w:rsidR="0011055D" w:rsidRPr="006E725C">
              <w:rPr>
                <w:spacing w:val="-4"/>
                <w:lang w:val="en-GB"/>
              </w:rPr>
              <w:t>(</w:t>
            </w:r>
            <w:r w:rsidR="009A049C" w:rsidRPr="006E725C">
              <w:rPr>
                <w:spacing w:val="-4"/>
                <w:lang w:val="en-GB"/>
              </w:rPr>
              <w:t xml:space="preserve">by precise </w:t>
            </w:r>
            <w:r w:rsidR="0011055D" w:rsidRPr="006E725C">
              <w:rPr>
                <w:spacing w:val="-4"/>
                <w:lang w:val="en-GB"/>
              </w:rPr>
              <w:t>2 p.</w:t>
            </w:r>
            <w:r w:rsidR="009A049C" w:rsidRPr="006E725C">
              <w:rPr>
                <w:spacing w:val="-4"/>
                <w:lang w:val="en-GB"/>
              </w:rPr>
              <w:t>p. in the whole EU</w:t>
            </w:r>
            <w:r w:rsidR="0011055D" w:rsidRPr="006E725C">
              <w:rPr>
                <w:spacing w:val="-4"/>
                <w:lang w:val="en-GB"/>
              </w:rPr>
              <w:t>),</w:t>
            </w:r>
            <w:r w:rsidR="009A049C" w:rsidRPr="006E725C">
              <w:rPr>
                <w:spacing w:val="-4"/>
                <w:lang w:val="en-GB"/>
              </w:rPr>
              <w:t xml:space="preserve"> the most in some highly indebted states </w:t>
            </w:r>
            <w:r w:rsidR="0011055D" w:rsidRPr="006E725C">
              <w:rPr>
                <w:spacing w:val="-4"/>
                <w:lang w:val="en-GB"/>
              </w:rPr>
              <w:t xml:space="preserve">– </w:t>
            </w:r>
            <w:r w:rsidR="009A049C" w:rsidRPr="006E725C">
              <w:rPr>
                <w:spacing w:val="-4"/>
                <w:lang w:val="en-GB"/>
              </w:rPr>
              <w:t xml:space="preserve">in Greece, Portugal, Cyprus </w:t>
            </w:r>
            <w:r w:rsidR="0011055D" w:rsidRPr="006E725C">
              <w:rPr>
                <w:spacing w:val="-4"/>
                <w:lang w:val="en-GB"/>
              </w:rPr>
              <w:t>(</w:t>
            </w:r>
            <w:r w:rsidR="009A049C" w:rsidRPr="006E725C">
              <w:rPr>
                <w:spacing w:val="-4"/>
                <w:lang w:val="en-GB"/>
              </w:rPr>
              <w:t xml:space="preserve">by more than </w:t>
            </w:r>
            <w:r w:rsidR="0011055D" w:rsidRPr="006E725C">
              <w:rPr>
                <w:spacing w:val="-4"/>
                <w:lang w:val="en-GB"/>
              </w:rPr>
              <w:t>10 p.</w:t>
            </w:r>
            <w:r w:rsidR="009A049C" w:rsidRPr="006E725C">
              <w:rPr>
                <w:spacing w:val="-4"/>
                <w:lang w:val="en-GB"/>
              </w:rPr>
              <w:t>p</w:t>
            </w:r>
            <w:r w:rsidR="0011055D" w:rsidRPr="006E725C">
              <w:rPr>
                <w:spacing w:val="-4"/>
                <w:lang w:val="en-GB"/>
              </w:rPr>
              <w:t xml:space="preserve">.), </w:t>
            </w:r>
            <w:r w:rsidR="009A049C" w:rsidRPr="006E725C">
              <w:rPr>
                <w:spacing w:val="-4"/>
                <w:lang w:val="en-GB"/>
              </w:rPr>
              <w:t xml:space="preserve">but also e.g., in Ireland </w:t>
            </w:r>
            <w:r w:rsidR="0011055D" w:rsidRPr="006E725C">
              <w:rPr>
                <w:spacing w:val="-4"/>
                <w:lang w:val="en-GB"/>
              </w:rPr>
              <w:t>(−4</w:t>
            </w:r>
            <w:r w:rsidR="009A049C" w:rsidRPr="006E725C">
              <w:rPr>
                <w:spacing w:val="-4"/>
                <w:lang w:val="en-GB"/>
              </w:rPr>
              <w:t>.</w:t>
            </w:r>
            <w:r w:rsidR="0011055D" w:rsidRPr="006E725C">
              <w:rPr>
                <w:spacing w:val="-4"/>
                <w:lang w:val="en-GB"/>
              </w:rPr>
              <w:t>9 p.</w:t>
            </w:r>
            <w:r w:rsidR="009A049C" w:rsidRPr="006E725C">
              <w:rPr>
                <w:spacing w:val="-4"/>
                <w:lang w:val="en-GB"/>
              </w:rPr>
              <w:t>p.</w:t>
            </w:r>
            <w:r w:rsidR="0011055D" w:rsidRPr="006E725C">
              <w:rPr>
                <w:spacing w:val="-4"/>
                <w:lang w:val="en-GB"/>
              </w:rPr>
              <w:t>) a</w:t>
            </w:r>
            <w:r w:rsidR="009A049C" w:rsidRPr="006E725C">
              <w:rPr>
                <w:spacing w:val="-4"/>
                <w:lang w:val="en-GB"/>
              </w:rPr>
              <w:t xml:space="preserve">nd Sweden </w:t>
            </w:r>
            <w:r w:rsidR="0011055D" w:rsidRPr="006E725C">
              <w:rPr>
                <w:spacing w:val="-4"/>
                <w:lang w:val="en-GB"/>
              </w:rPr>
              <w:t>(−4</w:t>
            </w:r>
            <w:r w:rsidR="009A049C" w:rsidRPr="006E725C">
              <w:rPr>
                <w:spacing w:val="-4"/>
                <w:lang w:val="en-GB"/>
              </w:rPr>
              <w:t>.</w:t>
            </w:r>
            <w:r w:rsidR="0011055D" w:rsidRPr="006E725C">
              <w:rPr>
                <w:spacing w:val="-4"/>
                <w:lang w:val="en-GB"/>
              </w:rPr>
              <w:t>0 p.</w:t>
            </w:r>
            <w:r w:rsidR="009A049C" w:rsidRPr="006E725C">
              <w:rPr>
                <w:spacing w:val="-4"/>
                <w:lang w:val="en-GB"/>
              </w:rPr>
              <w:t>p</w:t>
            </w:r>
            <w:r w:rsidR="0011055D" w:rsidRPr="006E725C">
              <w:rPr>
                <w:spacing w:val="-4"/>
                <w:lang w:val="en-GB"/>
              </w:rPr>
              <w:t xml:space="preserve">.). </w:t>
            </w:r>
            <w:r w:rsidR="009A049C" w:rsidRPr="006E725C">
              <w:rPr>
                <w:spacing w:val="-4"/>
                <w:lang w:val="en-GB"/>
              </w:rPr>
              <w:t xml:space="preserve">In contrast, the indebtedness heightened especially in Belgium </w:t>
            </w:r>
            <w:r w:rsidR="0011055D" w:rsidRPr="006E725C">
              <w:rPr>
                <w:spacing w:val="-4"/>
                <w:lang w:val="en-GB"/>
              </w:rPr>
              <w:t>(</w:t>
            </w:r>
            <w:r w:rsidR="009A049C" w:rsidRPr="006E725C">
              <w:rPr>
                <w:spacing w:val="-4"/>
                <w:lang w:val="en-GB"/>
              </w:rPr>
              <w:t xml:space="preserve">from </w:t>
            </w:r>
            <w:r w:rsidR="0011055D" w:rsidRPr="006E725C">
              <w:rPr>
                <w:spacing w:val="-4"/>
                <w:lang w:val="en-GB"/>
              </w:rPr>
              <w:t>105</w:t>
            </w:r>
            <w:r w:rsidR="009A049C" w:rsidRPr="006E725C">
              <w:rPr>
                <w:spacing w:val="-4"/>
                <w:lang w:val="en-GB"/>
              </w:rPr>
              <w:t>.</w:t>
            </w:r>
            <w:r w:rsidR="0011055D" w:rsidRPr="006E725C">
              <w:rPr>
                <w:spacing w:val="-4"/>
                <w:lang w:val="en-GB"/>
              </w:rPr>
              <w:t>6%</w:t>
            </w:r>
            <w:r w:rsidR="009A049C" w:rsidRPr="006E725C">
              <w:rPr>
                <w:spacing w:val="-4"/>
                <w:lang w:val="en-GB"/>
              </w:rPr>
              <w:t xml:space="preserve"> to </w:t>
            </w:r>
            <w:r w:rsidR="0011055D" w:rsidRPr="006E725C">
              <w:rPr>
                <w:spacing w:val="-4"/>
                <w:lang w:val="en-GB"/>
              </w:rPr>
              <w:t>108</w:t>
            </w:r>
            <w:r w:rsidR="009A049C" w:rsidRPr="006E725C">
              <w:rPr>
                <w:spacing w:val="-4"/>
                <w:lang w:val="en-GB"/>
              </w:rPr>
              <w:t>.</w:t>
            </w:r>
            <w:r w:rsidR="0011055D" w:rsidRPr="006E725C">
              <w:rPr>
                <w:spacing w:val="-4"/>
                <w:lang w:val="en-GB"/>
              </w:rPr>
              <w:t>0%</w:t>
            </w:r>
            <w:r w:rsidR="009A049C" w:rsidRPr="006E725C">
              <w:rPr>
                <w:spacing w:val="-4"/>
                <w:lang w:val="en-GB"/>
              </w:rPr>
              <w:t xml:space="preserve"> of GDP</w:t>
            </w:r>
            <w:r w:rsidR="0011055D" w:rsidRPr="006E725C">
              <w:rPr>
                <w:spacing w:val="-4"/>
                <w:lang w:val="en-GB"/>
              </w:rPr>
              <w:t xml:space="preserve">). </w:t>
            </w:r>
            <w:r w:rsidR="009A049C" w:rsidRPr="006E725C">
              <w:rPr>
                <w:spacing w:val="-4"/>
                <w:lang w:val="en-GB"/>
              </w:rPr>
              <w:t xml:space="preserve">The indebtedness rate in the CR was still </w:t>
            </w:r>
            <w:r w:rsidR="006428D3" w:rsidRPr="006E725C">
              <w:rPr>
                <w:spacing w:val="-4"/>
                <w:lang w:val="en-GB"/>
              </w:rPr>
              <w:t>“</w:t>
            </w:r>
            <w:r w:rsidR="009A049C" w:rsidRPr="006E725C">
              <w:rPr>
                <w:spacing w:val="-4"/>
                <w:lang w:val="en-GB"/>
              </w:rPr>
              <w:t>only</w:t>
            </w:r>
            <w:r w:rsidR="0074333D">
              <w:rPr>
                <w:spacing w:val="-4"/>
                <w:lang w:val="en-GB"/>
              </w:rPr>
              <w:t>”</w:t>
            </w:r>
            <w:r w:rsidR="009A049C" w:rsidRPr="006E725C">
              <w:rPr>
                <w:spacing w:val="-4"/>
                <w:lang w:val="en-GB"/>
              </w:rPr>
              <w:t xml:space="preserve"> one half against the euro area and the ninth lowest among the EU states </w:t>
            </w:r>
            <w:r w:rsidR="0011055D" w:rsidRPr="006E725C">
              <w:rPr>
                <w:spacing w:val="-4"/>
                <w:lang w:val="en-GB"/>
              </w:rPr>
              <w:t>(</w:t>
            </w:r>
            <w:r w:rsidR="009A049C" w:rsidRPr="006E725C">
              <w:rPr>
                <w:spacing w:val="-4"/>
                <w:lang w:val="en-GB"/>
              </w:rPr>
              <w:t xml:space="preserve">in that the fifth between its newest members </w:t>
            </w:r>
            <w:r w:rsidR="0011055D" w:rsidRPr="006E725C">
              <w:rPr>
                <w:spacing w:val="-4"/>
                <w:lang w:val="en-GB"/>
              </w:rPr>
              <w:t xml:space="preserve">– </w:t>
            </w:r>
            <w:r w:rsidR="009A049C" w:rsidRPr="006E725C">
              <w:rPr>
                <w:spacing w:val="-4"/>
                <w:lang w:val="en-GB"/>
              </w:rPr>
              <w:t>after Estonia, Bulgaria, Lithuania and Latvia</w:t>
            </w:r>
            <w:r w:rsidR="0011055D" w:rsidRPr="006E725C">
              <w:rPr>
                <w:spacing w:val="-4"/>
                <w:lang w:val="en-GB"/>
              </w:rPr>
              <w:t xml:space="preserve">). </w:t>
            </w:r>
            <w:r w:rsidR="0049505A" w:rsidRPr="006E725C">
              <w:rPr>
                <w:spacing w:val="-4"/>
                <w:lang w:val="en-GB"/>
              </w:rPr>
              <w:t xml:space="preserve">It however increased by </w:t>
            </w:r>
            <w:r w:rsidR="0011055D" w:rsidRPr="006E725C">
              <w:rPr>
                <w:spacing w:val="-4"/>
                <w:lang w:val="en-GB"/>
              </w:rPr>
              <w:t>14</w:t>
            </w:r>
            <w:r w:rsidR="0049505A" w:rsidRPr="006E725C">
              <w:rPr>
                <w:spacing w:val="-4"/>
                <w:lang w:val="en-GB"/>
              </w:rPr>
              <w:t>.</w:t>
            </w:r>
            <w:r w:rsidR="0011055D" w:rsidRPr="006E725C">
              <w:rPr>
                <w:spacing w:val="-4"/>
                <w:lang w:val="en-GB"/>
              </w:rPr>
              <w:t>5 p.</w:t>
            </w:r>
            <w:r w:rsidR="0049505A" w:rsidRPr="006E725C">
              <w:rPr>
                <w:spacing w:val="-4"/>
                <w:lang w:val="en-GB"/>
              </w:rPr>
              <w:t>p</w:t>
            </w:r>
            <w:r w:rsidR="0011055D" w:rsidRPr="006E725C">
              <w:rPr>
                <w:spacing w:val="-4"/>
                <w:lang w:val="en-GB"/>
              </w:rPr>
              <w:t>.</w:t>
            </w:r>
            <w:r w:rsidR="0049505A" w:rsidRPr="006E725C">
              <w:rPr>
                <w:spacing w:val="-4"/>
                <w:lang w:val="en-GB"/>
              </w:rPr>
              <w:t xml:space="preserve"> against the end of year 2019</w:t>
            </w:r>
            <w:r w:rsidR="0011055D" w:rsidRPr="006E725C">
              <w:rPr>
                <w:spacing w:val="-4"/>
                <w:lang w:val="en-GB"/>
              </w:rPr>
              <w:t xml:space="preserve"> (</w:t>
            </w:r>
            <w:r w:rsidR="0049505A" w:rsidRPr="006E725C">
              <w:rPr>
                <w:spacing w:val="-4"/>
                <w:lang w:val="en-GB"/>
              </w:rPr>
              <w:t>together with France the most in the EU</w:t>
            </w:r>
            <w:r w:rsidR="0011055D" w:rsidRPr="006E725C">
              <w:rPr>
                <w:spacing w:val="-4"/>
                <w:lang w:val="en-GB"/>
              </w:rPr>
              <w:t xml:space="preserve">), </w:t>
            </w:r>
            <w:r w:rsidR="002A7B05" w:rsidRPr="006E725C">
              <w:rPr>
                <w:spacing w:val="-4"/>
                <w:lang w:val="en-GB"/>
              </w:rPr>
              <w:t xml:space="preserve">nearly three times more than in Germany or the average for the Union. On the </w:t>
            </w:r>
            <w:r w:rsidR="0074333D" w:rsidRPr="006E725C">
              <w:rPr>
                <w:spacing w:val="-4"/>
                <w:lang w:val="en-GB"/>
              </w:rPr>
              <w:t>contrary,</w:t>
            </w:r>
            <w:r w:rsidR="002A7B05" w:rsidRPr="006E725C">
              <w:rPr>
                <w:spacing w:val="-4"/>
                <w:lang w:val="en-GB"/>
              </w:rPr>
              <w:t xml:space="preserve"> eight countries managed to </w:t>
            </w:r>
            <w:r w:rsidR="000F45A2" w:rsidRPr="006E725C">
              <w:rPr>
                <w:spacing w:val="-4"/>
                <w:lang w:val="en-GB"/>
              </w:rPr>
              <w:t>decrease</w:t>
            </w:r>
            <w:r w:rsidR="002A7B05" w:rsidRPr="006E725C">
              <w:rPr>
                <w:spacing w:val="-4"/>
                <w:lang w:val="en-GB"/>
              </w:rPr>
              <w:t xml:space="preserve"> the indebtedness for this period </w:t>
            </w:r>
            <w:r w:rsidR="0011055D" w:rsidRPr="006E725C">
              <w:rPr>
                <w:spacing w:val="-4"/>
                <w:lang w:val="en-GB"/>
              </w:rPr>
              <w:t xml:space="preserve">– </w:t>
            </w:r>
            <w:r w:rsidR="002A7B05" w:rsidRPr="006E725C">
              <w:rPr>
                <w:spacing w:val="-4"/>
                <w:lang w:val="en-GB"/>
              </w:rPr>
              <w:t xml:space="preserve">by more than </w:t>
            </w:r>
            <w:r w:rsidR="0011055D" w:rsidRPr="006E725C">
              <w:rPr>
                <w:spacing w:val="-4"/>
                <w:lang w:val="en-GB"/>
              </w:rPr>
              <w:t>13 p.</w:t>
            </w:r>
            <w:r w:rsidR="002A7B05" w:rsidRPr="006E725C">
              <w:rPr>
                <w:spacing w:val="-4"/>
                <w:lang w:val="en-GB"/>
              </w:rPr>
              <w:t xml:space="preserve">p. Greece, Cyprus and Ireland, milder also Sweden, Denmark and the Netherlands. Poland, where the indebtedness increased from </w:t>
            </w:r>
            <w:r w:rsidR="0011055D" w:rsidRPr="006E725C">
              <w:rPr>
                <w:spacing w:val="-4"/>
                <w:lang w:val="en-GB"/>
              </w:rPr>
              <w:t>45</w:t>
            </w:r>
            <w:r w:rsidR="002A7B05" w:rsidRPr="006E725C">
              <w:rPr>
                <w:spacing w:val="-4"/>
                <w:lang w:val="en-GB"/>
              </w:rPr>
              <w:t>.</w:t>
            </w:r>
            <w:r w:rsidR="0011055D" w:rsidRPr="006E725C">
              <w:rPr>
                <w:spacing w:val="-4"/>
                <w:lang w:val="en-GB"/>
              </w:rPr>
              <w:t xml:space="preserve">7% </w:t>
            </w:r>
            <w:r w:rsidR="002A7B05" w:rsidRPr="006E725C">
              <w:rPr>
                <w:spacing w:val="-4"/>
                <w:lang w:val="en-GB"/>
              </w:rPr>
              <w:t xml:space="preserve">to </w:t>
            </w:r>
            <w:r w:rsidR="0011055D" w:rsidRPr="006E725C">
              <w:rPr>
                <w:spacing w:val="-4"/>
                <w:lang w:val="en-GB"/>
              </w:rPr>
              <w:t>48</w:t>
            </w:r>
            <w:r w:rsidR="002A7B05" w:rsidRPr="006E725C">
              <w:rPr>
                <w:spacing w:val="-4"/>
                <w:lang w:val="en-GB"/>
              </w:rPr>
              <w:t>.</w:t>
            </w:r>
            <w:r w:rsidR="0011055D" w:rsidRPr="006E725C">
              <w:rPr>
                <w:spacing w:val="-4"/>
                <w:lang w:val="en-GB"/>
              </w:rPr>
              <w:t>7%</w:t>
            </w:r>
            <w:r w:rsidR="002A7B05" w:rsidRPr="006E725C">
              <w:rPr>
                <w:spacing w:val="-4"/>
                <w:lang w:val="en-GB"/>
              </w:rPr>
              <w:t xml:space="preserve"> of GDP fared relatively the best among the Central European states</w:t>
            </w:r>
            <w:r w:rsidR="0011055D" w:rsidRPr="006E725C">
              <w:rPr>
                <w:spacing w:val="-4"/>
                <w:lang w:val="en-GB"/>
              </w:rPr>
              <w:t>.</w:t>
            </w:r>
          </w:p>
        </w:tc>
      </w:tr>
    </w:tbl>
    <w:p w14:paraId="0FA9EA49" w14:textId="77777777" w:rsidR="0011055D" w:rsidRPr="006E725C" w:rsidRDefault="0011055D" w:rsidP="0011055D">
      <w:pPr>
        <w:pStyle w:val="Nadpis11"/>
        <w:rPr>
          <w:sz w:val="2"/>
          <w:szCs w:val="2"/>
          <w:lang w:val="en-GB"/>
        </w:rPr>
      </w:pPr>
    </w:p>
    <w:p w14:paraId="6FD91E5A" w14:textId="1416C17B" w:rsidR="00106BCC" w:rsidRPr="006E725C" w:rsidRDefault="00106BCC" w:rsidP="001E1AF1">
      <w:pPr>
        <w:pStyle w:val="Nadpis11"/>
        <w:rPr>
          <w:sz w:val="2"/>
          <w:szCs w:val="2"/>
          <w:lang w:val="en-GB"/>
        </w:rPr>
      </w:pPr>
    </w:p>
    <w:sectPr w:rsidR="00106BCC" w:rsidRPr="006E725C" w:rsidSect="00A03B10">
      <w:headerReference w:type="even" r:id="rId36"/>
      <w:headerReference w:type="default" r:id="rId37"/>
      <w:footerReference w:type="even" r:id="rId38"/>
      <w:footerReference w:type="default" r:id="rId39"/>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5E54" w14:textId="77777777" w:rsidR="003B4260" w:rsidRDefault="003B4260" w:rsidP="00E71A58">
      <w:r>
        <w:separator/>
      </w:r>
    </w:p>
  </w:endnote>
  <w:endnote w:type="continuationSeparator" w:id="0">
    <w:p w14:paraId="4A502AE6" w14:textId="77777777" w:rsidR="003B4260" w:rsidRDefault="003B426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3B4260" w14:paraId="6989D3A2" w14:textId="77777777" w:rsidTr="7059F910">
      <w:trPr>
        <w:trHeight w:val="300"/>
      </w:trPr>
      <w:tc>
        <w:tcPr>
          <w:tcW w:w="3210" w:type="dxa"/>
        </w:tcPr>
        <w:p w14:paraId="6590D2C6" w14:textId="074A4A49" w:rsidR="003B4260" w:rsidRDefault="003B4260" w:rsidP="7059F910">
          <w:pPr>
            <w:pStyle w:val="Zhlav"/>
            <w:ind w:left="-115"/>
          </w:pPr>
        </w:p>
      </w:tc>
      <w:tc>
        <w:tcPr>
          <w:tcW w:w="3210" w:type="dxa"/>
        </w:tcPr>
        <w:p w14:paraId="5B278884" w14:textId="26249C98" w:rsidR="003B4260" w:rsidRDefault="003B4260" w:rsidP="7059F910">
          <w:pPr>
            <w:pStyle w:val="Zhlav"/>
            <w:jc w:val="center"/>
          </w:pPr>
        </w:p>
      </w:tc>
      <w:tc>
        <w:tcPr>
          <w:tcW w:w="3210" w:type="dxa"/>
        </w:tcPr>
        <w:p w14:paraId="350DA2AE" w14:textId="68DB72F9" w:rsidR="003B4260" w:rsidRDefault="003B4260" w:rsidP="7059F910">
          <w:pPr>
            <w:pStyle w:val="Zhlav"/>
            <w:ind w:right="-115"/>
            <w:jc w:val="right"/>
          </w:pPr>
        </w:p>
      </w:tc>
    </w:tr>
  </w:tbl>
  <w:p w14:paraId="2D671E04" w14:textId="65A29983" w:rsidR="003B4260" w:rsidRDefault="003B4260" w:rsidP="7059F9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3B4260" w14:paraId="5BC8A3D5" w14:textId="77777777" w:rsidTr="7059F910">
      <w:trPr>
        <w:trHeight w:val="300"/>
      </w:trPr>
      <w:tc>
        <w:tcPr>
          <w:tcW w:w="3210" w:type="dxa"/>
        </w:tcPr>
        <w:p w14:paraId="4C3FABBA" w14:textId="5B17EC4C" w:rsidR="003B4260" w:rsidRDefault="003B4260" w:rsidP="7059F910">
          <w:pPr>
            <w:pStyle w:val="Zhlav"/>
            <w:ind w:left="-115"/>
          </w:pPr>
        </w:p>
      </w:tc>
      <w:tc>
        <w:tcPr>
          <w:tcW w:w="3210" w:type="dxa"/>
        </w:tcPr>
        <w:p w14:paraId="2F6BA66C" w14:textId="3E0E9ADE" w:rsidR="003B4260" w:rsidRDefault="003B4260" w:rsidP="7059F910">
          <w:pPr>
            <w:pStyle w:val="Zhlav"/>
            <w:jc w:val="center"/>
          </w:pPr>
        </w:p>
      </w:tc>
      <w:tc>
        <w:tcPr>
          <w:tcW w:w="3210" w:type="dxa"/>
        </w:tcPr>
        <w:p w14:paraId="376513CE" w14:textId="29DADE64" w:rsidR="003B4260" w:rsidRDefault="003B4260" w:rsidP="7059F910">
          <w:pPr>
            <w:pStyle w:val="Zhlav"/>
            <w:ind w:right="-115"/>
            <w:jc w:val="right"/>
          </w:pPr>
        </w:p>
      </w:tc>
    </w:tr>
  </w:tbl>
  <w:p w14:paraId="02DCEB25" w14:textId="79ED3BB1" w:rsidR="003B4260" w:rsidRDefault="003B4260" w:rsidP="7059F9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6D0EE2F8" w:rsidR="003B4260" w:rsidRPr="00932443" w:rsidRDefault="003B4260"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300E53">
      <w:rPr>
        <w:szCs w:val="16"/>
      </w:rPr>
      <w:t>22</w:t>
    </w:r>
    <w:r w:rsidRPr="00932443">
      <w:rPr>
        <w:szCs w:val="16"/>
      </w:rPr>
      <w:fldChar w:fldCharType="end"/>
    </w:r>
    <w:r w:rsidRPr="00932443">
      <w:rPr>
        <w:szCs w:val="16"/>
      </w:rPr>
      <w:tab/>
    </w:r>
    <w:r>
      <w:rPr>
        <w:szCs w:val="16"/>
      </w:rPr>
      <w:t>year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446DAA2F" w:rsidR="003B4260" w:rsidRPr="00932443" w:rsidRDefault="003B4260" w:rsidP="00FA6CB6">
    <w:pPr>
      <w:pStyle w:val="Zpat"/>
      <w:rPr>
        <w:szCs w:val="16"/>
      </w:rPr>
    </w:pPr>
    <w:r>
      <w:rPr>
        <w:lang w:eastAsia="cs-CZ"/>
      </w:rPr>
      <w:drawing>
        <wp:anchor distT="0" distB="0" distL="114300" distR="114300" simplePos="0" relativeHeight="251670016" behindDoc="0" locked="0" layoutInCell="1" allowOverlap="1" wp14:anchorId="61E29A61" wp14:editId="1E02F1E3">
          <wp:simplePos x="0" y="0"/>
          <wp:positionH relativeFrom="margin">
            <wp:posOffset>17145</wp:posOffset>
          </wp:positionH>
          <wp:positionV relativeFrom="paragraph">
            <wp:posOffset>-55657</wp:posOffset>
          </wp:positionV>
          <wp:extent cx="676910" cy="201930"/>
          <wp:effectExtent l="0" t="0" r="8890" b="7620"/>
          <wp:wrapNone/>
          <wp:docPr id="3"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300E53">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3BD3" w14:textId="77777777" w:rsidR="003B4260" w:rsidRDefault="003B4260" w:rsidP="00A21B4D">
      <w:pPr>
        <w:spacing w:after="0"/>
      </w:pPr>
      <w:r>
        <w:separator/>
      </w:r>
    </w:p>
  </w:footnote>
  <w:footnote w:type="continuationSeparator" w:id="0">
    <w:p w14:paraId="225CD336" w14:textId="77777777" w:rsidR="003B4260" w:rsidRDefault="003B4260" w:rsidP="00E71A58">
      <w:r>
        <w:continuationSeparator/>
      </w:r>
    </w:p>
  </w:footnote>
  <w:footnote w:id="1">
    <w:p w14:paraId="449061FF" w14:textId="26A0B4F7" w:rsidR="003B4260" w:rsidRPr="0037480D" w:rsidRDefault="003B4260" w:rsidP="0037480D">
      <w:pPr>
        <w:pStyle w:val="Textpoznpodarou"/>
        <w:jc w:val="both"/>
        <w:rPr>
          <w:spacing w:val="-2"/>
          <w:sz w:val="16"/>
          <w:szCs w:val="16"/>
          <w:lang w:val="en-GB"/>
        </w:rPr>
      </w:pPr>
      <w:r>
        <w:rPr>
          <w:rStyle w:val="Znakapoznpodarou"/>
          <w:spacing w:val="-2"/>
          <w:sz w:val="16"/>
          <w:szCs w:val="16"/>
        </w:rPr>
        <w:footnoteRef/>
      </w:r>
      <w:r>
        <w:rPr>
          <w:spacing w:val="-2"/>
          <w:sz w:val="16"/>
          <w:szCs w:val="16"/>
        </w:rPr>
        <w:t xml:space="preserve"> </w:t>
      </w:r>
      <w:r w:rsidRPr="0037480D">
        <w:rPr>
          <w:spacing w:val="-2"/>
          <w:sz w:val="16"/>
          <w:szCs w:val="16"/>
          <w:lang w:val="en-GB"/>
        </w:rPr>
        <w:t xml:space="preserve">Data regarding the GDP, gross value added and their components are expressed in constant prices and adjusted for seasonal and calendar effects. </w:t>
      </w:r>
    </w:p>
  </w:footnote>
  <w:footnote w:id="2">
    <w:p w14:paraId="720C5770" w14:textId="49801255" w:rsidR="003B4260" w:rsidRPr="0037480D" w:rsidRDefault="003B4260" w:rsidP="0037480D">
      <w:pPr>
        <w:pStyle w:val="Textpoznpodarou"/>
        <w:jc w:val="both"/>
        <w:rPr>
          <w:sz w:val="16"/>
          <w:szCs w:val="16"/>
          <w:lang w:val="en-GB"/>
        </w:rPr>
      </w:pPr>
      <w:r w:rsidRPr="0037480D">
        <w:rPr>
          <w:rStyle w:val="Znakapoznpodarou"/>
          <w:sz w:val="16"/>
          <w:szCs w:val="16"/>
          <w:lang w:val="en-GB"/>
        </w:rPr>
        <w:footnoteRef/>
      </w:r>
      <w:r w:rsidRPr="0037480D">
        <w:rPr>
          <w:sz w:val="16"/>
          <w:szCs w:val="16"/>
          <w:lang w:val="en-GB"/>
        </w:rPr>
        <w:t xml:space="preserve"> According to the methodology of quarterly national accounts (export and import in FOB/FOB prices).</w:t>
      </w:r>
    </w:p>
  </w:footnote>
  <w:footnote w:id="3">
    <w:p w14:paraId="5E8361CA" w14:textId="5530BC15" w:rsidR="003B4260" w:rsidRPr="0037480D" w:rsidRDefault="003B4260" w:rsidP="0037480D">
      <w:pPr>
        <w:pStyle w:val="Textpoznpodarou"/>
        <w:jc w:val="both"/>
        <w:rPr>
          <w:sz w:val="16"/>
          <w:szCs w:val="16"/>
          <w:lang w:val="en-GB"/>
        </w:rPr>
      </w:pPr>
      <w:r w:rsidRPr="0037480D">
        <w:rPr>
          <w:rStyle w:val="Znakapoznpodarou"/>
          <w:spacing w:val="-2"/>
          <w:sz w:val="16"/>
          <w:szCs w:val="16"/>
          <w:lang w:val="en-GB"/>
        </w:rPr>
        <w:footnoteRef/>
      </w:r>
      <w:r w:rsidRPr="0037480D">
        <w:rPr>
          <w:spacing w:val="-2"/>
          <w:sz w:val="16"/>
          <w:szCs w:val="16"/>
          <w:lang w:val="en-GB"/>
        </w:rPr>
        <w:t xml:space="preserve"> </w:t>
      </w:r>
      <w:r w:rsidRPr="0037480D">
        <w:rPr>
          <w:sz w:val="16"/>
          <w:szCs w:val="16"/>
          <w:lang w:val="en-GB"/>
        </w:rPr>
        <w:t xml:space="preserve">Employment data are in the national accounts conception and adjusted for seasonal effects. </w:t>
      </w:r>
    </w:p>
  </w:footnote>
  <w:footnote w:id="4">
    <w:p w14:paraId="184459A3" w14:textId="61E0ABE9" w:rsidR="003B4260" w:rsidRPr="000348AF" w:rsidRDefault="003B4260" w:rsidP="00D05995">
      <w:pPr>
        <w:pStyle w:val="Textpoznpodarou"/>
        <w:jc w:val="both"/>
        <w:rPr>
          <w:sz w:val="16"/>
          <w:szCs w:val="16"/>
        </w:rPr>
      </w:pPr>
      <w:r w:rsidRPr="000348AF">
        <w:rPr>
          <w:rStyle w:val="Znakapoznpodarou"/>
          <w:sz w:val="16"/>
          <w:szCs w:val="16"/>
        </w:rPr>
        <w:footnoteRef/>
      </w:r>
      <w:r w:rsidRPr="000348AF">
        <w:rPr>
          <w:sz w:val="16"/>
          <w:szCs w:val="16"/>
        </w:rPr>
        <w:t xml:space="preserve"> </w:t>
      </w:r>
      <w:r w:rsidRPr="00CE719A">
        <w:rPr>
          <w:sz w:val="16"/>
          <w:szCs w:val="16"/>
          <w:lang w:val="en-GB"/>
        </w:rPr>
        <w:t xml:space="preserve">The development of the GDP, gross value added and their components is expressed with the help of the volume indices (i.e. adjusted for changes in prices) and adjusted for seasonal and calendar effects. Data are valid as of </w:t>
      </w:r>
      <w:r>
        <w:rPr>
          <w:sz w:val="16"/>
          <w:szCs w:val="16"/>
          <w:lang w:val="en-GB"/>
        </w:rPr>
        <w:t>1</w:t>
      </w:r>
      <w:r w:rsidRPr="00A141A7">
        <w:rPr>
          <w:sz w:val="16"/>
          <w:szCs w:val="16"/>
          <w:vertAlign w:val="superscript"/>
          <w:lang w:val="en-GB"/>
        </w:rPr>
        <w:t>st</w:t>
      </w:r>
      <w:r>
        <w:rPr>
          <w:sz w:val="16"/>
          <w:szCs w:val="16"/>
          <w:lang w:val="en-GB"/>
        </w:rPr>
        <w:t xml:space="preserve"> March </w:t>
      </w:r>
      <w:r w:rsidRPr="00CE719A">
        <w:rPr>
          <w:sz w:val="16"/>
          <w:szCs w:val="16"/>
          <w:lang w:val="en-GB"/>
        </w:rPr>
        <w:t>202</w:t>
      </w:r>
      <w:r>
        <w:rPr>
          <w:sz w:val="16"/>
          <w:szCs w:val="16"/>
          <w:lang w:val="en-GB"/>
        </w:rPr>
        <w:t>4</w:t>
      </w:r>
      <w:r w:rsidRPr="00CE719A">
        <w:rPr>
          <w:sz w:val="16"/>
          <w:szCs w:val="16"/>
          <w:lang w:val="en-GB"/>
        </w:rPr>
        <w:t>.</w:t>
      </w:r>
    </w:p>
  </w:footnote>
  <w:footnote w:id="5">
    <w:p w14:paraId="112F8AD3" w14:textId="797BC723" w:rsidR="003B4260" w:rsidRPr="009C6EA8" w:rsidRDefault="003B4260" w:rsidP="00D05995">
      <w:pPr>
        <w:pStyle w:val="Textpoznpodarou"/>
        <w:jc w:val="both"/>
        <w:rPr>
          <w:sz w:val="16"/>
          <w:szCs w:val="16"/>
        </w:rPr>
      </w:pPr>
      <w:r w:rsidRPr="009C6EA8">
        <w:rPr>
          <w:rStyle w:val="Znakapoznpodarou"/>
          <w:sz w:val="16"/>
          <w:szCs w:val="16"/>
        </w:rPr>
        <w:footnoteRef/>
      </w:r>
      <w:r w:rsidRPr="009C6EA8">
        <w:rPr>
          <w:sz w:val="16"/>
          <w:szCs w:val="16"/>
        </w:rPr>
        <w:t xml:space="preserve"> </w:t>
      </w:r>
      <w:r w:rsidRPr="0029268D">
        <w:rPr>
          <w:sz w:val="16"/>
          <w:szCs w:val="16"/>
          <w:lang w:val="en-GB"/>
        </w:rPr>
        <w:t>Additions to the GDP change after exclusion of imports for final use.</w:t>
      </w:r>
    </w:p>
  </w:footnote>
  <w:footnote w:id="6">
    <w:p w14:paraId="67ED7480" w14:textId="7A1C6E70" w:rsidR="003B4260" w:rsidRPr="00150384" w:rsidRDefault="003B4260" w:rsidP="00150384">
      <w:pPr>
        <w:pStyle w:val="Textpoznpodarou"/>
        <w:jc w:val="both"/>
        <w:rPr>
          <w:lang w:val="en-GB"/>
        </w:rPr>
      </w:pPr>
      <w:r w:rsidRPr="009C6EA8">
        <w:rPr>
          <w:rStyle w:val="Znakapoznpodarou"/>
          <w:sz w:val="16"/>
          <w:szCs w:val="16"/>
        </w:rPr>
        <w:footnoteRef/>
      </w:r>
      <w:r w:rsidRPr="009C6EA8">
        <w:rPr>
          <w:sz w:val="16"/>
          <w:szCs w:val="16"/>
        </w:rPr>
        <w:t xml:space="preserve"> </w:t>
      </w:r>
      <w:r w:rsidRPr="00FD125F">
        <w:rPr>
          <w:sz w:val="16"/>
          <w:szCs w:val="16"/>
          <w:lang w:val="en-GB"/>
        </w:rPr>
        <w:t xml:space="preserve">Employment data in the national accounts conception (persons), figure seasonally adjusted.  </w:t>
      </w:r>
    </w:p>
  </w:footnote>
  <w:footnote w:id="7">
    <w:p w14:paraId="1B9B4704" w14:textId="538DD744" w:rsidR="003B4260" w:rsidRPr="00150384" w:rsidRDefault="003B4260" w:rsidP="007B7D1A">
      <w:pPr>
        <w:pStyle w:val="Textpoznpodarou"/>
        <w:jc w:val="both"/>
        <w:rPr>
          <w:sz w:val="16"/>
          <w:szCs w:val="16"/>
          <w:lang w:val="en-GB"/>
        </w:rPr>
      </w:pPr>
      <w:r w:rsidRPr="00150384">
        <w:rPr>
          <w:rStyle w:val="Znakapoznpodarou"/>
          <w:sz w:val="16"/>
          <w:szCs w:val="16"/>
          <w:lang w:val="en-GB"/>
        </w:rPr>
        <w:footnoteRef/>
      </w:r>
      <w:r w:rsidRPr="00150384">
        <w:rPr>
          <w:sz w:val="16"/>
          <w:szCs w:val="16"/>
          <w:lang w:val="en-GB"/>
        </w:rPr>
        <w:t xml:space="preserve"> </w:t>
      </w:r>
      <w:r w:rsidRPr="00FD125F">
        <w:rPr>
          <w:sz w:val="16"/>
          <w:szCs w:val="16"/>
          <w:lang w:val="en-GB"/>
        </w:rPr>
        <w:t>Converted into the real expression using the deflator of household consumption.</w:t>
      </w:r>
    </w:p>
  </w:footnote>
  <w:footnote w:id="8">
    <w:p w14:paraId="2F00293D" w14:textId="5B5F4BF0" w:rsidR="003B4260" w:rsidRPr="00150384" w:rsidRDefault="003B4260" w:rsidP="00294A56">
      <w:pPr>
        <w:pStyle w:val="Textpoznpodarou"/>
        <w:jc w:val="both"/>
        <w:rPr>
          <w:sz w:val="16"/>
          <w:szCs w:val="16"/>
          <w:lang w:val="en-GB"/>
        </w:rPr>
      </w:pPr>
      <w:r w:rsidRPr="00150384">
        <w:rPr>
          <w:rStyle w:val="Znakapoznpodarou"/>
          <w:sz w:val="16"/>
          <w:szCs w:val="16"/>
          <w:lang w:val="en-GB"/>
        </w:rPr>
        <w:footnoteRef/>
      </w:r>
      <w:r w:rsidRPr="00150384">
        <w:rPr>
          <w:sz w:val="16"/>
          <w:szCs w:val="16"/>
          <w:lang w:val="en-GB"/>
        </w:rPr>
        <w:t xml:space="preserve"> </w:t>
      </w:r>
      <w:r w:rsidRPr="00FD125F">
        <w:rPr>
          <w:sz w:val="16"/>
          <w:szCs w:val="16"/>
          <w:lang w:val="en-GB"/>
        </w:rPr>
        <w:t>T</w:t>
      </w:r>
      <w:r>
        <w:rPr>
          <w:sz w:val="16"/>
          <w:szCs w:val="16"/>
          <w:lang w:val="en-GB"/>
        </w:rPr>
        <w:t xml:space="preserve">his section includes activities of organisations uniting persons for the purpose of advancing their common interests, repairs of computers and personal and household goods and number of other personal services </w:t>
      </w:r>
      <w:r w:rsidRPr="00FD125F">
        <w:rPr>
          <w:sz w:val="16"/>
          <w:szCs w:val="16"/>
          <w:lang w:val="en-GB"/>
        </w:rPr>
        <w:t>(</w:t>
      </w:r>
      <w:r>
        <w:rPr>
          <w:sz w:val="16"/>
          <w:szCs w:val="16"/>
          <w:lang w:val="en-GB"/>
        </w:rPr>
        <w:t>hairdressing and other beauty treatment etc.</w:t>
      </w:r>
      <w:r w:rsidRPr="00FD125F">
        <w:rPr>
          <w:sz w:val="16"/>
          <w:szCs w:val="16"/>
          <w:lang w:val="en-GB"/>
        </w:rPr>
        <w:t>).</w:t>
      </w:r>
    </w:p>
  </w:footnote>
  <w:footnote w:id="9">
    <w:p w14:paraId="343AD942" w14:textId="41316E25" w:rsidR="003B4260" w:rsidRPr="006D49BA" w:rsidRDefault="003B4260" w:rsidP="006D49BA">
      <w:pPr>
        <w:pStyle w:val="Textpoznpodarou"/>
        <w:jc w:val="both"/>
        <w:rPr>
          <w:sz w:val="16"/>
          <w:szCs w:val="16"/>
          <w:lang w:val="en-GB"/>
        </w:rPr>
      </w:pPr>
      <w:r w:rsidRPr="00954992">
        <w:rPr>
          <w:rStyle w:val="Znakapoznpodarou"/>
          <w:sz w:val="16"/>
          <w:szCs w:val="16"/>
        </w:rPr>
        <w:footnoteRef/>
      </w:r>
      <w:r w:rsidRPr="00954992">
        <w:rPr>
          <w:sz w:val="16"/>
          <w:szCs w:val="16"/>
        </w:rPr>
        <w:t xml:space="preserve"> </w:t>
      </w:r>
      <w:r w:rsidRPr="006D49BA">
        <w:rPr>
          <w:sz w:val="16"/>
          <w:szCs w:val="16"/>
          <w:lang w:val="en-GB"/>
        </w:rPr>
        <w:t>Data regarding consumption based on durability are in domestic conception.</w:t>
      </w:r>
    </w:p>
  </w:footnote>
  <w:footnote w:id="10">
    <w:p w14:paraId="50AD997C" w14:textId="4734FFA3" w:rsidR="003B4260" w:rsidRPr="006D49BA" w:rsidRDefault="003B4260" w:rsidP="001500D8">
      <w:pPr>
        <w:pStyle w:val="Textpoznpodarou"/>
        <w:jc w:val="both"/>
        <w:rPr>
          <w:sz w:val="16"/>
          <w:szCs w:val="16"/>
          <w:lang w:val="en-GB"/>
        </w:rPr>
      </w:pPr>
      <w:r w:rsidRPr="006D49BA">
        <w:rPr>
          <w:rStyle w:val="Znakapoznpodarou"/>
          <w:sz w:val="16"/>
          <w:szCs w:val="16"/>
          <w:lang w:val="en-GB"/>
        </w:rPr>
        <w:footnoteRef/>
      </w:r>
      <w:r w:rsidRPr="006D49BA">
        <w:rPr>
          <w:sz w:val="16"/>
          <w:szCs w:val="16"/>
          <w:lang w:val="en-GB"/>
        </w:rPr>
        <w:t xml:space="preserve"> </w:t>
      </w:r>
      <w:r w:rsidRPr="000456B6">
        <w:rPr>
          <w:sz w:val="16"/>
          <w:szCs w:val="16"/>
          <w:lang w:val="en-GB"/>
        </w:rPr>
        <w:t xml:space="preserve">Change </w:t>
      </w:r>
      <w:r>
        <w:rPr>
          <w:sz w:val="16"/>
          <w:szCs w:val="16"/>
          <w:lang w:val="en-GB"/>
        </w:rPr>
        <w:t>in</w:t>
      </w:r>
      <w:r w:rsidRPr="000456B6">
        <w:rPr>
          <w:sz w:val="16"/>
          <w:szCs w:val="16"/>
          <w:lang w:val="en-GB"/>
        </w:rPr>
        <w:t xml:space="preserve"> inventories (in current prices and </w:t>
      </w:r>
      <w:r>
        <w:rPr>
          <w:sz w:val="16"/>
          <w:szCs w:val="16"/>
          <w:lang w:val="en-GB"/>
        </w:rPr>
        <w:t xml:space="preserve">not </w:t>
      </w:r>
      <w:r w:rsidRPr="000456B6">
        <w:rPr>
          <w:sz w:val="16"/>
          <w:szCs w:val="16"/>
          <w:lang w:val="en-GB"/>
        </w:rPr>
        <w:t xml:space="preserve">seasonally adjusted) attained </w:t>
      </w:r>
      <w:r>
        <w:rPr>
          <w:sz w:val="16"/>
          <w:szCs w:val="16"/>
          <w:lang w:val="en-GB"/>
        </w:rPr>
        <w:t>133</w:t>
      </w:r>
      <w:r w:rsidRPr="000456B6">
        <w:rPr>
          <w:sz w:val="16"/>
          <w:szCs w:val="16"/>
          <w:lang w:val="en-GB"/>
        </w:rPr>
        <w:t>.</w:t>
      </w:r>
      <w:r>
        <w:rPr>
          <w:sz w:val="16"/>
          <w:szCs w:val="16"/>
          <w:lang w:val="en-GB"/>
        </w:rPr>
        <w:t>9</w:t>
      </w:r>
      <w:r w:rsidRPr="000456B6">
        <w:rPr>
          <w:sz w:val="16"/>
          <w:szCs w:val="16"/>
          <w:lang w:val="en-GB"/>
        </w:rPr>
        <w:t xml:space="preserve"> </w:t>
      </w:r>
      <w:proofErr w:type="spellStart"/>
      <w:r>
        <w:rPr>
          <w:sz w:val="16"/>
          <w:szCs w:val="16"/>
          <w:lang w:val="en-GB"/>
        </w:rPr>
        <w:t>bn</w:t>
      </w:r>
      <w:proofErr w:type="spellEnd"/>
      <w:r>
        <w:rPr>
          <w:sz w:val="16"/>
          <w:szCs w:val="16"/>
          <w:lang w:val="en-GB"/>
        </w:rPr>
        <w:t xml:space="preserve"> CZK</w:t>
      </w:r>
      <w:r w:rsidRPr="000456B6">
        <w:rPr>
          <w:sz w:val="16"/>
          <w:szCs w:val="16"/>
          <w:lang w:val="en-GB"/>
        </w:rPr>
        <w:t xml:space="preserve"> last year</w:t>
      </w:r>
      <w:r>
        <w:rPr>
          <w:sz w:val="16"/>
          <w:szCs w:val="16"/>
          <w:lang w:val="en-GB"/>
        </w:rPr>
        <w:t xml:space="preserve">, which it was 346.5 </w:t>
      </w:r>
      <w:proofErr w:type="spellStart"/>
      <w:r>
        <w:rPr>
          <w:sz w:val="16"/>
          <w:szCs w:val="16"/>
          <w:lang w:val="en-GB"/>
        </w:rPr>
        <w:t>bn</w:t>
      </w:r>
      <w:proofErr w:type="spellEnd"/>
      <w:r>
        <w:rPr>
          <w:sz w:val="16"/>
          <w:szCs w:val="16"/>
          <w:lang w:val="en-GB"/>
        </w:rPr>
        <w:t xml:space="preserve"> in year 2022. Change in inventories arrived at </w:t>
      </w:r>
      <w:r w:rsidRPr="006D49BA">
        <w:rPr>
          <w:sz w:val="16"/>
          <w:szCs w:val="16"/>
          <w:lang w:val="en-GB"/>
        </w:rPr>
        <w:t>−54</w:t>
      </w:r>
      <w:r>
        <w:rPr>
          <w:sz w:val="16"/>
          <w:szCs w:val="16"/>
          <w:lang w:val="en-GB"/>
        </w:rPr>
        <w:t>.</w:t>
      </w:r>
      <w:r w:rsidRPr="006D49BA">
        <w:rPr>
          <w:sz w:val="16"/>
          <w:szCs w:val="16"/>
          <w:lang w:val="en-GB"/>
        </w:rPr>
        <w:t>8</w:t>
      </w:r>
      <w:r>
        <w:rPr>
          <w:sz w:val="16"/>
          <w:szCs w:val="16"/>
          <w:lang w:val="en-GB"/>
        </w:rPr>
        <w:t xml:space="preserve"> </w:t>
      </w:r>
      <w:proofErr w:type="spellStart"/>
      <w:r>
        <w:rPr>
          <w:sz w:val="16"/>
          <w:szCs w:val="16"/>
          <w:lang w:val="en-GB"/>
        </w:rPr>
        <w:t>bn</w:t>
      </w:r>
      <w:proofErr w:type="spellEnd"/>
      <w:r>
        <w:rPr>
          <w:sz w:val="16"/>
          <w:szCs w:val="16"/>
          <w:lang w:val="en-GB"/>
        </w:rPr>
        <w:t xml:space="preserve"> CZK in Q4</w:t>
      </w:r>
      <w:r w:rsidRPr="006D49BA">
        <w:rPr>
          <w:sz w:val="16"/>
          <w:szCs w:val="16"/>
          <w:lang w:val="en-GB"/>
        </w:rPr>
        <w:t>.</w:t>
      </w:r>
    </w:p>
  </w:footnote>
  <w:footnote w:id="11">
    <w:p w14:paraId="2EE60217" w14:textId="3CDA4477" w:rsidR="003B4260" w:rsidRPr="00167B30" w:rsidRDefault="003B4260" w:rsidP="008E18EC">
      <w:pPr>
        <w:pStyle w:val="Textpoznpodarou"/>
        <w:rPr>
          <w:sz w:val="16"/>
          <w:szCs w:val="16"/>
        </w:rPr>
      </w:pPr>
      <w:r w:rsidRPr="00167B30">
        <w:rPr>
          <w:rStyle w:val="Znakapoznpodarou"/>
          <w:sz w:val="16"/>
          <w:szCs w:val="16"/>
        </w:rPr>
        <w:footnoteRef/>
      </w:r>
      <w:r w:rsidRPr="00167B30">
        <w:rPr>
          <w:sz w:val="16"/>
          <w:szCs w:val="16"/>
        </w:rPr>
        <w:t xml:space="preserve"> </w:t>
      </w:r>
      <w:r w:rsidRPr="00A00EFF">
        <w:rPr>
          <w:sz w:val="16"/>
          <w:szCs w:val="16"/>
          <w:lang w:val="en-GB"/>
        </w:rPr>
        <w:t>According to the methodology of quarterly national accounts (</w:t>
      </w:r>
      <w:r>
        <w:rPr>
          <w:sz w:val="16"/>
          <w:szCs w:val="16"/>
          <w:lang w:val="en-GB"/>
        </w:rPr>
        <w:t xml:space="preserve">export and import </w:t>
      </w:r>
      <w:r w:rsidRPr="00A00EFF">
        <w:rPr>
          <w:sz w:val="16"/>
          <w:szCs w:val="16"/>
          <w:lang w:val="en-GB"/>
        </w:rPr>
        <w:t>in FOB/FOB prices).</w:t>
      </w:r>
      <w:r>
        <w:rPr>
          <w:sz w:val="16"/>
          <w:szCs w:val="16"/>
          <w:lang w:val="en-GB"/>
        </w:rPr>
        <w:t xml:space="preserve"> International trade balance in current prices and after seasonal adjustment. </w:t>
      </w:r>
    </w:p>
  </w:footnote>
  <w:footnote w:id="12">
    <w:p w14:paraId="2960AC6D" w14:textId="77777777" w:rsidR="003B4260" w:rsidRPr="00306D98" w:rsidRDefault="003B4260" w:rsidP="00C250FA">
      <w:pPr>
        <w:pStyle w:val="Textpoznpodarou"/>
        <w:jc w:val="both"/>
        <w:rPr>
          <w:sz w:val="16"/>
          <w:szCs w:val="16"/>
          <w:lang w:val="en-GB"/>
        </w:rPr>
      </w:pPr>
      <w:r w:rsidRPr="00AC5E0A">
        <w:rPr>
          <w:rStyle w:val="Znakapoznpodarou"/>
          <w:sz w:val="16"/>
          <w:szCs w:val="16"/>
        </w:rPr>
        <w:footnoteRef/>
      </w:r>
      <w:r w:rsidRPr="00AC5E0A">
        <w:rPr>
          <w:sz w:val="16"/>
          <w:szCs w:val="16"/>
        </w:rPr>
        <w:t xml:space="preserve"> </w:t>
      </w:r>
      <w:r w:rsidRPr="00306D98">
        <w:rPr>
          <w:sz w:val="16"/>
          <w:szCs w:val="16"/>
          <w:lang w:val="en-GB"/>
        </w:rPr>
        <w:t>Huge gap between the GDP and GVA dynamics was caused by the effect of varying of GDP and GVA evaluation. Gross value added is appraised in basic prices, while the GDP is expressed in real prices. These differences reflected on one side the tax yields connected to the plummeting consumption. Subsidies capturing the electricity price caps were also a factor especially at the beginning of the year.</w:t>
      </w:r>
    </w:p>
  </w:footnote>
  <w:footnote w:id="13">
    <w:p w14:paraId="309857BE" w14:textId="39028D34" w:rsidR="003B4260" w:rsidRPr="008E7039" w:rsidRDefault="003B4260" w:rsidP="008E7039">
      <w:pPr>
        <w:pStyle w:val="Textpoznpodarou"/>
        <w:jc w:val="both"/>
        <w:rPr>
          <w:rFonts w:cs="Arial"/>
          <w:color w:val="0D0D0D" w:themeColor="text1" w:themeTint="F2"/>
          <w:spacing w:val="-2"/>
          <w:sz w:val="16"/>
          <w:szCs w:val="16"/>
          <w:lang w:val="en-GB"/>
        </w:rPr>
      </w:pPr>
      <w:r w:rsidRPr="007163BD">
        <w:rPr>
          <w:rStyle w:val="Znakapoznpodarou"/>
          <w:rFonts w:cs="Arial"/>
          <w:color w:val="0D0D0D" w:themeColor="text1" w:themeTint="F2"/>
          <w:spacing w:val="-2"/>
          <w:sz w:val="16"/>
          <w:szCs w:val="16"/>
        </w:rPr>
        <w:footnoteRef/>
      </w:r>
      <w:r w:rsidRPr="007163BD">
        <w:rPr>
          <w:rFonts w:cs="Arial"/>
          <w:color w:val="0D0D0D" w:themeColor="text1" w:themeTint="F2"/>
          <w:spacing w:val="-2"/>
          <w:sz w:val="16"/>
          <w:szCs w:val="16"/>
        </w:rPr>
        <w:t xml:space="preserve"> </w:t>
      </w:r>
      <w:r w:rsidRPr="008E7039">
        <w:rPr>
          <w:rFonts w:cs="Arial"/>
          <w:color w:val="0D0D0D" w:themeColor="text1" w:themeTint="F2"/>
          <w:spacing w:val="-2"/>
          <w:sz w:val="16"/>
          <w:szCs w:val="16"/>
          <w:lang w:val="en-GB"/>
        </w:rPr>
        <w:t xml:space="preserve">Data regarding GVA are expressed in constant prices and adjusted for both seasonal and calendar effects. </w:t>
      </w:r>
    </w:p>
  </w:footnote>
  <w:footnote w:id="14">
    <w:p w14:paraId="5F6ADF1A" w14:textId="068F86EF" w:rsidR="003B4260" w:rsidRPr="008E7039" w:rsidRDefault="003B4260" w:rsidP="008E7039">
      <w:pPr>
        <w:pStyle w:val="Textpoznpodarou"/>
        <w:jc w:val="both"/>
        <w:rPr>
          <w:lang w:val="en-GB"/>
        </w:rPr>
      </w:pPr>
      <w:r w:rsidRPr="008E7039">
        <w:rPr>
          <w:rStyle w:val="Znakapoznpodarou"/>
          <w:sz w:val="16"/>
          <w:szCs w:val="16"/>
          <w:lang w:val="en-GB"/>
        </w:rPr>
        <w:footnoteRef/>
      </w:r>
      <w:r w:rsidRPr="008E7039">
        <w:rPr>
          <w:sz w:val="16"/>
          <w:szCs w:val="16"/>
          <w:lang w:val="en-GB"/>
        </w:rPr>
        <w:t xml:space="preserve"> </w:t>
      </w:r>
      <w:r>
        <w:rPr>
          <w:sz w:val="16"/>
          <w:szCs w:val="16"/>
          <w:lang w:val="en-GB"/>
        </w:rPr>
        <w:t>Include p</w:t>
      </w:r>
      <w:r w:rsidRPr="00DB4BF1">
        <w:rPr>
          <w:sz w:val="16"/>
          <w:szCs w:val="16"/>
          <w:lang w:val="en-GB"/>
        </w:rPr>
        <w:t>ublic administration, education, health and social work</w:t>
      </w:r>
      <w:r>
        <w:rPr>
          <w:sz w:val="16"/>
          <w:szCs w:val="16"/>
          <w:lang w:val="en-GB"/>
        </w:rPr>
        <w:t xml:space="preserve">. </w:t>
      </w:r>
    </w:p>
  </w:footnote>
  <w:footnote w:id="15">
    <w:p w14:paraId="21FDCDF0" w14:textId="2D936466" w:rsidR="003B4260" w:rsidRPr="008E7039" w:rsidRDefault="003B4260" w:rsidP="00C04DD9">
      <w:pPr>
        <w:pStyle w:val="Textpoznpodarou"/>
        <w:jc w:val="both"/>
        <w:rPr>
          <w:sz w:val="16"/>
          <w:szCs w:val="16"/>
          <w:lang w:val="en-GB"/>
        </w:rPr>
      </w:pPr>
      <w:r w:rsidRPr="008E7039">
        <w:rPr>
          <w:rStyle w:val="Znakapoznpodarou"/>
          <w:sz w:val="16"/>
          <w:szCs w:val="16"/>
          <w:lang w:val="en-GB"/>
        </w:rPr>
        <w:footnoteRef/>
      </w:r>
      <w:r w:rsidRPr="008E7039">
        <w:rPr>
          <w:sz w:val="16"/>
          <w:szCs w:val="16"/>
          <w:lang w:val="en-GB"/>
        </w:rPr>
        <w:t xml:space="preserve"> </w:t>
      </w:r>
      <w:r>
        <w:rPr>
          <w:sz w:val="16"/>
          <w:szCs w:val="16"/>
          <w:lang w:val="en-GB"/>
        </w:rPr>
        <w:t xml:space="preserve">At the same time, mining and energy industry were crimping the GVA growth in the whole economy the most among all main branches already in year </w:t>
      </w:r>
      <w:r w:rsidRPr="008E7039">
        <w:rPr>
          <w:sz w:val="16"/>
          <w:szCs w:val="16"/>
          <w:lang w:val="en-GB"/>
        </w:rPr>
        <w:t>2022 (−1</w:t>
      </w:r>
      <w:r>
        <w:rPr>
          <w:sz w:val="16"/>
          <w:szCs w:val="16"/>
          <w:lang w:val="en-GB"/>
        </w:rPr>
        <w:t>.</w:t>
      </w:r>
      <w:r w:rsidRPr="008E7039">
        <w:rPr>
          <w:sz w:val="16"/>
          <w:szCs w:val="16"/>
          <w:lang w:val="en-GB"/>
        </w:rPr>
        <w:t>2 p.</w:t>
      </w:r>
      <w:r>
        <w:rPr>
          <w:sz w:val="16"/>
          <w:szCs w:val="16"/>
          <w:lang w:val="en-GB"/>
        </w:rPr>
        <w:t>p</w:t>
      </w:r>
      <w:r w:rsidRPr="008E7039">
        <w:rPr>
          <w:sz w:val="16"/>
          <w:szCs w:val="16"/>
          <w:lang w:val="en-GB"/>
        </w:rPr>
        <w:t xml:space="preserve">.). </w:t>
      </w:r>
      <w:r>
        <w:rPr>
          <w:sz w:val="16"/>
          <w:szCs w:val="16"/>
          <w:lang w:val="en-GB"/>
        </w:rPr>
        <w:t xml:space="preserve">Value added created achieved in this industry last year only one half of the level from year </w:t>
      </w:r>
      <w:r w:rsidRPr="008E7039">
        <w:rPr>
          <w:sz w:val="16"/>
          <w:szCs w:val="16"/>
          <w:lang w:val="en-GB"/>
        </w:rPr>
        <w:t>2019.</w:t>
      </w:r>
    </w:p>
  </w:footnote>
  <w:footnote w:id="16">
    <w:p w14:paraId="20D2381F" w14:textId="5FD085DF" w:rsidR="003B4260" w:rsidRPr="008E7039" w:rsidRDefault="003B4260" w:rsidP="008E7039">
      <w:pPr>
        <w:pStyle w:val="Textpoznpodarou"/>
        <w:jc w:val="both"/>
        <w:rPr>
          <w:sz w:val="16"/>
          <w:szCs w:val="16"/>
          <w:lang w:val="en-GB"/>
        </w:rPr>
      </w:pPr>
      <w:r w:rsidRPr="008E7039">
        <w:rPr>
          <w:rStyle w:val="Znakapoznpodarou"/>
          <w:sz w:val="16"/>
          <w:szCs w:val="16"/>
          <w:lang w:val="en-GB"/>
        </w:rPr>
        <w:footnoteRef/>
      </w:r>
      <w:r w:rsidRPr="008E7039">
        <w:rPr>
          <w:sz w:val="16"/>
          <w:szCs w:val="16"/>
          <w:lang w:val="en-GB"/>
        </w:rPr>
        <w:t xml:space="preserve"> </w:t>
      </w:r>
      <w:r>
        <w:rPr>
          <w:sz w:val="16"/>
          <w:szCs w:val="16"/>
          <w:lang w:val="en-GB"/>
        </w:rPr>
        <w:t xml:space="preserve">Direct purchase of milk from the producers expanded </w:t>
      </w:r>
      <w:r w:rsidRPr="008E7039">
        <w:rPr>
          <w:sz w:val="16"/>
          <w:szCs w:val="16"/>
          <w:lang w:val="en-GB"/>
        </w:rPr>
        <w:t>(</w:t>
      </w:r>
      <w:r>
        <w:rPr>
          <w:sz w:val="16"/>
          <w:szCs w:val="16"/>
          <w:lang w:val="en-GB"/>
        </w:rPr>
        <w:t xml:space="preserve">in the </w:t>
      </w:r>
      <w:r w:rsidRPr="00622EFA">
        <w:rPr>
          <w:sz w:val="16"/>
          <w:szCs w:val="16"/>
          <w:lang w:val="en-GB"/>
        </w:rPr>
        <w:t>physical quantity</w:t>
      </w:r>
      <w:r>
        <w:rPr>
          <w:sz w:val="16"/>
          <w:szCs w:val="16"/>
          <w:lang w:val="en-GB"/>
        </w:rPr>
        <w:t xml:space="preserve"> - </w:t>
      </w:r>
      <w:r w:rsidRPr="00622EFA">
        <w:rPr>
          <w:sz w:val="16"/>
          <w:szCs w:val="16"/>
          <w:lang w:val="en-GB"/>
        </w:rPr>
        <w:t>litres</w:t>
      </w:r>
      <w:r w:rsidRPr="008E7039">
        <w:rPr>
          <w:sz w:val="16"/>
          <w:szCs w:val="16"/>
          <w:lang w:val="en-GB"/>
        </w:rPr>
        <w:t>)</w:t>
      </w:r>
      <w:r>
        <w:rPr>
          <w:sz w:val="16"/>
          <w:szCs w:val="16"/>
          <w:lang w:val="en-GB"/>
        </w:rPr>
        <w:t xml:space="preserve"> by 1.6% year-on-year last year. Last year</w:t>
      </w:r>
      <w:r>
        <w:rPr>
          <w:sz w:val="16"/>
          <w:szCs w:val="16"/>
          <w:lang w:val="en-US"/>
        </w:rPr>
        <w:t>’</w:t>
      </w:r>
      <w:r w:rsidRPr="007601AE">
        <w:rPr>
          <w:sz w:val="16"/>
          <w:szCs w:val="16"/>
          <w:lang w:val="en-US"/>
        </w:rPr>
        <w:t xml:space="preserve">s production of meat in slaughterhouses reached </w:t>
      </w:r>
      <w:r w:rsidRPr="008E7039">
        <w:rPr>
          <w:sz w:val="16"/>
          <w:szCs w:val="16"/>
          <w:lang w:val="en-GB"/>
        </w:rPr>
        <w:t>435</w:t>
      </w:r>
      <w:r>
        <w:rPr>
          <w:sz w:val="16"/>
          <w:szCs w:val="16"/>
          <w:lang w:val="en-GB"/>
        </w:rPr>
        <w:t>.</w:t>
      </w:r>
      <w:r w:rsidRPr="008E7039">
        <w:rPr>
          <w:sz w:val="16"/>
          <w:szCs w:val="16"/>
          <w:lang w:val="en-GB"/>
        </w:rPr>
        <w:t>9</w:t>
      </w:r>
      <w:r>
        <w:rPr>
          <w:sz w:val="16"/>
          <w:szCs w:val="16"/>
          <w:lang w:val="en-GB"/>
        </w:rPr>
        <w:t xml:space="preserve"> thousand tons </w:t>
      </w:r>
      <w:r w:rsidRPr="008E7039">
        <w:rPr>
          <w:sz w:val="16"/>
          <w:szCs w:val="16"/>
          <w:lang w:val="en-GB"/>
        </w:rPr>
        <w:t>(</w:t>
      </w:r>
      <w:r>
        <w:rPr>
          <w:sz w:val="16"/>
          <w:szCs w:val="16"/>
          <w:lang w:val="en-GB"/>
        </w:rPr>
        <w:t>the least in the history of the independent CR</w:t>
      </w:r>
      <w:r w:rsidRPr="008E7039">
        <w:rPr>
          <w:sz w:val="16"/>
          <w:szCs w:val="16"/>
          <w:lang w:val="en-GB"/>
        </w:rPr>
        <w:t xml:space="preserve">). </w:t>
      </w:r>
      <w:r>
        <w:rPr>
          <w:sz w:val="16"/>
          <w:szCs w:val="16"/>
          <w:lang w:val="en-GB"/>
        </w:rPr>
        <w:t xml:space="preserve">The decline was driven mainly by the lower production of the pork meat last year (similarly to year </w:t>
      </w:r>
      <w:r w:rsidRPr="008E7039">
        <w:rPr>
          <w:sz w:val="16"/>
          <w:szCs w:val="16"/>
          <w:lang w:val="en-GB"/>
        </w:rPr>
        <w:t>2022</w:t>
      </w:r>
      <w:r>
        <w:rPr>
          <w:sz w:val="16"/>
          <w:szCs w:val="16"/>
          <w:lang w:val="en-GB"/>
        </w:rPr>
        <w:t xml:space="preserve">), on the contrary a mild increase occurred for the beef meat in year </w:t>
      </w:r>
      <w:r w:rsidRPr="008E7039">
        <w:rPr>
          <w:sz w:val="16"/>
          <w:szCs w:val="16"/>
          <w:lang w:val="en-GB"/>
        </w:rPr>
        <w:t xml:space="preserve">2023. </w:t>
      </w:r>
      <w:r>
        <w:rPr>
          <w:sz w:val="16"/>
          <w:szCs w:val="16"/>
          <w:lang w:val="en-GB"/>
        </w:rPr>
        <w:t>Gross domestic production (i.e. the total supplies from the Czech farms to slaughterhouses - both local and abroad</w:t>
      </w:r>
      <w:r w:rsidRPr="008E7039">
        <w:rPr>
          <w:sz w:val="16"/>
          <w:szCs w:val="16"/>
          <w:lang w:val="en-GB"/>
        </w:rPr>
        <w:t>)</w:t>
      </w:r>
      <w:r>
        <w:rPr>
          <w:sz w:val="16"/>
          <w:szCs w:val="16"/>
          <w:lang w:val="en-GB"/>
        </w:rPr>
        <w:t xml:space="preserve"> plunged by </w:t>
      </w:r>
      <w:r w:rsidRPr="008E7039">
        <w:rPr>
          <w:sz w:val="16"/>
          <w:szCs w:val="16"/>
          <w:lang w:val="en-GB"/>
        </w:rPr>
        <w:t>7</w:t>
      </w:r>
      <w:r>
        <w:rPr>
          <w:sz w:val="16"/>
          <w:szCs w:val="16"/>
          <w:lang w:val="en-GB"/>
        </w:rPr>
        <w:t>.</w:t>
      </w:r>
      <w:r w:rsidRPr="008E7039">
        <w:rPr>
          <w:sz w:val="16"/>
          <w:szCs w:val="16"/>
          <w:lang w:val="en-GB"/>
        </w:rPr>
        <w:t>6%</w:t>
      </w:r>
      <w:r>
        <w:rPr>
          <w:sz w:val="16"/>
          <w:szCs w:val="16"/>
          <w:lang w:val="en-GB"/>
        </w:rPr>
        <w:t xml:space="preserve"> for the pork meat year-on-year last year</w:t>
      </w:r>
      <w:r w:rsidRPr="008E7039">
        <w:rPr>
          <w:sz w:val="16"/>
          <w:szCs w:val="16"/>
          <w:lang w:val="en-GB"/>
        </w:rPr>
        <w:t xml:space="preserve"> (</w:t>
      </w:r>
      <w:r>
        <w:rPr>
          <w:sz w:val="16"/>
          <w:szCs w:val="16"/>
          <w:lang w:val="en-GB"/>
        </w:rPr>
        <w:t xml:space="preserve">it fell by 5.6% in year </w:t>
      </w:r>
      <w:r w:rsidRPr="008E7039">
        <w:rPr>
          <w:sz w:val="16"/>
          <w:szCs w:val="16"/>
          <w:lang w:val="en-GB"/>
        </w:rPr>
        <w:t>202</w:t>
      </w:r>
      <w:r>
        <w:rPr>
          <w:sz w:val="16"/>
          <w:szCs w:val="16"/>
          <w:lang w:val="en-GB"/>
        </w:rPr>
        <w:t>2).</w:t>
      </w:r>
      <w:r w:rsidRPr="008E7039">
        <w:rPr>
          <w:sz w:val="16"/>
          <w:szCs w:val="16"/>
          <w:lang w:val="en-GB"/>
        </w:rPr>
        <w:t xml:space="preserve"> </w:t>
      </w:r>
      <w:r>
        <w:rPr>
          <w:sz w:val="16"/>
          <w:szCs w:val="16"/>
          <w:lang w:val="en-GB"/>
        </w:rPr>
        <w:t xml:space="preserve">On the contrary for the beef meat it increased by </w:t>
      </w:r>
      <w:r w:rsidRPr="008E7039">
        <w:rPr>
          <w:sz w:val="16"/>
          <w:szCs w:val="16"/>
          <w:lang w:val="en-GB"/>
        </w:rPr>
        <w:t>3</w:t>
      </w:r>
      <w:r>
        <w:rPr>
          <w:sz w:val="16"/>
          <w:szCs w:val="16"/>
          <w:lang w:val="en-GB"/>
        </w:rPr>
        <w:t>.</w:t>
      </w:r>
      <w:r w:rsidRPr="008E7039">
        <w:rPr>
          <w:sz w:val="16"/>
          <w:szCs w:val="16"/>
          <w:lang w:val="en-GB"/>
        </w:rPr>
        <w:t>2% (</w:t>
      </w:r>
      <w:r>
        <w:rPr>
          <w:sz w:val="16"/>
          <w:szCs w:val="16"/>
          <w:lang w:val="en-GB"/>
        </w:rPr>
        <w:t xml:space="preserve">it however fell by </w:t>
      </w:r>
      <w:r w:rsidRPr="008E7039">
        <w:rPr>
          <w:sz w:val="16"/>
          <w:szCs w:val="16"/>
          <w:lang w:val="en-GB"/>
        </w:rPr>
        <w:t>1</w:t>
      </w:r>
      <w:r>
        <w:rPr>
          <w:sz w:val="16"/>
          <w:szCs w:val="16"/>
          <w:lang w:val="en-GB"/>
        </w:rPr>
        <w:t>.</w:t>
      </w:r>
      <w:r w:rsidRPr="008E7039">
        <w:rPr>
          <w:sz w:val="16"/>
          <w:szCs w:val="16"/>
          <w:lang w:val="en-GB"/>
        </w:rPr>
        <w:t>6%</w:t>
      </w:r>
      <w:r>
        <w:rPr>
          <w:sz w:val="16"/>
          <w:szCs w:val="16"/>
          <w:lang w:val="en-GB"/>
        </w:rPr>
        <w:t xml:space="preserve"> the year before last</w:t>
      </w:r>
      <w:r w:rsidRPr="008E7039">
        <w:rPr>
          <w:sz w:val="16"/>
          <w:szCs w:val="16"/>
          <w:lang w:val="en-GB"/>
        </w:rPr>
        <w:t>) a</w:t>
      </w:r>
      <w:r>
        <w:rPr>
          <w:sz w:val="16"/>
          <w:szCs w:val="16"/>
          <w:lang w:val="en-GB"/>
        </w:rPr>
        <w:t xml:space="preserve">nd for the poultry it stagnated </w:t>
      </w:r>
      <w:r w:rsidRPr="008E7039">
        <w:rPr>
          <w:sz w:val="16"/>
          <w:szCs w:val="16"/>
          <w:lang w:val="en-GB"/>
        </w:rPr>
        <w:t>(</w:t>
      </w:r>
      <w:r>
        <w:rPr>
          <w:sz w:val="16"/>
          <w:szCs w:val="16"/>
          <w:lang w:val="en-GB"/>
        </w:rPr>
        <w:t xml:space="preserve">the same in year </w:t>
      </w:r>
      <w:r w:rsidRPr="008E7039">
        <w:rPr>
          <w:sz w:val="16"/>
          <w:szCs w:val="16"/>
          <w:lang w:val="en-GB"/>
        </w:rPr>
        <w:t>2022).</w:t>
      </w:r>
    </w:p>
  </w:footnote>
  <w:footnote w:id="17">
    <w:p w14:paraId="3BBFBF20" w14:textId="40C2200F" w:rsidR="003B4260" w:rsidRPr="008E7039" w:rsidRDefault="003B4260" w:rsidP="008E7039">
      <w:pPr>
        <w:pStyle w:val="Textpoznpodarou"/>
        <w:jc w:val="both"/>
        <w:rPr>
          <w:sz w:val="16"/>
          <w:szCs w:val="16"/>
          <w:lang w:val="en-GB"/>
        </w:rPr>
      </w:pPr>
      <w:r w:rsidRPr="008E7039">
        <w:rPr>
          <w:rStyle w:val="Znakapoznpodarou"/>
          <w:sz w:val="16"/>
          <w:szCs w:val="16"/>
          <w:lang w:val="en-GB"/>
        </w:rPr>
        <w:footnoteRef/>
      </w:r>
      <w:r w:rsidRPr="008E7039">
        <w:rPr>
          <w:rStyle w:val="Znakapoznpodarou"/>
          <w:sz w:val="16"/>
          <w:szCs w:val="16"/>
          <w:lang w:val="en-GB"/>
        </w:rPr>
        <w:t xml:space="preserve"> </w:t>
      </w:r>
      <w:r>
        <w:rPr>
          <w:sz w:val="16"/>
          <w:szCs w:val="16"/>
          <w:lang w:val="en-GB"/>
        </w:rPr>
        <w:t xml:space="preserve">The harvest of all cereals attained </w:t>
      </w:r>
      <w:r w:rsidRPr="008E7039">
        <w:rPr>
          <w:sz w:val="16"/>
          <w:szCs w:val="16"/>
          <w:lang w:val="en-GB"/>
        </w:rPr>
        <w:t>7</w:t>
      </w:r>
      <w:r>
        <w:rPr>
          <w:sz w:val="16"/>
          <w:szCs w:val="16"/>
          <w:lang w:val="en-GB"/>
        </w:rPr>
        <w:t>.</w:t>
      </w:r>
      <w:r w:rsidRPr="008E7039">
        <w:rPr>
          <w:sz w:val="16"/>
          <w:szCs w:val="16"/>
          <w:lang w:val="en-GB"/>
        </w:rPr>
        <w:t>996</w:t>
      </w:r>
      <w:r>
        <w:rPr>
          <w:sz w:val="16"/>
          <w:szCs w:val="16"/>
          <w:lang w:val="en-GB"/>
        </w:rPr>
        <w:t xml:space="preserve"> mil tons last year </w:t>
      </w:r>
      <w:r w:rsidRPr="008E7039">
        <w:rPr>
          <w:sz w:val="16"/>
          <w:szCs w:val="16"/>
          <w:lang w:val="en-GB"/>
        </w:rPr>
        <w:t>(</w:t>
      </w:r>
      <w:r>
        <w:rPr>
          <w:sz w:val="16"/>
          <w:szCs w:val="16"/>
          <w:lang w:val="en-GB"/>
        </w:rPr>
        <w:t xml:space="preserve">with yield per hectare </w:t>
      </w:r>
      <w:r w:rsidRPr="008E7039">
        <w:rPr>
          <w:sz w:val="16"/>
          <w:szCs w:val="16"/>
          <w:lang w:val="en-GB"/>
        </w:rPr>
        <w:t>6</w:t>
      </w:r>
      <w:r>
        <w:rPr>
          <w:sz w:val="16"/>
          <w:szCs w:val="16"/>
          <w:lang w:val="en-GB"/>
        </w:rPr>
        <w:t>.</w:t>
      </w:r>
      <w:r w:rsidRPr="008E7039">
        <w:rPr>
          <w:sz w:val="16"/>
          <w:szCs w:val="16"/>
          <w:lang w:val="en-GB"/>
        </w:rPr>
        <w:t xml:space="preserve">07 t/ha). </w:t>
      </w:r>
      <w:r>
        <w:rPr>
          <w:sz w:val="16"/>
          <w:szCs w:val="16"/>
          <w:lang w:val="en-GB"/>
        </w:rPr>
        <w:t xml:space="preserve">The harvest is lower year-on-year by </w:t>
      </w:r>
      <w:r w:rsidRPr="008E7039">
        <w:rPr>
          <w:sz w:val="16"/>
          <w:szCs w:val="16"/>
          <w:lang w:val="en-GB"/>
        </w:rPr>
        <w:t>2</w:t>
      </w:r>
      <w:r>
        <w:rPr>
          <w:sz w:val="16"/>
          <w:szCs w:val="16"/>
          <w:lang w:val="en-GB"/>
        </w:rPr>
        <w:t>.</w:t>
      </w:r>
      <w:r w:rsidRPr="008E7039">
        <w:rPr>
          <w:sz w:val="16"/>
          <w:szCs w:val="16"/>
          <w:lang w:val="en-GB"/>
        </w:rPr>
        <w:t>7%,</w:t>
      </w:r>
      <w:r>
        <w:rPr>
          <w:sz w:val="16"/>
          <w:szCs w:val="16"/>
          <w:lang w:val="en-GB"/>
        </w:rPr>
        <w:t xml:space="preserve"> it however exceeds the 5-year average </w:t>
      </w:r>
      <w:r w:rsidRPr="008E7039">
        <w:rPr>
          <w:sz w:val="16"/>
          <w:szCs w:val="16"/>
          <w:lang w:val="en-GB"/>
        </w:rPr>
        <w:t>(+2</w:t>
      </w:r>
      <w:r>
        <w:rPr>
          <w:sz w:val="16"/>
          <w:szCs w:val="16"/>
          <w:lang w:val="en-GB"/>
        </w:rPr>
        <w:t>.</w:t>
      </w:r>
      <w:r w:rsidRPr="008E7039">
        <w:rPr>
          <w:sz w:val="16"/>
          <w:szCs w:val="16"/>
          <w:lang w:val="en-GB"/>
        </w:rPr>
        <w:t>0%,</w:t>
      </w:r>
      <w:r>
        <w:rPr>
          <w:sz w:val="16"/>
          <w:szCs w:val="16"/>
          <w:lang w:val="en-GB"/>
        </w:rPr>
        <w:t xml:space="preserve"> in that wheat </w:t>
      </w:r>
      <w:r w:rsidRPr="008E7039">
        <w:rPr>
          <w:sz w:val="16"/>
          <w:szCs w:val="16"/>
          <w:lang w:val="en-GB"/>
        </w:rPr>
        <w:t>+8</w:t>
      </w:r>
      <w:r>
        <w:rPr>
          <w:sz w:val="16"/>
          <w:szCs w:val="16"/>
          <w:lang w:val="en-GB"/>
        </w:rPr>
        <w:t>.</w:t>
      </w:r>
      <w:r w:rsidRPr="008E7039">
        <w:rPr>
          <w:sz w:val="16"/>
          <w:szCs w:val="16"/>
          <w:lang w:val="en-GB"/>
        </w:rPr>
        <w:t xml:space="preserve">4%). </w:t>
      </w:r>
      <w:r>
        <w:rPr>
          <w:sz w:val="16"/>
          <w:szCs w:val="16"/>
          <w:lang w:val="en-GB"/>
        </w:rPr>
        <w:t xml:space="preserve">The year-on-year decrease of harvest was also recorded for the grain legumes </w:t>
      </w:r>
      <w:r w:rsidRPr="008E7039">
        <w:rPr>
          <w:sz w:val="16"/>
          <w:szCs w:val="16"/>
          <w:lang w:val="en-GB"/>
        </w:rPr>
        <w:t>(−9</w:t>
      </w:r>
      <w:r>
        <w:rPr>
          <w:sz w:val="16"/>
          <w:szCs w:val="16"/>
          <w:lang w:val="en-GB"/>
        </w:rPr>
        <w:t>.</w:t>
      </w:r>
      <w:r w:rsidRPr="008E7039">
        <w:rPr>
          <w:sz w:val="16"/>
          <w:szCs w:val="16"/>
          <w:lang w:val="en-GB"/>
        </w:rPr>
        <w:t xml:space="preserve">9%), </w:t>
      </w:r>
      <w:r>
        <w:rPr>
          <w:sz w:val="16"/>
          <w:szCs w:val="16"/>
          <w:lang w:val="en-GB"/>
        </w:rPr>
        <w:t xml:space="preserve">potatoes </w:t>
      </w:r>
      <w:r w:rsidRPr="008E7039">
        <w:rPr>
          <w:sz w:val="16"/>
          <w:szCs w:val="16"/>
          <w:lang w:val="en-GB"/>
        </w:rPr>
        <w:t>(−12</w:t>
      </w:r>
      <w:r>
        <w:rPr>
          <w:sz w:val="16"/>
          <w:szCs w:val="16"/>
          <w:lang w:val="en-GB"/>
        </w:rPr>
        <w:t>.</w:t>
      </w:r>
      <w:r w:rsidRPr="008E7039">
        <w:rPr>
          <w:sz w:val="16"/>
          <w:szCs w:val="16"/>
          <w:lang w:val="en-GB"/>
        </w:rPr>
        <w:t xml:space="preserve">4%), </w:t>
      </w:r>
      <w:r>
        <w:rPr>
          <w:sz w:val="16"/>
          <w:szCs w:val="16"/>
          <w:lang w:val="en-GB"/>
        </w:rPr>
        <w:t xml:space="preserve">sugar beet </w:t>
      </w:r>
      <w:r w:rsidRPr="008E7039">
        <w:rPr>
          <w:sz w:val="16"/>
          <w:szCs w:val="16"/>
          <w:lang w:val="en-GB"/>
        </w:rPr>
        <w:t>(−5</w:t>
      </w:r>
      <w:r>
        <w:rPr>
          <w:sz w:val="16"/>
          <w:szCs w:val="16"/>
          <w:lang w:val="en-GB"/>
        </w:rPr>
        <w:t>.</w:t>
      </w:r>
      <w:r w:rsidRPr="008E7039">
        <w:rPr>
          <w:sz w:val="16"/>
          <w:szCs w:val="16"/>
          <w:lang w:val="en-GB"/>
        </w:rPr>
        <w:t xml:space="preserve">5%), </w:t>
      </w:r>
      <w:r>
        <w:rPr>
          <w:sz w:val="16"/>
          <w:szCs w:val="16"/>
          <w:lang w:val="en-GB"/>
        </w:rPr>
        <w:t xml:space="preserve">forage crops </w:t>
      </w:r>
      <w:r w:rsidRPr="008E7039">
        <w:rPr>
          <w:sz w:val="16"/>
          <w:szCs w:val="16"/>
          <w:lang w:val="en-GB"/>
        </w:rPr>
        <w:t>(−6</w:t>
      </w:r>
      <w:r>
        <w:rPr>
          <w:sz w:val="16"/>
          <w:szCs w:val="16"/>
          <w:lang w:val="en-GB"/>
        </w:rPr>
        <w:t>.</w:t>
      </w:r>
      <w:r w:rsidRPr="008E7039">
        <w:rPr>
          <w:sz w:val="16"/>
          <w:szCs w:val="16"/>
          <w:lang w:val="en-GB"/>
        </w:rPr>
        <w:t xml:space="preserve">3%), </w:t>
      </w:r>
      <w:r>
        <w:rPr>
          <w:sz w:val="16"/>
          <w:szCs w:val="16"/>
          <w:lang w:val="en-GB"/>
        </w:rPr>
        <w:t xml:space="preserve">grape </w:t>
      </w:r>
      <w:r w:rsidRPr="008E7039">
        <w:rPr>
          <w:sz w:val="16"/>
          <w:szCs w:val="16"/>
          <w:lang w:val="en-GB"/>
        </w:rPr>
        <w:t>(−16</w:t>
      </w:r>
      <w:r>
        <w:rPr>
          <w:sz w:val="16"/>
          <w:szCs w:val="16"/>
          <w:lang w:val="en-GB"/>
        </w:rPr>
        <w:t>.</w:t>
      </w:r>
      <w:r w:rsidRPr="008E7039">
        <w:rPr>
          <w:sz w:val="16"/>
          <w:szCs w:val="16"/>
          <w:lang w:val="en-GB"/>
        </w:rPr>
        <w:t xml:space="preserve">1%) </w:t>
      </w:r>
      <w:r>
        <w:rPr>
          <w:sz w:val="16"/>
          <w:szCs w:val="16"/>
          <w:lang w:val="en-GB"/>
        </w:rPr>
        <w:t xml:space="preserve">as well as fruit </w:t>
      </w:r>
      <w:r w:rsidRPr="008E7039">
        <w:rPr>
          <w:sz w:val="16"/>
          <w:szCs w:val="16"/>
          <w:lang w:val="en-GB"/>
        </w:rPr>
        <w:t>(−22</w:t>
      </w:r>
      <w:r>
        <w:rPr>
          <w:sz w:val="16"/>
          <w:szCs w:val="16"/>
          <w:lang w:val="en-GB"/>
        </w:rPr>
        <w:t>.</w:t>
      </w:r>
      <w:r w:rsidRPr="008E7039">
        <w:rPr>
          <w:sz w:val="16"/>
          <w:szCs w:val="16"/>
          <w:lang w:val="en-GB"/>
        </w:rPr>
        <w:t xml:space="preserve">7%). </w:t>
      </w:r>
      <w:r>
        <w:rPr>
          <w:sz w:val="16"/>
          <w:szCs w:val="16"/>
          <w:lang w:val="en-GB"/>
        </w:rPr>
        <w:t xml:space="preserve">The harvest of oil plants </w:t>
      </w:r>
      <w:r w:rsidRPr="008E7039">
        <w:rPr>
          <w:sz w:val="16"/>
          <w:szCs w:val="16"/>
          <w:lang w:val="en-GB"/>
        </w:rPr>
        <w:t>(+9</w:t>
      </w:r>
      <w:r>
        <w:rPr>
          <w:sz w:val="16"/>
          <w:szCs w:val="16"/>
          <w:lang w:val="en-GB"/>
        </w:rPr>
        <w:t>.</w:t>
      </w:r>
      <w:r w:rsidRPr="008E7039">
        <w:rPr>
          <w:sz w:val="16"/>
          <w:szCs w:val="16"/>
          <w:lang w:val="en-GB"/>
        </w:rPr>
        <w:t xml:space="preserve">4%), </w:t>
      </w:r>
      <w:r>
        <w:rPr>
          <w:sz w:val="16"/>
          <w:szCs w:val="16"/>
          <w:lang w:val="en-GB"/>
        </w:rPr>
        <w:t xml:space="preserve">vegetable </w:t>
      </w:r>
      <w:r w:rsidRPr="008E7039">
        <w:rPr>
          <w:sz w:val="16"/>
          <w:szCs w:val="16"/>
          <w:lang w:val="en-GB"/>
        </w:rPr>
        <w:t>(+15</w:t>
      </w:r>
      <w:r>
        <w:rPr>
          <w:sz w:val="16"/>
          <w:szCs w:val="16"/>
          <w:lang w:val="en-GB"/>
        </w:rPr>
        <w:t>.</w:t>
      </w:r>
      <w:r w:rsidRPr="008E7039">
        <w:rPr>
          <w:sz w:val="16"/>
          <w:szCs w:val="16"/>
          <w:lang w:val="en-GB"/>
        </w:rPr>
        <w:t>4%) a</w:t>
      </w:r>
      <w:r>
        <w:rPr>
          <w:sz w:val="16"/>
          <w:szCs w:val="16"/>
          <w:lang w:val="en-GB"/>
        </w:rPr>
        <w:t xml:space="preserve">nd hops </w:t>
      </w:r>
      <w:r w:rsidRPr="008E7039">
        <w:rPr>
          <w:sz w:val="16"/>
          <w:szCs w:val="16"/>
          <w:lang w:val="en-GB"/>
        </w:rPr>
        <w:t>(+57</w:t>
      </w:r>
      <w:r>
        <w:rPr>
          <w:sz w:val="16"/>
          <w:szCs w:val="16"/>
          <w:lang w:val="en-GB"/>
        </w:rPr>
        <w:t>.</w:t>
      </w:r>
      <w:r w:rsidRPr="008E7039">
        <w:rPr>
          <w:sz w:val="16"/>
          <w:szCs w:val="16"/>
          <w:lang w:val="en-GB"/>
        </w:rPr>
        <w:t xml:space="preserve">2%). </w:t>
      </w:r>
      <w:r>
        <w:rPr>
          <w:sz w:val="16"/>
          <w:szCs w:val="16"/>
          <w:lang w:val="en-GB"/>
        </w:rPr>
        <w:t>In comparison to the 2018-2022 average, the last year</w:t>
      </w:r>
      <w:r>
        <w:rPr>
          <w:sz w:val="16"/>
          <w:szCs w:val="16"/>
          <w:lang w:val="en-US"/>
        </w:rPr>
        <w:t>’</w:t>
      </w:r>
      <w:r w:rsidRPr="00572FDF">
        <w:rPr>
          <w:sz w:val="16"/>
          <w:szCs w:val="16"/>
          <w:lang w:val="en-GB"/>
        </w:rPr>
        <w:t>s</w:t>
      </w:r>
      <w:r>
        <w:rPr>
          <w:sz w:val="16"/>
          <w:szCs w:val="16"/>
          <w:lang w:val="en-GB"/>
        </w:rPr>
        <w:t xml:space="preserve"> harvest can be assessed good for oil plants, legumes, </w:t>
      </w:r>
      <w:proofErr w:type="spellStart"/>
      <w:r>
        <w:rPr>
          <w:sz w:val="16"/>
          <w:szCs w:val="16"/>
        </w:rPr>
        <w:t>oilseed</w:t>
      </w:r>
      <w:proofErr w:type="spellEnd"/>
      <w:r>
        <w:rPr>
          <w:sz w:val="16"/>
          <w:szCs w:val="16"/>
        </w:rPr>
        <w:t xml:space="preserve"> rape </w:t>
      </w:r>
      <w:proofErr w:type="spellStart"/>
      <w:r>
        <w:rPr>
          <w:sz w:val="16"/>
          <w:szCs w:val="16"/>
        </w:rPr>
        <w:t>or</w:t>
      </w:r>
      <w:proofErr w:type="spellEnd"/>
      <w:r>
        <w:rPr>
          <w:sz w:val="16"/>
          <w:szCs w:val="16"/>
        </w:rPr>
        <w:t xml:space="preserve"> </w:t>
      </w:r>
      <w:proofErr w:type="spellStart"/>
      <w:r>
        <w:rPr>
          <w:sz w:val="16"/>
          <w:szCs w:val="16"/>
        </w:rPr>
        <w:t>hops</w:t>
      </w:r>
      <w:proofErr w:type="spellEnd"/>
      <w:r>
        <w:rPr>
          <w:sz w:val="16"/>
          <w:szCs w:val="16"/>
        </w:rPr>
        <w:t xml:space="preserve">. On </w:t>
      </w:r>
      <w:proofErr w:type="spellStart"/>
      <w:r>
        <w:rPr>
          <w:sz w:val="16"/>
          <w:szCs w:val="16"/>
        </w:rPr>
        <w:t>the</w:t>
      </w:r>
      <w:proofErr w:type="spellEnd"/>
      <w:r>
        <w:rPr>
          <w:sz w:val="16"/>
          <w:szCs w:val="16"/>
        </w:rPr>
        <w:t xml:space="preserve"> </w:t>
      </w:r>
      <w:proofErr w:type="spellStart"/>
      <w:r>
        <w:rPr>
          <w:sz w:val="16"/>
          <w:szCs w:val="16"/>
        </w:rPr>
        <w:t>contrary</w:t>
      </w:r>
      <w:proofErr w:type="spellEnd"/>
      <w:r>
        <w:rPr>
          <w:sz w:val="16"/>
          <w:szCs w:val="16"/>
        </w:rPr>
        <w:t xml:space="preserve">, </w:t>
      </w:r>
      <w:proofErr w:type="spellStart"/>
      <w:r>
        <w:rPr>
          <w:sz w:val="16"/>
          <w:szCs w:val="16"/>
        </w:rPr>
        <w:t>it</w:t>
      </w:r>
      <w:proofErr w:type="spellEnd"/>
      <w:r>
        <w:rPr>
          <w:sz w:val="16"/>
          <w:szCs w:val="16"/>
        </w:rPr>
        <w:t xml:space="preserve"> </w:t>
      </w:r>
      <w:proofErr w:type="spellStart"/>
      <w:r>
        <w:rPr>
          <w:sz w:val="16"/>
          <w:szCs w:val="16"/>
        </w:rPr>
        <w:t>was</w:t>
      </w:r>
      <w:proofErr w:type="spellEnd"/>
      <w:r>
        <w:rPr>
          <w:sz w:val="16"/>
          <w:szCs w:val="16"/>
        </w:rPr>
        <w:t xml:space="preserve"> </w:t>
      </w:r>
      <w:proofErr w:type="spellStart"/>
      <w:r>
        <w:rPr>
          <w:sz w:val="16"/>
          <w:szCs w:val="16"/>
        </w:rPr>
        <w:t>below-average</w:t>
      </w:r>
      <w:proofErr w:type="spellEnd"/>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forage</w:t>
      </w:r>
      <w:proofErr w:type="spellEnd"/>
      <w:r>
        <w:rPr>
          <w:sz w:val="16"/>
          <w:szCs w:val="16"/>
        </w:rPr>
        <w:t xml:space="preserve"> </w:t>
      </w:r>
      <w:proofErr w:type="spellStart"/>
      <w:r>
        <w:rPr>
          <w:sz w:val="16"/>
          <w:szCs w:val="16"/>
        </w:rPr>
        <w:t>crops</w:t>
      </w:r>
      <w:proofErr w:type="spellEnd"/>
      <w:r>
        <w:rPr>
          <w:sz w:val="16"/>
          <w:szCs w:val="16"/>
        </w:rPr>
        <w:t xml:space="preserve">, </w:t>
      </w:r>
      <w:proofErr w:type="spellStart"/>
      <w:r>
        <w:rPr>
          <w:sz w:val="16"/>
          <w:szCs w:val="16"/>
        </w:rPr>
        <w:t>grape</w:t>
      </w:r>
      <w:proofErr w:type="spellEnd"/>
      <w:r>
        <w:rPr>
          <w:sz w:val="16"/>
          <w:szCs w:val="16"/>
        </w:rPr>
        <w:t xml:space="preserve"> and </w:t>
      </w:r>
      <w:proofErr w:type="spellStart"/>
      <w:r>
        <w:rPr>
          <w:sz w:val="16"/>
          <w:szCs w:val="16"/>
        </w:rPr>
        <w:t>also</w:t>
      </w:r>
      <w:proofErr w:type="spellEnd"/>
      <w:r>
        <w:rPr>
          <w:sz w:val="16"/>
          <w:szCs w:val="16"/>
        </w:rPr>
        <w:t xml:space="preserve"> </w:t>
      </w:r>
      <w:proofErr w:type="spellStart"/>
      <w:r>
        <w:rPr>
          <w:sz w:val="16"/>
          <w:szCs w:val="16"/>
        </w:rPr>
        <w:t>potatoes</w:t>
      </w:r>
      <w:proofErr w:type="spellEnd"/>
      <w:r>
        <w:rPr>
          <w:sz w:val="16"/>
          <w:szCs w:val="16"/>
        </w:rPr>
        <w:t xml:space="preserve"> </w:t>
      </w:r>
      <w:r w:rsidRPr="008E7039">
        <w:rPr>
          <w:sz w:val="16"/>
          <w:szCs w:val="16"/>
          <w:lang w:val="en-GB"/>
        </w:rPr>
        <w:t>(</w:t>
      </w:r>
      <w:r>
        <w:rPr>
          <w:sz w:val="16"/>
          <w:szCs w:val="16"/>
          <w:lang w:val="en-GB"/>
        </w:rPr>
        <w:t>first of all as a result of historically the smallest area planted</w:t>
      </w:r>
      <w:r w:rsidRPr="008E7039">
        <w:rPr>
          <w:sz w:val="16"/>
          <w:szCs w:val="16"/>
          <w:lang w:val="en-GB"/>
        </w:rPr>
        <w:t>).</w:t>
      </w:r>
    </w:p>
  </w:footnote>
  <w:footnote w:id="18">
    <w:p w14:paraId="4613FB80" w14:textId="0717B730" w:rsidR="003B4260" w:rsidRPr="00A26F8F" w:rsidRDefault="003B4260" w:rsidP="00057EC1">
      <w:pPr>
        <w:spacing w:after="0" w:line="240" w:lineRule="auto"/>
        <w:rPr>
          <w:rFonts w:cs="Arial"/>
          <w:color w:val="0D0D0D" w:themeColor="text1" w:themeTint="F2"/>
          <w:spacing w:val="-4"/>
          <w:sz w:val="16"/>
          <w:szCs w:val="16"/>
          <w:lang w:val="en-GB"/>
        </w:rPr>
      </w:pPr>
      <w:r w:rsidRPr="008C2F46">
        <w:rPr>
          <w:rStyle w:val="Znakapoznpodarou"/>
          <w:spacing w:val="-4"/>
          <w:sz w:val="16"/>
          <w:szCs w:val="16"/>
        </w:rPr>
        <w:footnoteRef/>
      </w:r>
      <w:r w:rsidRPr="008C2F46">
        <w:rPr>
          <w:spacing w:val="-4"/>
          <w:sz w:val="16"/>
          <w:szCs w:val="16"/>
        </w:rPr>
        <w:t xml:space="preserve"> </w:t>
      </w:r>
      <w:r w:rsidRPr="00B73D35">
        <w:rPr>
          <w:rFonts w:cs="Arial"/>
          <w:color w:val="0D0D0D" w:themeColor="text1" w:themeTint="F2"/>
          <w:spacing w:val="-2"/>
          <w:sz w:val="16"/>
          <w:szCs w:val="16"/>
          <w:lang w:val="en-GB"/>
        </w:rPr>
        <w:t>Includes branches of mining and quarrying, manufacturing and also energetics (here as activities of production and distribution of electricity, gas, heat and air conditioning supply). All year-on-year rates of growth of output are adjusted for calendar effects, quarter-on-quarter rates then also for seasonal effects.</w:t>
      </w:r>
    </w:p>
  </w:footnote>
  <w:footnote w:id="19">
    <w:p w14:paraId="07A44548" w14:textId="49CEF262" w:rsidR="003B4260" w:rsidRPr="00A26F8F" w:rsidRDefault="003B4260" w:rsidP="00A26F8F">
      <w:pPr>
        <w:pStyle w:val="Textpoznpodarou"/>
        <w:jc w:val="both"/>
        <w:rPr>
          <w:sz w:val="16"/>
          <w:szCs w:val="16"/>
          <w:lang w:val="en-GB"/>
        </w:rPr>
      </w:pPr>
      <w:r w:rsidRPr="00A26F8F">
        <w:rPr>
          <w:rStyle w:val="Znakapoznpodarou"/>
          <w:sz w:val="16"/>
          <w:szCs w:val="16"/>
          <w:lang w:val="en-GB"/>
        </w:rPr>
        <w:footnoteRef/>
      </w:r>
      <w:r w:rsidRPr="00A26F8F">
        <w:rPr>
          <w:sz w:val="16"/>
          <w:szCs w:val="16"/>
          <w:lang w:val="en-GB"/>
        </w:rPr>
        <w:t xml:space="preserve"> </w:t>
      </w:r>
      <w:r>
        <w:rPr>
          <w:sz w:val="16"/>
          <w:szCs w:val="16"/>
          <w:lang w:val="en-GB"/>
        </w:rPr>
        <w:t>Two thirds of industrial branches stayed behind their peak from the period of years 2</w:t>
      </w:r>
      <w:r w:rsidRPr="00A26F8F">
        <w:rPr>
          <w:sz w:val="16"/>
          <w:szCs w:val="16"/>
          <w:lang w:val="en-GB"/>
        </w:rPr>
        <w:t xml:space="preserve">015–2019 </w:t>
      </w:r>
      <w:r>
        <w:rPr>
          <w:sz w:val="16"/>
          <w:szCs w:val="16"/>
          <w:lang w:val="en-GB"/>
        </w:rPr>
        <w:t xml:space="preserve">in Q4 last year </w:t>
      </w:r>
      <w:r w:rsidRPr="00A26F8F">
        <w:rPr>
          <w:sz w:val="16"/>
          <w:szCs w:val="16"/>
          <w:lang w:val="en-GB"/>
        </w:rPr>
        <w:t xml:space="preserve">– </w:t>
      </w:r>
      <w:r>
        <w:rPr>
          <w:sz w:val="16"/>
          <w:szCs w:val="16"/>
          <w:lang w:val="en-GB"/>
        </w:rPr>
        <w:t xml:space="preserve">coal mining </w:t>
      </w:r>
      <w:r w:rsidRPr="00A26F8F">
        <w:rPr>
          <w:sz w:val="16"/>
          <w:szCs w:val="16"/>
          <w:lang w:val="en-GB"/>
        </w:rPr>
        <w:t>(</w:t>
      </w:r>
      <w:r>
        <w:rPr>
          <w:sz w:val="16"/>
          <w:szCs w:val="16"/>
          <w:lang w:val="en-GB"/>
        </w:rPr>
        <w:t xml:space="preserve">by </w:t>
      </w:r>
      <w:r w:rsidRPr="00A26F8F">
        <w:rPr>
          <w:sz w:val="16"/>
          <w:szCs w:val="16"/>
          <w:lang w:val="en-GB"/>
        </w:rPr>
        <w:t>59%),</w:t>
      </w:r>
      <w:r>
        <w:rPr>
          <w:sz w:val="16"/>
          <w:szCs w:val="16"/>
          <w:lang w:val="en-GB"/>
        </w:rPr>
        <w:t xml:space="preserve"> leatherworking </w:t>
      </w:r>
      <w:r w:rsidRPr="00A26F8F">
        <w:rPr>
          <w:sz w:val="16"/>
          <w:szCs w:val="16"/>
          <w:lang w:val="en-GB"/>
        </w:rPr>
        <w:t xml:space="preserve">(–29%), </w:t>
      </w:r>
      <w:r>
        <w:rPr>
          <w:sz w:val="16"/>
          <w:szCs w:val="16"/>
          <w:lang w:val="en-GB"/>
        </w:rPr>
        <w:t xml:space="preserve">metallurgy </w:t>
      </w:r>
      <w:r w:rsidRPr="00A26F8F">
        <w:rPr>
          <w:sz w:val="16"/>
          <w:szCs w:val="16"/>
          <w:lang w:val="en-GB"/>
        </w:rPr>
        <w:t xml:space="preserve">(–28%), </w:t>
      </w:r>
      <w:r>
        <w:rPr>
          <w:sz w:val="16"/>
          <w:szCs w:val="16"/>
          <w:lang w:val="en-GB"/>
        </w:rPr>
        <w:t xml:space="preserve">textile industry </w:t>
      </w:r>
      <w:r w:rsidRPr="00A26F8F">
        <w:rPr>
          <w:sz w:val="16"/>
          <w:szCs w:val="16"/>
          <w:lang w:val="en-GB"/>
        </w:rPr>
        <w:t xml:space="preserve">(–24%), </w:t>
      </w:r>
      <w:r>
        <w:rPr>
          <w:sz w:val="16"/>
          <w:szCs w:val="16"/>
          <w:lang w:val="en-GB"/>
        </w:rPr>
        <w:t xml:space="preserve">printing industry </w:t>
      </w:r>
      <w:r w:rsidRPr="00A26F8F">
        <w:rPr>
          <w:sz w:val="16"/>
          <w:szCs w:val="16"/>
          <w:lang w:val="en-GB"/>
        </w:rPr>
        <w:t>(–22%) a</w:t>
      </w:r>
      <w:r>
        <w:rPr>
          <w:sz w:val="16"/>
          <w:szCs w:val="16"/>
          <w:lang w:val="en-GB"/>
        </w:rPr>
        <w:t xml:space="preserve">nd energy industry </w:t>
      </w:r>
      <w:r w:rsidRPr="00A26F8F">
        <w:rPr>
          <w:sz w:val="16"/>
          <w:szCs w:val="16"/>
          <w:lang w:val="en-GB"/>
        </w:rPr>
        <w:t>(–19%)</w:t>
      </w:r>
      <w:r>
        <w:rPr>
          <w:sz w:val="16"/>
          <w:szCs w:val="16"/>
          <w:lang w:val="en-GB"/>
        </w:rPr>
        <w:t xml:space="preserve"> the most</w:t>
      </w:r>
      <w:r w:rsidRPr="00A26F8F">
        <w:rPr>
          <w:sz w:val="16"/>
          <w:szCs w:val="16"/>
          <w:lang w:val="en-GB"/>
        </w:rPr>
        <w:t xml:space="preserve">. </w:t>
      </w:r>
    </w:p>
  </w:footnote>
  <w:footnote w:id="20">
    <w:p w14:paraId="207B3A1D" w14:textId="77777777" w:rsidR="003B4260" w:rsidRPr="00A26F8F" w:rsidRDefault="003B4260" w:rsidP="00D66C85">
      <w:pPr>
        <w:pStyle w:val="Textpoznpodarou"/>
        <w:jc w:val="both"/>
        <w:rPr>
          <w:color w:val="0D0D0D" w:themeColor="text1" w:themeTint="F2"/>
          <w:sz w:val="16"/>
          <w:szCs w:val="16"/>
          <w:lang w:val="en-GB"/>
        </w:rPr>
      </w:pPr>
      <w:r w:rsidRPr="00A26F8F">
        <w:rPr>
          <w:rStyle w:val="Znakapoznpodarou"/>
          <w:color w:val="0D0D0D" w:themeColor="text1" w:themeTint="F2"/>
          <w:sz w:val="16"/>
          <w:szCs w:val="16"/>
          <w:lang w:val="en-GB"/>
        </w:rPr>
        <w:footnoteRef/>
      </w:r>
      <w:r w:rsidRPr="00A26F8F">
        <w:rPr>
          <w:color w:val="0D0D0D" w:themeColor="text1" w:themeTint="F2"/>
          <w:sz w:val="16"/>
          <w:szCs w:val="16"/>
          <w:lang w:val="en-GB"/>
        </w:rPr>
        <w:t xml:space="preserve"> </w:t>
      </w:r>
      <w:r>
        <w:rPr>
          <w:color w:val="0D0D0D" w:themeColor="text1" w:themeTint="F2"/>
          <w:sz w:val="16"/>
          <w:szCs w:val="16"/>
          <w:lang w:val="en-GB"/>
        </w:rPr>
        <w:t xml:space="preserve">Excluding contribution of this branch, the year-on-year industry decline in 2023 would approach </w:t>
      </w:r>
      <w:r w:rsidRPr="00A26F8F">
        <w:rPr>
          <w:color w:val="0D0D0D" w:themeColor="text1" w:themeTint="F2"/>
          <w:sz w:val="16"/>
          <w:szCs w:val="16"/>
          <w:lang w:val="en-GB"/>
        </w:rPr>
        <w:t>4%.</w:t>
      </w:r>
    </w:p>
  </w:footnote>
  <w:footnote w:id="21">
    <w:p w14:paraId="2EB12AD9" w14:textId="2EA8CAA8" w:rsidR="003B4260" w:rsidRPr="00A26F8F" w:rsidRDefault="003B4260" w:rsidP="00373FFC">
      <w:pPr>
        <w:pStyle w:val="Textpoznpodarou"/>
        <w:jc w:val="both"/>
        <w:rPr>
          <w:color w:val="0D0D0D" w:themeColor="text1" w:themeTint="F2"/>
          <w:sz w:val="16"/>
          <w:szCs w:val="16"/>
          <w:lang w:val="en-GB"/>
        </w:rPr>
      </w:pPr>
      <w:r w:rsidRPr="00A26F8F">
        <w:rPr>
          <w:rStyle w:val="Znakapoznpodarou"/>
          <w:color w:val="0D0D0D" w:themeColor="text1" w:themeTint="F2"/>
          <w:sz w:val="16"/>
          <w:szCs w:val="16"/>
          <w:lang w:val="en-GB"/>
        </w:rPr>
        <w:footnoteRef/>
      </w:r>
      <w:r w:rsidRPr="00A26F8F">
        <w:rPr>
          <w:color w:val="0D0D0D" w:themeColor="text1" w:themeTint="F2"/>
          <w:sz w:val="16"/>
          <w:szCs w:val="16"/>
          <w:lang w:val="en-GB"/>
        </w:rPr>
        <w:t xml:space="preserve"> </w:t>
      </w:r>
      <w:r>
        <w:rPr>
          <w:spacing w:val="-3"/>
          <w:sz w:val="16"/>
          <w:szCs w:val="16"/>
          <w:lang w:val="en-GB"/>
        </w:rPr>
        <w:t xml:space="preserve">Based on the </w:t>
      </w:r>
      <w:r>
        <w:rPr>
          <w:spacing w:val="-6"/>
          <w:sz w:val="16"/>
          <w:szCs w:val="16"/>
          <w:lang w:val="en-GB"/>
        </w:rPr>
        <w:t xml:space="preserve">Automotive Industry Association, there were 1.398 mil personal vehicles manufactured in the CR in 2023 (the most in the last four years and only by near 3% less than in the record year 2018). Production </w:t>
      </w:r>
      <w:r w:rsidRPr="009B584D">
        <w:rPr>
          <w:spacing w:val="-6"/>
          <w:sz w:val="16"/>
          <w:szCs w:val="16"/>
          <w:lang w:val="en-GB"/>
        </w:rPr>
        <w:t>increased</w:t>
      </w:r>
      <w:r>
        <w:rPr>
          <w:spacing w:val="-6"/>
          <w:sz w:val="16"/>
          <w:szCs w:val="16"/>
          <w:lang w:val="en-GB"/>
        </w:rPr>
        <w:t xml:space="preserve"> by 14.8% year-on-year. The March, June, July and October production were within the same months even the largest in history. Electrical vehicles (incl. vehicles hybrid cars) constituted so far already 12.9% of all domestically manufactured personal vehicles last year. Producers of most other types of road motor vehicles on the contrary recorded lower output year-on-year. </w:t>
      </w:r>
    </w:p>
  </w:footnote>
  <w:footnote w:id="22">
    <w:p w14:paraId="5DC58E03" w14:textId="3EE3BB74" w:rsidR="003B4260" w:rsidRPr="00A26F8F" w:rsidRDefault="003B4260" w:rsidP="001B7FAD">
      <w:pPr>
        <w:pStyle w:val="Textpoznpodarou"/>
        <w:jc w:val="both"/>
        <w:rPr>
          <w:lang w:val="en-GB"/>
        </w:rPr>
      </w:pPr>
      <w:r w:rsidRPr="00A26F8F">
        <w:rPr>
          <w:rStyle w:val="Znakapoznpodarou"/>
          <w:color w:val="0D0D0D" w:themeColor="text1" w:themeTint="F2"/>
          <w:sz w:val="16"/>
          <w:szCs w:val="16"/>
          <w:lang w:val="en-GB"/>
        </w:rPr>
        <w:footnoteRef/>
      </w:r>
      <w:r>
        <w:rPr>
          <w:spacing w:val="-3"/>
          <w:sz w:val="16"/>
          <w:szCs w:val="16"/>
          <w:lang w:val="en-GB"/>
        </w:rPr>
        <w:t xml:space="preserve"> According to the European Automobile Manufacturers</w:t>
      </w:r>
      <w:r>
        <w:rPr>
          <w:spacing w:val="-3"/>
          <w:sz w:val="16"/>
          <w:szCs w:val="16"/>
          <w:lang w:val="en-US"/>
        </w:rPr>
        <w:t>’</w:t>
      </w:r>
      <w:r w:rsidRPr="008C451F">
        <w:rPr>
          <w:spacing w:val="-3"/>
          <w:sz w:val="16"/>
          <w:szCs w:val="16"/>
          <w:lang w:val="en-GB"/>
        </w:rPr>
        <w:t xml:space="preserve">s </w:t>
      </w:r>
      <w:r>
        <w:rPr>
          <w:spacing w:val="-3"/>
          <w:sz w:val="16"/>
          <w:szCs w:val="16"/>
          <w:lang w:val="en-GB"/>
        </w:rPr>
        <w:t xml:space="preserve">Association, the numbers of registrations of new personal vehicles increased year-on-year by 13.9% in the EU in year </w:t>
      </w:r>
      <w:r w:rsidRPr="00A26F8F">
        <w:rPr>
          <w:rFonts w:eastAsia="Times New Roman" w:cs="Arial"/>
          <w:color w:val="0D0D0D" w:themeColor="text1" w:themeTint="F2"/>
          <w:spacing w:val="-4"/>
          <w:sz w:val="16"/>
          <w:szCs w:val="16"/>
          <w:lang w:val="en-GB"/>
        </w:rPr>
        <w:t>2023</w:t>
      </w:r>
      <w:r>
        <w:rPr>
          <w:rFonts w:eastAsia="Times New Roman" w:cs="Arial"/>
          <w:color w:val="0D0D0D" w:themeColor="text1" w:themeTint="F2"/>
          <w:spacing w:val="-4"/>
          <w:sz w:val="16"/>
          <w:szCs w:val="16"/>
          <w:lang w:val="en-GB"/>
        </w:rPr>
        <w:t xml:space="preserve">. They were growing continually </w:t>
      </w:r>
      <w:r>
        <w:rPr>
          <w:rFonts w:eastAsia="Times New Roman" w:cs="Arial"/>
          <w:color w:val="0D0D0D" w:themeColor="text1" w:themeTint="F2"/>
          <w:spacing w:val="-4"/>
          <w:sz w:val="16"/>
          <w:szCs w:val="16"/>
        </w:rPr>
        <w:t>16</w:t>
      </w:r>
      <w:r>
        <w:rPr>
          <w:rFonts w:eastAsia="Times New Roman" w:cs="Arial"/>
          <w:color w:val="0D0D0D" w:themeColor="text1" w:themeTint="F2"/>
          <w:spacing w:val="-4"/>
          <w:sz w:val="16"/>
          <w:szCs w:val="16"/>
          <w:lang w:val="en-GB"/>
        </w:rPr>
        <w:t xml:space="preserve"> months in a row until the last year’s </w:t>
      </w:r>
      <w:r w:rsidRPr="008C451F">
        <w:rPr>
          <w:rFonts w:eastAsia="Times New Roman" w:cs="Arial"/>
          <w:color w:val="0D0D0D" w:themeColor="text1" w:themeTint="F2"/>
          <w:spacing w:val="-4"/>
          <w:sz w:val="16"/>
          <w:szCs w:val="16"/>
          <w:lang w:val="en-GB"/>
        </w:rPr>
        <w:t>De</w:t>
      </w:r>
      <w:r>
        <w:rPr>
          <w:rFonts w:eastAsia="Times New Roman" w:cs="Arial"/>
          <w:color w:val="0D0D0D" w:themeColor="text1" w:themeTint="F2"/>
          <w:spacing w:val="-4"/>
          <w:sz w:val="16"/>
          <w:szCs w:val="16"/>
          <w:lang w:val="en-GB"/>
        </w:rPr>
        <w:t>cember, when a mild year-on-year decrease occurred mainly as a result of weaker demand on the German market. Also thanks to the growing imports of more affordable models form Asia, the demand for electrical vehicles (incl. vehicles hybrid cars) was swiftly expanding</w:t>
      </w:r>
      <w:r w:rsidRPr="00A26F8F">
        <w:rPr>
          <w:color w:val="0D0D0D" w:themeColor="text1" w:themeTint="F2"/>
          <w:sz w:val="16"/>
          <w:szCs w:val="16"/>
          <w:lang w:val="en-GB"/>
        </w:rPr>
        <w:t>, t</w:t>
      </w:r>
      <w:r>
        <w:rPr>
          <w:color w:val="0D0D0D" w:themeColor="text1" w:themeTint="F2"/>
          <w:sz w:val="16"/>
          <w:szCs w:val="16"/>
          <w:lang w:val="en-GB"/>
        </w:rPr>
        <w:t xml:space="preserve">hese thus comprised already 48% of all new motor vehicle registrations in the EU last year. </w:t>
      </w:r>
    </w:p>
  </w:footnote>
  <w:footnote w:id="23">
    <w:p w14:paraId="7EE5F85B" w14:textId="3929EB0A" w:rsidR="003B4260" w:rsidRPr="00A26F8F" w:rsidRDefault="003B4260" w:rsidP="00A26F8F">
      <w:pPr>
        <w:pStyle w:val="Textpoznpodarou"/>
        <w:jc w:val="both"/>
        <w:rPr>
          <w:sz w:val="16"/>
          <w:szCs w:val="16"/>
          <w:lang w:val="en-GB"/>
        </w:rPr>
      </w:pPr>
      <w:r w:rsidRPr="00A26F8F">
        <w:rPr>
          <w:rStyle w:val="Znakapoznpodarou"/>
          <w:sz w:val="16"/>
          <w:szCs w:val="16"/>
          <w:lang w:val="en-GB"/>
        </w:rPr>
        <w:footnoteRef/>
      </w:r>
      <w:r w:rsidRPr="00A26F8F">
        <w:rPr>
          <w:sz w:val="16"/>
          <w:szCs w:val="16"/>
          <w:lang w:val="en-GB"/>
        </w:rPr>
        <w:t xml:space="preserve"> </w:t>
      </w:r>
      <w:r>
        <w:rPr>
          <w:sz w:val="16"/>
          <w:szCs w:val="16"/>
          <w:lang w:val="en-GB"/>
        </w:rPr>
        <w:t>Manufacturing of other transport equipment, petrochemical, pharmaceutical, textile</w:t>
      </w:r>
      <w:r w:rsidRPr="00A26F8F">
        <w:rPr>
          <w:sz w:val="16"/>
          <w:szCs w:val="16"/>
          <w:lang w:val="en-GB"/>
        </w:rPr>
        <w:t xml:space="preserve">, </w:t>
      </w:r>
      <w:r>
        <w:rPr>
          <w:sz w:val="16"/>
          <w:szCs w:val="16"/>
          <w:lang w:val="en-GB"/>
        </w:rPr>
        <w:t>leatherworking, footwear industries and repairs of machinery and equipment also recorded high utilisation of capacities (above 85%) last year</w:t>
      </w:r>
      <w:r w:rsidRPr="00A26F8F">
        <w:rPr>
          <w:sz w:val="16"/>
          <w:szCs w:val="16"/>
          <w:lang w:val="en-GB"/>
        </w:rPr>
        <w:t>.</w:t>
      </w:r>
    </w:p>
  </w:footnote>
  <w:footnote w:id="24">
    <w:p w14:paraId="06448931" w14:textId="5C7D9D3F" w:rsidR="003B4260" w:rsidRPr="0080621E" w:rsidRDefault="003B4260" w:rsidP="0080621E">
      <w:pPr>
        <w:pStyle w:val="Textpoznpodarou"/>
        <w:jc w:val="both"/>
        <w:rPr>
          <w:sz w:val="16"/>
          <w:szCs w:val="16"/>
          <w:lang w:val="en-GB"/>
        </w:rPr>
      </w:pPr>
      <w:r w:rsidRPr="00725626">
        <w:rPr>
          <w:rStyle w:val="Znakapoznpodarou"/>
          <w:sz w:val="16"/>
          <w:szCs w:val="16"/>
        </w:rPr>
        <w:footnoteRef/>
      </w:r>
      <w:r w:rsidRPr="00725626">
        <w:rPr>
          <w:sz w:val="16"/>
          <w:szCs w:val="16"/>
        </w:rPr>
        <w:t xml:space="preserve"> </w:t>
      </w:r>
      <w:r w:rsidRPr="0080621E">
        <w:rPr>
          <w:sz w:val="16"/>
          <w:szCs w:val="16"/>
          <w:lang w:val="en-GB"/>
        </w:rPr>
        <w:t>Even this shallow de</w:t>
      </w:r>
      <w:r>
        <w:rPr>
          <w:sz w:val="16"/>
          <w:szCs w:val="16"/>
          <w:lang w:val="en-GB"/>
        </w:rPr>
        <w:t>crease of output in 2023 resulted in the worst performance</w:t>
      </w:r>
      <w:r w:rsidRPr="0080621E">
        <w:rPr>
          <w:sz w:val="16"/>
          <w:szCs w:val="16"/>
          <w:lang w:val="en-GB"/>
        </w:rPr>
        <w:t xml:space="preserve"> in the last 12 years in this tradit</w:t>
      </w:r>
      <w:r>
        <w:rPr>
          <w:sz w:val="16"/>
          <w:szCs w:val="16"/>
          <w:lang w:val="en-GB"/>
        </w:rPr>
        <w:t>ionally stable branch.</w:t>
      </w:r>
      <w:r w:rsidRPr="0080621E">
        <w:rPr>
          <w:sz w:val="16"/>
          <w:szCs w:val="16"/>
          <w:lang w:val="en-GB"/>
        </w:rPr>
        <w:t xml:space="preserve">  </w:t>
      </w:r>
    </w:p>
  </w:footnote>
  <w:footnote w:id="25">
    <w:p w14:paraId="0E4FDE97" w14:textId="77777777" w:rsidR="003B4260" w:rsidRPr="0080621E" w:rsidRDefault="003B4260" w:rsidP="0080621E">
      <w:pPr>
        <w:pStyle w:val="Textpoznpodarou"/>
        <w:jc w:val="both"/>
        <w:rPr>
          <w:sz w:val="16"/>
          <w:szCs w:val="16"/>
          <w:lang w:val="en-GB"/>
        </w:rPr>
      </w:pPr>
      <w:r w:rsidRPr="0080621E">
        <w:rPr>
          <w:rStyle w:val="Znakapoznpodarou"/>
          <w:sz w:val="16"/>
          <w:szCs w:val="16"/>
          <w:lang w:val="en-GB"/>
        </w:rPr>
        <w:footnoteRef/>
      </w:r>
      <w:r w:rsidRPr="0080621E">
        <w:rPr>
          <w:sz w:val="16"/>
          <w:szCs w:val="16"/>
          <w:lang w:val="en-GB"/>
        </w:rPr>
        <w:t xml:space="preserve"> T</w:t>
      </w:r>
      <w:r>
        <w:rPr>
          <w:sz w:val="16"/>
          <w:szCs w:val="16"/>
          <w:lang w:val="en-GB"/>
        </w:rPr>
        <w:t xml:space="preserve">his branch consists of </w:t>
      </w:r>
      <w:r w:rsidRPr="0080621E">
        <w:rPr>
          <w:sz w:val="16"/>
          <w:szCs w:val="16"/>
          <w:lang w:val="en-GB"/>
        </w:rPr>
        <w:t>(</w:t>
      </w:r>
      <w:r>
        <w:rPr>
          <w:sz w:val="16"/>
          <w:szCs w:val="16"/>
          <w:lang w:val="en-GB"/>
        </w:rPr>
        <w:t>next to the weight dominant group of manufacturing of medical and dental instruments and supplies</w:t>
      </w:r>
      <w:r w:rsidRPr="0080621E">
        <w:rPr>
          <w:sz w:val="16"/>
          <w:szCs w:val="16"/>
          <w:lang w:val="en-GB"/>
        </w:rPr>
        <w:t xml:space="preserve">) </w:t>
      </w:r>
      <w:r>
        <w:rPr>
          <w:sz w:val="16"/>
          <w:szCs w:val="16"/>
          <w:lang w:val="en-GB"/>
        </w:rPr>
        <w:t xml:space="preserve">also the manufacturing of games, toys, musical instruments, sports goods or jewellery and bijouterie. </w:t>
      </w:r>
    </w:p>
  </w:footnote>
  <w:footnote w:id="26">
    <w:p w14:paraId="43DC74EC" w14:textId="6D271C8D" w:rsidR="003B4260" w:rsidRDefault="003B4260" w:rsidP="0057789F">
      <w:pPr>
        <w:pStyle w:val="Textpoznpodarou"/>
        <w:jc w:val="both"/>
        <w:rPr>
          <w:color w:val="0D0D0D" w:themeColor="text1" w:themeTint="F2"/>
          <w:spacing w:val="-3"/>
          <w:sz w:val="16"/>
          <w:szCs w:val="16"/>
          <w:lang w:val="en-GB"/>
        </w:rPr>
      </w:pPr>
      <w:r w:rsidRPr="00BF5830">
        <w:rPr>
          <w:rStyle w:val="Znakapoznpodarou"/>
          <w:spacing w:val="-4"/>
          <w:sz w:val="16"/>
          <w:szCs w:val="16"/>
        </w:rPr>
        <w:footnoteRef/>
      </w:r>
      <w:r w:rsidRPr="00BF5830">
        <w:rPr>
          <w:spacing w:val="-4"/>
          <w:sz w:val="16"/>
          <w:szCs w:val="16"/>
        </w:rPr>
        <w:t xml:space="preserve"> </w:t>
      </w:r>
      <w:r w:rsidRPr="00AA7871">
        <w:rPr>
          <w:rFonts w:cs="Arial"/>
          <w:color w:val="0D0D0D" w:themeColor="text1" w:themeTint="F2"/>
          <w:spacing w:val="-3"/>
          <w:sz w:val="16"/>
          <w:szCs w:val="16"/>
          <w:lang w:val="en-GB"/>
        </w:rPr>
        <w:t>According to the data of the Energy Regulatory Office</w:t>
      </w:r>
      <w:r>
        <w:rPr>
          <w:rFonts w:cs="Arial"/>
          <w:color w:val="0D0D0D" w:themeColor="text1" w:themeTint="F2"/>
          <w:spacing w:val="-3"/>
          <w:sz w:val="16"/>
          <w:szCs w:val="16"/>
          <w:lang w:val="en-GB"/>
        </w:rPr>
        <w:t xml:space="preserve">, the gross domestic electricity consumption shrank by </w:t>
      </w:r>
      <w:r w:rsidRPr="0097768D">
        <w:rPr>
          <w:color w:val="0D0D0D" w:themeColor="text1" w:themeTint="F2"/>
          <w:spacing w:val="-4"/>
          <w:sz w:val="16"/>
          <w:szCs w:val="16"/>
          <w:lang w:val="en-GB"/>
        </w:rPr>
        <w:t>4</w:t>
      </w:r>
      <w:r>
        <w:rPr>
          <w:color w:val="0D0D0D" w:themeColor="text1" w:themeTint="F2"/>
          <w:spacing w:val="-4"/>
          <w:sz w:val="16"/>
          <w:szCs w:val="16"/>
          <w:lang w:val="en-GB"/>
        </w:rPr>
        <w:t>.</w:t>
      </w:r>
      <w:r w:rsidRPr="0097768D">
        <w:rPr>
          <w:color w:val="0D0D0D" w:themeColor="text1" w:themeTint="F2"/>
          <w:spacing w:val="-4"/>
          <w:sz w:val="16"/>
          <w:szCs w:val="16"/>
          <w:lang w:val="en-GB"/>
        </w:rPr>
        <w:t>2%</w:t>
      </w:r>
      <w:r>
        <w:rPr>
          <w:color w:val="0D0D0D" w:themeColor="text1" w:themeTint="F2"/>
          <w:spacing w:val="-4"/>
          <w:sz w:val="16"/>
          <w:szCs w:val="16"/>
          <w:lang w:val="en-GB"/>
        </w:rPr>
        <w:t xml:space="preserve"> year-on-year</w:t>
      </w:r>
      <w:r w:rsidRPr="0097768D">
        <w:rPr>
          <w:color w:val="0D0D0D" w:themeColor="text1" w:themeTint="F2"/>
          <w:spacing w:val="-4"/>
          <w:sz w:val="16"/>
          <w:szCs w:val="16"/>
          <w:lang w:val="en-GB"/>
        </w:rPr>
        <w:t xml:space="preserve"> </w:t>
      </w:r>
      <w:r>
        <w:rPr>
          <w:color w:val="0D0D0D" w:themeColor="text1" w:themeTint="F2"/>
          <w:spacing w:val="-4"/>
          <w:sz w:val="16"/>
          <w:szCs w:val="16"/>
          <w:lang w:val="en-GB"/>
        </w:rPr>
        <w:t xml:space="preserve">in 2023 </w:t>
      </w:r>
      <w:r w:rsidRPr="0097768D">
        <w:rPr>
          <w:color w:val="0D0D0D" w:themeColor="text1" w:themeTint="F2"/>
          <w:spacing w:val="-4"/>
          <w:sz w:val="16"/>
          <w:szCs w:val="16"/>
          <w:lang w:val="en-GB"/>
        </w:rPr>
        <w:t>(</w:t>
      </w:r>
      <w:r>
        <w:rPr>
          <w:color w:val="0D0D0D" w:themeColor="text1" w:themeTint="F2"/>
          <w:spacing w:val="-4"/>
          <w:sz w:val="16"/>
          <w:szCs w:val="16"/>
          <w:lang w:val="en-GB"/>
        </w:rPr>
        <w:t xml:space="preserve">similar decline </w:t>
      </w:r>
      <w:r w:rsidRPr="0005033D">
        <w:rPr>
          <w:color w:val="0D0D0D" w:themeColor="text1" w:themeTint="F2"/>
          <w:spacing w:val="-4"/>
          <w:sz w:val="16"/>
          <w:szCs w:val="16"/>
          <w:lang w:val="en-GB"/>
        </w:rPr>
        <w:t>occurred in the year</w:t>
      </w:r>
      <w:r>
        <w:rPr>
          <w:color w:val="0D0D0D" w:themeColor="text1" w:themeTint="F2"/>
          <w:spacing w:val="-4"/>
          <w:sz w:val="16"/>
          <w:szCs w:val="16"/>
          <w:lang w:val="en-GB"/>
        </w:rPr>
        <w:t xml:space="preserve"> of </w:t>
      </w:r>
      <w:r w:rsidRPr="0097768D">
        <w:rPr>
          <w:color w:val="0D0D0D" w:themeColor="text1" w:themeTint="F2"/>
          <w:spacing w:val="-4"/>
          <w:sz w:val="16"/>
          <w:szCs w:val="16"/>
          <w:lang w:val="en-GB"/>
        </w:rPr>
        <w:t xml:space="preserve">2022). </w:t>
      </w:r>
      <w:r>
        <w:rPr>
          <w:color w:val="0D0D0D" w:themeColor="text1" w:themeTint="F2"/>
          <w:spacing w:val="-4"/>
          <w:sz w:val="16"/>
          <w:szCs w:val="16"/>
          <w:lang w:val="en-GB"/>
        </w:rPr>
        <w:t xml:space="preserve">Savings eventuated for all main consumption categories last year </w:t>
      </w:r>
      <w:r w:rsidRPr="0097768D">
        <w:rPr>
          <w:color w:val="0D0D0D" w:themeColor="text1" w:themeTint="F2"/>
          <w:spacing w:val="-3"/>
          <w:sz w:val="16"/>
          <w:szCs w:val="16"/>
          <w:lang w:val="en-GB"/>
        </w:rPr>
        <w:t xml:space="preserve">– </w:t>
      </w:r>
      <w:r>
        <w:rPr>
          <w:color w:val="0D0D0D" w:themeColor="text1" w:themeTint="F2"/>
          <w:spacing w:val="-3"/>
          <w:sz w:val="16"/>
          <w:szCs w:val="16"/>
          <w:lang w:val="en-GB"/>
        </w:rPr>
        <w:t xml:space="preserve">the most in households </w:t>
      </w:r>
      <w:r w:rsidRPr="0097768D">
        <w:rPr>
          <w:color w:val="0D0D0D" w:themeColor="text1" w:themeTint="F2"/>
          <w:spacing w:val="-3"/>
          <w:sz w:val="16"/>
          <w:szCs w:val="16"/>
          <w:lang w:val="en-GB"/>
        </w:rPr>
        <w:t>(</w:t>
      </w:r>
      <w:r>
        <w:rPr>
          <w:color w:val="0D0D0D" w:themeColor="text1" w:themeTint="F2"/>
          <w:spacing w:val="-3"/>
          <w:sz w:val="16"/>
          <w:szCs w:val="16"/>
          <w:lang w:val="en-GB"/>
        </w:rPr>
        <w:t xml:space="preserve">by </w:t>
      </w:r>
      <w:r w:rsidRPr="0097768D">
        <w:rPr>
          <w:color w:val="0D0D0D" w:themeColor="text1" w:themeTint="F2"/>
          <w:spacing w:val="-3"/>
          <w:sz w:val="16"/>
          <w:szCs w:val="16"/>
          <w:lang w:val="en-GB"/>
        </w:rPr>
        <w:t>4</w:t>
      </w:r>
      <w:r>
        <w:rPr>
          <w:color w:val="0D0D0D" w:themeColor="text1" w:themeTint="F2"/>
          <w:spacing w:val="-3"/>
          <w:sz w:val="16"/>
          <w:szCs w:val="16"/>
          <w:lang w:val="en-GB"/>
        </w:rPr>
        <w:t>.</w:t>
      </w:r>
      <w:r w:rsidRPr="0097768D">
        <w:rPr>
          <w:color w:val="0D0D0D" w:themeColor="text1" w:themeTint="F2"/>
          <w:spacing w:val="-3"/>
          <w:sz w:val="16"/>
          <w:szCs w:val="16"/>
          <w:lang w:val="en-GB"/>
        </w:rPr>
        <w:t>0%,</w:t>
      </w:r>
      <w:r>
        <w:rPr>
          <w:color w:val="0D0D0D" w:themeColor="text1" w:themeTint="F2"/>
          <w:spacing w:val="-3"/>
          <w:sz w:val="16"/>
          <w:szCs w:val="16"/>
          <w:lang w:val="en-GB"/>
        </w:rPr>
        <w:t xml:space="preserve"> even by </w:t>
      </w:r>
      <w:r w:rsidRPr="0097768D">
        <w:rPr>
          <w:color w:val="0D0D0D" w:themeColor="text1" w:themeTint="F2"/>
          <w:spacing w:val="-4"/>
          <w:sz w:val="16"/>
          <w:szCs w:val="16"/>
          <w:lang w:val="en-GB"/>
        </w:rPr>
        <w:t>12</w:t>
      </w:r>
      <w:r>
        <w:rPr>
          <w:color w:val="0D0D0D" w:themeColor="text1" w:themeTint="F2"/>
          <w:spacing w:val="-4"/>
          <w:sz w:val="16"/>
          <w:szCs w:val="16"/>
          <w:lang w:val="en-GB"/>
        </w:rPr>
        <w:t>.</w:t>
      </w:r>
      <w:r w:rsidRPr="0097768D">
        <w:rPr>
          <w:color w:val="0D0D0D" w:themeColor="text1" w:themeTint="F2"/>
          <w:spacing w:val="-4"/>
          <w:sz w:val="16"/>
          <w:szCs w:val="16"/>
          <w:lang w:val="en-GB"/>
        </w:rPr>
        <w:t>7%</w:t>
      </w:r>
      <w:r>
        <w:rPr>
          <w:color w:val="0D0D0D" w:themeColor="text1" w:themeTint="F2"/>
          <w:spacing w:val="-4"/>
          <w:sz w:val="16"/>
          <w:szCs w:val="16"/>
          <w:lang w:val="en-GB"/>
        </w:rPr>
        <w:t xml:space="preserve"> for the last two years</w:t>
      </w:r>
      <w:r w:rsidRPr="0097768D">
        <w:rPr>
          <w:color w:val="0D0D0D" w:themeColor="text1" w:themeTint="F2"/>
          <w:spacing w:val="-3"/>
          <w:sz w:val="16"/>
          <w:szCs w:val="16"/>
          <w:lang w:val="en-GB"/>
        </w:rPr>
        <w:t xml:space="preserve">), </w:t>
      </w:r>
      <w:r>
        <w:rPr>
          <w:color w:val="0D0D0D" w:themeColor="text1" w:themeTint="F2"/>
          <w:spacing w:val="-3"/>
          <w:sz w:val="16"/>
          <w:szCs w:val="16"/>
          <w:lang w:val="en-GB"/>
        </w:rPr>
        <w:t xml:space="preserve">the least in wholesale customers </w:t>
      </w:r>
      <w:r w:rsidRPr="003B4260">
        <w:rPr>
          <w:color w:val="0D0D0D" w:themeColor="text1" w:themeTint="F2"/>
          <w:spacing w:val="-3"/>
          <w:sz w:val="16"/>
          <w:szCs w:val="16"/>
          <w:lang w:val="en-GB"/>
        </w:rPr>
        <w:t xml:space="preserve">with electricity consumption at the level of very high electrical voltage </w:t>
      </w:r>
      <w:r>
        <w:rPr>
          <w:color w:val="0D0D0D" w:themeColor="text1" w:themeTint="F2"/>
          <w:spacing w:val="-3"/>
          <w:sz w:val="16"/>
          <w:szCs w:val="16"/>
          <w:lang w:val="en-GB"/>
        </w:rPr>
        <w:t xml:space="preserve"> </w:t>
      </w:r>
      <w:r w:rsidRPr="0097768D">
        <w:rPr>
          <w:color w:val="0D0D0D" w:themeColor="text1" w:themeTint="F2"/>
          <w:spacing w:val="-4"/>
          <w:sz w:val="16"/>
          <w:szCs w:val="16"/>
          <w:lang w:val="en-GB"/>
        </w:rPr>
        <w:t>(–1</w:t>
      </w:r>
      <w:r>
        <w:rPr>
          <w:color w:val="0D0D0D" w:themeColor="text1" w:themeTint="F2"/>
          <w:spacing w:val="-4"/>
          <w:sz w:val="16"/>
          <w:szCs w:val="16"/>
          <w:lang w:val="en-GB"/>
        </w:rPr>
        <w:t>.</w:t>
      </w:r>
      <w:r w:rsidRPr="0097768D">
        <w:rPr>
          <w:color w:val="0D0D0D" w:themeColor="text1" w:themeTint="F2"/>
          <w:spacing w:val="-4"/>
          <w:sz w:val="16"/>
          <w:szCs w:val="16"/>
          <w:lang w:val="en-GB"/>
        </w:rPr>
        <w:t>4%).</w:t>
      </w:r>
      <w:r w:rsidRPr="0097768D">
        <w:rPr>
          <w:color w:val="0D0D0D" w:themeColor="text1" w:themeTint="F2"/>
          <w:spacing w:val="-3"/>
          <w:sz w:val="16"/>
          <w:szCs w:val="16"/>
          <w:lang w:val="en-GB"/>
        </w:rPr>
        <w:t xml:space="preserve"> </w:t>
      </w:r>
    </w:p>
    <w:p w14:paraId="39EB0533" w14:textId="77777777" w:rsidR="003B4260" w:rsidRDefault="003B4260" w:rsidP="0057789F">
      <w:pPr>
        <w:pStyle w:val="Textpoznpodarou"/>
        <w:jc w:val="both"/>
        <w:rPr>
          <w:color w:val="0D0D0D" w:themeColor="text1" w:themeTint="F2"/>
          <w:spacing w:val="-4"/>
          <w:sz w:val="16"/>
          <w:szCs w:val="16"/>
          <w:lang w:val="en-GB"/>
        </w:rPr>
      </w:pPr>
      <w:r>
        <w:rPr>
          <w:color w:val="0D0D0D" w:themeColor="text1" w:themeTint="F2"/>
          <w:spacing w:val="-3"/>
          <w:sz w:val="16"/>
          <w:szCs w:val="16"/>
          <w:lang w:val="en-GB"/>
        </w:rPr>
        <w:t xml:space="preserve">Substantially, even though by half the pace of year </w:t>
      </w:r>
      <w:r w:rsidRPr="0097768D">
        <w:rPr>
          <w:color w:val="0D0D0D" w:themeColor="text1" w:themeTint="F2"/>
          <w:spacing w:val="-4"/>
          <w:sz w:val="16"/>
          <w:szCs w:val="16"/>
          <w:lang w:val="en-GB"/>
        </w:rPr>
        <w:t xml:space="preserve">2022, </w:t>
      </w:r>
      <w:r>
        <w:rPr>
          <w:color w:val="0D0D0D" w:themeColor="text1" w:themeTint="F2"/>
          <w:spacing w:val="-4"/>
          <w:sz w:val="16"/>
          <w:szCs w:val="16"/>
          <w:lang w:val="en-GB"/>
        </w:rPr>
        <w:t xml:space="preserve">the total gas consumption also fell </w:t>
      </w:r>
      <w:r w:rsidRPr="0097768D">
        <w:rPr>
          <w:color w:val="0D0D0D" w:themeColor="text1" w:themeTint="F2"/>
          <w:spacing w:val="-4"/>
          <w:sz w:val="16"/>
          <w:szCs w:val="16"/>
          <w:lang w:val="en-GB"/>
        </w:rPr>
        <w:t>(</w:t>
      </w:r>
      <w:r>
        <w:rPr>
          <w:color w:val="0D0D0D" w:themeColor="text1" w:themeTint="F2"/>
          <w:spacing w:val="-4"/>
          <w:sz w:val="16"/>
          <w:szCs w:val="16"/>
          <w:lang w:val="en-GB"/>
        </w:rPr>
        <w:t xml:space="preserve">expressed in </w:t>
      </w:r>
      <w:r w:rsidRPr="0097768D">
        <w:rPr>
          <w:color w:val="0D0D0D" w:themeColor="text1" w:themeTint="F2"/>
          <w:spacing w:val="-4"/>
          <w:sz w:val="16"/>
          <w:szCs w:val="16"/>
          <w:lang w:val="en-GB"/>
        </w:rPr>
        <w:t>m</w:t>
      </w:r>
      <w:r w:rsidRPr="0097768D">
        <w:rPr>
          <w:color w:val="0D0D0D" w:themeColor="text1" w:themeTint="F2"/>
          <w:spacing w:val="-4"/>
          <w:sz w:val="16"/>
          <w:szCs w:val="16"/>
          <w:vertAlign w:val="superscript"/>
          <w:lang w:val="en-GB"/>
        </w:rPr>
        <w:t>3</w:t>
      </w:r>
      <w:r w:rsidRPr="0097768D">
        <w:rPr>
          <w:color w:val="0D0D0D" w:themeColor="text1" w:themeTint="F2"/>
          <w:spacing w:val="-4"/>
          <w:sz w:val="16"/>
          <w:szCs w:val="16"/>
          <w:lang w:val="en-GB"/>
        </w:rPr>
        <w:t xml:space="preserve">) </w:t>
      </w:r>
      <w:r>
        <w:rPr>
          <w:color w:val="0D0D0D" w:themeColor="text1" w:themeTint="F2"/>
          <w:spacing w:val="-4"/>
          <w:sz w:val="16"/>
          <w:szCs w:val="16"/>
          <w:lang w:val="en-GB"/>
        </w:rPr>
        <w:t xml:space="preserve">in the CR last year </w:t>
      </w:r>
      <w:r w:rsidRPr="0097768D">
        <w:rPr>
          <w:color w:val="0D0D0D" w:themeColor="text1" w:themeTint="F2"/>
          <w:spacing w:val="-4"/>
          <w:sz w:val="16"/>
          <w:szCs w:val="16"/>
          <w:lang w:val="en-GB"/>
        </w:rPr>
        <w:t xml:space="preserve">– </w:t>
      </w:r>
      <w:r>
        <w:rPr>
          <w:color w:val="0D0D0D" w:themeColor="text1" w:themeTint="F2"/>
          <w:spacing w:val="-4"/>
          <w:sz w:val="16"/>
          <w:szCs w:val="16"/>
          <w:lang w:val="en-GB"/>
        </w:rPr>
        <w:t xml:space="preserve">by </w:t>
      </w:r>
      <w:r w:rsidRPr="0097768D">
        <w:rPr>
          <w:color w:val="0D0D0D" w:themeColor="text1" w:themeTint="F2"/>
          <w:spacing w:val="-4"/>
          <w:sz w:val="16"/>
          <w:szCs w:val="16"/>
          <w:lang w:val="en-GB"/>
        </w:rPr>
        <w:t>12</w:t>
      </w:r>
      <w:r>
        <w:rPr>
          <w:color w:val="0D0D0D" w:themeColor="text1" w:themeTint="F2"/>
          <w:spacing w:val="-4"/>
          <w:sz w:val="16"/>
          <w:szCs w:val="16"/>
          <w:lang w:val="en-GB"/>
        </w:rPr>
        <w:t>.</w:t>
      </w:r>
      <w:r w:rsidRPr="0097768D">
        <w:rPr>
          <w:color w:val="0D0D0D" w:themeColor="text1" w:themeTint="F2"/>
          <w:spacing w:val="-4"/>
          <w:sz w:val="16"/>
          <w:szCs w:val="16"/>
          <w:lang w:val="en-GB"/>
        </w:rPr>
        <w:t>4%</w:t>
      </w:r>
      <w:r>
        <w:rPr>
          <w:color w:val="0D0D0D" w:themeColor="text1" w:themeTint="F2"/>
          <w:spacing w:val="-4"/>
          <w:sz w:val="16"/>
          <w:szCs w:val="16"/>
          <w:lang w:val="en-GB"/>
        </w:rPr>
        <w:t xml:space="preserve"> year-on-year</w:t>
      </w:r>
      <w:r w:rsidRPr="0097768D">
        <w:rPr>
          <w:color w:val="0D0D0D" w:themeColor="text1" w:themeTint="F2"/>
          <w:spacing w:val="-4"/>
          <w:sz w:val="16"/>
          <w:szCs w:val="16"/>
          <w:lang w:val="en-GB"/>
        </w:rPr>
        <w:t xml:space="preserve"> (</w:t>
      </w:r>
      <w:r>
        <w:rPr>
          <w:color w:val="0D0D0D" w:themeColor="text1" w:themeTint="F2"/>
          <w:spacing w:val="-4"/>
          <w:sz w:val="16"/>
          <w:szCs w:val="16"/>
          <w:lang w:val="en-GB"/>
        </w:rPr>
        <w:t xml:space="preserve">after adjustment for long-term thermal standard by </w:t>
      </w:r>
      <w:r w:rsidRPr="0097768D">
        <w:rPr>
          <w:color w:val="0D0D0D" w:themeColor="text1" w:themeTint="F2"/>
          <w:spacing w:val="-4"/>
          <w:sz w:val="16"/>
          <w:szCs w:val="16"/>
          <w:lang w:val="en-GB"/>
        </w:rPr>
        <w:t>8</w:t>
      </w:r>
      <w:r>
        <w:rPr>
          <w:color w:val="0D0D0D" w:themeColor="text1" w:themeTint="F2"/>
          <w:spacing w:val="-4"/>
          <w:sz w:val="16"/>
          <w:szCs w:val="16"/>
          <w:lang w:val="en-GB"/>
        </w:rPr>
        <w:t>.</w:t>
      </w:r>
      <w:r w:rsidRPr="0097768D">
        <w:rPr>
          <w:color w:val="0D0D0D" w:themeColor="text1" w:themeTint="F2"/>
          <w:spacing w:val="-4"/>
          <w:sz w:val="16"/>
          <w:szCs w:val="16"/>
          <w:lang w:val="en-GB"/>
        </w:rPr>
        <w:t xml:space="preserve">1%). </w:t>
      </w:r>
      <w:r>
        <w:rPr>
          <w:color w:val="0D0D0D" w:themeColor="text1" w:themeTint="F2"/>
          <w:spacing w:val="-4"/>
          <w:sz w:val="16"/>
          <w:szCs w:val="16"/>
          <w:lang w:val="en-GB"/>
        </w:rPr>
        <w:t xml:space="preserve">Considerable decrease of consumption occurred for all main categories of customers, it was the highest for households, which took by </w:t>
      </w:r>
      <w:r w:rsidRPr="0097768D">
        <w:rPr>
          <w:color w:val="0D0D0D" w:themeColor="text1" w:themeTint="F2"/>
          <w:spacing w:val="-4"/>
          <w:sz w:val="16"/>
          <w:szCs w:val="16"/>
          <w:lang w:val="en-GB"/>
        </w:rPr>
        <w:t>11</w:t>
      </w:r>
      <w:r>
        <w:rPr>
          <w:color w:val="0D0D0D" w:themeColor="text1" w:themeTint="F2"/>
          <w:spacing w:val="-4"/>
          <w:sz w:val="16"/>
          <w:szCs w:val="16"/>
          <w:lang w:val="en-GB"/>
        </w:rPr>
        <w:t>.</w:t>
      </w:r>
      <w:r w:rsidRPr="0097768D">
        <w:rPr>
          <w:color w:val="0D0D0D" w:themeColor="text1" w:themeTint="F2"/>
          <w:spacing w:val="-4"/>
          <w:sz w:val="16"/>
          <w:szCs w:val="16"/>
          <w:lang w:val="en-GB"/>
        </w:rPr>
        <w:t>6%</w:t>
      </w:r>
      <w:r>
        <w:rPr>
          <w:color w:val="0D0D0D" w:themeColor="text1" w:themeTint="F2"/>
          <w:spacing w:val="-4"/>
          <w:sz w:val="16"/>
          <w:szCs w:val="16"/>
          <w:lang w:val="en-GB"/>
        </w:rPr>
        <w:t xml:space="preserve"> gas less year-on-year </w:t>
      </w:r>
      <w:r w:rsidRPr="0097768D">
        <w:rPr>
          <w:color w:val="0D0D0D" w:themeColor="text1" w:themeTint="F2"/>
          <w:spacing w:val="-4"/>
          <w:sz w:val="16"/>
          <w:szCs w:val="16"/>
          <w:lang w:val="en-GB"/>
        </w:rPr>
        <w:t>(</w:t>
      </w:r>
      <w:r>
        <w:rPr>
          <w:color w:val="0D0D0D" w:themeColor="text1" w:themeTint="F2"/>
          <w:spacing w:val="-4"/>
          <w:sz w:val="16"/>
          <w:szCs w:val="16"/>
          <w:lang w:val="en-GB"/>
        </w:rPr>
        <w:t xml:space="preserve">by even </w:t>
      </w:r>
      <w:r w:rsidRPr="0097768D">
        <w:rPr>
          <w:color w:val="0D0D0D" w:themeColor="text1" w:themeTint="F2"/>
          <w:spacing w:val="-4"/>
          <w:sz w:val="16"/>
          <w:szCs w:val="16"/>
          <w:lang w:val="en-GB"/>
        </w:rPr>
        <w:t>30%</w:t>
      </w:r>
      <w:r>
        <w:rPr>
          <w:color w:val="0D0D0D" w:themeColor="text1" w:themeTint="F2"/>
          <w:spacing w:val="-4"/>
          <w:sz w:val="16"/>
          <w:szCs w:val="16"/>
          <w:lang w:val="en-GB"/>
        </w:rPr>
        <w:t xml:space="preserve"> less for the two years</w:t>
      </w:r>
      <w:r w:rsidRPr="0097768D">
        <w:rPr>
          <w:color w:val="0D0D0D" w:themeColor="text1" w:themeTint="F2"/>
          <w:spacing w:val="-4"/>
          <w:sz w:val="16"/>
          <w:szCs w:val="16"/>
          <w:lang w:val="en-GB"/>
        </w:rPr>
        <w:t xml:space="preserve">), </w:t>
      </w:r>
      <w:r>
        <w:rPr>
          <w:color w:val="0D0D0D" w:themeColor="text1" w:themeTint="F2"/>
          <w:spacing w:val="-4"/>
          <w:sz w:val="16"/>
          <w:szCs w:val="16"/>
          <w:lang w:val="en-GB"/>
        </w:rPr>
        <w:t xml:space="preserve">the smallest decrease then for wholesale customers </w:t>
      </w:r>
      <w:r w:rsidRPr="0097768D">
        <w:rPr>
          <w:color w:val="0D0D0D" w:themeColor="text1" w:themeTint="F2"/>
          <w:spacing w:val="-4"/>
          <w:sz w:val="16"/>
          <w:szCs w:val="16"/>
          <w:lang w:val="en-GB"/>
        </w:rPr>
        <w:t>(</w:t>
      </w:r>
      <w:r>
        <w:rPr>
          <w:color w:val="0D0D0D" w:themeColor="text1" w:themeTint="F2"/>
          <w:spacing w:val="-4"/>
          <w:sz w:val="16"/>
          <w:szCs w:val="16"/>
          <w:lang w:val="en-GB"/>
        </w:rPr>
        <w:t xml:space="preserve">by </w:t>
      </w:r>
      <w:r w:rsidRPr="0097768D">
        <w:rPr>
          <w:color w:val="0D0D0D" w:themeColor="text1" w:themeTint="F2"/>
          <w:spacing w:val="-4"/>
          <w:sz w:val="16"/>
          <w:szCs w:val="16"/>
          <w:lang w:val="en-GB"/>
        </w:rPr>
        <w:t>9</w:t>
      </w:r>
      <w:r>
        <w:rPr>
          <w:color w:val="0D0D0D" w:themeColor="text1" w:themeTint="F2"/>
          <w:spacing w:val="-4"/>
          <w:sz w:val="16"/>
          <w:szCs w:val="16"/>
          <w:lang w:val="en-GB"/>
        </w:rPr>
        <w:t>.</w:t>
      </w:r>
      <w:r w:rsidRPr="0097768D">
        <w:rPr>
          <w:color w:val="0D0D0D" w:themeColor="text1" w:themeTint="F2"/>
          <w:spacing w:val="-4"/>
          <w:sz w:val="16"/>
          <w:szCs w:val="16"/>
          <w:lang w:val="en-GB"/>
        </w:rPr>
        <w:t xml:space="preserve">6%). </w:t>
      </w:r>
    </w:p>
    <w:p w14:paraId="4B60343D" w14:textId="2E7B8EA2" w:rsidR="003B4260" w:rsidRPr="0097768D" w:rsidRDefault="003B4260" w:rsidP="0057789F">
      <w:pPr>
        <w:pStyle w:val="Textpoznpodarou"/>
        <w:jc w:val="both"/>
        <w:rPr>
          <w:color w:val="0D0D0D" w:themeColor="text1" w:themeTint="F2"/>
          <w:spacing w:val="-4"/>
          <w:sz w:val="16"/>
          <w:szCs w:val="16"/>
          <w:lang w:val="en-GB"/>
        </w:rPr>
      </w:pPr>
      <w:r>
        <w:rPr>
          <w:color w:val="0D0D0D" w:themeColor="text1" w:themeTint="F2"/>
          <w:spacing w:val="-4"/>
          <w:sz w:val="16"/>
          <w:szCs w:val="16"/>
          <w:lang w:val="en-GB"/>
        </w:rPr>
        <w:t>Up-to-date data for Q1 to Q</w:t>
      </w:r>
      <w:r w:rsidRPr="0097768D">
        <w:rPr>
          <w:color w:val="0D0D0D" w:themeColor="text1" w:themeTint="F2"/>
          <w:spacing w:val="-4"/>
          <w:sz w:val="16"/>
          <w:szCs w:val="16"/>
          <w:lang w:val="en-GB"/>
        </w:rPr>
        <w:t>3</w:t>
      </w:r>
      <w:r>
        <w:rPr>
          <w:color w:val="0D0D0D" w:themeColor="text1" w:themeTint="F2"/>
          <w:spacing w:val="-4"/>
          <w:sz w:val="16"/>
          <w:szCs w:val="16"/>
          <w:lang w:val="en-GB"/>
        </w:rPr>
        <w:t xml:space="preserve"> </w:t>
      </w:r>
      <w:r w:rsidRPr="0097768D">
        <w:rPr>
          <w:color w:val="0D0D0D" w:themeColor="text1" w:themeTint="F2"/>
          <w:spacing w:val="-4"/>
          <w:sz w:val="16"/>
          <w:szCs w:val="16"/>
          <w:lang w:val="en-GB"/>
        </w:rPr>
        <w:t>2023</w:t>
      </w:r>
      <w:r>
        <w:rPr>
          <w:color w:val="0D0D0D" w:themeColor="text1" w:themeTint="F2"/>
          <w:spacing w:val="-4"/>
          <w:sz w:val="16"/>
          <w:szCs w:val="16"/>
          <w:lang w:val="en-GB"/>
        </w:rPr>
        <w:t xml:space="preserve"> also show the all-encompassing year-on-year decrease of heat consumption </w:t>
      </w:r>
      <w:r w:rsidRPr="0097768D">
        <w:rPr>
          <w:color w:val="0D0D0D" w:themeColor="text1" w:themeTint="F2"/>
          <w:spacing w:val="-4"/>
          <w:sz w:val="16"/>
          <w:szCs w:val="16"/>
          <w:lang w:val="en-GB"/>
        </w:rPr>
        <w:t>(</w:t>
      </w:r>
      <w:r>
        <w:rPr>
          <w:color w:val="0D0D0D" w:themeColor="text1" w:themeTint="F2"/>
          <w:spacing w:val="-4"/>
          <w:sz w:val="16"/>
          <w:szCs w:val="16"/>
          <w:lang w:val="en-GB"/>
        </w:rPr>
        <w:t xml:space="preserve">expressed in </w:t>
      </w:r>
      <w:r w:rsidRPr="0097768D">
        <w:rPr>
          <w:color w:val="0D0D0D" w:themeColor="text1" w:themeTint="F2"/>
          <w:spacing w:val="-4"/>
          <w:sz w:val="16"/>
          <w:szCs w:val="16"/>
          <w:lang w:val="en-GB"/>
        </w:rPr>
        <w:t xml:space="preserve">TJ) – </w:t>
      </w:r>
      <w:r>
        <w:rPr>
          <w:color w:val="0D0D0D" w:themeColor="text1" w:themeTint="F2"/>
          <w:spacing w:val="-4"/>
          <w:sz w:val="16"/>
          <w:szCs w:val="16"/>
          <w:lang w:val="en-GB"/>
        </w:rPr>
        <w:t xml:space="preserve">by even </w:t>
      </w:r>
      <w:r w:rsidRPr="0097768D">
        <w:rPr>
          <w:color w:val="0D0D0D" w:themeColor="text1" w:themeTint="F2"/>
          <w:spacing w:val="-4"/>
          <w:sz w:val="16"/>
          <w:szCs w:val="16"/>
          <w:lang w:val="en-GB"/>
        </w:rPr>
        <w:t>9% (</w:t>
      </w:r>
      <w:r>
        <w:rPr>
          <w:color w:val="0D0D0D" w:themeColor="text1" w:themeTint="F2"/>
          <w:spacing w:val="-4"/>
          <w:sz w:val="16"/>
          <w:szCs w:val="16"/>
          <w:lang w:val="en-GB"/>
        </w:rPr>
        <w:t xml:space="preserve">by </w:t>
      </w:r>
      <w:r w:rsidRPr="0097768D">
        <w:rPr>
          <w:color w:val="0D0D0D" w:themeColor="text1" w:themeTint="F2"/>
          <w:spacing w:val="-4"/>
          <w:sz w:val="16"/>
          <w:szCs w:val="16"/>
          <w:lang w:val="en-GB"/>
        </w:rPr>
        <w:t>10</w:t>
      </w:r>
      <w:r>
        <w:rPr>
          <w:color w:val="0D0D0D" w:themeColor="text1" w:themeTint="F2"/>
          <w:spacing w:val="-4"/>
          <w:sz w:val="16"/>
          <w:szCs w:val="16"/>
          <w:lang w:val="en-GB"/>
        </w:rPr>
        <w:t>.</w:t>
      </w:r>
      <w:r w:rsidRPr="0097768D">
        <w:rPr>
          <w:color w:val="0D0D0D" w:themeColor="text1" w:themeTint="F2"/>
          <w:spacing w:val="-4"/>
          <w:sz w:val="16"/>
          <w:szCs w:val="16"/>
          <w:lang w:val="en-GB"/>
        </w:rPr>
        <w:t>3%</w:t>
      </w:r>
      <w:r>
        <w:rPr>
          <w:color w:val="0D0D0D" w:themeColor="text1" w:themeTint="F2"/>
          <w:spacing w:val="-4"/>
          <w:sz w:val="16"/>
          <w:szCs w:val="16"/>
          <w:lang w:val="en-GB"/>
        </w:rPr>
        <w:t xml:space="preserve"> in 2022</w:t>
      </w:r>
      <w:r w:rsidRPr="0097768D">
        <w:rPr>
          <w:color w:val="0D0D0D" w:themeColor="text1" w:themeTint="F2"/>
          <w:spacing w:val="-4"/>
          <w:sz w:val="16"/>
          <w:szCs w:val="16"/>
          <w:lang w:val="en-GB"/>
        </w:rPr>
        <w:t xml:space="preserve">), </w:t>
      </w:r>
      <w:r>
        <w:rPr>
          <w:color w:val="0D0D0D" w:themeColor="text1" w:themeTint="F2"/>
          <w:spacing w:val="-4"/>
          <w:sz w:val="16"/>
          <w:szCs w:val="16"/>
          <w:lang w:val="en-GB"/>
        </w:rPr>
        <w:t>in that by 4.9% in households,</w:t>
      </w:r>
      <w:r w:rsidRPr="0097768D">
        <w:rPr>
          <w:color w:val="0D0D0D" w:themeColor="text1" w:themeTint="F2"/>
          <w:spacing w:val="-4"/>
          <w:sz w:val="16"/>
          <w:szCs w:val="16"/>
          <w:lang w:val="en-GB"/>
        </w:rPr>
        <w:t xml:space="preserve"> </w:t>
      </w:r>
      <w:r>
        <w:rPr>
          <w:color w:val="0D0D0D" w:themeColor="text1" w:themeTint="F2"/>
          <w:spacing w:val="-4"/>
          <w:sz w:val="16"/>
          <w:szCs w:val="16"/>
          <w:lang w:val="en-GB"/>
        </w:rPr>
        <w:t xml:space="preserve">in trade, services, education, health care in total by </w:t>
      </w:r>
      <w:r w:rsidRPr="0097768D">
        <w:rPr>
          <w:color w:val="0D0D0D" w:themeColor="text1" w:themeTint="F2"/>
          <w:spacing w:val="-4"/>
          <w:sz w:val="16"/>
          <w:szCs w:val="16"/>
          <w:lang w:val="en-GB"/>
        </w:rPr>
        <w:t>8</w:t>
      </w:r>
      <w:r>
        <w:rPr>
          <w:color w:val="0D0D0D" w:themeColor="text1" w:themeTint="F2"/>
          <w:spacing w:val="-4"/>
          <w:sz w:val="16"/>
          <w:szCs w:val="16"/>
          <w:lang w:val="en-GB"/>
        </w:rPr>
        <w:t>.</w:t>
      </w:r>
      <w:r w:rsidRPr="0097768D">
        <w:rPr>
          <w:color w:val="0D0D0D" w:themeColor="text1" w:themeTint="F2"/>
          <w:spacing w:val="-4"/>
          <w:sz w:val="16"/>
          <w:szCs w:val="16"/>
          <w:lang w:val="en-GB"/>
        </w:rPr>
        <w:t xml:space="preserve">3%, </w:t>
      </w:r>
      <w:r>
        <w:rPr>
          <w:color w:val="0D0D0D" w:themeColor="text1" w:themeTint="F2"/>
          <w:spacing w:val="-4"/>
          <w:sz w:val="16"/>
          <w:szCs w:val="16"/>
          <w:lang w:val="en-GB"/>
        </w:rPr>
        <w:t xml:space="preserve">in industry by </w:t>
      </w:r>
      <w:r w:rsidRPr="0097768D">
        <w:rPr>
          <w:color w:val="0D0D0D" w:themeColor="text1" w:themeTint="F2"/>
          <w:spacing w:val="-4"/>
          <w:sz w:val="16"/>
          <w:szCs w:val="16"/>
          <w:lang w:val="en-GB"/>
        </w:rPr>
        <w:t>13</w:t>
      </w:r>
      <w:r>
        <w:rPr>
          <w:color w:val="0D0D0D" w:themeColor="text1" w:themeTint="F2"/>
          <w:spacing w:val="-4"/>
          <w:sz w:val="16"/>
          <w:szCs w:val="16"/>
          <w:lang w:val="en-GB"/>
        </w:rPr>
        <w:t>.</w:t>
      </w:r>
      <w:r w:rsidRPr="0097768D">
        <w:rPr>
          <w:color w:val="0D0D0D" w:themeColor="text1" w:themeTint="F2"/>
          <w:spacing w:val="-4"/>
          <w:sz w:val="16"/>
          <w:szCs w:val="16"/>
          <w:lang w:val="en-GB"/>
        </w:rPr>
        <w:t>7%.</w:t>
      </w:r>
      <w:r>
        <w:rPr>
          <w:color w:val="0D0D0D" w:themeColor="text1" w:themeTint="F2"/>
          <w:spacing w:val="-4"/>
          <w:sz w:val="16"/>
          <w:szCs w:val="16"/>
          <w:lang w:val="en-GB"/>
        </w:rPr>
        <w:t xml:space="preserve"> </w:t>
      </w:r>
    </w:p>
  </w:footnote>
  <w:footnote w:id="27">
    <w:p w14:paraId="44C0F089" w14:textId="42D4D456" w:rsidR="003B4260" w:rsidRPr="00946415" w:rsidRDefault="003B4260" w:rsidP="00946415">
      <w:pPr>
        <w:pStyle w:val="Textpoznpodarou"/>
        <w:jc w:val="both"/>
        <w:rPr>
          <w:sz w:val="16"/>
          <w:szCs w:val="16"/>
          <w:lang w:val="en-GB"/>
        </w:rPr>
      </w:pPr>
      <w:r w:rsidRPr="00E5704D">
        <w:rPr>
          <w:rStyle w:val="Znakapoznpodarou"/>
          <w:sz w:val="16"/>
          <w:szCs w:val="16"/>
        </w:rPr>
        <w:footnoteRef/>
      </w:r>
      <w:r w:rsidRPr="00E5704D">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year</w:t>
      </w:r>
      <w:proofErr w:type="spellEnd"/>
      <w:r>
        <w:rPr>
          <w:sz w:val="16"/>
          <w:szCs w:val="16"/>
        </w:rPr>
        <w:t>-on-</w:t>
      </w:r>
      <w:proofErr w:type="spellStart"/>
      <w:r>
        <w:rPr>
          <w:sz w:val="16"/>
          <w:szCs w:val="16"/>
        </w:rPr>
        <w:t>year</w:t>
      </w:r>
      <w:proofErr w:type="spellEnd"/>
      <w:r>
        <w:rPr>
          <w:sz w:val="16"/>
          <w:szCs w:val="16"/>
        </w:rPr>
        <w:t xml:space="preserve"> output </w:t>
      </w:r>
      <w:proofErr w:type="spellStart"/>
      <w:r>
        <w:rPr>
          <w:sz w:val="16"/>
          <w:szCs w:val="16"/>
        </w:rPr>
        <w:t>reduction</w:t>
      </w:r>
      <w:proofErr w:type="spellEnd"/>
      <w:r>
        <w:rPr>
          <w:sz w:val="16"/>
          <w:szCs w:val="16"/>
        </w:rPr>
        <w:t xml:space="preserve"> </w:t>
      </w:r>
      <w:proofErr w:type="spellStart"/>
      <w:r>
        <w:rPr>
          <w:sz w:val="16"/>
          <w:szCs w:val="16"/>
        </w:rPr>
        <w:t>afflicted</w:t>
      </w:r>
      <w:proofErr w:type="spellEnd"/>
      <w:r>
        <w:rPr>
          <w:sz w:val="16"/>
          <w:szCs w:val="16"/>
        </w:rPr>
        <w:t xml:space="preserve"> </w:t>
      </w:r>
      <w:proofErr w:type="spellStart"/>
      <w:r>
        <w:rPr>
          <w:sz w:val="16"/>
          <w:szCs w:val="16"/>
        </w:rPr>
        <w:t>nearly</w:t>
      </w:r>
      <w:proofErr w:type="spellEnd"/>
      <w:r>
        <w:rPr>
          <w:sz w:val="16"/>
          <w:szCs w:val="16"/>
        </w:rPr>
        <w:t xml:space="preserve"> </w:t>
      </w:r>
      <w:proofErr w:type="spellStart"/>
      <w:r>
        <w:rPr>
          <w:sz w:val="16"/>
          <w:szCs w:val="16"/>
        </w:rPr>
        <w:t>three</w:t>
      </w:r>
      <w:proofErr w:type="spellEnd"/>
      <w:r>
        <w:rPr>
          <w:sz w:val="16"/>
          <w:szCs w:val="16"/>
        </w:rPr>
        <w:t xml:space="preserve"> </w:t>
      </w:r>
      <w:proofErr w:type="spellStart"/>
      <w:r>
        <w:rPr>
          <w:sz w:val="16"/>
          <w:szCs w:val="16"/>
        </w:rPr>
        <w:t>quarters</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all</w:t>
      </w:r>
      <w:proofErr w:type="spellEnd"/>
      <w:r>
        <w:rPr>
          <w:sz w:val="16"/>
          <w:szCs w:val="16"/>
        </w:rPr>
        <w:t xml:space="preserve"> </w:t>
      </w:r>
      <w:proofErr w:type="spellStart"/>
      <w:r>
        <w:rPr>
          <w:sz w:val="16"/>
          <w:szCs w:val="16"/>
        </w:rPr>
        <w:t>industrial</w:t>
      </w:r>
      <w:proofErr w:type="spellEnd"/>
      <w:r>
        <w:rPr>
          <w:sz w:val="16"/>
          <w:szCs w:val="16"/>
        </w:rPr>
        <w:t xml:space="preserve"> </w:t>
      </w:r>
      <w:proofErr w:type="spellStart"/>
      <w:r>
        <w:rPr>
          <w:sz w:val="16"/>
          <w:szCs w:val="16"/>
        </w:rPr>
        <w:t>branches</w:t>
      </w:r>
      <w:proofErr w:type="spellEnd"/>
      <w:r>
        <w:rPr>
          <w:sz w:val="16"/>
          <w:szCs w:val="16"/>
        </w:rPr>
        <w:t xml:space="preserve"> in 2023. </w:t>
      </w:r>
    </w:p>
  </w:footnote>
  <w:footnote w:id="28">
    <w:p w14:paraId="38D89295" w14:textId="2229B45F" w:rsidR="003B4260" w:rsidRPr="00946415" w:rsidRDefault="003B4260" w:rsidP="00946415">
      <w:pPr>
        <w:pStyle w:val="Textpoznpodarou"/>
        <w:jc w:val="both"/>
        <w:rPr>
          <w:color w:val="0D0D0D" w:themeColor="text1" w:themeTint="F2"/>
          <w:sz w:val="16"/>
          <w:szCs w:val="16"/>
          <w:lang w:val="en-GB"/>
        </w:rPr>
      </w:pPr>
      <w:r w:rsidRPr="00946415">
        <w:rPr>
          <w:rStyle w:val="Znakapoznpodarou"/>
          <w:color w:val="0D0D0D" w:themeColor="text1" w:themeTint="F2"/>
          <w:sz w:val="16"/>
          <w:szCs w:val="16"/>
          <w:lang w:val="en-GB"/>
        </w:rPr>
        <w:footnoteRef/>
      </w:r>
      <w:r w:rsidRPr="00946415">
        <w:rPr>
          <w:color w:val="0D0D0D" w:themeColor="text1" w:themeTint="F2"/>
          <w:sz w:val="16"/>
          <w:szCs w:val="16"/>
          <w:lang w:val="en-GB"/>
        </w:rPr>
        <w:t xml:space="preserve"> </w:t>
      </w:r>
      <w:r>
        <w:rPr>
          <w:color w:val="0D0D0D" w:themeColor="text1" w:themeTint="F2"/>
          <w:sz w:val="16"/>
          <w:szCs w:val="16"/>
          <w:lang w:val="en-GB"/>
        </w:rPr>
        <w:t xml:space="preserve">The average air temperature in the CR climbed up above the long-term thermal standard by 3.4 degrees Celsius in both January and September last year, by </w:t>
      </w:r>
      <w:r w:rsidRPr="00946415">
        <w:rPr>
          <w:color w:val="0D0D0D" w:themeColor="text1" w:themeTint="F2"/>
          <w:sz w:val="16"/>
          <w:szCs w:val="16"/>
          <w:lang w:val="en-GB"/>
        </w:rPr>
        <w:t>2</w:t>
      </w:r>
      <w:r>
        <w:rPr>
          <w:color w:val="0D0D0D" w:themeColor="text1" w:themeTint="F2"/>
          <w:sz w:val="16"/>
          <w:szCs w:val="16"/>
          <w:lang w:val="en-GB"/>
        </w:rPr>
        <w:t>.</w:t>
      </w:r>
      <w:r w:rsidRPr="00946415">
        <w:rPr>
          <w:color w:val="0D0D0D" w:themeColor="text1" w:themeTint="F2"/>
          <w:sz w:val="16"/>
          <w:szCs w:val="16"/>
          <w:lang w:val="en-GB"/>
        </w:rPr>
        <w:t>9</w:t>
      </w:r>
      <w:r>
        <w:rPr>
          <w:color w:val="0D0D0D" w:themeColor="text1" w:themeTint="F2"/>
          <w:sz w:val="16"/>
          <w:szCs w:val="16"/>
          <w:lang w:val="en-GB"/>
        </w:rPr>
        <w:t xml:space="preserve"> degrees in October, by 2.6 degrees in December, in February and March by </w:t>
      </w:r>
      <w:r w:rsidRPr="00946415">
        <w:rPr>
          <w:color w:val="0D0D0D" w:themeColor="text1" w:themeTint="F2"/>
          <w:sz w:val="16"/>
          <w:szCs w:val="16"/>
          <w:lang w:val="en-GB"/>
        </w:rPr>
        <w:t>1</w:t>
      </w:r>
      <w:r>
        <w:rPr>
          <w:color w:val="0D0D0D" w:themeColor="text1" w:themeTint="F2"/>
          <w:sz w:val="16"/>
          <w:szCs w:val="16"/>
          <w:lang w:val="en-GB"/>
        </w:rPr>
        <w:t>.</w:t>
      </w:r>
      <w:r w:rsidRPr="00946415">
        <w:rPr>
          <w:color w:val="0D0D0D" w:themeColor="text1" w:themeTint="F2"/>
          <w:sz w:val="16"/>
          <w:szCs w:val="16"/>
          <w:lang w:val="en-GB"/>
        </w:rPr>
        <w:t>5</w:t>
      </w:r>
      <w:r>
        <w:rPr>
          <w:color w:val="0D0D0D" w:themeColor="text1" w:themeTint="F2"/>
          <w:sz w:val="16"/>
          <w:szCs w:val="16"/>
          <w:lang w:val="en-GB"/>
        </w:rPr>
        <w:t xml:space="preserve"> degrees. In contrast, only April with temperature by two degrees below the standard can be considered colder. The average air temperature attained 9.9 degrees in the CR for the whole last year, </w:t>
      </w:r>
      <w:r w:rsidRPr="00946415">
        <w:rPr>
          <w:color w:val="0D0D0D" w:themeColor="text1" w:themeTint="F2"/>
          <w:sz w:val="16"/>
          <w:szCs w:val="16"/>
          <w:lang w:val="en-GB"/>
        </w:rPr>
        <w:t>9</w:t>
      </w:r>
      <w:r>
        <w:rPr>
          <w:color w:val="0D0D0D" w:themeColor="text1" w:themeTint="F2"/>
          <w:sz w:val="16"/>
          <w:szCs w:val="16"/>
          <w:lang w:val="en-GB"/>
        </w:rPr>
        <w:t>.</w:t>
      </w:r>
      <w:r w:rsidRPr="00946415">
        <w:rPr>
          <w:color w:val="0D0D0D" w:themeColor="text1" w:themeTint="F2"/>
          <w:sz w:val="16"/>
          <w:szCs w:val="16"/>
          <w:lang w:val="en-GB"/>
        </w:rPr>
        <w:t>4</w:t>
      </w:r>
      <w:r>
        <w:rPr>
          <w:color w:val="0D0D0D" w:themeColor="text1" w:themeTint="F2"/>
          <w:sz w:val="16"/>
          <w:szCs w:val="16"/>
          <w:lang w:val="en-GB"/>
        </w:rPr>
        <w:t xml:space="preserve"> degrees in the previous year. </w:t>
      </w:r>
    </w:p>
  </w:footnote>
  <w:footnote w:id="29">
    <w:p w14:paraId="7FFEEDF3" w14:textId="77777777" w:rsidR="003B4260" w:rsidRPr="004C583F" w:rsidRDefault="003B4260" w:rsidP="004C583F">
      <w:pPr>
        <w:pStyle w:val="Textpoznpodarou"/>
        <w:jc w:val="both"/>
        <w:rPr>
          <w:rFonts w:cs="Arial"/>
          <w:color w:val="0D0D0D" w:themeColor="text1" w:themeTint="F2"/>
          <w:spacing w:val="-2"/>
          <w:sz w:val="16"/>
          <w:szCs w:val="16"/>
          <w:lang w:val="en-GB"/>
        </w:rPr>
      </w:pPr>
      <w:r w:rsidRPr="004C583F">
        <w:rPr>
          <w:rStyle w:val="Znakapoznpodarou"/>
          <w:rFonts w:cs="Arial"/>
          <w:color w:val="0D0D0D" w:themeColor="text1" w:themeTint="F2"/>
          <w:spacing w:val="-2"/>
          <w:sz w:val="16"/>
          <w:szCs w:val="16"/>
          <w:lang w:val="en-GB"/>
        </w:rPr>
        <w:footnoteRef/>
      </w:r>
      <w:r w:rsidRPr="004C583F">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Survey of orders is performed only in twelve manufacturing branches </w:t>
      </w:r>
      <w:r>
        <w:rPr>
          <w:rFonts w:cs="Arial"/>
          <w:color w:val="0D0D0D" w:themeColor="text1" w:themeTint="F2"/>
          <w:sz w:val="16"/>
          <w:szCs w:val="16"/>
          <w:lang w:val="en-GB"/>
        </w:rPr>
        <w:t xml:space="preserve">producing mostly custom-made products, with longer production cycle and larger stocks of orders. Year-on-year growth rates of orders are adjusted for calendar effects, quarter-on-quarter rates also for seasonal effects. </w:t>
      </w:r>
    </w:p>
  </w:footnote>
  <w:footnote w:id="30">
    <w:p w14:paraId="24566CF0" w14:textId="05CD61ED" w:rsidR="003B4260" w:rsidRPr="004C583F" w:rsidRDefault="003B4260" w:rsidP="004C583F">
      <w:pPr>
        <w:pStyle w:val="Textpoznpodarou"/>
        <w:jc w:val="both"/>
        <w:rPr>
          <w:sz w:val="16"/>
          <w:szCs w:val="16"/>
          <w:lang w:val="en-GB"/>
        </w:rPr>
      </w:pPr>
      <w:r w:rsidRPr="004C583F">
        <w:rPr>
          <w:rStyle w:val="Znakapoznpodarou"/>
          <w:sz w:val="16"/>
          <w:szCs w:val="16"/>
          <w:lang w:val="en-GB"/>
        </w:rPr>
        <w:footnoteRef/>
      </w:r>
      <w:r w:rsidRPr="004C583F">
        <w:rPr>
          <w:sz w:val="16"/>
          <w:szCs w:val="16"/>
          <w:lang w:val="en-GB"/>
        </w:rPr>
        <w:t xml:space="preserve"> </w:t>
      </w:r>
      <w:r w:rsidRPr="00BE4071">
        <w:rPr>
          <w:spacing w:val="-6"/>
          <w:sz w:val="16"/>
          <w:szCs w:val="16"/>
          <w:lang w:val="en-GB"/>
        </w:rPr>
        <w:t xml:space="preserve">Businesses could have indicated more barriers simultaneously. Barriers are adjusted for the seasonality effects. </w:t>
      </w:r>
      <w:r>
        <w:rPr>
          <w:spacing w:val="-6"/>
          <w:sz w:val="16"/>
          <w:szCs w:val="16"/>
          <w:lang w:val="en-GB"/>
        </w:rPr>
        <w:t xml:space="preserve">Weak demand represented a substantial growth limit especially for most energy-intensive industrial branches </w:t>
      </w:r>
      <w:r w:rsidRPr="004C583F">
        <w:rPr>
          <w:sz w:val="16"/>
          <w:szCs w:val="16"/>
          <w:lang w:val="en-GB"/>
        </w:rPr>
        <w:t>(</w:t>
      </w:r>
      <w:r>
        <w:rPr>
          <w:sz w:val="16"/>
          <w:szCs w:val="16"/>
          <w:lang w:val="en-GB"/>
        </w:rPr>
        <w:t>metallurgy, manufacturing of building materials, rubber and plastic industry, wood and paper industry</w:t>
      </w:r>
      <w:r w:rsidRPr="004C583F">
        <w:rPr>
          <w:sz w:val="16"/>
          <w:szCs w:val="16"/>
          <w:lang w:val="en-GB"/>
        </w:rPr>
        <w:t xml:space="preserve">), </w:t>
      </w:r>
      <w:r>
        <w:rPr>
          <w:sz w:val="16"/>
          <w:szCs w:val="16"/>
          <w:lang w:val="en-GB"/>
        </w:rPr>
        <w:t>further for print, textile or beverage industry</w:t>
      </w:r>
      <w:r w:rsidRPr="004C583F">
        <w:rPr>
          <w:sz w:val="16"/>
          <w:szCs w:val="16"/>
          <w:lang w:val="en-GB"/>
        </w:rPr>
        <w:t xml:space="preserve">. </w:t>
      </w:r>
      <w:r>
        <w:rPr>
          <w:sz w:val="16"/>
          <w:szCs w:val="16"/>
          <w:lang w:val="en-GB"/>
        </w:rPr>
        <w:t xml:space="preserve">Surprising high proportion of businesses in manufacturing of electrical appliances (above 70%) also mentioned this barrier. The inadequate demand represented main growth barrier for two thirds of all manufacturing branches. </w:t>
      </w:r>
    </w:p>
  </w:footnote>
  <w:footnote w:id="31">
    <w:p w14:paraId="229E0649" w14:textId="0BEC037E" w:rsidR="003B4260" w:rsidRPr="004C583F" w:rsidRDefault="003B4260" w:rsidP="004C583F">
      <w:pPr>
        <w:pStyle w:val="Textpoznpodarou"/>
        <w:jc w:val="both"/>
        <w:rPr>
          <w:spacing w:val="-2"/>
          <w:sz w:val="16"/>
          <w:szCs w:val="16"/>
          <w:lang w:val="en-GB"/>
        </w:rPr>
      </w:pPr>
      <w:r w:rsidRPr="004C583F">
        <w:rPr>
          <w:rStyle w:val="Znakapoznpodarou"/>
          <w:spacing w:val="-2"/>
          <w:sz w:val="16"/>
          <w:szCs w:val="16"/>
          <w:lang w:val="en-GB"/>
        </w:rPr>
        <w:footnoteRef/>
      </w:r>
      <w:r>
        <w:rPr>
          <w:spacing w:val="-2"/>
          <w:sz w:val="16"/>
          <w:szCs w:val="16"/>
          <w:lang w:val="en-GB"/>
        </w:rPr>
        <w:t xml:space="preserve"> It substantiated bigger problem especially in rubber and plastic industry, in transport equipment manufacturing </w:t>
      </w:r>
      <w:r w:rsidRPr="004C583F">
        <w:rPr>
          <w:spacing w:val="-2"/>
          <w:sz w:val="16"/>
          <w:szCs w:val="16"/>
          <w:lang w:val="en-GB"/>
        </w:rPr>
        <w:t>(</w:t>
      </w:r>
      <w:r>
        <w:rPr>
          <w:spacing w:val="-2"/>
          <w:sz w:val="16"/>
          <w:szCs w:val="16"/>
          <w:lang w:val="en-GB"/>
        </w:rPr>
        <w:t>except for motor vehicles</w:t>
      </w:r>
      <w:r w:rsidRPr="004C583F">
        <w:rPr>
          <w:spacing w:val="-2"/>
          <w:sz w:val="16"/>
          <w:szCs w:val="16"/>
          <w:lang w:val="en-GB"/>
        </w:rPr>
        <w:t>)</w:t>
      </w:r>
      <w:r>
        <w:rPr>
          <w:spacing w:val="-2"/>
          <w:sz w:val="16"/>
          <w:szCs w:val="16"/>
          <w:lang w:val="en-GB"/>
        </w:rPr>
        <w:t xml:space="preserve">, in </w:t>
      </w:r>
      <w:r w:rsidRPr="00A207DE">
        <w:rPr>
          <w:spacing w:val="-2"/>
          <w:sz w:val="16"/>
          <w:szCs w:val="16"/>
          <w:lang w:val="en-GB"/>
        </w:rPr>
        <w:t>manufacturing of electrical appliances</w:t>
      </w:r>
      <w:r>
        <w:rPr>
          <w:spacing w:val="-2"/>
          <w:sz w:val="16"/>
          <w:szCs w:val="16"/>
          <w:lang w:val="en-GB"/>
        </w:rPr>
        <w:t xml:space="preserve"> and then in clothing and leather industry. </w:t>
      </w:r>
    </w:p>
  </w:footnote>
  <w:footnote w:id="32">
    <w:p w14:paraId="2363E2DB" w14:textId="6AFDBC91" w:rsidR="003B4260" w:rsidRPr="004C583F" w:rsidRDefault="003B4260" w:rsidP="004C583F">
      <w:pPr>
        <w:pStyle w:val="Textpoznpodarou"/>
        <w:jc w:val="both"/>
        <w:rPr>
          <w:sz w:val="16"/>
          <w:szCs w:val="16"/>
          <w:lang w:val="en-GB"/>
        </w:rPr>
      </w:pPr>
      <w:r w:rsidRPr="004C583F">
        <w:rPr>
          <w:rStyle w:val="Znakapoznpodarou"/>
          <w:sz w:val="16"/>
          <w:szCs w:val="16"/>
          <w:lang w:val="en-GB"/>
        </w:rPr>
        <w:footnoteRef/>
      </w:r>
      <w:r w:rsidRPr="004C583F">
        <w:rPr>
          <w:sz w:val="16"/>
          <w:szCs w:val="16"/>
          <w:lang w:val="en-GB"/>
        </w:rPr>
        <w:t xml:space="preserve"> T</w:t>
      </w:r>
      <w:r>
        <w:rPr>
          <w:sz w:val="16"/>
          <w:szCs w:val="16"/>
          <w:lang w:val="en-GB"/>
        </w:rPr>
        <w:t xml:space="preserve">his barrier limited especially businesses in motor vehicle and electronic industry. </w:t>
      </w:r>
    </w:p>
  </w:footnote>
  <w:footnote w:id="33">
    <w:p w14:paraId="4A02B836" w14:textId="71F6F25D" w:rsidR="003B4260" w:rsidRPr="001150CE" w:rsidRDefault="003B4260" w:rsidP="004C583F">
      <w:pPr>
        <w:pStyle w:val="Textpoznpodarou"/>
        <w:jc w:val="both"/>
        <w:rPr>
          <w:sz w:val="16"/>
          <w:szCs w:val="16"/>
          <w:lang w:val="en-GB"/>
        </w:rPr>
      </w:pPr>
      <w:r w:rsidRPr="004C583F">
        <w:rPr>
          <w:rStyle w:val="Znakapoznpodarou"/>
          <w:sz w:val="16"/>
          <w:szCs w:val="16"/>
          <w:lang w:val="en-GB"/>
        </w:rPr>
        <w:footnoteRef/>
      </w:r>
      <w:r w:rsidRPr="004C583F">
        <w:rPr>
          <w:sz w:val="16"/>
          <w:szCs w:val="16"/>
          <w:lang w:val="en-GB"/>
        </w:rPr>
        <w:t xml:space="preserve"> </w:t>
      </w:r>
      <w:r>
        <w:rPr>
          <w:sz w:val="16"/>
          <w:szCs w:val="16"/>
          <w:lang w:val="en-GB"/>
        </w:rPr>
        <w:t>Based on the business cycle surveys from last year</w:t>
      </w:r>
      <w:r w:rsidRPr="00F32921">
        <w:rPr>
          <w:sz w:val="16"/>
          <w:szCs w:val="16"/>
          <w:lang w:val="en-US"/>
        </w:rPr>
        <w:t>‘</w:t>
      </w:r>
      <w:r w:rsidRPr="00FE18A8">
        <w:rPr>
          <w:sz w:val="16"/>
          <w:szCs w:val="16"/>
          <w:lang w:val="en-GB"/>
        </w:rPr>
        <w:t xml:space="preserve">s </w:t>
      </w:r>
      <w:r>
        <w:rPr>
          <w:sz w:val="16"/>
          <w:szCs w:val="16"/>
          <w:lang w:val="en-GB"/>
        </w:rPr>
        <w:t xml:space="preserve">November, still nearly </w:t>
      </w:r>
      <w:r>
        <w:rPr>
          <w:sz w:val="16"/>
          <w:szCs w:val="16"/>
        </w:rPr>
        <w:t xml:space="preserve">40% </w:t>
      </w:r>
      <w:proofErr w:type="spellStart"/>
      <w:r>
        <w:rPr>
          <w:sz w:val="16"/>
          <w:szCs w:val="16"/>
        </w:rPr>
        <w:t>of</w:t>
      </w:r>
      <w:proofErr w:type="spellEnd"/>
      <w:r>
        <w:rPr>
          <w:sz w:val="16"/>
          <w:szCs w:val="16"/>
        </w:rPr>
        <w:t xml:space="preserve"> </w:t>
      </w:r>
      <w:proofErr w:type="spellStart"/>
      <w:r>
        <w:rPr>
          <w:sz w:val="16"/>
          <w:szCs w:val="16"/>
        </w:rPr>
        <w:t>domestic</w:t>
      </w:r>
      <w:proofErr w:type="spellEnd"/>
      <w:r>
        <w:rPr>
          <w:sz w:val="16"/>
          <w:szCs w:val="16"/>
        </w:rPr>
        <w:t xml:space="preserve"> </w:t>
      </w:r>
      <w:proofErr w:type="spellStart"/>
      <w:r>
        <w:rPr>
          <w:sz w:val="16"/>
          <w:szCs w:val="16"/>
        </w:rPr>
        <w:t>construction</w:t>
      </w:r>
      <w:proofErr w:type="spellEnd"/>
      <w:r>
        <w:rPr>
          <w:sz w:val="16"/>
          <w:szCs w:val="16"/>
        </w:rPr>
        <w:t xml:space="preserve"> </w:t>
      </w:r>
      <w:proofErr w:type="spellStart"/>
      <w:r>
        <w:rPr>
          <w:sz w:val="16"/>
          <w:szCs w:val="16"/>
        </w:rPr>
        <w:t>buinesses</w:t>
      </w:r>
      <w:proofErr w:type="spellEnd"/>
      <w:r>
        <w:rPr>
          <w:sz w:val="16"/>
          <w:szCs w:val="16"/>
        </w:rPr>
        <w:t xml:space="preserve"> </w:t>
      </w:r>
      <w:proofErr w:type="spellStart"/>
      <w:r>
        <w:rPr>
          <w:sz w:val="16"/>
          <w:szCs w:val="16"/>
        </w:rPr>
        <w:t>expected</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growth</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prices</w:t>
      </w:r>
      <w:proofErr w:type="spellEnd"/>
      <w:r>
        <w:rPr>
          <w:sz w:val="16"/>
          <w:szCs w:val="16"/>
        </w:rPr>
        <w:t xml:space="preserve"> </w:t>
      </w:r>
      <w:r w:rsidRPr="001150CE">
        <w:rPr>
          <w:sz w:val="16"/>
          <w:szCs w:val="16"/>
          <w:lang w:val="en-GB"/>
        </w:rPr>
        <w:t xml:space="preserve">of own production (within a period of the next three months). </w:t>
      </w:r>
      <w:r>
        <w:rPr>
          <w:sz w:val="16"/>
          <w:szCs w:val="16"/>
          <w:lang w:val="en-GB"/>
        </w:rPr>
        <w:t xml:space="preserve">Even despite a gradual descend, which is however slower compared to industry, it presented the largest share among all main branches. </w:t>
      </w:r>
    </w:p>
  </w:footnote>
  <w:footnote w:id="34">
    <w:p w14:paraId="6561C27C" w14:textId="1063CA66" w:rsidR="003B4260" w:rsidRPr="004C583F" w:rsidRDefault="003B4260" w:rsidP="004C583F">
      <w:pPr>
        <w:pStyle w:val="Textpoznpodarou"/>
        <w:jc w:val="both"/>
        <w:rPr>
          <w:sz w:val="16"/>
          <w:szCs w:val="16"/>
          <w:lang w:val="en-GB"/>
        </w:rPr>
      </w:pPr>
      <w:r w:rsidRPr="001150CE">
        <w:rPr>
          <w:rStyle w:val="Znakapoznpodarou"/>
          <w:sz w:val="16"/>
          <w:szCs w:val="16"/>
          <w:lang w:val="en-GB"/>
        </w:rPr>
        <w:footnoteRef/>
      </w:r>
      <w:r w:rsidRPr="001150CE">
        <w:rPr>
          <w:sz w:val="16"/>
          <w:szCs w:val="16"/>
          <w:lang w:val="en-GB"/>
        </w:rPr>
        <w:t xml:space="preserve"> </w:t>
      </w:r>
      <w:r>
        <w:rPr>
          <w:sz w:val="16"/>
          <w:szCs w:val="16"/>
          <w:lang w:val="en-GB"/>
        </w:rPr>
        <w:t xml:space="preserve">It was connected to the decrease of real household incomes as well as high interest rates on mortgages </w:t>
      </w:r>
      <w:r w:rsidRPr="004C583F">
        <w:rPr>
          <w:sz w:val="16"/>
          <w:szCs w:val="16"/>
          <w:lang w:val="en-GB"/>
        </w:rPr>
        <w:t>(</w:t>
      </w:r>
      <w:r>
        <w:rPr>
          <w:sz w:val="16"/>
          <w:szCs w:val="16"/>
          <w:lang w:val="en-GB"/>
        </w:rPr>
        <w:t>whose level did not change much during the last year</w:t>
      </w:r>
      <w:r w:rsidRPr="004C583F">
        <w:rPr>
          <w:sz w:val="16"/>
          <w:szCs w:val="16"/>
          <w:lang w:val="en-GB"/>
        </w:rPr>
        <w:t>). Situa</w:t>
      </w:r>
      <w:r>
        <w:rPr>
          <w:sz w:val="16"/>
          <w:szCs w:val="16"/>
          <w:lang w:val="en-GB"/>
        </w:rPr>
        <w:t xml:space="preserve">tion could be improved by reduction of regulation in the nearest time. As of January </w:t>
      </w:r>
      <w:r w:rsidRPr="004C583F">
        <w:rPr>
          <w:sz w:val="16"/>
          <w:szCs w:val="16"/>
          <w:lang w:val="en-GB"/>
        </w:rPr>
        <w:t>2024</w:t>
      </w:r>
      <w:r>
        <w:rPr>
          <w:sz w:val="16"/>
          <w:szCs w:val="16"/>
          <w:lang w:val="en-GB"/>
        </w:rPr>
        <w:t xml:space="preserve">, the CNB proceeded to the deactivation of some limits for the provision of mortgages </w:t>
      </w:r>
      <w:r w:rsidRPr="004C583F">
        <w:rPr>
          <w:sz w:val="16"/>
          <w:szCs w:val="16"/>
          <w:lang w:val="en-GB"/>
        </w:rPr>
        <w:t>(</w:t>
      </w:r>
      <w:r>
        <w:rPr>
          <w:sz w:val="16"/>
          <w:szCs w:val="16"/>
          <w:lang w:val="en-GB"/>
        </w:rPr>
        <w:t xml:space="preserve">relation of the total </w:t>
      </w:r>
      <w:r w:rsidRPr="00170F1A">
        <w:rPr>
          <w:sz w:val="16"/>
          <w:szCs w:val="16"/>
          <w:lang w:val="en-GB"/>
        </w:rPr>
        <w:t>size of debt, i.e. the size of the</w:t>
      </w:r>
      <w:r>
        <w:rPr>
          <w:sz w:val="16"/>
          <w:szCs w:val="16"/>
          <w:lang w:val="en-GB"/>
        </w:rPr>
        <w:t xml:space="preserve"> debt service to the annual net household income</w:t>
      </w:r>
      <w:r w:rsidRPr="004C583F">
        <w:rPr>
          <w:sz w:val="16"/>
          <w:szCs w:val="16"/>
          <w:lang w:val="en-GB"/>
        </w:rPr>
        <w:t>).</w:t>
      </w:r>
    </w:p>
  </w:footnote>
  <w:footnote w:id="35">
    <w:p w14:paraId="726F0B33" w14:textId="781BF514" w:rsidR="003B4260" w:rsidRPr="004C583F" w:rsidRDefault="003B4260" w:rsidP="004C583F">
      <w:pPr>
        <w:pStyle w:val="Textpoznpodarou"/>
        <w:jc w:val="both"/>
        <w:rPr>
          <w:sz w:val="16"/>
          <w:szCs w:val="16"/>
          <w:lang w:val="en-GB"/>
        </w:rPr>
      </w:pPr>
      <w:r w:rsidRPr="004C583F">
        <w:rPr>
          <w:rStyle w:val="Znakapoznpodarou"/>
          <w:sz w:val="16"/>
          <w:szCs w:val="16"/>
          <w:lang w:val="en-GB"/>
        </w:rPr>
        <w:footnoteRef/>
      </w:r>
      <w:r w:rsidRPr="004C583F">
        <w:rPr>
          <w:sz w:val="16"/>
          <w:szCs w:val="16"/>
          <w:lang w:val="en-GB"/>
        </w:rPr>
        <w:t xml:space="preserve"> </w:t>
      </w:r>
      <w:r>
        <w:rPr>
          <w:sz w:val="16"/>
          <w:szCs w:val="16"/>
          <w:lang w:val="en-GB"/>
        </w:rPr>
        <w:t xml:space="preserve">E.g. capital outlays of the CR state budget increased by 14% </w:t>
      </w:r>
      <w:r w:rsidRPr="00170F1A">
        <w:rPr>
          <w:sz w:val="16"/>
          <w:szCs w:val="16"/>
          <w:lang w:val="en-GB"/>
        </w:rPr>
        <w:t xml:space="preserve">year-on-year, or 25.4 </w:t>
      </w:r>
      <w:proofErr w:type="spellStart"/>
      <w:r w:rsidRPr="00170F1A">
        <w:rPr>
          <w:sz w:val="16"/>
          <w:szCs w:val="16"/>
          <w:lang w:val="en-GB"/>
        </w:rPr>
        <w:t>bn</w:t>
      </w:r>
      <w:proofErr w:type="spellEnd"/>
      <w:r w:rsidRPr="00170F1A">
        <w:rPr>
          <w:sz w:val="16"/>
          <w:szCs w:val="16"/>
          <w:lang w:val="en-GB"/>
        </w:rPr>
        <w:t xml:space="preserve"> CZK from</w:t>
      </w:r>
      <w:r>
        <w:rPr>
          <w:sz w:val="16"/>
          <w:szCs w:val="16"/>
          <w:lang w:val="en-GB"/>
        </w:rPr>
        <w:t xml:space="preserve"> January till December last year. </w:t>
      </w:r>
    </w:p>
  </w:footnote>
  <w:footnote w:id="36">
    <w:p w14:paraId="290DA2E8" w14:textId="363AF4D7" w:rsidR="003B4260" w:rsidRPr="004C583F" w:rsidRDefault="003B4260" w:rsidP="00C80E36">
      <w:pPr>
        <w:pStyle w:val="Textpoznpodarou"/>
        <w:jc w:val="both"/>
        <w:rPr>
          <w:sz w:val="16"/>
          <w:szCs w:val="16"/>
          <w:lang w:val="en-GB"/>
        </w:rPr>
      </w:pPr>
      <w:r w:rsidRPr="004C583F">
        <w:rPr>
          <w:rStyle w:val="Znakapoznpodarou"/>
          <w:rFonts w:cs="Arial"/>
          <w:color w:val="0D0D0D" w:themeColor="text1" w:themeTint="F2"/>
          <w:sz w:val="16"/>
          <w:szCs w:val="16"/>
          <w:lang w:val="en-GB"/>
        </w:rPr>
        <w:footnoteRef/>
      </w:r>
      <w:r w:rsidRPr="004C583F">
        <w:rPr>
          <w:rFonts w:cs="Arial"/>
          <w:color w:val="0D0D0D" w:themeColor="text1" w:themeTint="F2"/>
          <w:sz w:val="16"/>
          <w:szCs w:val="16"/>
          <w:lang w:val="en-GB"/>
        </w:rPr>
        <w:t xml:space="preserve"> </w:t>
      </w:r>
      <w:r>
        <w:rPr>
          <w:rFonts w:cs="Arial"/>
          <w:color w:val="0D0D0D" w:themeColor="text1" w:themeTint="F2"/>
          <w:sz w:val="16"/>
          <w:szCs w:val="16"/>
          <w:lang w:val="en-GB"/>
        </w:rPr>
        <w:t xml:space="preserve">Data regarding the construction output are in constant prices, year-on-year rates of growth are adjusted for calendar effects, quarter-on-quarter rates also for seasonality effects. </w:t>
      </w:r>
    </w:p>
  </w:footnote>
  <w:footnote w:id="37">
    <w:p w14:paraId="0B2F7008" w14:textId="5236270D" w:rsidR="003B4260" w:rsidRPr="00797D3C" w:rsidRDefault="003B4260" w:rsidP="000B75A7">
      <w:pPr>
        <w:spacing w:after="0" w:line="240" w:lineRule="auto"/>
        <w:rPr>
          <w:spacing w:val="-2"/>
          <w:lang w:val="en-GB"/>
        </w:rPr>
      </w:pPr>
      <w:r w:rsidRPr="00E62461">
        <w:rPr>
          <w:rStyle w:val="Znakapoznpodarou"/>
          <w:color w:val="0D0D0D" w:themeColor="text1" w:themeTint="F2"/>
          <w:spacing w:val="-2"/>
          <w:sz w:val="16"/>
          <w:szCs w:val="16"/>
        </w:rPr>
        <w:footnoteRef/>
      </w:r>
      <w:r w:rsidRPr="00E62461">
        <w:rPr>
          <w:color w:val="0D0D0D" w:themeColor="text1" w:themeTint="F2"/>
          <w:spacing w:val="-2"/>
          <w:sz w:val="16"/>
          <w:szCs w:val="16"/>
        </w:rPr>
        <w:t xml:space="preserve"> </w:t>
      </w:r>
      <w:r>
        <w:rPr>
          <w:color w:val="0D0D0D" w:themeColor="text1" w:themeTint="F2"/>
          <w:spacing w:val="-6"/>
          <w:sz w:val="16"/>
          <w:szCs w:val="16"/>
          <w:lang w:val="en-GB"/>
        </w:rPr>
        <w:t xml:space="preserve">Without trade, financial and insurance activities, science, research and public services. All data for services are in constant prices, year-on-year data are adjusted for calendar effects, quarter-on-quarter data are adjusted for seasonal effects (including the effect of the number of working days). </w:t>
      </w:r>
    </w:p>
  </w:footnote>
  <w:footnote w:id="38">
    <w:p w14:paraId="35E99CE7" w14:textId="62090B51" w:rsidR="003B4260" w:rsidRPr="00797D3C" w:rsidRDefault="003B4260" w:rsidP="00797D3C">
      <w:pPr>
        <w:pStyle w:val="Textpoznpodarou"/>
        <w:jc w:val="both"/>
        <w:rPr>
          <w:spacing w:val="-4"/>
          <w:sz w:val="16"/>
          <w:szCs w:val="16"/>
          <w:lang w:val="en-GB"/>
        </w:rPr>
      </w:pPr>
      <w:r w:rsidRPr="00797D3C">
        <w:rPr>
          <w:rStyle w:val="Znakapoznpodarou"/>
          <w:spacing w:val="-4"/>
          <w:sz w:val="16"/>
          <w:szCs w:val="16"/>
          <w:lang w:val="en-GB"/>
        </w:rPr>
        <w:footnoteRef/>
      </w:r>
      <w:r w:rsidRPr="00797D3C">
        <w:rPr>
          <w:spacing w:val="-4"/>
          <w:sz w:val="16"/>
          <w:szCs w:val="16"/>
          <w:lang w:val="en-GB"/>
        </w:rPr>
        <w:t xml:space="preserve"> </w:t>
      </w:r>
      <w:r>
        <w:rPr>
          <w:spacing w:val="-4"/>
          <w:sz w:val="16"/>
          <w:szCs w:val="16"/>
          <w:lang w:val="en-GB"/>
        </w:rPr>
        <w:t xml:space="preserve">Among the main branches, the sales lagged behind their pre-crisis maximum the most in accommodation, food service and restaurants </w:t>
      </w:r>
      <w:r w:rsidRPr="00797D3C">
        <w:rPr>
          <w:spacing w:val="-6"/>
          <w:sz w:val="16"/>
          <w:szCs w:val="16"/>
          <w:lang w:val="en-GB"/>
        </w:rPr>
        <w:t>(</w:t>
      </w:r>
      <w:r w:rsidRPr="00797D3C">
        <w:rPr>
          <w:color w:val="0D0D0D" w:themeColor="text1" w:themeTint="F2"/>
          <w:spacing w:val="-6"/>
          <w:sz w:val="16"/>
          <w:szCs w:val="16"/>
          <w:lang w:val="en-GB"/>
        </w:rPr>
        <w:t>–</w:t>
      </w:r>
      <w:r w:rsidRPr="00797D3C">
        <w:rPr>
          <w:spacing w:val="-6"/>
          <w:sz w:val="16"/>
          <w:szCs w:val="16"/>
          <w:lang w:val="en-GB"/>
        </w:rPr>
        <w:t>9</w:t>
      </w:r>
      <w:r>
        <w:rPr>
          <w:spacing w:val="-6"/>
          <w:sz w:val="16"/>
          <w:szCs w:val="16"/>
          <w:lang w:val="en-GB"/>
        </w:rPr>
        <w:t>.</w:t>
      </w:r>
      <w:r w:rsidRPr="00797D3C">
        <w:rPr>
          <w:spacing w:val="-6"/>
          <w:sz w:val="16"/>
          <w:szCs w:val="16"/>
          <w:lang w:val="en-GB"/>
        </w:rPr>
        <w:t>4%)</w:t>
      </w:r>
      <w:r>
        <w:rPr>
          <w:spacing w:val="-6"/>
          <w:sz w:val="16"/>
          <w:szCs w:val="16"/>
          <w:lang w:val="en-GB"/>
        </w:rPr>
        <w:t xml:space="preserve"> </w:t>
      </w:r>
      <w:r w:rsidRPr="00797D3C">
        <w:rPr>
          <w:spacing w:val="-4"/>
          <w:sz w:val="16"/>
          <w:szCs w:val="16"/>
          <w:lang w:val="en-GB"/>
        </w:rPr>
        <w:t>a</w:t>
      </w:r>
      <w:r>
        <w:rPr>
          <w:spacing w:val="-4"/>
          <w:sz w:val="16"/>
          <w:szCs w:val="16"/>
          <w:lang w:val="en-GB"/>
        </w:rPr>
        <w:t>nd in a</w:t>
      </w:r>
      <w:r w:rsidRPr="00B31D2C">
        <w:rPr>
          <w:spacing w:val="-4"/>
          <w:sz w:val="16"/>
          <w:szCs w:val="16"/>
          <w:lang w:val="en-GB"/>
        </w:rPr>
        <w:t>dministrative and support service activities</w:t>
      </w:r>
      <w:r w:rsidRPr="00797D3C">
        <w:rPr>
          <w:color w:val="0D0D0D" w:themeColor="text1" w:themeTint="F2"/>
          <w:spacing w:val="-2"/>
          <w:sz w:val="16"/>
          <w:szCs w:val="16"/>
          <w:lang w:val="en-GB"/>
        </w:rPr>
        <w:t> </w:t>
      </w:r>
      <w:r w:rsidRPr="00797D3C">
        <w:rPr>
          <w:rFonts w:cs="Arial"/>
          <w:color w:val="0D0D0D" w:themeColor="text1" w:themeTint="F2"/>
          <w:spacing w:val="-4"/>
          <w:sz w:val="16"/>
          <w:szCs w:val="16"/>
          <w:lang w:val="en-GB"/>
        </w:rPr>
        <w:t>(</w:t>
      </w:r>
      <w:r w:rsidRPr="00797D3C">
        <w:rPr>
          <w:color w:val="0D0D0D" w:themeColor="text1" w:themeTint="F2"/>
          <w:spacing w:val="-4"/>
          <w:sz w:val="16"/>
          <w:szCs w:val="16"/>
          <w:lang w:val="en-GB"/>
        </w:rPr>
        <w:t>–</w:t>
      </w:r>
      <w:r w:rsidRPr="00797D3C">
        <w:rPr>
          <w:rFonts w:cs="Arial"/>
          <w:color w:val="0D0D0D" w:themeColor="text1" w:themeTint="F2"/>
          <w:spacing w:val="-4"/>
          <w:sz w:val="16"/>
          <w:szCs w:val="16"/>
          <w:lang w:val="en-GB"/>
        </w:rPr>
        <w:t>12</w:t>
      </w:r>
      <w:r>
        <w:rPr>
          <w:rFonts w:cs="Arial"/>
          <w:color w:val="0D0D0D" w:themeColor="text1" w:themeTint="F2"/>
          <w:spacing w:val="-4"/>
          <w:sz w:val="16"/>
          <w:szCs w:val="16"/>
          <w:lang w:val="en-GB"/>
        </w:rPr>
        <w:t>.</w:t>
      </w:r>
      <w:r w:rsidRPr="00797D3C">
        <w:rPr>
          <w:rFonts w:cs="Arial"/>
          <w:color w:val="0D0D0D" w:themeColor="text1" w:themeTint="F2"/>
          <w:spacing w:val="-4"/>
          <w:sz w:val="16"/>
          <w:szCs w:val="16"/>
          <w:lang w:val="en-GB"/>
        </w:rPr>
        <w:t>3%)</w:t>
      </w:r>
      <w:r>
        <w:rPr>
          <w:rFonts w:cs="Arial"/>
          <w:color w:val="0D0D0D" w:themeColor="text1" w:themeTint="F2"/>
          <w:spacing w:val="-4"/>
          <w:sz w:val="16"/>
          <w:szCs w:val="16"/>
          <w:lang w:val="en-GB"/>
        </w:rPr>
        <w:t xml:space="preserve"> in Q4 2023</w:t>
      </w:r>
      <w:r w:rsidRPr="00797D3C">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 xml:space="preserve">In contrast mainly information and communication </w:t>
      </w:r>
      <w:r w:rsidRPr="00797D3C">
        <w:rPr>
          <w:rFonts w:cs="Arial"/>
          <w:color w:val="0D0D0D" w:themeColor="text1" w:themeTint="F2"/>
          <w:spacing w:val="-4"/>
          <w:sz w:val="16"/>
          <w:szCs w:val="16"/>
          <w:lang w:val="en-GB"/>
        </w:rPr>
        <w:t>(+5</w:t>
      </w:r>
      <w:r>
        <w:rPr>
          <w:rFonts w:cs="Arial"/>
          <w:color w:val="0D0D0D" w:themeColor="text1" w:themeTint="F2"/>
          <w:spacing w:val="-4"/>
          <w:sz w:val="16"/>
          <w:szCs w:val="16"/>
          <w:lang w:val="en-GB"/>
        </w:rPr>
        <w:t>.</w:t>
      </w:r>
      <w:r w:rsidRPr="00797D3C">
        <w:rPr>
          <w:rFonts w:cs="Arial"/>
          <w:color w:val="0D0D0D" w:themeColor="text1" w:themeTint="F2"/>
          <w:spacing w:val="-4"/>
          <w:sz w:val="16"/>
          <w:szCs w:val="16"/>
          <w:lang w:val="en-GB"/>
        </w:rPr>
        <w:t>5%)</w:t>
      </w:r>
      <w:r>
        <w:rPr>
          <w:rFonts w:cs="Arial"/>
          <w:color w:val="0D0D0D" w:themeColor="text1" w:themeTint="F2"/>
          <w:spacing w:val="-4"/>
          <w:sz w:val="16"/>
          <w:szCs w:val="16"/>
          <w:lang w:val="en-GB"/>
        </w:rPr>
        <w:t xml:space="preserve"> and professional, scientific and technical activities </w:t>
      </w:r>
      <w:r w:rsidRPr="00797D3C">
        <w:rPr>
          <w:rFonts w:cs="Arial"/>
          <w:color w:val="0D0D0D" w:themeColor="text1" w:themeTint="F2"/>
          <w:spacing w:val="-4"/>
          <w:sz w:val="16"/>
          <w:szCs w:val="16"/>
          <w:lang w:val="en-GB"/>
        </w:rPr>
        <w:t>(+1</w:t>
      </w:r>
      <w:r>
        <w:rPr>
          <w:rFonts w:cs="Arial"/>
          <w:color w:val="0D0D0D" w:themeColor="text1" w:themeTint="F2"/>
          <w:spacing w:val="-4"/>
          <w:sz w:val="16"/>
          <w:szCs w:val="16"/>
          <w:lang w:val="en-GB"/>
        </w:rPr>
        <w:t>.</w:t>
      </w:r>
      <w:r w:rsidRPr="00797D3C">
        <w:rPr>
          <w:rFonts w:cs="Arial"/>
          <w:color w:val="0D0D0D" w:themeColor="text1" w:themeTint="F2"/>
          <w:spacing w:val="-4"/>
          <w:sz w:val="16"/>
          <w:szCs w:val="16"/>
          <w:lang w:val="en-GB"/>
        </w:rPr>
        <w:t>8%)</w:t>
      </w:r>
      <w:r>
        <w:rPr>
          <w:rFonts w:cs="Arial"/>
          <w:color w:val="0D0D0D" w:themeColor="text1" w:themeTint="F2"/>
          <w:spacing w:val="-4"/>
          <w:sz w:val="16"/>
          <w:szCs w:val="16"/>
          <w:lang w:val="en-GB"/>
        </w:rPr>
        <w:t xml:space="preserve"> exceeded this level</w:t>
      </w:r>
      <w:r w:rsidRPr="00797D3C">
        <w:rPr>
          <w:rFonts w:cs="Arial"/>
          <w:color w:val="0D0D0D" w:themeColor="text1" w:themeTint="F2"/>
          <w:spacing w:val="-4"/>
          <w:sz w:val="16"/>
          <w:szCs w:val="16"/>
          <w:lang w:val="en-GB"/>
        </w:rPr>
        <w:t>.</w:t>
      </w:r>
    </w:p>
  </w:footnote>
  <w:footnote w:id="39">
    <w:p w14:paraId="5E351405" w14:textId="5D76E852" w:rsidR="003B4260" w:rsidRPr="00797D3C" w:rsidRDefault="003B4260" w:rsidP="00797D3C">
      <w:pPr>
        <w:pStyle w:val="Textpoznpodarou"/>
        <w:jc w:val="both"/>
        <w:rPr>
          <w:sz w:val="16"/>
          <w:szCs w:val="16"/>
          <w:lang w:val="en-GB"/>
        </w:rPr>
      </w:pPr>
      <w:r w:rsidRPr="00797D3C">
        <w:rPr>
          <w:rStyle w:val="Znakapoznpodarou"/>
          <w:sz w:val="16"/>
          <w:szCs w:val="16"/>
          <w:lang w:val="en-GB"/>
        </w:rPr>
        <w:footnoteRef/>
      </w:r>
      <w:r w:rsidRPr="00797D3C">
        <w:rPr>
          <w:sz w:val="16"/>
          <w:szCs w:val="16"/>
          <w:lang w:val="en-GB"/>
        </w:rPr>
        <w:t xml:space="preserve"> </w:t>
      </w:r>
      <w:r>
        <w:rPr>
          <w:sz w:val="16"/>
          <w:szCs w:val="16"/>
          <w:lang w:val="en-GB"/>
        </w:rPr>
        <w:t>Sales were still considerably higher here (by 8.3%) compared to year 2</w:t>
      </w:r>
      <w:r w:rsidRPr="00797D3C">
        <w:rPr>
          <w:sz w:val="16"/>
          <w:szCs w:val="16"/>
          <w:lang w:val="en-GB"/>
        </w:rPr>
        <w:t>019</w:t>
      </w:r>
      <w:r>
        <w:rPr>
          <w:sz w:val="16"/>
          <w:szCs w:val="16"/>
          <w:lang w:val="en-GB"/>
        </w:rPr>
        <w:t xml:space="preserve">. </w:t>
      </w:r>
    </w:p>
  </w:footnote>
  <w:footnote w:id="40">
    <w:p w14:paraId="354DF64F" w14:textId="497E4992" w:rsidR="003B4260" w:rsidRPr="00797D3C" w:rsidRDefault="003B4260" w:rsidP="00797D3C">
      <w:pPr>
        <w:pStyle w:val="Textpoznpodarou"/>
        <w:jc w:val="both"/>
        <w:rPr>
          <w:sz w:val="16"/>
          <w:szCs w:val="16"/>
          <w:lang w:val="en-GB"/>
        </w:rPr>
      </w:pPr>
      <w:r w:rsidRPr="00797D3C">
        <w:rPr>
          <w:rStyle w:val="Znakapoznpodarou"/>
          <w:sz w:val="16"/>
          <w:szCs w:val="16"/>
          <w:lang w:val="en-GB"/>
        </w:rPr>
        <w:footnoteRef/>
      </w:r>
      <w:r w:rsidRPr="00797D3C">
        <w:rPr>
          <w:sz w:val="16"/>
          <w:szCs w:val="16"/>
          <w:lang w:val="en-GB"/>
        </w:rPr>
        <w:t xml:space="preserve"> </w:t>
      </w:r>
      <w:r>
        <w:rPr>
          <w:sz w:val="16"/>
          <w:szCs w:val="16"/>
          <w:lang w:val="en-GB"/>
        </w:rPr>
        <w:t xml:space="preserve">The turnover of the international trade of goods in constant prices </w:t>
      </w:r>
      <w:r w:rsidRPr="00797D3C">
        <w:rPr>
          <w:sz w:val="16"/>
          <w:szCs w:val="16"/>
          <w:lang w:val="en-GB"/>
        </w:rPr>
        <w:t>(</w:t>
      </w:r>
      <w:r>
        <w:rPr>
          <w:sz w:val="16"/>
          <w:szCs w:val="16"/>
          <w:lang w:val="en-GB"/>
        </w:rPr>
        <w:t>based on the national accounts methodology</w:t>
      </w:r>
      <w:r w:rsidRPr="00797D3C">
        <w:rPr>
          <w:sz w:val="16"/>
          <w:szCs w:val="16"/>
          <w:lang w:val="en-GB"/>
        </w:rPr>
        <w:t xml:space="preserve">) </w:t>
      </w:r>
      <w:r>
        <w:rPr>
          <w:sz w:val="16"/>
          <w:szCs w:val="16"/>
          <w:lang w:val="en-GB"/>
        </w:rPr>
        <w:t>decreased by 2.3% year-on-year last year in Q</w:t>
      </w:r>
      <w:r w:rsidRPr="00797D3C">
        <w:rPr>
          <w:sz w:val="16"/>
          <w:szCs w:val="16"/>
          <w:lang w:val="en-GB"/>
        </w:rPr>
        <w:t>3</w:t>
      </w:r>
      <w:r>
        <w:rPr>
          <w:sz w:val="16"/>
          <w:szCs w:val="16"/>
          <w:lang w:val="en-GB"/>
        </w:rPr>
        <w:t xml:space="preserve">, it deepened to 2.7% in the subsequent quarter. </w:t>
      </w:r>
      <w:r w:rsidRPr="00797D3C">
        <w:rPr>
          <w:sz w:val="16"/>
          <w:szCs w:val="16"/>
          <w:lang w:val="en-GB"/>
        </w:rPr>
        <w:t xml:space="preserve"> </w:t>
      </w:r>
    </w:p>
  </w:footnote>
  <w:footnote w:id="41">
    <w:p w14:paraId="0AEEFD29" w14:textId="2BCBCCF0" w:rsidR="003B4260" w:rsidRPr="00E73BA7" w:rsidRDefault="003B4260" w:rsidP="00E73BA7">
      <w:pPr>
        <w:pStyle w:val="Textpoznpodarou"/>
        <w:jc w:val="both"/>
        <w:rPr>
          <w:sz w:val="16"/>
          <w:szCs w:val="16"/>
          <w:lang w:val="en-GB"/>
        </w:rPr>
      </w:pPr>
      <w:r w:rsidRPr="00E73BA7">
        <w:rPr>
          <w:rStyle w:val="Znakapoznpodarou"/>
          <w:sz w:val="16"/>
          <w:szCs w:val="16"/>
          <w:lang w:val="en-GB"/>
        </w:rPr>
        <w:footnoteRef/>
      </w:r>
      <w:r w:rsidRPr="00E73BA7">
        <w:rPr>
          <w:sz w:val="16"/>
          <w:szCs w:val="16"/>
          <w:lang w:val="en-GB"/>
        </w:rPr>
        <w:t xml:space="preserve"> </w:t>
      </w:r>
      <w:r>
        <w:rPr>
          <w:sz w:val="16"/>
          <w:szCs w:val="16"/>
          <w:lang w:val="en-GB"/>
        </w:rPr>
        <w:t xml:space="preserve">Based on the latest data, the transport works (in </w:t>
      </w:r>
      <w:proofErr w:type="spellStart"/>
      <w:r>
        <w:rPr>
          <w:sz w:val="16"/>
          <w:szCs w:val="16"/>
          <w:lang w:val="en-GB"/>
        </w:rPr>
        <w:t>tkm</w:t>
      </w:r>
      <w:proofErr w:type="spellEnd"/>
      <w:r>
        <w:rPr>
          <w:sz w:val="16"/>
          <w:szCs w:val="16"/>
          <w:lang w:val="en-GB"/>
        </w:rPr>
        <w:t xml:space="preserve">) decreased in the freight rail transport by 5.1%, road transport by 1.5% year-on-year in year </w:t>
      </w:r>
      <w:r w:rsidRPr="00E73BA7">
        <w:rPr>
          <w:sz w:val="16"/>
          <w:szCs w:val="16"/>
          <w:lang w:val="en-GB"/>
        </w:rPr>
        <w:t>2023</w:t>
      </w:r>
      <w:r>
        <w:rPr>
          <w:sz w:val="16"/>
          <w:szCs w:val="16"/>
          <w:lang w:val="en-GB"/>
        </w:rPr>
        <w:t xml:space="preserve">. The decrease of demand for domestic transportation proved to be key in both cases. </w:t>
      </w:r>
    </w:p>
  </w:footnote>
  <w:footnote w:id="42">
    <w:p w14:paraId="0D72B3D0" w14:textId="342DFAB4" w:rsidR="003B4260" w:rsidRPr="00E73BA7" w:rsidRDefault="003B4260" w:rsidP="00E73BA7">
      <w:pPr>
        <w:pStyle w:val="Textpoznpodarou"/>
        <w:jc w:val="both"/>
        <w:rPr>
          <w:sz w:val="16"/>
          <w:szCs w:val="16"/>
          <w:lang w:val="en-GB"/>
        </w:rPr>
      </w:pPr>
      <w:r w:rsidRPr="00E73BA7">
        <w:rPr>
          <w:rStyle w:val="Znakapoznpodarou"/>
          <w:sz w:val="16"/>
          <w:szCs w:val="16"/>
          <w:lang w:val="en-GB"/>
        </w:rPr>
        <w:footnoteRef/>
      </w:r>
      <w:r w:rsidRPr="00E73BA7">
        <w:rPr>
          <w:sz w:val="16"/>
          <w:szCs w:val="16"/>
          <w:lang w:val="en-GB"/>
        </w:rPr>
        <w:t xml:space="preserve"> </w:t>
      </w:r>
      <w:r>
        <w:rPr>
          <w:sz w:val="16"/>
          <w:szCs w:val="16"/>
          <w:lang w:val="en-GB"/>
        </w:rPr>
        <w:t xml:space="preserve">The decrease of sales eventuated here even despite high growth of number of working foreigners in the CR. Refugees from Ukraine significantly participated in this number in the last two years. With respect to the Temporary protected status, which was granted to these persons, their employment in the CR is administratively easier </w:t>
      </w:r>
      <w:r w:rsidRPr="00E73BA7">
        <w:rPr>
          <w:sz w:val="16"/>
          <w:szCs w:val="16"/>
          <w:lang w:val="en-GB"/>
        </w:rPr>
        <w:t>(</w:t>
      </w:r>
      <w:r>
        <w:rPr>
          <w:sz w:val="16"/>
          <w:szCs w:val="16"/>
          <w:lang w:val="en-GB"/>
        </w:rPr>
        <w:t>compared to other groups of migrants from the so-called third countries</w:t>
      </w:r>
      <w:r w:rsidRPr="00E73BA7">
        <w:rPr>
          <w:sz w:val="16"/>
          <w:szCs w:val="16"/>
          <w:lang w:val="en-GB"/>
        </w:rPr>
        <w:t>) a</w:t>
      </w:r>
      <w:r>
        <w:rPr>
          <w:sz w:val="16"/>
          <w:szCs w:val="16"/>
          <w:lang w:val="en-GB"/>
        </w:rPr>
        <w:t xml:space="preserve">nd thus they can seek employment more easily “directly” </w:t>
      </w:r>
      <w:r w:rsidRPr="00E73BA7">
        <w:rPr>
          <w:sz w:val="16"/>
          <w:szCs w:val="16"/>
          <w:lang w:val="en-GB"/>
        </w:rPr>
        <w:t>(</w:t>
      </w:r>
      <w:r>
        <w:rPr>
          <w:sz w:val="16"/>
          <w:szCs w:val="16"/>
          <w:lang w:val="en-GB"/>
        </w:rPr>
        <w:t>without intermediary</w:t>
      </w:r>
      <w:r w:rsidRPr="00E73BA7">
        <w:rPr>
          <w:sz w:val="16"/>
          <w:szCs w:val="16"/>
          <w:lang w:val="en-GB"/>
        </w:rPr>
        <w:t xml:space="preserve">). </w:t>
      </w:r>
      <w:r>
        <w:rPr>
          <w:sz w:val="16"/>
          <w:szCs w:val="16"/>
          <w:lang w:val="en-GB"/>
        </w:rPr>
        <w:t xml:space="preserve">Apart from the above stated, the reduced demand for the agency workers on the part of key manufacturing branches undergoing recession (e.g. industry) can also share in the decrease of sales. </w:t>
      </w:r>
    </w:p>
  </w:footnote>
  <w:footnote w:id="43">
    <w:p w14:paraId="0468E298" w14:textId="414933DE" w:rsidR="003B4260" w:rsidRPr="00FE1DA9" w:rsidRDefault="003B4260" w:rsidP="00F94437">
      <w:pPr>
        <w:pStyle w:val="paragraph"/>
        <w:spacing w:before="0" w:beforeAutospacing="0" w:after="0" w:afterAutospacing="0"/>
        <w:jc w:val="both"/>
        <w:textAlignment w:val="baseline"/>
        <w:rPr>
          <w:rFonts w:ascii="Arial" w:eastAsia="Calibri" w:hAnsi="Arial"/>
          <w:sz w:val="16"/>
          <w:szCs w:val="16"/>
          <w:lang w:val="en-GB"/>
        </w:rPr>
      </w:pPr>
      <w:r w:rsidRPr="00E73BA7">
        <w:rPr>
          <w:rStyle w:val="Znakapoznpodarou"/>
          <w:sz w:val="16"/>
          <w:szCs w:val="16"/>
          <w:lang w:val="en-GB"/>
        </w:rPr>
        <w:footnoteRef/>
      </w:r>
      <w:r w:rsidRPr="00E73BA7">
        <w:rPr>
          <w:sz w:val="16"/>
          <w:szCs w:val="16"/>
          <w:lang w:val="en-GB"/>
        </w:rPr>
        <w:t xml:space="preserve"> </w:t>
      </w:r>
      <w:r w:rsidRPr="00FE1DA9">
        <w:rPr>
          <w:rFonts w:ascii="Arial" w:eastAsia="Calibri" w:hAnsi="Arial"/>
          <w:sz w:val="16"/>
          <w:szCs w:val="16"/>
          <w:lang w:val="en-GB"/>
        </w:rPr>
        <w:t xml:space="preserve">In that in Q4 2023, the number of overnight stays was by 3.4% lower compared to the level from year 2019 (even by 11.3% lower for foreign tourists, it was on the contrary by 6.9% higher for households). Among regions only five surpassed in the number of overnight stays this level (the most in </w:t>
      </w:r>
      <w:proofErr w:type="spellStart"/>
      <w:r w:rsidRPr="009F1F17">
        <w:rPr>
          <w:rFonts w:ascii="Arial" w:eastAsia="Calibri" w:hAnsi="Arial"/>
          <w:i/>
          <w:iCs/>
          <w:sz w:val="16"/>
          <w:szCs w:val="16"/>
          <w:lang w:val="en-GB"/>
        </w:rPr>
        <w:t>Vysočina</w:t>
      </w:r>
      <w:proofErr w:type="spellEnd"/>
      <w:r w:rsidRPr="00FE1DA9">
        <w:rPr>
          <w:rFonts w:ascii="Arial" w:eastAsia="Calibri" w:hAnsi="Arial"/>
          <w:sz w:val="16"/>
          <w:szCs w:val="16"/>
          <w:lang w:val="en-GB"/>
        </w:rPr>
        <w:t xml:space="preserve"> +9%), other stayed behind (the </w:t>
      </w:r>
      <w:proofErr w:type="spellStart"/>
      <w:r w:rsidRPr="009F1F17">
        <w:rPr>
          <w:rFonts w:ascii="Arial" w:eastAsia="Calibri" w:hAnsi="Arial"/>
          <w:i/>
          <w:iCs/>
          <w:sz w:val="16"/>
          <w:szCs w:val="16"/>
          <w:lang w:val="en-GB"/>
        </w:rPr>
        <w:t>Ústecký</w:t>
      </w:r>
      <w:proofErr w:type="spellEnd"/>
      <w:r>
        <w:rPr>
          <w:rFonts w:ascii="Arial" w:eastAsia="Calibri" w:hAnsi="Arial"/>
          <w:sz w:val="16"/>
          <w:szCs w:val="16"/>
          <w:lang w:val="en-GB"/>
        </w:rPr>
        <w:t xml:space="preserve"> </w:t>
      </w:r>
      <w:r w:rsidRPr="00FE1DA9">
        <w:rPr>
          <w:rFonts w:ascii="Arial" w:eastAsia="Calibri" w:hAnsi="Arial"/>
          <w:sz w:val="16"/>
          <w:szCs w:val="16"/>
          <w:lang w:val="en-GB"/>
        </w:rPr>
        <w:t xml:space="preserve">by 12%, </w:t>
      </w:r>
      <w:proofErr w:type="spellStart"/>
      <w:r w:rsidRPr="009F1F17">
        <w:rPr>
          <w:rFonts w:ascii="Arial" w:eastAsia="Calibri" w:hAnsi="Arial"/>
          <w:i/>
          <w:iCs/>
          <w:sz w:val="16"/>
          <w:szCs w:val="16"/>
          <w:lang w:val="en-GB"/>
        </w:rPr>
        <w:t>Karlovarský</w:t>
      </w:r>
      <w:proofErr w:type="spellEnd"/>
      <w:r w:rsidRPr="00FE1DA9">
        <w:rPr>
          <w:rFonts w:ascii="Arial" w:eastAsia="Calibri" w:hAnsi="Arial"/>
          <w:sz w:val="16"/>
          <w:szCs w:val="16"/>
          <w:lang w:val="en-GB"/>
        </w:rPr>
        <w:t xml:space="preserve"> and Prague identically by 5%). The number of overnight stays fell behind the most in the CR related to guests from countries involved in war conflicts (Russia by 95%, </w:t>
      </w:r>
      <w:proofErr w:type="spellStart"/>
      <w:r w:rsidRPr="00FE1DA9">
        <w:rPr>
          <w:rFonts w:ascii="Arial" w:eastAsia="Calibri" w:hAnsi="Arial"/>
          <w:sz w:val="16"/>
          <w:szCs w:val="16"/>
          <w:lang w:val="en-GB"/>
        </w:rPr>
        <w:t>Izrael</w:t>
      </w:r>
      <w:proofErr w:type="spellEnd"/>
      <w:r w:rsidRPr="00FE1DA9">
        <w:rPr>
          <w:rFonts w:ascii="Arial" w:eastAsia="Calibri" w:hAnsi="Arial"/>
          <w:sz w:val="16"/>
          <w:szCs w:val="16"/>
          <w:lang w:val="en-GB"/>
        </w:rPr>
        <w:t xml:space="preserve"> by 63%), from distant Asian states, mainly China (–74%), Japan (–51%), South Korea (–29%) and among the EU countries the most from the Scandinavian states (e.g. Sweden –38%). On the other hand, the demand in the CR exceeded the pre-pandemic level for citizens of all neighbouring states (Slovakia +13%, Poland +12%, Austria 11% and Germany +2%), among further significant countries it grew the most for citizens of Spain (+26%), among countries outside Europe relatively the most from the United Arab Emirates and Saudi Arabia.  </w:t>
      </w:r>
    </w:p>
  </w:footnote>
  <w:footnote w:id="44">
    <w:p w14:paraId="46C9A541" w14:textId="399FE7DF" w:rsidR="003B4260" w:rsidRPr="00DD7900" w:rsidRDefault="003B4260" w:rsidP="00DD7900">
      <w:pPr>
        <w:pStyle w:val="Textpoznpodarou"/>
        <w:jc w:val="both"/>
        <w:rPr>
          <w:sz w:val="16"/>
          <w:szCs w:val="16"/>
          <w:lang w:val="en-GB"/>
        </w:rPr>
      </w:pPr>
      <w:r w:rsidRPr="00F34E27">
        <w:rPr>
          <w:rStyle w:val="Znakapoznpodarou"/>
          <w:sz w:val="16"/>
          <w:szCs w:val="16"/>
        </w:rPr>
        <w:footnoteRef/>
      </w:r>
      <w:r w:rsidRPr="00F34E27">
        <w:rPr>
          <w:sz w:val="16"/>
          <w:szCs w:val="16"/>
        </w:rPr>
        <w:t xml:space="preserve"> </w:t>
      </w:r>
      <w:r w:rsidRPr="00DD7900">
        <w:rPr>
          <w:sz w:val="16"/>
          <w:szCs w:val="16"/>
          <w:lang w:val="en-GB"/>
        </w:rPr>
        <w:t>This sub-branch with significant share of small businesses mainly includes brokering activities, design, translation and photographic activities or activities of construction supervision.</w:t>
      </w:r>
    </w:p>
  </w:footnote>
  <w:footnote w:id="45">
    <w:p w14:paraId="40D585C1" w14:textId="711A6DF8" w:rsidR="003B4260" w:rsidRPr="00DD7900" w:rsidRDefault="003B4260" w:rsidP="007A15BA">
      <w:pPr>
        <w:pStyle w:val="Textpoznpodarou"/>
        <w:jc w:val="both"/>
        <w:rPr>
          <w:sz w:val="16"/>
          <w:szCs w:val="16"/>
          <w:lang w:val="en-GB"/>
        </w:rPr>
      </w:pPr>
      <w:r w:rsidRPr="00DD7900">
        <w:rPr>
          <w:rStyle w:val="Znakapoznpodarou"/>
          <w:sz w:val="16"/>
          <w:szCs w:val="16"/>
          <w:lang w:val="en-GB"/>
        </w:rPr>
        <w:footnoteRef/>
      </w:r>
      <w:r w:rsidRPr="00DD7900">
        <w:rPr>
          <w:sz w:val="16"/>
          <w:szCs w:val="16"/>
          <w:lang w:val="en-GB"/>
        </w:rPr>
        <w:t xml:space="preserve"> </w:t>
      </w:r>
      <w:r w:rsidRPr="003B0067">
        <w:rPr>
          <w:sz w:val="16"/>
          <w:szCs w:val="16"/>
          <w:lang w:val="en-GB"/>
        </w:rPr>
        <w:t xml:space="preserve">Segment of motion picture distribution </w:t>
      </w:r>
      <w:r>
        <w:rPr>
          <w:sz w:val="16"/>
          <w:szCs w:val="16"/>
          <w:lang w:val="en-GB"/>
        </w:rPr>
        <w:t xml:space="preserve">fared better. According to the figures </w:t>
      </w:r>
      <w:r w:rsidRPr="003B0067">
        <w:rPr>
          <w:sz w:val="16"/>
          <w:szCs w:val="16"/>
          <w:lang w:val="en-GB"/>
        </w:rPr>
        <w:t>f</w:t>
      </w:r>
      <w:r>
        <w:rPr>
          <w:sz w:val="16"/>
          <w:szCs w:val="16"/>
          <w:lang w:val="en-GB"/>
        </w:rPr>
        <w:t xml:space="preserve">rom </w:t>
      </w:r>
      <w:r w:rsidRPr="003B0067">
        <w:rPr>
          <w:sz w:val="16"/>
          <w:szCs w:val="16"/>
          <w:lang w:val="en-GB"/>
        </w:rPr>
        <w:t>the Union of Motion Picture Distributors</w:t>
      </w:r>
      <w:r>
        <w:rPr>
          <w:sz w:val="16"/>
          <w:szCs w:val="16"/>
          <w:lang w:val="en-GB"/>
        </w:rPr>
        <w:t xml:space="preserve"> the gross nominal sales of the domestic cinema operators increased by 7.6% year-on-year last year. Total attendance, similarly, to the number of shows, decreased approximately by 1%. However, nearly one quarter of audience was still missing against the record year 2019 last year. </w:t>
      </w:r>
    </w:p>
  </w:footnote>
  <w:footnote w:id="46">
    <w:p w14:paraId="5A792078" w14:textId="68872300" w:rsidR="003B4260" w:rsidRPr="00DD7900" w:rsidRDefault="003B4260" w:rsidP="00DD7900">
      <w:pPr>
        <w:pStyle w:val="Textpoznpodarou"/>
        <w:jc w:val="both"/>
        <w:rPr>
          <w:sz w:val="16"/>
          <w:szCs w:val="16"/>
          <w:lang w:val="en-GB"/>
        </w:rPr>
      </w:pPr>
      <w:r w:rsidRPr="00DD7900">
        <w:rPr>
          <w:rStyle w:val="Znakapoznpodarou"/>
          <w:sz w:val="16"/>
          <w:szCs w:val="16"/>
          <w:lang w:val="en-GB"/>
        </w:rPr>
        <w:footnoteRef/>
      </w:r>
      <w:r w:rsidRPr="00DD7900">
        <w:rPr>
          <w:sz w:val="16"/>
          <w:szCs w:val="16"/>
          <w:lang w:val="en-GB"/>
        </w:rPr>
        <w:t xml:space="preserve"> They consist mainly </w:t>
      </w:r>
      <w:r>
        <w:rPr>
          <w:sz w:val="16"/>
          <w:szCs w:val="16"/>
          <w:lang w:val="en-GB"/>
        </w:rPr>
        <w:t xml:space="preserve">of </w:t>
      </w:r>
      <w:r w:rsidRPr="00DD7900">
        <w:rPr>
          <w:sz w:val="16"/>
          <w:szCs w:val="16"/>
          <w:lang w:val="en-GB"/>
        </w:rPr>
        <w:t xml:space="preserve">activities linked to the activities of web portals, news press offices and agencies or data processing and hosting. </w:t>
      </w:r>
    </w:p>
  </w:footnote>
  <w:footnote w:id="47">
    <w:p w14:paraId="73DF6FE3" w14:textId="4E4C73C1" w:rsidR="003B4260" w:rsidRPr="00DD7900" w:rsidRDefault="003B4260" w:rsidP="00DD7900">
      <w:pPr>
        <w:pStyle w:val="Textpoznpodarou"/>
        <w:jc w:val="both"/>
        <w:rPr>
          <w:sz w:val="16"/>
          <w:szCs w:val="16"/>
          <w:lang w:val="en-GB"/>
        </w:rPr>
      </w:pPr>
      <w:r w:rsidRPr="00DD7900">
        <w:rPr>
          <w:rStyle w:val="Znakapoznpodarou"/>
          <w:sz w:val="16"/>
          <w:szCs w:val="16"/>
          <w:lang w:val="en-GB"/>
        </w:rPr>
        <w:footnoteRef/>
      </w:r>
      <w:r w:rsidRPr="00DD7900">
        <w:rPr>
          <w:sz w:val="16"/>
          <w:szCs w:val="16"/>
          <w:lang w:val="en-GB"/>
        </w:rPr>
        <w:t xml:space="preserve"> Pessimisms </w:t>
      </w:r>
      <w:r>
        <w:rPr>
          <w:sz w:val="16"/>
          <w:szCs w:val="16"/>
          <w:lang w:val="en-GB"/>
        </w:rPr>
        <w:t xml:space="preserve">of domestic consumers did moderate at the beginning of the last year against </w:t>
      </w:r>
      <w:proofErr w:type="gramStart"/>
      <w:r>
        <w:rPr>
          <w:sz w:val="16"/>
          <w:szCs w:val="16"/>
          <w:lang w:val="en-GB"/>
        </w:rPr>
        <w:t>Autumn</w:t>
      </w:r>
      <w:proofErr w:type="gramEnd"/>
      <w:r>
        <w:rPr>
          <w:sz w:val="16"/>
          <w:szCs w:val="16"/>
          <w:lang w:val="en-GB"/>
        </w:rPr>
        <w:t xml:space="preserve"> 2022 (when it was the highest since the end of 90s)</w:t>
      </w:r>
      <w:r w:rsidRPr="00DD7900">
        <w:rPr>
          <w:sz w:val="16"/>
          <w:szCs w:val="16"/>
          <w:lang w:val="en-GB"/>
        </w:rPr>
        <w:t xml:space="preserve">, </w:t>
      </w:r>
      <w:r>
        <w:rPr>
          <w:sz w:val="16"/>
          <w:szCs w:val="16"/>
          <w:lang w:val="en-GB"/>
        </w:rPr>
        <w:t xml:space="preserve">it however fluctuated in the still considerably negative band for the most part of the year </w:t>
      </w:r>
      <w:r w:rsidRPr="00DD7900">
        <w:rPr>
          <w:sz w:val="16"/>
          <w:szCs w:val="16"/>
          <w:lang w:val="en-GB"/>
        </w:rPr>
        <w:t>(</w:t>
      </w:r>
      <w:r>
        <w:rPr>
          <w:sz w:val="16"/>
          <w:szCs w:val="16"/>
          <w:lang w:val="en-GB"/>
        </w:rPr>
        <w:t xml:space="preserve">household confidence lay approximate one tenth below the long-time average from years </w:t>
      </w:r>
      <w:r w:rsidRPr="00DD7900">
        <w:rPr>
          <w:sz w:val="16"/>
          <w:szCs w:val="16"/>
          <w:lang w:val="en-GB"/>
        </w:rPr>
        <w:t xml:space="preserve">2003–2023). </w:t>
      </w:r>
      <w:r>
        <w:rPr>
          <w:sz w:val="16"/>
          <w:szCs w:val="16"/>
          <w:lang w:val="en-GB"/>
        </w:rPr>
        <w:t xml:space="preserve">Concerns of people regarding the price growth dissolved to a large extent last year during </w:t>
      </w:r>
      <w:proofErr w:type="gramStart"/>
      <w:r>
        <w:rPr>
          <w:sz w:val="16"/>
          <w:szCs w:val="16"/>
          <w:lang w:val="en-GB"/>
        </w:rPr>
        <w:t>Spring</w:t>
      </w:r>
      <w:proofErr w:type="gramEnd"/>
      <w:r w:rsidRPr="00DD7900">
        <w:rPr>
          <w:sz w:val="16"/>
          <w:szCs w:val="16"/>
          <w:lang w:val="en-GB"/>
        </w:rPr>
        <w:t xml:space="preserve">, </w:t>
      </w:r>
      <w:r>
        <w:rPr>
          <w:sz w:val="16"/>
          <w:szCs w:val="16"/>
          <w:lang w:val="en-GB"/>
        </w:rPr>
        <w:t>majority of households still however expected</w:t>
      </w:r>
      <w:r w:rsidRPr="00DD7900">
        <w:rPr>
          <w:sz w:val="16"/>
          <w:szCs w:val="16"/>
          <w:lang w:val="en-GB"/>
        </w:rPr>
        <w:t>,</w:t>
      </w:r>
      <w:r>
        <w:rPr>
          <w:sz w:val="16"/>
          <w:szCs w:val="16"/>
          <w:lang w:val="en-GB"/>
        </w:rPr>
        <w:t xml:space="preserve"> that their financial situation </w:t>
      </w:r>
      <w:r w:rsidRPr="00DD7900">
        <w:rPr>
          <w:sz w:val="16"/>
          <w:szCs w:val="16"/>
          <w:lang w:val="en-GB"/>
        </w:rPr>
        <w:t>(</w:t>
      </w:r>
      <w:r>
        <w:rPr>
          <w:sz w:val="16"/>
          <w:szCs w:val="16"/>
          <w:lang w:val="en-GB"/>
        </w:rPr>
        <w:t>as the overall economic situation in the CR</w:t>
      </w:r>
      <w:r w:rsidRPr="00DD7900">
        <w:rPr>
          <w:sz w:val="16"/>
          <w:szCs w:val="16"/>
          <w:lang w:val="en-GB"/>
        </w:rPr>
        <w:t>)</w:t>
      </w:r>
      <w:r>
        <w:rPr>
          <w:sz w:val="16"/>
          <w:szCs w:val="16"/>
          <w:lang w:val="en-GB"/>
        </w:rPr>
        <w:t xml:space="preserve"> will worsen in the nearest 12 months. People thus stayed cautious in the area of planning large purchases (especially long-time durable goods or investments</w:t>
      </w:r>
      <w:r w:rsidRPr="00DD7900">
        <w:rPr>
          <w:sz w:val="16"/>
          <w:szCs w:val="16"/>
          <w:lang w:val="en-GB"/>
        </w:rPr>
        <w:t>).</w:t>
      </w:r>
    </w:p>
  </w:footnote>
  <w:footnote w:id="48">
    <w:p w14:paraId="5DD43E91" w14:textId="4EEE03E4" w:rsidR="003B4260" w:rsidRPr="00DD7900" w:rsidRDefault="003B4260" w:rsidP="00DD7900">
      <w:pPr>
        <w:pStyle w:val="Textpoznpodarou"/>
        <w:jc w:val="both"/>
        <w:rPr>
          <w:sz w:val="16"/>
          <w:szCs w:val="16"/>
          <w:lang w:val="en-GB"/>
        </w:rPr>
      </w:pPr>
      <w:r w:rsidRPr="00DD7900">
        <w:rPr>
          <w:rStyle w:val="Znakapoznpodarou"/>
          <w:sz w:val="16"/>
          <w:szCs w:val="16"/>
          <w:lang w:val="en-GB"/>
        </w:rPr>
        <w:footnoteRef/>
      </w:r>
      <w:r w:rsidRPr="00DD7900">
        <w:rPr>
          <w:sz w:val="16"/>
          <w:szCs w:val="16"/>
          <w:lang w:val="en-GB"/>
        </w:rPr>
        <w:t xml:space="preserve"> </w:t>
      </w:r>
      <w:r>
        <w:rPr>
          <w:sz w:val="16"/>
          <w:szCs w:val="16"/>
          <w:lang w:val="en-GB"/>
        </w:rPr>
        <w:t>Last year’s spring offered particularly opportune conditions for these purchases</w:t>
      </w:r>
      <w:r w:rsidRPr="00DD7900">
        <w:rPr>
          <w:sz w:val="16"/>
          <w:szCs w:val="16"/>
          <w:lang w:val="en-GB"/>
        </w:rPr>
        <w:t>,</w:t>
      </w:r>
      <w:r>
        <w:rPr>
          <w:sz w:val="16"/>
          <w:szCs w:val="16"/>
          <w:lang w:val="en-GB"/>
        </w:rPr>
        <w:t xml:space="preserve"> thanks to the concurrence of decrease of prices of fuels and very fitting koruna foreign exchange against euro as well polish zloty and also the zero VAT rate on some basic food in Poland. </w:t>
      </w:r>
    </w:p>
  </w:footnote>
  <w:footnote w:id="49">
    <w:p w14:paraId="3271181E" w14:textId="1C4A97B0" w:rsidR="003B4260" w:rsidRPr="00DD7900" w:rsidRDefault="003B4260" w:rsidP="00DD7900">
      <w:pPr>
        <w:spacing w:after="0" w:line="240" w:lineRule="auto"/>
        <w:rPr>
          <w:spacing w:val="-2"/>
          <w:lang w:val="en-GB"/>
        </w:rPr>
      </w:pPr>
      <w:r w:rsidRPr="00DD7900">
        <w:rPr>
          <w:rStyle w:val="Znakapoznpodarou"/>
          <w:color w:val="0D0D0D" w:themeColor="text1" w:themeTint="F2"/>
          <w:spacing w:val="-2"/>
          <w:sz w:val="16"/>
          <w:szCs w:val="16"/>
          <w:lang w:val="en-GB"/>
        </w:rPr>
        <w:footnoteRef/>
      </w:r>
      <w:r w:rsidRPr="00DD7900">
        <w:rPr>
          <w:color w:val="0D0D0D" w:themeColor="text1" w:themeTint="F2"/>
          <w:spacing w:val="-2"/>
          <w:sz w:val="16"/>
          <w:szCs w:val="16"/>
          <w:lang w:val="en-GB"/>
        </w:rPr>
        <w:t xml:space="preserve"> </w:t>
      </w:r>
      <w:r w:rsidRPr="005235FD">
        <w:rPr>
          <w:color w:val="0D0D0D" w:themeColor="text1" w:themeTint="F2"/>
          <w:sz w:val="16"/>
          <w:szCs w:val="16"/>
          <w:lang w:val="en-GB"/>
        </w:rPr>
        <w:t>All year-on-year rates of growth of retail sales are stated in constant prices and adjusted for calendar effects, quarter-on-quarter rates are adjusted for seasonal effects (including the number of working days). Retail includes branch CZ</w:t>
      </w:r>
      <w:r w:rsidRPr="005235FD">
        <w:rPr>
          <w:color w:val="0D0D0D" w:themeColor="text1" w:themeTint="F2"/>
          <w:sz w:val="16"/>
          <w:szCs w:val="16"/>
          <w:lang w:val="en-GB"/>
        </w:rPr>
        <w:noBreakHyphen/>
        <w:t>NACE 47</w:t>
      </w:r>
      <w:r>
        <w:rPr>
          <w:color w:val="0D0D0D" w:themeColor="text1" w:themeTint="F2"/>
          <w:sz w:val="16"/>
          <w:szCs w:val="16"/>
          <w:lang w:val="en-GB"/>
        </w:rPr>
        <w:t xml:space="preserve">. </w:t>
      </w:r>
    </w:p>
  </w:footnote>
  <w:footnote w:id="50">
    <w:p w14:paraId="37B70FC4" w14:textId="57D5AB51" w:rsidR="003B4260" w:rsidRPr="00DD7900" w:rsidRDefault="003B4260" w:rsidP="00DD7900">
      <w:pPr>
        <w:pStyle w:val="Textpoznpodarou"/>
        <w:jc w:val="both"/>
        <w:rPr>
          <w:sz w:val="16"/>
          <w:szCs w:val="16"/>
          <w:lang w:val="en-GB"/>
        </w:rPr>
      </w:pPr>
      <w:r w:rsidRPr="00DD7900">
        <w:rPr>
          <w:rStyle w:val="Znakapoznpodarou"/>
          <w:sz w:val="16"/>
          <w:szCs w:val="16"/>
          <w:lang w:val="en-GB"/>
        </w:rPr>
        <w:footnoteRef/>
      </w:r>
      <w:r w:rsidRPr="00DD7900">
        <w:rPr>
          <w:sz w:val="16"/>
          <w:szCs w:val="16"/>
          <w:lang w:val="en-GB"/>
        </w:rPr>
        <w:t xml:space="preserve"> </w:t>
      </w:r>
      <w:r>
        <w:rPr>
          <w:sz w:val="16"/>
          <w:szCs w:val="16"/>
          <w:lang w:val="en-GB"/>
        </w:rPr>
        <w:t>Against Q</w:t>
      </w:r>
      <w:r w:rsidRPr="00DD7900">
        <w:rPr>
          <w:sz w:val="16"/>
          <w:szCs w:val="16"/>
          <w:lang w:val="en-GB"/>
        </w:rPr>
        <w:t>3</w:t>
      </w:r>
      <w:r>
        <w:rPr>
          <w:sz w:val="16"/>
          <w:szCs w:val="16"/>
          <w:lang w:val="en-GB"/>
        </w:rPr>
        <w:t xml:space="preserve"> </w:t>
      </w:r>
      <w:r w:rsidRPr="00DD7900">
        <w:rPr>
          <w:sz w:val="16"/>
          <w:szCs w:val="16"/>
          <w:lang w:val="en-GB"/>
        </w:rPr>
        <w:t xml:space="preserve">2021, </w:t>
      </w:r>
      <w:r>
        <w:rPr>
          <w:sz w:val="16"/>
          <w:szCs w:val="16"/>
          <w:lang w:val="en-GB"/>
        </w:rPr>
        <w:t>when the volume of sales hit the absolute maximum, their level was by more than 10% lower in Q</w:t>
      </w:r>
      <w:r w:rsidRPr="00DD7900">
        <w:rPr>
          <w:sz w:val="16"/>
          <w:szCs w:val="16"/>
          <w:lang w:val="en-GB"/>
        </w:rPr>
        <w:t>2</w:t>
      </w:r>
      <w:r>
        <w:rPr>
          <w:sz w:val="16"/>
          <w:szCs w:val="16"/>
          <w:lang w:val="en-GB"/>
        </w:rPr>
        <w:t xml:space="preserve"> </w:t>
      </w:r>
      <w:r w:rsidRPr="00DD7900">
        <w:rPr>
          <w:sz w:val="16"/>
          <w:szCs w:val="16"/>
          <w:lang w:val="en-GB"/>
        </w:rPr>
        <w:t>2023</w:t>
      </w:r>
      <w:r>
        <w:rPr>
          <w:sz w:val="16"/>
          <w:szCs w:val="16"/>
          <w:lang w:val="en-GB"/>
        </w:rPr>
        <w:t xml:space="preserve">. Purchasing power of average wages also decreased comparably in the same period. </w:t>
      </w:r>
    </w:p>
  </w:footnote>
  <w:footnote w:id="51">
    <w:p w14:paraId="04E49604" w14:textId="3E7B1100" w:rsidR="003B4260" w:rsidRPr="009C67D7" w:rsidRDefault="003B4260" w:rsidP="009C67D7">
      <w:pPr>
        <w:pStyle w:val="Textpoznpodarou"/>
        <w:jc w:val="both"/>
        <w:rPr>
          <w:sz w:val="16"/>
          <w:szCs w:val="16"/>
          <w:lang w:val="en-GB"/>
        </w:rPr>
      </w:pPr>
      <w:r w:rsidRPr="00DD7900">
        <w:rPr>
          <w:rStyle w:val="Znakapoznpodarou"/>
          <w:sz w:val="16"/>
          <w:szCs w:val="16"/>
          <w:lang w:val="en-GB"/>
        </w:rPr>
        <w:footnoteRef/>
      </w:r>
      <w:r w:rsidRPr="00DD7900">
        <w:rPr>
          <w:sz w:val="16"/>
          <w:szCs w:val="16"/>
          <w:lang w:val="en-GB"/>
        </w:rPr>
        <w:t xml:space="preserve"> </w:t>
      </w:r>
      <w:r w:rsidRPr="009C67D7">
        <w:rPr>
          <w:sz w:val="16"/>
          <w:szCs w:val="16"/>
          <w:lang w:val="en-GB"/>
        </w:rPr>
        <w:t xml:space="preserve">Sales for this type of trade returned to growth in the quarter-on-quarter comparison already in </w:t>
      </w:r>
      <w:proofErr w:type="gramStart"/>
      <w:r w:rsidRPr="009C67D7">
        <w:rPr>
          <w:sz w:val="16"/>
          <w:szCs w:val="16"/>
          <w:lang w:val="en-GB"/>
        </w:rPr>
        <w:t>Spring</w:t>
      </w:r>
      <w:proofErr w:type="gramEnd"/>
      <w:r w:rsidRPr="009C67D7">
        <w:rPr>
          <w:sz w:val="16"/>
          <w:szCs w:val="16"/>
          <w:lang w:val="en-GB"/>
        </w:rPr>
        <w:t xml:space="preserve"> last year. </w:t>
      </w:r>
    </w:p>
  </w:footnote>
  <w:footnote w:id="52">
    <w:p w14:paraId="505BD9B0" w14:textId="0A6181B9" w:rsidR="003B4260" w:rsidRPr="009C67D7" w:rsidRDefault="003B4260" w:rsidP="009C67D7">
      <w:pPr>
        <w:pStyle w:val="Textpoznpodarou"/>
        <w:jc w:val="both"/>
        <w:rPr>
          <w:sz w:val="16"/>
          <w:szCs w:val="16"/>
          <w:lang w:val="en-GB"/>
        </w:rPr>
      </w:pPr>
      <w:r w:rsidRPr="009C67D7">
        <w:rPr>
          <w:rStyle w:val="Znakapoznpodarou"/>
          <w:sz w:val="16"/>
          <w:szCs w:val="16"/>
          <w:lang w:val="en-GB"/>
        </w:rPr>
        <w:footnoteRef/>
      </w:r>
      <w:r w:rsidRPr="009C67D7">
        <w:rPr>
          <w:sz w:val="16"/>
          <w:szCs w:val="16"/>
          <w:lang w:val="en-GB"/>
        </w:rPr>
        <w:t xml:space="preserve"> </w:t>
      </w:r>
      <w:r>
        <w:rPr>
          <w:sz w:val="16"/>
          <w:szCs w:val="16"/>
          <w:lang w:val="en-GB"/>
        </w:rPr>
        <w:t xml:space="preserve">Outside of specialised shores, the sales grew the most in the small segment of other retail with the predominance of non-food goods </w:t>
      </w:r>
      <w:r w:rsidRPr="009C67D7">
        <w:rPr>
          <w:rFonts w:cs="Arial"/>
          <w:color w:val="0D0D0D" w:themeColor="text1" w:themeTint="F2"/>
          <w:sz w:val="16"/>
          <w:szCs w:val="16"/>
          <w:lang w:val="en-GB"/>
        </w:rPr>
        <w:t>(+9</w:t>
      </w:r>
      <w:r>
        <w:rPr>
          <w:rFonts w:cs="Arial"/>
          <w:color w:val="0D0D0D" w:themeColor="text1" w:themeTint="F2"/>
          <w:sz w:val="16"/>
          <w:szCs w:val="16"/>
          <w:lang w:val="en-GB"/>
        </w:rPr>
        <w:t>.</w:t>
      </w:r>
      <w:r w:rsidRPr="009C67D7">
        <w:rPr>
          <w:rFonts w:cs="Arial"/>
          <w:color w:val="0D0D0D" w:themeColor="text1" w:themeTint="F2"/>
          <w:sz w:val="16"/>
          <w:szCs w:val="16"/>
          <w:lang w:val="en-GB"/>
        </w:rPr>
        <w:t>6%).</w:t>
      </w:r>
      <w:r>
        <w:rPr>
          <w:rFonts w:cs="Arial"/>
          <w:color w:val="0D0D0D" w:themeColor="text1" w:themeTint="F2"/>
          <w:sz w:val="16"/>
          <w:szCs w:val="16"/>
          <w:lang w:val="en-GB"/>
        </w:rPr>
        <w:t xml:space="preserve"> It typically consists of smaller shops oriented at sale of miscellaneous </w:t>
      </w:r>
      <w:proofErr w:type="spellStart"/>
      <w:r>
        <w:rPr>
          <w:rFonts w:cs="Arial"/>
          <w:color w:val="0D0D0D" w:themeColor="text1" w:themeTint="F2"/>
          <w:sz w:val="16"/>
          <w:szCs w:val="16"/>
          <w:lang w:val="en-GB"/>
        </w:rPr>
        <w:t>smallware</w:t>
      </w:r>
      <w:proofErr w:type="spellEnd"/>
      <w:r>
        <w:rPr>
          <w:rFonts w:cs="Arial"/>
          <w:color w:val="0D0D0D" w:themeColor="text1" w:themeTint="F2"/>
          <w:sz w:val="16"/>
          <w:szCs w:val="16"/>
          <w:lang w:val="en-GB"/>
        </w:rPr>
        <w:t xml:space="preserve">, </w:t>
      </w:r>
      <w:r w:rsidRPr="00FD4C86">
        <w:rPr>
          <w:rFonts w:cs="Arial"/>
          <w:color w:val="0D0D0D" w:themeColor="text1" w:themeTint="F2"/>
          <w:sz w:val="16"/>
          <w:szCs w:val="16"/>
          <w:lang w:val="en-GB"/>
        </w:rPr>
        <w:t>usually as discount offers</w:t>
      </w:r>
      <w:r w:rsidRPr="009C67D7">
        <w:rPr>
          <w:rFonts w:cs="Arial"/>
          <w:color w:val="0D0D0D" w:themeColor="text1" w:themeTint="F2"/>
          <w:sz w:val="16"/>
          <w:szCs w:val="16"/>
          <w:lang w:val="en-GB"/>
        </w:rPr>
        <w:t>.</w:t>
      </w:r>
    </w:p>
  </w:footnote>
  <w:footnote w:id="53">
    <w:p w14:paraId="6EBB24A7" w14:textId="7A5DB307" w:rsidR="003B4260" w:rsidRPr="009C67D7" w:rsidRDefault="003B4260" w:rsidP="009C67D7">
      <w:pPr>
        <w:pStyle w:val="Textpoznpodarou"/>
        <w:jc w:val="both"/>
        <w:rPr>
          <w:sz w:val="16"/>
          <w:szCs w:val="16"/>
          <w:lang w:val="en-GB"/>
        </w:rPr>
      </w:pPr>
      <w:r w:rsidRPr="009C67D7">
        <w:rPr>
          <w:rStyle w:val="Znakapoznpodarou"/>
          <w:sz w:val="16"/>
          <w:szCs w:val="16"/>
          <w:lang w:val="en-GB"/>
        </w:rPr>
        <w:footnoteRef/>
      </w:r>
      <w:r w:rsidRPr="009C67D7">
        <w:rPr>
          <w:sz w:val="16"/>
          <w:szCs w:val="16"/>
          <w:lang w:val="en-GB"/>
        </w:rPr>
        <w:t xml:space="preserve"> T</w:t>
      </w:r>
      <w:r>
        <w:rPr>
          <w:sz w:val="16"/>
          <w:szCs w:val="16"/>
          <w:lang w:val="en-GB"/>
        </w:rPr>
        <w:t>hey together with cosmetic and toilet articles represented the only area of retail, where the sales climbed up in real terms to maximum for the whole monitored time series (since year 2000) last year in Q</w:t>
      </w:r>
      <w:r w:rsidRPr="009C67D7">
        <w:rPr>
          <w:rFonts w:cs="Arial"/>
          <w:color w:val="0D0D0D" w:themeColor="text1" w:themeTint="F2"/>
          <w:sz w:val="16"/>
          <w:szCs w:val="16"/>
          <w:lang w:val="en-GB"/>
        </w:rPr>
        <w:t>4.</w:t>
      </w:r>
    </w:p>
  </w:footnote>
  <w:footnote w:id="54">
    <w:p w14:paraId="1C7A1434" w14:textId="6583CE53" w:rsidR="003B4260" w:rsidRPr="009C67D7" w:rsidRDefault="003B4260" w:rsidP="009C67D7">
      <w:pPr>
        <w:pStyle w:val="Textpoznpodarou"/>
        <w:jc w:val="both"/>
        <w:rPr>
          <w:sz w:val="16"/>
          <w:szCs w:val="16"/>
          <w:lang w:val="en-GB"/>
        </w:rPr>
      </w:pPr>
      <w:r w:rsidRPr="009C67D7">
        <w:rPr>
          <w:rStyle w:val="Znakapoznpodarou"/>
          <w:sz w:val="16"/>
          <w:szCs w:val="16"/>
          <w:lang w:val="en-GB"/>
        </w:rPr>
        <w:footnoteRef/>
      </w:r>
      <w:r w:rsidRPr="009C67D7">
        <w:rPr>
          <w:sz w:val="16"/>
          <w:szCs w:val="16"/>
          <w:lang w:val="en-GB"/>
        </w:rPr>
        <w:t xml:space="preserve"> </w:t>
      </w:r>
      <w:r>
        <w:rPr>
          <w:sz w:val="16"/>
          <w:szCs w:val="16"/>
          <w:lang w:val="en-GB"/>
        </w:rPr>
        <w:t xml:space="preserve">The subdued consumer demand for clothing, footwear and leather goods was likely also caused by the persisting brisk price growth of this assortment of goods </w:t>
      </w:r>
      <w:r w:rsidRPr="009C67D7">
        <w:rPr>
          <w:sz w:val="16"/>
          <w:szCs w:val="16"/>
          <w:lang w:val="en-GB"/>
        </w:rPr>
        <w:t>(</w:t>
      </w:r>
      <w:r>
        <w:rPr>
          <w:sz w:val="16"/>
          <w:szCs w:val="16"/>
          <w:lang w:val="en-GB"/>
        </w:rPr>
        <w:t>it was around 7% year-on-year in Q</w:t>
      </w:r>
      <w:r w:rsidRPr="009C67D7">
        <w:rPr>
          <w:sz w:val="16"/>
          <w:szCs w:val="16"/>
          <w:lang w:val="en-GB"/>
        </w:rPr>
        <w:t>4</w:t>
      </w:r>
      <w:r>
        <w:rPr>
          <w:sz w:val="16"/>
          <w:szCs w:val="16"/>
          <w:lang w:val="en-GB"/>
        </w:rPr>
        <w:t xml:space="preserve"> and reached maximum among all monitored retail segments</w:t>
      </w:r>
      <w:r w:rsidRPr="009C67D7">
        <w:rPr>
          <w:sz w:val="16"/>
          <w:szCs w:val="16"/>
          <w:lang w:val="en-GB"/>
        </w:rPr>
        <w:t xml:space="preserve">). </w:t>
      </w:r>
      <w:r>
        <w:rPr>
          <w:sz w:val="16"/>
          <w:szCs w:val="16"/>
          <w:lang w:val="en-GB"/>
        </w:rPr>
        <w:t xml:space="preserve">Sales for this range of products were in real terms by whole one quarter lower against Q4 </w:t>
      </w:r>
      <w:r w:rsidRPr="009C67D7">
        <w:rPr>
          <w:sz w:val="16"/>
          <w:szCs w:val="16"/>
          <w:lang w:val="en-GB"/>
        </w:rPr>
        <w:t xml:space="preserve">2019. </w:t>
      </w:r>
    </w:p>
  </w:footnote>
  <w:footnote w:id="55">
    <w:p w14:paraId="306A6873" w14:textId="284B2179" w:rsidR="003B4260" w:rsidRPr="00CA4D2D" w:rsidRDefault="003B4260" w:rsidP="00402689">
      <w:pPr>
        <w:pStyle w:val="Textpoznpodarou"/>
        <w:rPr>
          <w:rFonts w:cs="Arial"/>
          <w:i/>
          <w:iCs/>
          <w:sz w:val="16"/>
          <w:szCs w:val="16"/>
          <w:lang w:val="en-GB"/>
        </w:rPr>
      </w:pPr>
      <w:r>
        <w:rPr>
          <w:rStyle w:val="Znakapoznpodarou"/>
          <w:rFonts w:cs="Arial"/>
          <w:sz w:val="16"/>
          <w:szCs w:val="16"/>
        </w:rPr>
        <w:footnoteRef/>
      </w:r>
      <w:r>
        <w:rPr>
          <w:rFonts w:cs="Arial"/>
          <w:i/>
          <w:iCs/>
          <w:sz w:val="16"/>
          <w:szCs w:val="16"/>
        </w:rPr>
        <w:t xml:space="preserve"> </w:t>
      </w:r>
      <w:r w:rsidRPr="00AF2C3E">
        <w:rPr>
          <w:rStyle w:val="Zdraznn"/>
          <w:rFonts w:cs="Arial"/>
          <w:i w:val="0"/>
          <w:iCs w:val="0"/>
          <w:sz w:val="16"/>
          <w:szCs w:val="16"/>
          <w:bdr w:val="none" w:sz="0" w:space="0" w:color="auto" w:frame="1"/>
          <w:shd w:val="clear" w:color="auto" w:fill="FFFFFF"/>
          <w:lang w:val="en-GB"/>
        </w:rPr>
        <w:t xml:space="preserve">Data for foreign trade with goods are recalculated using the updated method based on higher rate of detail since year 2020, see </w:t>
      </w:r>
      <w:hyperlink r:id="rId1" w:history="1">
        <w:r>
          <w:rPr>
            <w:rStyle w:val="Hypertextovodkaz"/>
            <w:rFonts w:cs="Arial"/>
            <w:sz w:val="16"/>
            <w:szCs w:val="16"/>
            <w:bdr w:val="none" w:sz="0" w:space="0" w:color="auto" w:frame="1"/>
            <w:shd w:val="clear" w:color="auto" w:fill="FFFFFF"/>
            <w:lang w:val="en-GB"/>
          </w:rPr>
          <w:t>https://www.czso.cz/csu/czso/update-of-the-compilation-method-international-trade-in-goods-change-of-ownership</w:t>
        </w:r>
      </w:hyperlink>
      <w:r>
        <w:rPr>
          <w:rStyle w:val="Hypertextovodkaz"/>
          <w:rFonts w:cs="Arial"/>
          <w:sz w:val="16"/>
          <w:szCs w:val="16"/>
          <w:bdr w:val="none" w:sz="0" w:space="0" w:color="auto" w:frame="1"/>
          <w:shd w:val="clear" w:color="auto" w:fill="FFFFFF"/>
          <w:lang w:val="en-GB"/>
        </w:rPr>
        <w:t>.</w:t>
      </w:r>
      <w:r>
        <w:rPr>
          <w:sz w:val="16"/>
          <w:szCs w:val="16"/>
          <w:lang w:val="en-GB"/>
        </w:rPr>
        <w:t xml:space="preserve"> Unless stated otherwise, all figures are without seasonal adjustment and in current prices.</w:t>
      </w:r>
    </w:p>
  </w:footnote>
  <w:footnote w:id="56">
    <w:p w14:paraId="7D35CA48" w14:textId="3CDD6D17" w:rsidR="003B4260" w:rsidRPr="00CA4D2D" w:rsidRDefault="003B4260" w:rsidP="00402689">
      <w:pPr>
        <w:pStyle w:val="Textpoznpodarou"/>
        <w:jc w:val="both"/>
        <w:rPr>
          <w:sz w:val="16"/>
          <w:szCs w:val="16"/>
          <w:lang w:val="en-GB"/>
        </w:rPr>
      </w:pPr>
      <w:r w:rsidRPr="00CA4D2D">
        <w:rPr>
          <w:rStyle w:val="Znakapoznpodarou"/>
          <w:sz w:val="16"/>
          <w:szCs w:val="16"/>
          <w:lang w:val="en-GB"/>
        </w:rPr>
        <w:footnoteRef/>
      </w:r>
      <w:r w:rsidRPr="00CA4D2D">
        <w:rPr>
          <w:sz w:val="16"/>
          <w:szCs w:val="16"/>
          <w:lang w:val="en-GB"/>
        </w:rPr>
        <w:t xml:space="preserve"> </w:t>
      </w:r>
      <w:r>
        <w:rPr>
          <w:sz w:val="16"/>
          <w:szCs w:val="16"/>
          <w:lang w:val="en-GB"/>
        </w:rPr>
        <w:t>Prices of exports of goods fell by 0.</w:t>
      </w:r>
      <w:r w:rsidRPr="000A6546">
        <w:rPr>
          <w:sz w:val="16"/>
          <w:szCs w:val="16"/>
          <w:lang w:val="en-GB"/>
        </w:rPr>
        <w:t>7%</w:t>
      </w:r>
      <w:r>
        <w:rPr>
          <w:sz w:val="16"/>
          <w:szCs w:val="16"/>
          <w:lang w:val="en-GB"/>
        </w:rPr>
        <w:t xml:space="preserve"> last year and were by 2.2% lower year-on-year in Q4 itself. Quarter-on-quarter, the export prices increased by 0.6%. Prices of other materials plunged by 18.6% last year and mineral fuels by 0.9%. But prices of mineral fuels decreased by 13.7% year-on-year in Q4</w:t>
      </w:r>
      <w:r w:rsidRPr="00CA4D2D">
        <w:rPr>
          <w:sz w:val="16"/>
          <w:szCs w:val="16"/>
          <w:lang w:val="en-GB"/>
        </w:rPr>
        <w:t>.</w:t>
      </w:r>
    </w:p>
  </w:footnote>
  <w:footnote w:id="57">
    <w:p w14:paraId="139E2970" w14:textId="1CBE0B6E" w:rsidR="003B4260" w:rsidRPr="00C76025" w:rsidRDefault="003B4260" w:rsidP="00402689">
      <w:pPr>
        <w:pStyle w:val="Textpoznpodarou"/>
        <w:jc w:val="both"/>
        <w:rPr>
          <w:sz w:val="16"/>
          <w:szCs w:val="16"/>
          <w:lang w:val="en-GB"/>
        </w:rPr>
      </w:pPr>
      <w:r>
        <w:rPr>
          <w:rStyle w:val="Znakapoznpodarou"/>
          <w:sz w:val="16"/>
          <w:szCs w:val="16"/>
        </w:rPr>
        <w:footnoteRef/>
      </w:r>
      <w:r>
        <w:rPr>
          <w:sz w:val="16"/>
          <w:szCs w:val="16"/>
        </w:rPr>
        <w:t xml:space="preserve"> </w:t>
      </w:r>
      <w:r w:rsidRPr="00C76025">
        <w:rPr>
          <w:sz w:val="16"/>
          <w:szCs w:val="16"/>
          <w:lang w:val="en-GB"/>
        </w:rPr>
        <w:t xml:space="preserve">In connection with the sharp hike of prices in year 2022, the value of exports of electricity, gas, steam and air conditioning to Germany increased by 38.7 </w:t>
      </w:r>
      <w:proofErr w:type="spellStart"/>
      <w:r>
        <w:rPr>
          <w:sz w:val="16"/>
          <w:szCs w:val="16"/>
          <w:lang w:val="en-GB"/>
        </w:rPr>
        <w:t>bn</w:t>
      </w:r>
      <w:proofErr w:type="spellEnd"/>
      <w:r>
        <w:rPr>
          <w:sz w:val="16"/>
          <w:szCs w:val="16"/>
          <w:lang w:val="en-GB"/>
        </w:rPr>
        <w:t xml:space="preserve"> CZK</w:t>
      </w:r>
      <w:r w:rsidRPr="00C76025">
        <w:rPr>
          <w:sz w:val="16"/>
          <w:szCs w:val="16"/>
          <w:lang w:val="en-GB"/>
        </w:rPr>
        <w:t xml:space="preserve"> and it plunged by 30.8 </w:t>
      </w:r>
      <w:proofErr w:type="spellStart"/>
      <w:r w:rsidRPr="00C76025">
        <w:rPr>
          <w:sz w:val="16"/>
          <w:szCs w:val="16"/>
          <w:lang w:val="en-GB"/>
        </w:rPr>
        <w:t>bn</w:t>
      </w:r>
      <w:proofErr w:type="spellEnd"/>
      <w:r w:rsidRPr="00C76025">
        <w:rPr>
          <w:sz w:val="16"/>
          <w:szCs w:val="16"/>
          <w:lang w:val="en-GB"/>
        </w:rPr>
        <w:t xml:space="preserve"> last year. In case of Slovakia, following an increase of 15.6 </w:t>
      </w:r>
      <w:proofErr w:type="spellStart"/>
      <w:r>
        <w:rPr>
          <w:sz w:val="16"/>
          <w:szCs w:val="16"/>
          <w:lang w:val="en-GB"/>
        </w:rPr>
        <w:t>bn</w:t>
      </w:r>
      <w:proofErr w:type="spellEnd"/>
      <w:r>
        <w:rPr>
          <w:sz w:val="16"/>
          <w:szCs w:val="16"/>
          <w:lang w:val="en-GB"/>
        </w:rPr>
        <w:t xml:space="preserve"> CZK</w:t>
      </w:r>
      <w:r w:rsidRPr="00C76025">
        <w:rPr>
          <w:sz w:val="16"/>
          <w:szCs w:val="16"/>
          <w:lang w:val="en-GB"/>
        </w:rPr>
        <w:t xml:space="preserve"> a plunge of 30.9 </w:t>
      </w:r>
      <w:proofErr w:type="spellStart"/>
      <w:r w:rsidRPr="00C76025">
        <w:rPr>
          <w:sz w:val="16"/>
          <w:szCs w:val="16"/>
          <w:lang w:val="en-GB"/>
        </w:rPr>
        <w:t>bn</w:t>
      </w:r>
      <w:proofErr w:type="spellEnd"/>
      <w:r w:rsidRPr="00C76025">
        <w:rPr>
          <w:sz w:val="16"/>
          <w:szCs w:val="16"/>
          <w:lang w:val="en-GB"/>
        </w:rPr>
        <w:t xml:space="preserve"> followed last year. Similarly, the export of electricity into Austria increased by 8.9 </w:t>
      </w:r>
      <w:proofErr w:type="spellStart"/>
      <w:r>
        <w:rPr>
          <w:sz w:val="16"/>
          <w:szCs w:val="16"/>
          <w:lang w:val="en-GB"/>
        </w:rPr>
        <w:t>bn</w:t>
      </w:r>
      <w:proofErr w:type="spellEnd"/>
      <w:r>
        <w:rPr>
          <w:sz w:val="16"/>
          <w:szCs w:val="16"/>
          <w:lang w:val="en-GB"/>
        </w:rPr>
        <w:t xml:space="preserve"> CZK</w:t>
      </w:r>
      <w:r w:rsidRPr="00C76025">
        <w:rPr>
          <w:sz w:val="16"/>
          <w:szCs w:val="16"/>
          <w:lang w:val="en-GB"/>
        </w:rPr>
        <w:t xml:space="preserve"> in year 2022 and it fell by 9.1 </w:t>
      </w:r>
      <w:proofErr w:type="spellStart"/>
      <w:r w:rsidRPr="00C76025">
        <w:rPr>
          <w:sz w:val="16"/>
          <w:szCs w:val="16"/>
          <w:lang w:val="en-GB"/>
        </w:rPr>
        <w:t>bn</w:t>
      </w:r>
      <w:proofErr w:type="spellEnd"/>
      <w:r w:rsidRPr="00C76025">
        <w:rPr>
          <w:sz w:val="16"/>
          <w:szCs w:val="16"/>
          <w:lang w:val="en-GB"/>
        </w:rPr>
        <w:t xml:space="preserve"> last year.</w:t>
      </w:r>
    </w:p>
  </w:footnote>
  <w:footnote w:id="58">
    <w:p w14:paraId="35A87C23" w14:textId="3DBF1CAA" w:rsidR="003B4260" w:rsidRPr="005C179F" w:rsidRDefault="003B4260" w:rsidP="001B37CA">
      <w:pPr>
        <w:pStyle w:val="Textpoznpodarou"/>
        <w:jc w:val="both"/>
        <w:rPr>
          <w:sz w:val="16"/>
          <w:szCs w:val="16"/>
          <w:lang w:val="en-US"/>
        </w:rPr>
      </w:pPr>
      <w:r>
        <w:rPr>
          <w:rStyle w:val="Znakapoznpodarou"/>
          <w:sz w:val="16"/>
          <w:szCs w:val="16"/>
        </w:rPr>
        <w:footnoteRef/>
      </w:r>
      <w:r>
        <w:rPr>
          <w:sz w:val="16"/>
          <w:szCs w:val="16"/>
        </w:rPr>
        <w:t xml:space="preserve"> </w:t>
      </w:r>
      <w:proofErr w:type="spellStart"/>
      <w:r>
        <w:rPr>
          <w:sz w:val="16"/>
          <w:szCs w:val="16"/>
        </w:rPr>
        <w:t>Prices</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imports</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goods</w:t>
      </w:r>
      <w:proofErr w:type="spellEnd"/>
      <w:r>
        <w:rPr>
          <w:sz w:val="16"/>
          <w:szCs w:val="16"/>
        </w:rPr>
        <w:t xml:space="preserve"> </w:t>
      </w:r>
      <w:proofErr w:type="spellStart"/>
      <w:r>
        <w:rPr>
          <w:sz w:val="16"/>
          <w:szCs w:val="16"/>
        </w:rPr>
        <w:t>were</w:t>
      </w:r>
      <w:proofErr w:type="spellEnd"/>
      <w:r>
        <w:rPr>
          <w:sz w:val="16"/>
          <w:szCs w:val="16"/>
        </w:rPr>
        <w:t xml:space="preserve"> </w:t>
      </w:r>
      <w:proofErr w:type="spellStart"/>
      <w:r>
        <w:rPr>
          <w:sz w:val="16"/>
          <w:szCs w:val="16"/>
        </w:rPr>
        <w:t>lower</w:t>
      </w:r>
      <w:proofErr w:type="spellEnd"/>
      <w:r>
        <w:rPr>
          <w:sz w:val="16"/>
          <w:szCs w:val="16"/>
        </w:rPr>
        <w:t xml:space="preserve"> by </w:t>
      </w:r>
      <w:r w:rsidRPr="001B37CA">
        <w:rPr>
          <w:sz w:val="16"/>
          <w:szCs w:val="16"/>
          <w:lang w:val="en-GB"/>
        </w:rPr>
        <w:t>5</w:t>
      </w:r>
      <w:r>
        <w:rPr>
          <w:sz w:val="16"/>
          <w:szCs w:val="16"/>
          <w:lang w:val="en-GB"/>
        </w:rPr>
        <w:t>.</w:t>
      </w:r>
      <w:r w:rsidRPr="001B37CA">
        <w:rPr>
          <w:sz w:val="16"/>
          <w:szCs w:val="16"/>
          <w:lang w:val="en-GB"/>
        </w:rPr>
        <w:t>7%</w:t>
      </w:r>
      <w:r>
        <w:rPr>
          <w:sz w:val="16"/>
          <w:szCs w:val="16"/>
          <w:lang w:val="en-GB"/>
        </w:rPr>
        <w:t xml:space="preserve"> last year</w:t>
      </w:r>
      <w:r w:rsidRPr="001B37CA">
        <w:rPr>
          <w:sz w:val="16"/>
          <w:szCs w:val="16"/>
          <w:lang w:val="en-GB"/>
        </w:rPr>
        <w:t xml:space="preserve">. </w:t>
      </w:r>
      <w:r>
        <w:rPr>
          <w:sz w:val="16"/>
          <w:szCs w:val="16"/>
          <w:lang w:val="en-GB"/>
        </w:rPr>
        <w:t>In Q</w:t>
      </w:r>
      <w:r w:rsidRPr="001B37CA">
        <w:rPr>
          <w:sz w:val="16"/>
          <w:szCs w:val="16"/>
          <w:lang w:val="en-GB"/>
        </w:rPr>
        <w:t>4</w:t>
      </w:r>
      <w:r>
        <w:rPr>
          <w:sz w:val="16"/>
          <w:szCs w:val="16"/>
          <w:lang w:val="en-GB"/>
        </w:rPr>
        <w:t xml:space="preserve">, they fell by </w:t>
      </w:r>
      <w:r w:rsidRPr="001B37CA">
        <w:rPr>
          <w:sz w:val="16"/>
          <w:szCs w:val="16"/>
          <w:lang w:val="en-GB"/>
        </w:rPr>
        <w:t>6</w:t>
      </w:r>
      <w:r>
        <w:rPr>
          <w:sz w:val="16"/>
          <w:szCs w:val="16"/>
          <w:lang w:val="en-GB"/>
        </w:rPr>
        <w:t>.</w:t>
      </w:r>
      <w:r w:rsidRPr="001B37CA">
        <w:rPr>
          <w:sz w:val="16"/>
          <w:szCs w:val="16"/>
          <w:lang w:val="en-GB"/>
        </w:rPr>
        <w:t>1%</w:t>
      </w:r>
      <w:r>
        <w:rPr>
          <w:sz w:val="16"/>
          <w:szCs w:val="16"/>
          <w:lang w:val="en-GB"/>
        </w:rPr>
        <w:t xml:space="preserve"> year-on-year and increased by </w:t>
      </w:r>
      <w:r w:rsidRPr="001B37CA">
        <w:rPr>
          <w:sz w:val="16"/>
          <w:szCs w:val="16"/>
          <w:lang w:val="en-GB"/>
        </w:rPr>
        <w:t>1</w:t>
      </w:r>
      <w:r>
        <w:rPr>
          <w:sz w:val="16"/>
          <w:szCs w:val="16"/>
          <w:lang w:val="en-GB"/>
        </w:rPr>
        <w:t>.</w:t>
      </w:r>
      <w:r w:rsidRPr="001B37CA">
        <w:rPr>
          <w:sz w:val="16"/>
          <w:szCs w:val="16"/>
          <w:lang w:val="en-GB"/>
        </w:rPr>
        <w:t>5%</w:t>
      </w:r>
      <w:r>
        <w:rPr>
          <w:sz w:val="16"/>
          <w:szCs w:val="16"/>
          <w:lang w:val="en-GB"/>
        </w:rPr>
        <w:t xml:space="preserve"> quarter-on-quarter</w:t>
      </w:r>
      <w:r w:rsidRPr="001B37CA">
        <w:rPr>
          <w:sz w:val="16"/>
          <w:szCs w:val="16"/>
          <w:lang w:val="en-GB"/>
        </w:rPr>
        <w:t xml:space="preserve">. </w:t>
      </w:r>
      <w:r w:rsidRPr="005C179F">
        <w:rPr>
          <w:sz w:val="16"/>
          <w:szCs w:val="16"/>
          <w:lang w:val="en-US"/>
        </w:rPr>
        <w:t xml:space="preserve">Prices of imports of </w:t>
      </w:r>
      <w:r>
        <w:rPr>
          <w:sz w:val="16"/>
          <w:szCs w:val="16"/>
          <w:lang w:val="en-US"/>
        </w:rPr>
        <w:t xml:space="preserve">mineral fuels dropped by </w:t>
      </w:r>
      <w:r w:rsidRPr="005C179F">
        <w:rPr>
          <w:sz w:val="16"/>
          <w:szCs w:val="16"/>
          <w:lang w:val="en-US"/>
        </w:rPr>
        <w:t>27</w:t>
      </w:r>
      <w:r>
        <w:rPr>
          <w:sz w:val="16"/>
          <w:szCs w:val="16"/>
          <w:lang w:val="en-US"/>
        </w:rPr>
        <w:t>.</w:t>
      </w:r>
      <w:r w:rsidRPr="005C179F">
        <w:rPr>
          <w:sz w:val="16"/>
          <w:szCs w:val="16"/>
          <w:lang w:val="en-US"/>
        </w:rPr>
        <w:t>7%</w:t>
      </w:r>
      <w:r>
        <w:rPr>
          <w:sz w:val="16"/>
          <w:szCs w:val="16"/>
          <w:lang w:val="en-US"/>
        </w:rPr>
        <w:t xml:space="preserve"> last year</w:t>
      </w:r>
      <w:r w:rsidRPr="005C179F">
        <w:rPr>
          <w:sz w:val="16"/>
          <w:szCs w:val="16"/>
          <w:lang w:val="en-US"/>
        </w:rPr>
        <w:t>, o</w:t>
      </w:r>
      <w:r>
        <w:rPr>
          <w:sz w:val="16"/>
          <w:szCs w:val="16"/>
          <w:lang w:val="en-US"/>
        </w:rPr>
        <w:t xml:space="preserve">ther materials by </w:t>
      </w:r>
      <w:r w:rsidRPr="005C179F">
        <w:rPr>
          <w:sz w:val="16"/>
          <w:szCs w:val="16"/>
          <w:lang w:val="en-US"/>
        </w:rPr>
        <w:t>10</w:t>
      </w:r>
      <w:r>
        <w:rPr>
          <w:sz w:val="16"/>
          <w:szCs w:val="16"/>
          <w:lang w:val="en-US"/>
        </w:rPr>
        <w:t>.</w:t>
      </w:r>
      <w:r w:rsidRPr="005C179F">
        <w:rPr>
          <w:sz w:val="16"/>
          <w:szCs w:val="16"/>
          <w:lang w:val="en-US"/>
        </w:rPr>
        <w:t>7% a</w:t>
      </w:r>
      <w:r>
        <w:rPr>
          <w:sz w:val="16"/>
          <w:szCs w:val="16"/>
          <w:lang w:val="en-US"/>
        </w:rPr>
        <w:t xml:space="preserve">nd chemicals by </w:t>
      </w:r>
      <w:r w:rsidRPr="005C179F">
        <w:rPr>
          <w:sz w:val="16"/>
          <w:szCs w:val="16"/>
          <w:lang w:val="en-US"/>
        </w:rPr>
        <w:t>7</w:t>
      </w:r>
      <w:r>
        <w:rPr>
          <w:sz w:val="16"/>
          <w:szCs w:val="16"/>
          <w:lang w:val="en-US"/>
        </w:rPr>
        <w:t>.</w:t>
      </w:r>
      <w:r w:rsidRPr="005C179F">
        <w:rPr>
          <w:sz w:val="16"/>
          <w:szCs w:val="16"/>
          <w:lang w:val="en-US"/>
        </w:rPr>
        <w:t>9%.</w:t>
      </w:r>
    </w:p>
  </w:footnote>
  <w:footnote w:id="59">
    <w:p w14:paraId="1BAF2B60" w14:textId="44BE26C7" w:rsidR="003B4260" w:rsidRPr="000F3B71" w:rsidRDefault="003B4260" w:rsidP="000F3B71">
      <w:pPr>
        <w:pStyle w:val="Textpoznpodarou"/>
        <w:jc w:val="both"/>
        <w:rPr>
          <w:sz w:val="16"/>
          <w:szCs w:val="16"/>
          <w:lang w:val="en-GB"/>
        </w:rPr>
      </w:pPr>
      <w:r>
        <w:rPr>
          <w:rStyle w:val="Znakapoznpodarou"/>
          <w:sz w:val="16"/>
          <w:szCs w:val="16"/>
        </w:rPr>
        <w:footnoteRef/>
      </w:r>
      <w:r>
        <w:rPr>
          <w:sz w:val="16"/>
          <w:szCs w:val="16"/>
        </w:rPr>
        <w:t xml:space="preserve"> </w:t>
      </w:r>
      <w:proofErr w:type="spellStart"/>
      <w:r>
        <w:rPr>
          <w:sz w:val="16"/>
          <w:szCs w:val="16"/>
        </w:rPr>
        <w:t>View</w:t>
      </w:r>
      <w:proofErr w:type="spellEnd"/>
      <w:r>
        <w:rPr>
          <w:sz w:val="16"/>
          <w:szCs w:val="16"/>
        </w:rPr>
        <w:t xml:space="preserve"> on </w:t>
      </w:r>
      <w:proofErr w:type="spellStart"/>
      <w:r>
        <w:rPr>
          <w:sz w:val="16"/>
          <w:szCs w:val="16"/>
        </w:rPr>
        <w:t>the</w:t>
      </w:r>
      <w:proofErr w:type="spellEnd"/>
      <w:r>
        <w:rPr>
          <w:sz w:val="16"/>
          <w:szCs w:val="16"/>
        </w:rPr>
        <w:t xml:space="preserve"> </w:t>
      </w:r>
      <w:proofErr w:type="spellStart"/>
      <w:r>
        <w:rPr>
          <w:sz w:val="16"/>
          <w:szCs w:val="16"/>
        </w:rPr>
        <w:t>development</w:t>
      </w:r>
      <w:proofErr w:type="spellEnd"/>
      <w:r>
        <w:rPr>
          <w:sz w:val="16"/>
          <w:szCs w:val="16"/>
        </w:rPr>
        <w:t xml:space="preserve"> in </w:t>
      </w:r>
      <w:proofErr w:type="spellStart"/>
      <w:r>
        <w:rPr>
          <w:sz w:val="16"/>
          <w:szCs w:val="16"/>
        </w:rPr>
        <w:t>the</w:t>
      </w:r>
      <w:proofErr w:type="spellEnd"/>
      <w:r>
        <w:rPr>
          <w:sz w:val="16"/>
          <w:szCs w:val="16"/>
        </w:rPr>
        <w:t xml:space="preserve"> last ten </w:t>
      </w:r>
      <w:proofErr w:type="spellStart"/>
      <w:r>
        <w:rPr>
          <w:sz w:val="16"/>
          <w:szCs w:val="16"/>
        </w:rPr>
        <w:t>years</w:t>
      </w:r>
      <w:proofErr w:type="spellEnd"/>
      <w:r>
        <w:rPr>
          <w:sz w:val="16"/>
          <w:szCs w:val="16"/>
        </w:rPr>
        <w:t xml:space="preserve"> </w:t>
      </w:r>
      <w:proofErr w:type="spellStart"/>
      <w:r>
        <w:rPr>
          <w:sz w:val="16"/>
          <w:szCs w:val="16"/>
        </w:rPr>
        <w:t>shows</w:t>
      </w:r>
      <w:proofErr w:type="spellEnd"/>
      <w:r>
        <w:rPr>
          <w:sz w:val="16"/>
          <w:szCs w:val="16"/>
        </w:rPr>
        <w:t xml:space="preserve">, </w:t>
      </w:r>
      <w:proofErr w:type="spellStart"/>
      <w:r>
        <w:rPr>
          <w:sz w:val="16"/>
          <w:szCs w:val="16"/>
        </w:rPr>
        <w:t>that</w:t>
      </w:r>
      <w:proofErr w:type="spellEnd"/>
      <w:r>
        <w:rPr>
          <w:sz w:val="16"/>
          <w:szCs w:val="16"/>
        </w:rPr>
        <w:t xml:space="preserve"> </w:t>
      </w:r>
      <w:proofErr w:type="spellStart"/>
      <w:r>
        <w:rPr>
          <w:sz w:val="16"/>
          <w:szCs w:val="16"/>
        </w:rPr>
        <w:t>the</w:t>
      </w:r>
      <w:proofErr w:type="spellEnd"/>
      <w:r>
        <w:rPr>
          <w:sz w:val="16"/>
          <w:szCs w:val="16"/>
        </w:rPr>
        <w:t xml:space="preserve"> positive balance </w:t>
      </w:r>
      <w:proofErr w:type="spellStart"/>
      <w:r>
        <w:rPr>
          <w:sz w:val="16"/>
          <w:szCs w:val="16"/>
        </w:rPr>
        <w:t>of</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international</w:t>
      </w:r>
      <w:proofErr w:type="spellEnd"/>
      <w:r>
        <w:rPr>
          <w:sz w:val="16"/>
          <w:szCs w:val="16"/>
        </w:rPr>
        <w:t xml:space="preserve"> </w:t>
      </w:r>
      <w:proofErr w:type="spellStart"/>
      <w:r>
        <w:rPr>
          <w:sz w:val="16"/>
          <w:szCs w:val="16"/>
        </w:rPr>
        <w:t>trade</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goods</w:t>
      </w:r>
      <w:proofErr w:type="spellEnd"/>
      <w:r>
        <w:rPr>
          <w:sz w:val="16"/>
          <w:szCs w:val="16"/>
        </w:rPr>
        <w:t xml:space="preserve"> </w:t>
      </w:r>
      <w:proofErr w:type="spellStart"/>
      <w:r>
        <w:rPr>
          <w:sz w:val="16"/>
          <w:szCs w:val="16"/>
        </w:rPr>
        <w:t>was</w:t>
      </w:r>
      <w:proofErr w:type="spellEnd"/>
      <w:r>
        <w:rPr>
          <w:sz w:val="16"/>
          <w:szCs w:val="16"/>
        </w:rPr>
        <w:t xml:space="preserve"> </w:t>
      </w:r>
      <w:proofErr w:type="spellStart"/>
      <w:r>
        <w:rPr>
          <w:sz w:val="16"/>
          <w:szCs w:val="16"/>
        </w:rPr>
        <w:t>higher</w:t>
      </w:r>
      <w:proofErr w:type="spellEnd"/>
      <w:r>
        <w:rPr>
          <w:sz w:val="16"/>
          <w:szCs w:val="16"/>
        </w:rPr>
        <w:t xml:space="preserve"> in </w:t>
      </w:r>
      <w:proofErr w:type="spellStart"/>
      <w:r>
        <w:rPr>
          <w:sz w:val="16"/>
          <w:szCs w:val="16"/>
        </w:rPr>
        <w:t>years</w:t>
      </w:r>
      <w:proofErr w:type="spellEnd"/>
      <w:r>
        <w:rPr>
          <w:sz w:val="16"/>
          <w:szCs w:val="16"/>
        </w:rPr>
        <w:t xml:space="preserve"> </w:t>
      </w:r>
      <w:r w:rsidRPr="000F3B71">
        <w:rPr>
          <w:sz w:val="16"/>
          <w:szCs w:val="16"/>
          <w:lang w:val="en-GB"/>
        </w:rPr>
        <w:t>2014–2017 a</w:t>
      </w:r>
      <w:r>
        <w:rPr>
          <w:sz w:val="16"/>
          <w:szCs w:val="16"/>
          <w:lang w:val="en-GB"/>
        </w:rPr>
        <w:t>nd</w:t>
      </w:r>
      <w:r w:rsidRPr="000F3B71">
        <w:rPr>
          <w:sz w:val="16"/>
          <w:szCs w:val="16"/>
          <w:lang w:val="en-GB"/>
        </w:rPr>
        <w:t xml:space="preserve"> 2019–2020.   </w:t>
      </w:r>
    </w:p>
  </w:footnote>
  <w:footnote w:id="60">
    <w:p w14:paraId="6C72D3BA" w14:textId="36663CFD" w:rsidR="003B4260" w:rsidRPr="000B1A37" w:rsidRDefault="003B4260" w:rsidP="004E0434">
      <w:pPr>
        <w:pStyle w:val="Textpoznpodarou"/>
        <w:jc w:val="both"/>
        <w:rPr>
          <w:sz w:val="16"/>
          <w:szCs w:val="16"/>
        </w:rPr>
      </w:pPr>
      <w:r>
        <w:rPr>
          <w:rStyle w:val="Znakapoznpodarou"/>
          <w:sz w:val="16"/>
          <w:szCs w:val="16"/>
        </w:rPr>
        <w:footnoteRef/>
      </w:r>
      <w:r>
        <w:rPr>
          <w:sz w:val="16"/>
          <w:szCs w:val="16"/>
        </w:rPr>
        <w:t xml:space="preserve"> </w:t>
      </w:r>
      <w:r w:rsidRPr="00A14F4D">
        <w:rPr>
          <w:sz w:val="16"/>
          <w:szCs w:val="16"/>
          <w:lang w:val="en-GB"/>
        </w:rPr>
        <w:t xml:space="preserve">Imputed rent expresses the cost of owner living. Apart from prices of housing themselves, it also contains the cost of construction and renovation and further fees. </w:t>
      </w:r>
      <w:hyperlink r:id="rId2" w:history="1">
        <w:r>
          <w:rPr>
            <w:rStyle w:val="Hypertextovodkaz"/>
            <w:sz w:val="16"/>
            <w:szCs w:val="16"/>
          </w:rPr>
          <w:t>https://www.czso.cz/csu/czso/methodological-note-to-consumer-price-index-imputed-rentals</w:t>
        </w:r>
      </w:hyperlink>
      <w:r w:rsidRPr="000B1A37">
        <w:rPr>
          <w:rStyle w:val="Hypertextovodkaz"/>
          <w:sz w:val="16"/>
          <w:szCs w:val="16"/>
        </w:rPr>
        <w:t>.</w:t>
      </w:r>
    </w:p>
  </w:footnote>
  <w:footnote w:id="61">
    <w:p w14:paraId="0C3183EE" w14:textId="2A0904D6" w:rsidR="003B4260" w:rsidRPr="0034741E" w:rsidRDefault="003B4260" w:rsidP="0034741E">
      <w:pPr>
        <w:pStyle w:val="Textpoznpodarou"/>
        <w:jc w:val="both"/>
        <w:rPr>
          <w:sz w:val="16"/>
          <w:szCs w:val="16"/>
          <w:lang w:val="en-GB"/>
        </w:rPr>
      </w:pPr>
      <w:r>
        <w:rPr>
          <w:rStyle w:val="Znakapoznpodarou"/>
          <w:sz w:val="16"/>
          <w:szCs w:val="16"/>
        </w:rPr>
        <w:footnoteRef/>
      </w:r>
      <w:r>
        <w:rPr>
          <w:sz w:val="16"/>
          <w:szCs w:val="16"/>
        </w:rPr>
        <w:t xml:space="preserve"> </w:t>
      </w:r>
      <w:r w:rsidRPr="00247B13">
        <w:rPr>
          <w:sz w:val="16"/>
          <w:szCs w:val="16"/>
          <w:lang w:val="en-GB"/>
        </w:rPr>
        <w:t>Co</w:t>
      </w:r>
      <w:r>
        <w:rPr>
          <w:sz w:val="16"/>
          <w:szCs w:val="16"/>
          <w:lang w:val="en-GB"/>
        </w:rPr>
        <w:t xml:space="preserve">ntains </w:t>
      </w:r>
      <w:r w:rsidRPr="00247B13">
        <w:rPr>
          <w:sz w:val="16"/>
          <w:szCs w:val="16"/>
          <w:lang w:val="en-GB"/>
        </w:rPr>
        <w:t>services of personal care and personal need</w:t>
      </w:r>
      <w:r>
        <w:rPr>
          <w:sz w:val="16"/>
          <w:szCs w:val="16"/>
          <w:lang w:val="en-GB"/>
        </w:rPr>
        <w:t>s</w:t>
      </w:r>
      <w:r w:rsidRPr="00247B13">
        <w:rPr>
          <w:sz w:val="16"/>
          <w:szCs w:val="16"/>
          <w:lang w:val="en-GB"/>
        </w:rPr>
        <w:t xml:space="preserve"> and accessories, social care, insurance and further financial services etc</w:t>
      </w:r>
      <w:r>
        <w:rPr>
          <w:sz w:val="16"/>
          <w:szCs w:val="16"/>
          <w:lang w:val="en-GB"/>
        </w:rPr>
        <w:t xml:space="preserve">. </w:t>
      </w:r>
    </w:p>
  </w:footnote>
  <w:footnote w:id="62">
    <w:p w14:paraId="629EF097" w14:textId="50306A91" w:rsidR="003B4260" w:rsidRPr="00E749D9" w:rsidRDefault="003B4260" w:rsidP="00E749D9">
      <w:pPr>
        <w:pStyle w:val="Textpoznpodarou"/>
        <w:jc w:val="both"/>
        <w:rPr>
          <w:sz w:val="16"/>
          <w:szCs w:val="16"/>
        </w:rPr>
      </w:pPr>
      <w:r w:rsidRPr="0034741E">
        <w:rPr>
          <w:rStyle w:val="Znakapoznpodarou"/>
          <w:sz w:val="16"/>
          <w:szCs w:val="16"/>
          <w:lang w:val="en-GB"/>
        </w:rPr>
        <w:footnoteRef/>
      </w:r>
      <w:r w:rsidRPr="0034741E">
        <w:rPr>
          <w:sz w:val="16"/>
          <w:szCs w:val="16"/>
          <w:lang w:val="en-GB"/>
        </w:rPr>
        <w:t xml:space="preserve"> </w:t>
      </w:r>
      <w:r>
        <w:rPr>
          <w:sz w:val="16"/>
          <w:szCs w:val="16"/>
          <w:lang w:val="en-GB"/>
        </w:rPr>
        <w:t xml:space="preserve">Contrary to the consumer price index, which is compiled by the CZSO for the Czech economy, </w:t>
      </w:r>
      <w:r w:rsidRPr="00B10B82">
        <w:rPr>
          <w:sz w:val="16"/>
          <w:szCs w:val="16"/>
          <w:lang w:val="en-GB"/>
        </w:rPr>
        <w:t>HICP</w:t>
      </w:r>
      <w:r>
        <w:rPr>
          <w:sz w:val="16"/>
          <w:szCs w:val="16"/>
          <w:lang w:val="en-GB"/>
        </w:rPr>
        <w:t xml:space="preserve"> does not include imputed rent, which is the main reason for the difference between the HICP and Consumer price index. </w:t>
      </w:r>
    </w:p>
  </w:footnote>
  <w:footnote w:id="63">
    <w:p w14:paraId="377F5246" w14:textId="77777777" w:rsidR="003B4260" w:rsidRDefault="003B4260" w:rsidP="004135BB">
      <w:pPr>
        <w:pStyle w:val="Textpoznpodarou"/>
        <w:jc w:val="both"/>
        <w:rPr>
          <w:sz w:val="16"/>
          <w:szCs w:val="16"/>
        </w:rPr>
      </w:pPr>
      <w:r>
        <w:rPr>
          <w:rStyle w:val="Znakapoznpodarou"/>
          <w:sz w:val="16"/>
          <w:szCs w:val="16"/>
        </w:rPr>
        <w:footnoteRef/>
      </w:r>
      <w:r>
        <w:rPr>
          <w:sz w:val="16"/>
          <w:szCs w:val="16"/>
        </w:rPr>
        <w:t xml:space="preserve"> </w:t>
      </w:r>
      <w:proofErr w:type="spellStart"/>
      <w:r>
        <w:rPr>
          <w:sz w:val="16"/>
          <w:szCs w:val="16"/>
        </w:rPr>
        <w:t>Precise</w:t>
      </w:r>
      <w:proofErr w:type="spellEnd"/>
      <w:r>
        <w:rPr>
          <w:sz w:val="16"/>
          <w:szCs w:val="16"/>
        </w:rPr>
        <w:t xml:space="preserve"> </w:t>
      </w:r>
      <w:r w:rsidRPr="00E35D83">
        <w:rPr>
          <w:sz w:val="16"/>
          <w:szCs w:val="16"/>
          <w:lang w:val="en-GB"/>
        </w:rPr>
        <w:t>values of the indicator are not provided due to the protection of individual data.</w:t>
      </w:r>
      <w:r>
        <w:rPr>
          <w:sz w:val="16"/>
          <w:szCs w:val="16"/>
          <w:lang w:val="en-GB"/>
        </w:rPr>
        <w:t xml:space="preserve"> </w:t>
      </w:r>
    </w:p>
  </w:footnote>
  <w:footnote w:id="64">
    <w:p w14:paraId="12940FA8" w14:textId="45DD58B6" w:rsidR="003B4260" w:rsidRDefault="003B4260" w:rsidP="00CD3D33">
      <w:pPr>
        <w:pStyle w:val="Textpoznpodarou"/>
        <w:rPr>
          <w:sz w:val="16"/>
          <w:szCs w:val="16"/>
        </w:rPr>
      </w:pPr>
      <w:r>
        <w:rPr>
          <w:rStyle w:val="Znakapoznpodarou"/>
          <w:sz w:val="16"/>
          <w:szCs w:val="16"/>
        </w:rPr>
        <w:footnoteRef/>
      </w:r>
      <w:r>
        <w:rPr>
          <w:sz w:val="16"/>
          <w:szCs w:val="16"/>
        </w:rPr>
        <w:t xml:space="preserve"> </w:t>
      </w:r>
      <w:r w:rsidRPr="00DE6E29">
        <w:rPr>
          <w:sz w:val="16"/>
          <w:szCs w:val="16"/>
          <w:lang w:val="en-GB"/>
        </w:rPr>
        <w:t xml:space="preserve">Without prices of water distribution and </w:t>
      </w:r>
      <w:r>
        <w:rPr>
          <w:sz w:val="16"/>
          <w:szCs w:val="16"/>
          <w:lang w:val="en-GB"/>
        </w:rPr>
        <w:t>s</w:t>
      </w:r>
      <w:r w:rsidRPr="00DE6E29">
        <w:rPr>
          <w:sz w:val="16"/>
          <w:szCs w:val="16"/>
          <w:lang w:val="en-GB"/>
        </w:rPr>
        <w:t xml:space="preserve">ervices associated with wastewaters. </w:t>
      </w:r>
    </w:p>
  </w:footnote>
  <w:footnote w:id="65">
    <w:p w14:paraId="55295887" w14:textId="603AD61F" w:rsidR="003B4260" w:rsidRPr="00040D93" w:rsidRDefault="003B4260" w:rsidP="00040D93">
      <w:pPr>
        <w:pStyle w:val="Textpoznpodarou"/>
        <w:jc w:val="both"/>
        <w:rPr>
          <w:sz w:val="16"/>
          <w:szCs w:val="16"/>
          <w:lang w:val="en-GB"/>
        </w:rPr>
      </w:pPr>
      <w:r>
        <w:rPr>
          <w:rStyle w:val="Znakapoznpodarou"/>
          <w:sz w:val="16"/>
          <w:szCs w:val="16"/>
        </w:rPr>
        <w:footnoteRef/>
      </w:r>
      <w:r>
        <w:rPr>
          <w:sz w:val="16"/>
          <w:szCs w:val="16"/>
        </w:rPr>
        <w:t xml:space="preserve"> </w:t>
      </w:r>
      <w:r w:rsidRPr="00940B11">
        <w:rPr>
          <w:sz w:val="16"/>
          <w:szCs w:val="16"/>
        </w:rPr>
        <w:t>SITC</w:t>
      </w:r>
      <w:r>
        <w:rPr>
          <w:sz w:val="16"/>
          <w:szCs w:val="16"/>
        </w:rPr>
        <w:t> </w:t>
      </w:r>
      <w:r w:rsidRPr="00940B11">
        <w:rPr>
          <w:sz w:val="16"/>
          <w:szCs w:val="16"/>
        </w:rPr>
        <w:t>2</w:t>
      </w:r>
      <w:r>
        <w:rPr>
          <w:sz w:val="16"/>
          <w:szCs w:val="16"/>
        </w:rPr>
        <w:t> </w:t>
      </w:r>
      <w:r w:rsidRPr="00940B11">
        <w:rPr>
          <w:sz w:val="16"/>
          <w:szCs w:val="16"/>
        </w:rPr>
        <w:t xml:space="preserve">– </w:t>
      </w:r>
      <w:r w:rsidRPr="00A25E62">
        <w:rPr>
          <w:sz w:val="16"/>
          <w:szCs w:val="16"/>
          <w:lang w:val="en-GB"/>
        </w:rPr>
        <w:t>crude materials inedible, except fuels</w:t>
      </w:r>
      <w:r>
        <w:rPr>
          <w:sz w:val="16"/>
          <w:szCs w:val="16"/>
          <w:lang w:val="en-GB"/>
        </w:rPr>
        <w:t xml:space="preserve">. </w:t>
      </w:r>
    </w:p>
  </w:footnote>
  <w:footnote w:id="66">
    <w:p w14:paraId="2E360B3C" w14:textId="6C4EB1CA" w:rsidR="003B4260" w:rsidRPr="00040D93" w:rsidRDefault="003B4260" w:rsidP="00C733B3">
      <w:pPr>
        <w:pStyle w:val="Textpoznpodarou"/>
        <w:jc w:val="both"/>
        <w:rPr>
          <w:sz w:val="16"/>
          <w:szCs w:val="16"/>
          <w:lang w:val="en-GB"/>
        </w:rPr>
      </w:pPr>
      <w:r w:rsidRPr="00040D93">
        <w:rPr>
          <w:rStyle w:val="Znakapoznpodarou"/>
          <w:sz w:val="16"/>
          <w:szCs w:val="16"/>
          <w:lang w:val="en-GB"/>
        </w:rPr>
        <w:footnoteRef/>
      </w:r>
      <w:r w:rsidRPr="00040D93">
        <w:rPr>
          <w:sz w:val="16"/>
          <w:szCs w:val="16"/>
          <w:lang w:val="en-GB"/>
        </w:rPr>
        <w:t xml:space="preserve"> </w:t>
      </w:r>
      <w:r>
        <w:rPr>
          <w:sz w:val="16"/>
          <w:szCs w:val="16"/>
          <w:lang w:val="en-GB"/>
        </w:rPr>
        <w:t>Based on the CNB data, th</w:t>
      </w:r>
      <w:r w:rsidRPr="00A25E62">
        <w:rPr>
          <w:sz w:val="16"/>
          <w:szCs w:val="16"/>
          <w:lang w:val="en-GB"/>
        </w:rPr>
        <w:t xml:space="preserve">e average koruna foreign </w:t>
      </w:r>
      <w:r>
        <w:rPr>
          <w:sz w:val="16"/>
          <w:szCs w:val="16"/>
          <w:lang w:val="en-GB"/>
        </w:rPr>
        <w:t>e</w:t>
      </w:r>
      <w:r w:rsidRPr="00A25E62">
        <w:rPr>
          <w:sz w:val="16"/>
          <w:szCs w:val="16"/>
          <w:lang w:val="en-GB"/>
        </w:rPr>
        <w:t xml:space="preserve">xchange per euro reached </w:t>
      </w:r>
      <w:r>
        <w:rPr>
          <w:sz w:val="16"/>
          <w:szCs w:val="16"/>
          <w:lang w:val="en-GB"/>
        </w:rPr>
        <w:t xml:space="preserve">2.521 CZK/EUR in Q4 2023. It was 24.387 CZK/EUR in the year 2022. Koruna foreign exchange per dollar markedly strengthened year-on-year. </w:t>
      </w:r>
      <w:r w:rsidRPr="00A25E62">
        <w:rPr>
          <w:sz w:val="16"/>
          <w:szCs w:val="16"/>
          <w:lang w:val="en-GB"/>
        </w:rPr>
        <w:t>The average was 2</w:t>
      </w:r>
      <w:r>
        <w:rPr>
          <w:sz w:val="16"/>
          <w:szCs w:val="16"/>
          <w:lang w:val="en-GB"/>
        </w:rPr>
        <w:t>3</w:t>
      </w:r>
      <w:r w:rsidRPr="00A25E62">
        <w:rPr>
          <w:sz w:val="16"/>
          <w:szCs w:val="16"/>
          <w:lang w:val="en-GB"/>
        </w:rPr>
        <w:t>.</w:t>
      </w:r>
      <w:r>
        <w:rPr>
          <w:sz w:val="16"/>
          <w:szCs w:val="16"/>
          <w:lang w:val="en-GB"/>
        </w:rPr>
        <w:t>923</w:t>
      </w:r>
      <w:r w:rsidRPr="00A25E62">
        <w:rPr>
          <w:sz w:val="16"/>
          <w:szCs w:val="16"/>
          <w:lang w:val="en-GB"/>
        </w:rPr>
        <w:t> CZK/USD</w:t>
      </w:r>
      <w:r>
        <w:rPr>
          <w:sz w:val="16"/>
          <w:szCs w:val="16"/>
          <w:lang w:val="en-GB"/>
        </w:rPr>
        <w:t xml:space="preserve"> in Q4 2022 and 22.820 CZK/USD this year.</w:t>
      </w:r>
    </w:p>
  </w:footnote>
  <w:footnote w:id="67">
    <w:p w14:paraId="6A59CE9E" w14:textId="23F25F9C" w:rsidR="003B4260" w:rsidRPr="00040D93" w:rsidRDefault="003B4260" w:rsidP="00040D93">
      <w:pPr>
        <w:pStyle w:val="Textpoznpodarou"/>
        <w:jc w:val="both"/>
        <w:rPr>
          <w:sz w:val="16"/>
          <w:szCs w:val="16"/>
          <w:lang w:val="en-GB"/>
        </w:rPr>
      </w:pPr>
      <w:r w:rsidRPr="00040D93">
        <w:rPr>
          <w:rStyle w:val="Znakapoznpodarou"/>
          <w:sz w:val="16"/>
          <w:szCs w:val="16"/>
          <w:lang w:val="en-GB"/>
        </w:rPr>
        <w:footnoteRef/>
      </w:r>
      <w:r w:rsidRPr="00040D93">
        <w:rPr>
          <w:sz w:val="16"/>
          <w:szCs w:val="16"/>
          <w:lang w:val="en-GB"/>
        </w:rPr>
        <w:t xml:space="preserve"> </w:t>
      </w:r>
      <w:r w:rsidRPr="00940B11">
        <w:rPr>
          <w:sz w:val="16"/>
          <w:szCs w:val="16"/>
        </w:rPr>
        <w:t>SITC</w:t>
      </w:r>
      <w:r>
        <w:rPr>
          <w:sz w:val="16"/>
          <w:szCs w:val="16"/>
        </w:rPr>
        <w:t> </w:t>
      </w:r>
      <w:r w:rsidRPr="00940B11">
        <w:rPr>
          <w:sz w:val="16"/>
          <w:szCs w:val="16"/>
        </w:rPr>
        <w:t>6</w:t>
      </w:r>
      <w:r>
        <w:rPr>
          <w:sz w:val="16"/>
          <w:szCs w:val="16"/>
        </w:rPr>
        <w:t> </w:t>
      </w:r>
      <w:r w:rsidRPr="00940B11">
        <w:rPr>
          <w:sz w:val="16"/>
          <w:szCs w:val="16"/>
        </w:rPr>
        <w:t xml:space="preserve">– </w:t>
      </w:r>
      <w:r w:rsidRPr="00A25E62">
        <w:rPr>
          <w:sz w:val="16"/>
          <w:szCs w:val="16"/>
          <w:lang w:val="en-GB"/>
        </w:rPr>
        <w:t>m</w:t>
      </w:r>
      <w:r w:rsidRPr="00217809">
        <w:rPr>
          <w:sz w:val="16"/>
          <w:szCs w:val="16"/>
          <w:lang w:val="en-GB"/>
        </w:rPr>
        <w:t>anufactured goods classified chiefly by material</w:t>
      </w:r>
      <w:r>
        <w:rPr>
          <w:sz w:val="16"/>
          <w:szCs w:val="16"/>
        </w:rPr>
        <w:t>.</w:t>
      </w:r>
    </w:p>
  </w:footnote>
  <w:footnote w:id="68">
    <w:p w14:paraId="5C5D5F9E" w14:textId="772DF61C" w:rsidR="003B4260" w:rsidRPr="001D1C56" w:rsidRDefault="003B4260" w:rsidP="005A53E4">
      <w:pPr>
        <w:pStyle w:val="Textpoznpodarou"/>
        <w:jc w:val="both"/>
        <w:rPr>
          <w:color w:val="0D0D0D" w:themeColor="text1" w:themeTint="F2"/>
          <w:spacing w:val="-2"/>
          <w:sz w:val="16"/>
          <w:szCs w:val="16"/>
          <w:lang w:val="en-GB"/>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w:t>
      </w:r>
      <w:r w:rsidRPr="009E74B3">
        <w:rPr>
          <w:sz w:val="16"/>
          <w:szCs w:val="16"/>
          <w:lang w:val="en-GB"/>
        </w:rPr>
        <w:t>Data regarding employment stem from the national accounts’ conception. They are expressed in physical persons and adjusted for seasonal effects</w:t>
      </w:r>
      <w:r w:rsidRPr="009E74B3">
        <w:rPr>
          <w:spacing w:val="-6"/>
          <w:sz w:val="16"/>
          <w:szCs w:val="16"/>
          <w:lang w:val="en-GB"/>
        </w:rPr>
        <w:t>.</w:t>
      </w:r>
      <w:r>
        <w:rPr>
          <w:spacing w:val="-6"/>
          <w:sz w:val="16"/>
          <w:szCs w:val="16"/>
          <w:lang w:val="en-GB"/>
        </w:rPr>
        <w:t xml:space="preserve"> Unlike the data from the business statistics or the labour force sample survey </w:t>
      </w:r>
      <w:r w:rsidRPr="001D1C56">
        <w:rPr>
          <w:sz w:val="16"/>
          <w:szCs w:val="16"/>
          <w:lang w:val="en-GB"/>
        </w:rPr>
        <w:t>(</w:t>
      </w:r>
      <w:r>
        <w:rPr>
          <w:sz w:val="16"/>
          <w:szCs w:val="16"/>
          <w:lang w:val="en-GB"/>
        </w:rPr>
        <w:t>LFSS</w:t>
      </w:r>
      <w:r w:rsidRPr="001D1C56">
        <w:rPr>
          <w:sz w:val="16"/>
          <w:szCs w:val="16"/>
          <w:lang w:val="en-GB"/>
        </w:rPr>
        <w:t>)</w:t>
      </w:r>
      <w:r>
        <w:rPr>
          <w:sz w:val="16"/>
          <w:szCs w:val="16"/>
          <w:lang w:val="en-GB"/>
        </w:rPr>
        <w:t xml:space="preserve"> also include for instance the estimation of the grey economy impact. </w:t>
      </w:r>
    </w:p>
  </w:footnote>
  <w:footnote w:id="69">
    <w:p w14:paraId="052A22AB" w14:textId="7F063FBB" w:rsidR="003B4260" w:rsidRPr="001D1C56" w:rsidRDefault="003B4260" w:rsidP="001D1C56">
      <w:pPr>
        <w:pStyle w:val="Textpoznpodarou"/>
        <w:jc w:val="both"/>
        <w:rPr>
          <w:sz w:val="16"/>
          <w:szCs w:val="16"/>
          <w:lang w:val="en-GB"/>
        </w:rPr>
      </w:pPr>
      <w:r w:rsidRPr="001D1C56">
        <w:rPr>
          <w:rStyle w:val="Znakapoznpodarou"/>
          <w:sz w:val="16"/>
          <w:szCs w:val="16"/>
          <w:lang w:val="en-GB"/>
        </w:rPr>
        <w:footnoteRef/>
      </w:r>
      <w:r w:rsidRPr="001D1C56">
        <w:rPr>
          <w:sz w:val="16"/>
          <w:szCs w:val="16"/>
          <w:lang w:val="en-GB"/>
        </w:rPr>
        <w:t xml:space="preserve"> </w:t>
      </w:r>
      <w:r>
        <w:rPr>
          <w:sz w:val="16"/>
          <w:szCs w:val="16"/>
          <w:lang w:val="en-GB"/>
        </w:rPr>
        <w:t xml:space="preserve">Mild growth of total employment </w:t>
      </w:r>
      <w:r w:rsidR="00002D0D">
        <w:rPr>
          <w:sz w:val="16"/>
          <w:szCs w:val="16"/>
          <w:lang w:val="en-GB"/>
        </w:rPr>
        <w:t xml:space="preserve">however </w:t>
      </w:r>
      <w:r>
        <w:rPr>
          <w:sz w:val="16"/>
          <w:szCs w:val="16"/>
          <w:lang w:val="en-GB"/>
        </w:rPr>
        <w:t xml:space="preserve">continued in the EU as well as the euro area itself last year </w:t>
      </w:r>
      <w:r w:rsidRPr="001D1C56">
        <w:rPr>
          <w:sz w:val="16"/>
          <w:szCs w:val="16"/>
          <w:lang w:val="en-GB"/>
        </w:rPr>
        <w:t>(</w:t>
      </w:r>
      <w:r>
        <w:rPr>
          <w:sz w:val="16"/>
          <w:szCs w:val="16"/>
          <w:lang w:val="en-GB"/>
        </w:rPr>
        <w:t xml:space="preserve">it was </w:t>
      </w:r>
      <w:r w:rsidR="00002D0D">
        <w:rPr>
          <w:sz w:val="16"/>
          <w:szCs w:val="16"/>
          <w:lang w:val="en-GB"/>
        </w:rPr>
        <w:t>+</w:t>
      </w:r>
      <w:r>
        <w:rPr>
          <w:sz w:val="16"/>
          <w:szCs w:val="16"/>
          <w:lang w:val="en-GB"/>
        </w:rPr>
        <w:t>0.2% quarter-on-quarter in Q</w:t>
      </w:r>
      <w:r w:rsidRPr="001D1C56">
        <w:rPr>
          <w:sz w:val="16"/>
          <w:szCs w:val="16"/>
          <w:lang w:val="en-GB"/>
        </w:rPr>
        <w:t>3</w:t>
      </w:r>
      <w:r>
        <w:rPr>
          <w:sz w:val="16"/>
          <w:szCs w:val="16"/>
          <w:lang w:val="en-GB"/>
        </w:rPr>
        <w:t xml:space="preserve">, </w:t>
      </w:r>
      <w:r w:rsidR="00002D0D">
        <w:rPr>
          <w:sz w:val="16"/>
          <w:szCs w:val="16"/>
          <w:lang w:val="en-GB"/>
        </w:rPr>
        <w:t>+</w:t>
      </w:r>
      <w:r>
        <w:rPr>
          <w:sz w:val="16"/>
          <w:szCs w:val="16"/>
          <w:lang w:val="en-GB"/>
        </w:rPr>
        <w:t>0.3% in Q</w:t>
      </w:r>
      <w:r w:rsidRPr="001D1C56">
        <w:rPr>
          <w:sz w:val="16"/>
          <w:szCs w:val="16"/>
          <w:lang w:val="en-GB"/>
        </w:rPr>
        <w:t>4</w:t>
      </w:r>
      <w:r w:rsidRPr="001D1C56">
        <w:rPr>
          <w:spacing w:val="-2"/>
          <w:sz w:val="16"/>
          <w:szCs w:val="16"/>
          <w:lang w:val="en-GB"/>
        </w:rPr>
        <w:t xml:space="preserve">). </w:t>
      </w:r>
      <w:r>
        <w:rPr>
          <w:spacing w:val="-2"/>
          <w:sz w:val="16"/>
          <w:szCs w:val="16"/>
          <w:lang w:val="en-GB"/>
        </w:rPr>
        <w:t xml:space="preserve">Services offset the worse results of industry </w:t>
      </w:r>
      <w:r w:rsidRPr="001D1C56">
        <w:rPr>
          <w:spacing w:val="-2"/>
          <w:sz w:val="16"/>
          <w:szCs w:val="16"/>
          <w:lang w:val="en-GB"/>
        </w:rPr>
        <w:t xml:space="preserve">– </w:t>
      </w:r>
      <w:r>
        <w:rPr>
          <w:spacing w:val="-2"/>
          <w:sz w:val="16"/>
          <w:szCs w:val="16"/>
          <w:lang w:val="en-GB"/>
        </w:rPr>
        <w:t xml:space="preserve">mainly information and communication, financial activities as well as business and public services. </w:t>
      </w:r>
    </w:p>
  </w:footnote>
  <w:footnote w:id="70">
    <w:p w14:paraId="3C80ADAC" w14:textId="539A694F" w:rsidR="003B4260" w:rsidRPr="001D1C56" w:rsidRDefault="003B4260" w:rsidP="001D1C56">
      <w:pPr>
        <w:pStyle w:val="Textpoznpodarou"/>
        <w:jc w:val="both"/>
        <w:rPr>
          <w:sz w:val="16"/>
          <w:szCs w:val="16"/>
          <w:lang w:val="en-GB"/>
        </w:rPr>
      </w:pPr>
      <w:r w:rsidRPr="001D1C56">
        <w:rPr>
          <w:rStyle w:val="Znakapoznpodarou"/>
          <w:sz w:val="16"/>
          <w:szCs w:val="16"/>
          <w:lang w:val="en-GB"/>
        </w:rPr>
        <w:footnoteRef/>
      </w:r>
      <w:r w:rsidRPr="001D1C56">
        <w:rPr>
          <w:sz w:val="16"/>
          <w:szCs w:val="16"/>
          <w:lang w:val="en-GB"/>
        </w:rPr>
        <w:t xml:space="preserve"> </w:t>
      </w:r>
      <w:r>
        <w:rPr>
          <w:sz w:val="16"/>
          <w:szCs w:val="16"/>
          <w:lang w:val="en-GB"/>
        </w:rPr>
        <w:t xml:space="preserve">Employment thus again grew slower in the CR than in the EU. Number of workers increased by 1.2% year-on-year in the whole Union last year, among individual states then the most in Malta </w:t>
      </w:r>
      <w:r w:rsidRPr="001D1C56">
        <w:rPr>
          <w:spacing w:val="-2"/>
          <w:sz w:val="16"/>
          <w:szCs w:val="16"/>
          <w:lang w:val="en-GB"/>
        </w:rPr>
        <w:t>(</w:t>
      </w:r>
      <w:r>
        <w:rPr>
          <w:spacing w:val="-2"/>
          <w:sz w:val="16"/>
          <w:szCs w:val="16"/>
          <w:lang w:val="en-GB"/>
        </w:rPr>
        <w:t xml:space="preserve">by </w:t>
      </w:r>
      <w:r w:rsidRPr="001D1C56">
        <w:rPr>
          <w:spacing w:val="-2"/>
          <w:sz w:val="16"/>
          <w:szCs w:val="16"/>
          <w:lang w:val="en-GB"/>
        </w:rPr>
        <w:t>6</w:t>
      </w:r>
      <w:r>
        <w:rPr>
          <w:spacing w:val="-2"/>
          <w:sz w:val="16"/>
          <w:szCs w:val="16"/>
          <w:lang w:val="en-GB"/>
        </w:rPr>
        <w:t>.</w:t>
      </w:r>
      <w:r w:rsidRPr="001D1C56">
        <w:rPr>
          <w:spacing w:val="-2"/>
          <w:sz w:val="16"/>
          <w:szCs w:val="16"/>
          <w:lang w:val="en-GB"/>
        </w:rPr>
        <w:t xml:space="preserve">5%), </w:t>
      </w:r>
      <w:r>
        <w:rPr>
          <w:spacing w:val="-2"/>
          <w:sz w:val="16"/>
          <w:szCs w:val="16"/>
          <w:lang w:val="en-GB"/>
        </w:rPr>
        <w:t xml:space="preserve">in Ireland </w:t>
      </w:r>
      <w:r w:rsidRPr="001D1C56">
        <w:rPr>
          <w:spacing w:val="-2"/>
          <w:sz w:val="16"/>
          <w:szCs w:val="16"/>
          <w:lang w:val="en-GB"/>
        </w:rPr>
        <w:t>(5</w:t>
      </w:r>
      <w:r>
        <w:rPr>
          <w:spacing w:val="-2"/>
          <w:sz w:val="16"/>
          <w:szCs w:val="16"/>
          <w:lang w:val="en-GB"/>
        </w:rPr>
        <w:t>.</w:t>
      </w:r>
      <w:r w:rsidRPr="001D1C56">
        <w:rPr>
          <w:spacing w:val="-2"/>
          <w:sz w:val="16"/>
          <w:szCs w:val="16"/>
          <w:lang w:val="en-GB"/>
        </w:rPr>
        <w:t>4%), Eston</w:t>
      </w:r>
      <w:r>
        <w:rPr>
          <w:spacing w:val="-2"/>
          <w:sz w:val="16"/>
          <w:szCs w:val="16"/>
          <w:lang w:val="en-GB"/>
        </w:rPr>
        <w:t xml:space="preserve">ia and Spain </w:t>
      </w:r>
      <w:r w:rsidRPr="001D1C56">
        <w:rPr>
          <w:spacing w:val="-2"/>
          <w:sz w:val="16"/>
          <w:szCs w:val="16"/>
          <w:lang w:val="en-GB"/>
        </w:rPr>
        <w:t>(</w:t>
      </w:r>
      <w:r>
        <w:rPr>
          <w:spacing w:val="-2"/>
          <w:sz w:val="16"/>
          <w:szCs w:val="16"/>
          <w:lang w:val="en-GB"/>
        </w:rPr>
        <w:t xml:space="preserve">identically by </w:t>
      </w:r>
      <w:r w:rsidRPr="001D1C56">
        <w:rPr>
          <w:spacing w:val="-2"/>
          <w:sz w:val="16"/>
          <w:szCs w:val="16"/>
          <w:lang w:val="en-GB"/>
        </w:rPr>
        <w:t>3</w:t>
      </w:r>
      <w:r>
        <w:rPr>
          <w:spacing w:val="-2"/>
          <w:sz w:val="16"/>
          <w:szCs w:val="16"/>
          <w:lang w:val="en-GB"/>
        </w:rPr>
        <w:t>.</w:t>
      </w:r>
      <w:r w:rsidRPr="001D1C56">
        <w:rPr>
          <w:spacing w:val="-2"/>
          <w:sz w:val="16"/>
          <w:szCs w:val="16"/>
          <w:lang w:val="en-GB"/>
        </w:rPr>
        <w:t xml:space="preserve">2%). </w:t>
      </w:r>
      <w:r>
        <w:rPr>
          <w:spacing w:val="-2"/>
          <w:sz w:val="16"/>
          <w:szCs w:val="16"/>
          <w:lang w:val="en-GB"/>
        </w:rPr>
        <w:t xml:space="preserve">Germany recorded similar growth as the CR </w:t>
      </w:r>
      <w:r w:rsidRPr="001D1C56">
        <w:rPr>
          <w:spacing w:val="-2"/>
          <w:sz w:val="16"/>
          <w:szCs w:val="16"/>
          <w:lang w:val="en-GB"/>
        </w:rPr>
        <w:t>(0</w:t>
      </w:r>
      <w:r>
        <w:rPr>
          <w:spacing w:val="-2"/>
          <w:sz w:val="16"/>
          <w:szCs w:val="16"/>
          <w:lang w:val="en-GB"/>
        </w:rPr>
        <w:t>.</w:t>
      </w:r>
      <w:r w:rsidRPr="001D1C56">
        <w:rPr>
          <w:spacing w:val="-2"/>
          <w:sz w:val="16"/>
          <w:szCs w:val="16"/>
          <w:lang w:val="en-GB"/>
        </w:rPr>
        <w:t>7%).</w:t>
      </w:r>
      <w:r>
        <w:rPr>
          <w:spacing w:val="-2"/>
          <w:sz w:val="16"/>
          <w:szCs w:val="16"/>
          <w:lang w:val="en-GB"/>
        </w:rPr>
        <w:t xml:space="preserve"> Other central European economies also registered a relatively weak growth </w:t>
      </w:r>
      <w:r w:rsidRPr="001D1C56">
        <w:rPr>
          <w:spacing w:val="-2"/>
          <w:sz w:val="16"/>
          <w:szCs w:val="16"/>
          <w:lang w:val="en-GB"/>
        </w:rPr>
        <w:t>– Slov</w:t>
      </w:r>
      <w:r>
        <w:rPr>
          <w:spacing w:val="-2"/>
          <w:sz w:val="16"/>
          <w:szCs w:val="16"/>
          <w:lang w:val="en-GB"/>
        </w:rPr>
        <w:t xml:space="preserve">akia </w:t>
      </w:r>
      <w:r w:rsidRPr="001D1C56">
        <w:rPr>
          <w:spacing w:val="-2"/>
          <w:sz w:val="16"/>
          <w:szCs w:val="16"/>
          <w:lang w:val="en-GB"/>
        </w:rPr>
        <w:t>(0</w:t>
      </w:r>
      <w:r>
        <w:rPr>
          <w:spacing w:val="-2"/>
          <w:sz w:val="16"/>
          <w:szCs w:val="16"/>
          <w:lang w:val="en-GB"/>
        </w:rPr>
        <w:t>.</w:t>
      </w:r>
      <w:r w:rsidRPr="001D1C56">
        <w:rPr>
          <w:spacing w:val="-2"/>
          <w:sz w:val="16"/>
          <w:szCs w:val="16"/>
          <w:lang w:val="en-GB"/>
        </w:rPr>
        <w:t>3%),</w:t>
      </w:r>
      <w:r>
        <w:rPr>
          <w:spacing w:val="-2"/>
          <w:sz w:val="16"/>
          <w:szCs w:val="16"/>
          <w:lang w:val="en-GB"/>
        </w:rPr>
        <w:t xml:space="preserve"> Hungary </w:t>
      </w:r>
      <w:r w:rsidRPr="001D1C56">
        <w:rPr>
          <w:spacing w:val="-2"/>
          <w:sz w:val="16"/>
          <w:szCs w:val="16"/>
          <w:lang w:val="en-GB"/>
        </w:rPr>
        <w:t>(0</w:t>
      </w:r>
      <w:r>
        <w:rPr>
          <w:spacing w:val="-2"/>
          <w:sz w:val="16"/>
          <w:szCs w:val="16"/>
          <w:lang w:val="en-GB"/>
        </w:rPr>
        <w:t>.</w:t>
      </w:r>
      <w:r w:rsidRPr="001D1C56">
        <w:rPr>
          <w:spacing w:val="-2"/>
          <w:sz w:val="16"/>
          <w:szCs w:val="16"/>
          <w:lang w:val="en-GB"/>
        </w:rPr>
        <w:t>2%) a</w:t>
      </w:r>
      <w:r>
        <w:rPr>
          <w:spacing w:val="-2"/>
          <w:sz w:val="16"/>
          <w:szCs w:val="16"/>
          <w:lang w:val="en-GB"/>
        </w:rPr>
        <w:t xml:space="preserve">nd also Poland </w:t>
      </w:r>
      <w:r w:rsidRPr="001D1C56">
        <w:rPr>
          <w:spacing w:val="-2"/>
          <w:sz w:val="16"/>
          <w:szCs w:val="16"/>
          <w:lang w:val="en-GB"/>
        </w:rPr>
        <w:t>(+0</w:t>
      </w:r>
      <w:r>
        <w:rPr>
          <w:spacing w:val="-2"/>
          <w:sz w:val="16"/>
          <w:szCs w:val="16"/>
          <w:lang w:val="en-GB"/>
        </w:rPr>
        <w:t>.</w:t>
      </w:r>
      <w:r w:rsidRPr="001D1C56">
        <w:rPr>
          <w:spacing w:val="-2"/>
          <w:sz w:val="16"/>
          <w:szCs w:val="16"/>
          <w:lang w:val="en-GB"/>
        </w:rPr>
        <w:t xml:space="preserve">1%), </w:t>
      </w:r>
      <w:r>
        <w:rPr>
          <w:spacing w:val="-2"/>
          <w:sz w:val="16"/>
          <w:szCs w:val="16"/>
          <w:lang w:val="en-GB"/>
        </w:rPr>
        <w:t xml:space="preserve">where however the number of workers swiftly grew in year </w:t>
      </w:r>
      <w:r w:rsidRPr="001D1C56">
        <w:rPr>
          <w:spacing w:val="-2"/>
          <w:sz w:val="16"/>
          <w:szCs w:val="16"/>
          <w:lang w:val="en-GB"/>
        </w:rPr>
        <w:t>2022 (+3</w:t>
      </w:r>
      <w:r>
        <w:rPr>
          <w:spacing w:val="-2"/>
          <w:sz w:val="16"/>
          <w:szCs w:val="16"/>
          <w:lang w:val="en-GB"/>
        </w:rPr>
        <w:t>.</w:t>
      </w:r>
      <w:r w:rsidRPr="001D1C56">
        <w:rPr>
          <w:spacing w:val="-2"/>
          <w:sz w:val="16"/>
          <w:szCs w:val="16"/>
          <w:lang w:val="en-GB"/>
        </w:rPr>
        <w:t xml:space="preserve">9%). </w:t>
      </w:r>
      <w:r>
        <w:rPr>
          <w:spacing w:val="-2"/>
          <w:sz w:val="16"/>
          <w:szCs w:val="16"/>
          <w:lang w:val="en-GB"/>
        </w:rPr>
        <w:t xml:space="preserve">The employment decreased in Romania last year (by 0.9%), as the only member country. </w:t>
      </w:r>
    </w:p>
  </w:footnote>
  <w:footnote w:id="71">
    <w:p w14:paraId="2F937820" w14:textId="1BBF29EC" w:rsidR="003B4260" w:rsidRPr="00B92200" w:rsidRDefault="003B4260" w:rsidP="001D1C56">
      <w:pPr>
        <w:pStyle w:val="Textpoznpodarou"/>
        <w:jc w:val="both"/>
      </w:pPr>
      <w:r w:rsidRPr="001D1C56">
        <w:rPr>
          <w:rStyle w:val="Znakapoznpodarou"/>
          <w:sz w:val="16"/>
          <w:szCs w:val="16"/>
          <w:lang w:val="en-GB"/>
        </w:rPr>
        <w:footnoteRef/>
      </w:r>
      <w:r w:rsidRPr="001D1C56">
        <w:rPr>
          <w:sz w:val="16"/>
          <w:szCs w:val="16"/>
          <w:lang w:val="en-GB"/>
        </w:rPr>
        <w:t xml:space="preserve"> </w:t>
      </w:r>
      <w:r>
        <w:rPr>
          <w:sz w:val="16"/>
          <w:szCs w:val="16"/>
          <w:lang w:val="en-GB"/>
        </w:rPr>
        <w:t>Include branch p</w:t>
      </w:r>
      <w:r w:rsidRPr="00B92200">
        <w:rPr>
          <w:sz w:val="16"/>
          <w:szCs w:val="16"/>
          <w:lang w:val="en-GB"/>
        </w:rPr>
        <w:t>ublic administration, education, health and social work</w:t>
      </w:r>
      <w:r w:rsidRPr="00B92200">
        <w:rPr>
          <w:spacing w:val="-2"/>
          <w:sz w:val="16"/>
          <w:szCs w:val="16"/>
        </w:rPr>
        <w:t>.</w:t>
      </w:r>
    </w:p>
  </w:footnote>
  <w:footnote w:id="72">
    <w:p w14:paraId="477438E5" w14:textId="081953A9" w:rsidR="003B4260" w:rsidRPr="00CE01DC" w:rsidRDefault="003B4260" w:rsidP="0041650F">
      <w:pPr>
        <w:pStyle w:val="Textpoznpodarou"/>
        <w:jc w:val="both"/>
        <w:rPr>
          <w:spacing w:val="-5"/>
          <w:sz w:val="16"/>
          <w:szCs w:val="16"/>
          <w:lang w:val="en-GB"/>
        </w:rPr>
      </w:pPr>
      <w:r w:rsidRPr="00CE01DC">
        <w:rPr>
          <w:rStyle w:val="Znakapoznpodarou"/>
          <w:spacing w:val="-5"/>
          <w:sz w:val="16"/>
          <w:szCs w:val="16"/>
        </w:rPr>
        <w:footnoteRef/>
      </w:r>
      <w:r w:rsidRPr="00CE01DC">
        <w:rPr>
          <w:spacing w:val="-5"/>
          <w:sz w:val="16"/>
          <w:szCs w:val="16"/>
        </w:rPr>
        <w:t xml:space="preserve"> </w:t>
      </w:r>
      <w:r w:rsidR="008D50FA">
        <w:rPr>
          <w:spacing w:val="-5"/>
          <w:sz w:val="16"/>
          <w:szCs w:val="16"/>
        </w:rPr>
        <w:t xml:space="preserve">Data </w:t>
      </w:r>
      <w:proofErr w:type="spellStart"/>
      <w:r w:rsidR="008D50FA">
        <w:rPr>
          <w:spacing w:val="-5"/>
          <w:sz w:val="16"/>
          <w:szCs w:val="16"/>
        </w:rPr>
        <w:t>from</w:t>
      </w:r>
      <w:proofErr w:type="spellEnd"/>
      <w:r w:rsidR="008D50FA">
        <w:rPr>
          <w:spacing w:val="-5"/>
          <w:sz w:val="16"/>
          <w:szCs w:val="16"/>
        </w:rPr>
        <w:t xml:space="preserve"> </w:t>
      </w:r>
      <w:proofErr w:type="spellStart"/>
      <w:r w:rsidR="008D50FA">
        <w:rPr>
          <w:spacing w:val="-5"/>
          <w:sz w:val="16"/>
          <w:szCs w:val="16"/>
        </w:rPr>
        <w:t>the</w:t>
      </w:r>
      <w:proofErr w:type="spellEnd"/>
      <w:r w:rsidR="008D50FA">
        <w:rPr>
          <w:spacing w:val="-5"/>
          <w:sz w:val="16"/>
          <w:szCs w:val="16"/>
        </w:rPr>
        <w:t xml:space="preserve"> business </w:t>
      </w:r>
      <w:proofErr w:type="spellStart"/>
      <w:r w:rsidR="008D50FA">
        <w:rPr>
          <w:spacing w:val="-5"/>
          <w:sz w:val="16"/>
          <w:szCs w:val="16"/>
        </w:rPr>
        <w:t>statistics</w:t>
      </w:r>
      <w:proofErr w:type="spellEnd"/>
      <w:r w:rsidR="008D50FA">
        <w:rPr>
          <w:spacing w:val="-5"/>
          <w:sz w:val="16"/>
          <w:szCs w:val="16"/>
        </w:rPr>
        <w:t xml:space="preserve"> </w:t>
      </w:r>
      <w:proofErr w:type="spellStart"/>
      <w:r w:rsidR="008D50FA">
        <w:rPr>
          <w:spacing w:val="-5"/>
          <w:sz w:val="16"/>
          <w:szCs w:val="16"/>
        </w:rPr>
        <w:t>confirm</w:t>
      </w:r>
      <w:proofErr w:type="spellEnd"/>
      <w:r w:rsidR="008D50FA">
        <w:rPr>
          <w:spacing w:val="-5"/>
          <w:sz w:val="16"/>
          <w:szCs w:val="16"/>
        </w:rPr>
        <w:t xml:space="preserve"> </w:t>
      </w:r>
      <w:proofErr w:type="spellStart"/>
      <w:r w:rsidRPr="00CE01DC">
        <w:rPr>
          <w:spacing w:val="-5"/>
          <w:sz w:val="16"/>
          <w:szCs w:val="16"/>
        </w:rPr>
        <w:t>that</w:t>
      </w:r>
      <w:proofErr w:type="spellEnd"/>
      <w:r w:rsidRPr="00CE01DC">
        <w:rPr>
          <w:spacing w:val="-5"/>
          <w:sz w:val="16"/>
          <w:szCs w:val="16"/>
        </w:rPr>
        <w:t xml:space="preserve"> </w:t>
      </w:r>
      <w:proofErr w:type="spellStart"/>
      <w:r w:rsidRPr="00CE01DC">
        <w:rPr>
          <w:spacing w:val="-5"/>
          <w:sz w:val="16"/>
          <w:szCs w:val="16"/>
        </w:rPr>
        <w:t>the</w:t>
      </w:r>
      <w:proofErr w:type="spellEnd"/>
      <w:r w:rsidRPr="00CE01DC">
        <w:rPr>
          <w:spacing w:val="-5"/>
          <w:sz w:val="16"/>
          <w:szCs w:val="16"/>
        </w:rPr>
        <w:t xml:space="preserve"> </w:t>
      </w:r>
      <w:proofErr w:type="spellStart"/>
      <w:r w:rsidRPr="00CE01DC">
        <w:rPr>
          <w:spacing w:val="-5"/>
          <w:sz w:val="16"/>
          <w:szCs w:val="16"/>
        </w:rPr>
        <w:t>registered</w:t>
      </w:r>
      <w:proofErr w:type="spellEnd"/>
      <w:r w:rsidRPr="00CE01DC">
        <w:rPr>
          <w:spacing w:val="-5"/>
          <w:sz w:val="16"/>
          <w:szCs w:val="16"/>
        </w:rPr>
        <w:t xml:space="preserve"> </w:t>
      </w:r>
      <w:proofErr w:type="spellStart"/>
      <w:r w:rsidRPr="00CE01DC">
        <w:rPr>
          <w:spacing w:val="-5"/>
          <w:sz w:val="16"/>
          <w:szCs w:val="16"/>
        </w:rPr>
        <w:t>number</w:t>
      </w:r>
      <w:proofErr w:type="spellEnd"/>
      <w:r w:rsidRPr="00CE01DC">
        <w:rPr>
          <w:spacing w:val="-5"/>
          <w:sz w:val="16"/>
          <w:szCs w:val="16"/>
        </w:rPr>
        <w:t xml:space="preserve"> </w:t>
      </w:r>
      <w:proofErr w:type="spellStart"/>
      <w:r w:rsidRPr="00CE01DC">
        <w:rPr>
          <w:spacing w:val="-5"/>
          <w:sz w:val="16"/>
          <w:szCs w:val="16"/>
        </w:rPr>
        <w:t>of</w:t>
      </w:r>
      <w:proofErr w:type="spellEnd"/>
      <w:r w:rsidRPr="00CE01DC">
        <w:rPr>
          <w:spacing w:val="-5"/>
          <w:sz w:val="16"/>
          <w:szCs w:val="16"/>
        </w:rPr>
        <w:t xml:space="preserve"> </w:t>
      </w:r>
      <w:proofErr w:type="spellStart"/>
      <w:r w:rsidRPr="00CE01DC">
        <w:rPr>
          <w:spacing w:val="-5"/>
          <w:sz w:val="16"/>
          <w:szCs w:val="16"/>
        </w:rPr>
        <w:t>employees</w:t>
      </w:r>
      <w:proofErr w:type="spellEnd"/>
      <w:r w:rsidRPr="00CE01DC">
        <w:rPr>
          <w:spacing w:val="-5"/>
          <w:sz w:val="16"/>
          <w:szCs w:val="16"/>
        </w:rPr>
        <w:t xml:space="preserve"> in </w:t>
      </w:r>
      <w:proofErr w:type="spellStart"/>
      <w:r w:rsidRPr="00CE01DC">
        <w:rPr>
          <w:spacing w:val="-5"/>
          <w:sz w:val="16"/>
          <w:szCs w:val="16"/>
        </w:rPr>
        <w:t>manufactuirng</w:t>
      </w:r>
      <w:proofErr w:type="spellEnd"/>
      <w:r w:rsidRPr="00CE01DC">
        <w:rPr>
          <w:spacing w:val="-5"/>
          <w:sz w:val="16"/>
          <w:szCs w:val="16"/>
        </w:rPr>
        <w:t xml:space="preserve"> </w:t>
      </w:r>
      <w:proofErr w:type="spellStart"/>
      <w:r w:rsidRPr="00CE01DC">
        <w:rPr>
          <w:spacing w:val="-5"/>
          <w:sz w:val="16"/>
          <w:szCs w:val="16"/>
        </w:rPr>
        <w:t>of</w:t>
      </w:r>
      <w:proofErr w:type="spellEnd"/>
      <w:r w:rsidRPr="00CE01DC">
        <w:rPr>
          <w:spacing w:val="-5"/>
          <w:sz w:val="16"/>
          <w:szCs w:val="16"/>
        </w:rPr>
        <w:t xml:space="preserve"> </w:t>
      </w:r>
      <w:proofErr w:type="spellStart"/>
      <w:r w:rsidRPr="00CE01DC">
        <w:rPr>
          <w:spacing w:val="-5"/>
          <w:sz w:val="16"/>
          <w:szCs w:val="16"/>
        </w:rPr>
        <w:t>other</w:t>
      </w:r>
      <w:proofErr w:type="spellEnd"/>
      <w:r w:rsidRPr="00CE01DC">
        <w:rPr>
          <w:spacing w:val="-5"/>
          <w:sz w:val="16"/>
          <w:szCs w:val="16"/>
        </w:rPr>
        <w:t xml:space="preserve"> non-</w:t>
      </w:r>
      <w:proofErr w:type="spellStart"/>
      <w:r w:rsidRPr="00CE01DC">
        <w:rPr>
          <w:spacing w:val="-5"/>
          <w:sz w:val="16"/>
          <w:szCs w:val="16"/>
        </w:rPr>
        <w:t>metallic</w:t>
      </w:r>
      <w:proofErr w:type="spellEnd"/>
      <w:r w:rsidRPr="00CE01DC">
        <w:rPr>
          <w:spacing w:val="-5"/>
          <w:sz w:val="16"/>
          <w:szCs w:val="16"/>
        </w:rPr>
        <w:t xml:space="preserve"> </w:t>
      </w:r>
      <w:proofErr w:type="spellStart"/>
      <w:r w:rsidRPr="00CE01DC">
        <w:rPr>
          <w:spacing w:val="-5"/>
          <w:sz w:val="16"/>
          <w:szCs w:val="16"/>
        </w:rPr>
        <w:t>mineral</w:t>
      </w:r>
      <w:proofErr w:type="spellEnd"/>
      <w:r w:rsidRPr="00CE01DC">
        <w:rPr>
          <w:spacing w:val="-5"/>
          <w:sz w:val="16"/>
          <w:szCs w:val="16"/>
        </w:rPr>
        <w:t xml:space="preserve"> </w:t>
      </w:r>
      <w:proofErr w:type="spellStart"/>
      <w:r w:rsidRPr="00CE01DC">
        <w:rPr>
          <w:spacing w:val="-5"/>
          <w:sz w:val="16"/>
          <w:szCs w:val="16"/>
        </w:rPr>
        <w:t>products</w:t>
      </w:r>
      <w:proofErr w:type="spellEnd"/>
      <w:r w:rsidRPr="00CE01DC">
        <w:rPr>
          <w:spacing w:val="-5"/>
          <w:sz w:val="16"/>
          <w:szCs w:val="16"/>
        </w:rPr>
        <w:t xml:space="preserve"> </w:t>
      </w:r>
      <w:proofErr w:type="spellStart"/>
      <w:r w:rsidRPr="00CE01DC">
        <w:rPr>
          <w:spacing w:val="-5"/>
          <w:sz w:val="16"/>
          <w:szCs w:val="16"/>
        </w:rPr>
        <w:t>decreased</w:t>
      </w:r>
      <w:proofErr w:type="spellEnd"/>
      <w:r w:rsidRPr="00CE01DC">
        <w:rPr>
          <w:spacing w:val="-5"/>
          <w:sz w:val="16"/>
          <w:szCs w:val="16"/>
        </w:rPr>
        <w:t xml:space="preserve"> by 3.4% </w:t>
      </w:r>
      <w:proofErr w:type="spellStart"/>
      <w:r w:rsidRPr="00CE01DC">
        <w:rPr>
          <w:spacing w:val="-5"/>
          <w:sz w:val="16"/>
          <w:szCs w:val="16"/>
        </w:rPr>
        <w:t>year</w:t>
      </w:r>
      <w:proofErr w:type="spellEnd"/>
      <w:r w:rsidRPr="00CE01DC">
        <w:rPr>
          <w:spacing w:val="-5"/>
          <w:sz w:val="16"/>
          <w:szCs w:val="16"/>
        </w:rPr>
        <w:t>-on-</w:t>
      </w:r>
      <w:proofErr w:type="spellStart"/>
      <w:r w:rsidRPr="00CE01DC">
        <w:rPr>
          <w:spacing w:val="-5"/>
          <w:sz w:val="16"/>
          <w:szCs w:val="16"/>
        </w:rPr>
        <w:t>year</w:t>
      </w:r>
      <w:proofErr w:type="spellEnd"/>
      <w:r w:rsidR="008D50FA">
        <w:rPr>
          <w:spacing w:val="-5"/>
          <w:sz w:val="16"/>
          <w:szCs w:val="16"/>
        </w:rPr>
        <w:t xml:space="preserve"> in 2023</w:t>
      </w:r>
      <w:r w:rsidRPr="00CE01DC">
        <w:rPr>
          <w:spacing w:val="-5"/>
          <w:sz w:val="16"/>
          <w:szCs w:val="16"/>
        </w:rPr>
        <w:t xml:space="preserve">. </w:t>
      </w:r>
      <w:r w:rsidRPr="00CE01DC">
        <w:rPr>
          <w:spacing w:val="-5"/>
          <w:sz w:val="16"/>
          <w:szCs w:val="16"/>
          <w:lang w:val="en-GB"/>
        </w:rPr>
        <w:t xml:space="preserve">Milder decrease occurred </w:t>
      </w:r>
      <w:r w:rsidR="008D50FA">
        <w:rPr>
          <w:spacing w:val="-5"/>
          <w:sz w:val="16"/>
          <w:szCs w:val="16"/>
          <w:lang w:val="en-GB"/>
        </w:rPr>
        <w:t xml:space="preserve">also </w:t>
      </w:r>
      <w:r w:rsidRPr="00CE01DC">
        <w:rPr>
          <w:spacing w:val="-5"/>
          <w:sz w:val="16"/>
          <w:szCs w:val="16"/>
          <w:lang w:val="en-GB"/>
        </w:rPr>
        <w:t>in all other weight important industrial branches, including manufacturing of motor vehicles (–0.4%).</w:t>
      </w:r>
    </w:p>
  </w:footnote>
  <w:footnote w:id="73">
    <w:p w14:paraId="50B777CA" w14:textId="5B08AB97" w:rsidR="003B4260" w:rsidRPr="0041650F" w:rsidRDefault="003B4260" w:rsidP="001C24BB">
      <w:pPr>
        <w:pStyle w:val="Textpoznpodarou"/>
        <w:jc w:val="both"/>
        <w:rPr>
          <w:sz w:val="16"/>
          <w:szCs w:val="16"/>
          <w:lang w:val="en-GB"/>
        </w:rPr>
      </w:pPr>
      <w:r w:rsidRPr="0041650F">
        <w:rPr>
          <w:rStyle w:val="Znakapoznpodarou"/>
          <w:sz w:val="16"/>
          <w:szCs w:val="16"/>
          <w:lang w:val="en-GB"/>
        </w:rPr>
        <w:footnoteRef/>
      </w:r>
      <w:r w:rsidRPr="0041650F">
        <w:rPr>
          <w:sz w:val="16"/>
          <w:szCs w:val="16"/>
          <w:lang w:val="en-GB"/>
        </w:rPr>
        <w:t xml:space="preserve"> </w:t>
      </w:r>
      <w:r>
        <w:rPr>
          <w:sz w:val="16"/>
          <w:szCs w:val="16"/>
          <w:lang w:val="en-GB"/>
        </w:rPr>
        <w:t xml:space="preserve">More detailed LFSS data show, that the number of employers </w:t>
      </w:r>
      <w:r w:rsidRPr="00986858">
        <w:rPr>
          <w:sz w:val="16"/>
          <w:szCs w:val="16"/>
          <w:lang w:val="en-GB"/>
        </w:rPr>
        <w:t>(</w:t>
      </w:r>
      <w:r>
        <w:rPr>
          <w:sz w:val="16"/>
          <w:szCs w:val="16"/>
          <w:lang w:val="en-GB"/>
        </w:rPr>
        <w:t>entrepreneurs with employees</w:t>
      </w:r>
      <w:r w:rsidRPr="00986858">
        <w:rPr>
          <w:sz w:val="16"/>
          <w:szCs w:val="16"/>
          <w:lang w:val="en-GB"/>
        </w:rPr>
        <w:t xml:space="preserve">) </w:t>
      </w:r>
      <w:r>
        <w:rPr>
          <w:sz w:val="16"/>
          <w:szCs w:val="16"/>
          <w:lang w:val="en-GB"/>
        </w:rPr>
        <w:t xml:space="preserve">registered minor decrease year-on-year last year </w:t>
      </w:r>
      <w:r w:rsidRPr="00986858">
        <w:rPr>
          <w:sz w:val="16"/>
          <w:szCs w:val="16"/>
          <w:lang w:val="en-GB"/>
        </w:rPr>
        <w:t>(</w:t>
      </w:r>
      <w:r>
        <w:rPr>
          <w:sz w:val="16"/>
          <w:szCs w:val="16"/>
          <w:lang w:val="en-GB"/>
        </w:rPr>
        <w:t xml:space="preserve">and thus continued in the adverse trend lasting since year 2019). </w:t>
      </w:r>
      <w:r w:rsidRPr="00986858">
        <w:rPr>
          <w:sz w:val="16"/>
          <w:szCs w:val="16"/>
          <w:lang w:val="en-GB"/>
        </w:rPr>
        <w:t>T</w:t>
      </w:r>
      <w:r>
        <w:rPr>
          <w:sz w:val="16"/>
          <w:szCs w:val="16"/>
          <w:lang w:val="en-GB"/>
        </w:rPr>
        <w:t>his less numerous group of entrepreneurs is in the methodology of th</w:t>
      </w:r>
      <w:r w:rsidR="00F87ACD">
        <w:rPr>
          <w:sz w:val="16"/>
          <w:szCs w:val="16"/>
          <w:lang w:val="en-GB"/>
        </w:rPr>
        <w:t>e national accounts classified into</w:t>
      </w:r>
      <w:r>
        <w:rPr>
          <w:sz w:val="16"/>
          <w:szCs w:val="16"/>
          <w:lang w:val="en-GB"/>
        </w:rPr>
        <w:t xml:space="preserve"> </w:t>
      </w:r>
      <w:r w:rsidRPr="00C85C86">
        <w:rPr>
          <w:sz w:val="16"/>
          <w:szCs w:val="16"/>
          <w:lang w:val="en-GB"/>
        </w:rPr>
        <w:t xml:space="preserve">the category of employees. </w:t>
      </w:r>
    </w:p>
  </w:footnote>
  <w:footnote w:id="74">
    <w:p w14:paraId="297B6EFB" w14:textId="2F8CC382" w:rsidR="003B4260" w:rsidRPr="0041650F" w:rsidRDefault="003B4260" w:rsidP="0041650F">
      <w:pPr>
        <w:pStyle w:val="Textpoznpodarou"/>
        <w:jc w:val="both"/>
        <w:rPr>
          <w:sz w:val="16"/>
          <w:szCs w:val="16"/>
          <w:lang w:val="en-GB"/>
        </w:rPr>
      </w:pPr>
      <w:r w:rsidRPr="0041650F">
        <w:rPr>
          <w:rStyle w:val="Znakapoznpodarou"/>
          <w:sz w:val="16"/>
          <w:szCs w:val="16"/>
          <w:lang w:val="en-GB"/>
        </w:rPr>
        <w:footnoteRef/>
      </w:r>
      <w:r w:rsidRPr="0041650F">
        <w:rPr>
          <w:sz w:val="16"/>
          <w:szCs w:val="16"/>
          <w:lang w:val="en-GB"/>
        </w:rPr>
        <w:t xml:space="preserve"> </w:t>
      </w:r>
      <w:r>
        <w:rPr>
          <w:sz w:val="16"/>
          <w:szCs w:val="16"/>
          <w:lang w:val="en-GB"/>
        </w:rPr>
        <w:t xml:space="preserve">Almost one tenth of them disappeared in manufacturing and also in </w:t>
      </w:r>
      <w:r w:rsidRPr="00E059E1">
        <w:rPr>
          <w:sz w:val="16"/>
          <w:szCs w:val="16"/>
          <w:lang w:val="en-GB"/>
        </w:rPr>
        <w:t xml:space="preserve">division </w:t>
      </w:r>
      <w:r>
        <w:rPr>
          <w:sz w:val="16"/>
          <w:szCs w:val="16"/>
          <w:lang w:val="en-GB"/>
        </w:rPr>
        <w:t>t</w:t>
      </w:r>
      <w:r w:rsidRPr="00E059E1">
        <w:rPr>
          <w:sz w:val="16"/>
          <w:szCs w:val="16"/>
          <w:lang w:val="en-GB"/>
        </w:rPr>
        <w:t>rade, transpor</w:t>
      </w:r>
      <w:r w:rsidR="00FD78C3">
        <w:rPr>
          <w:sz w:val="16"/>
          <w:szCs w:val="16"/>
          <w:lang w:val="en-GB"/>
        </w:rPr>
        <w:t>t, accommodation and food service</w:t>
      </w:r>
      <w:r>
        <w:rPr>
          <w:sz w:val="16"/>
          <w:szCs w:val="16"/>
          <w:lang w:val="en-GB"/>
        </w:rPr>
        <w:t xml:space="preserve"> in the last four years. </w:t>
      </w:r>
      <w:r>
        <w:rPr>
          <w:color w:val="0D0D0D" w:themeColor="text1" w:themeTint="F2"/>
          <w:spacing w:val="-4"/>
          <w:sz w:val="16"/>
          <w:szCs w:val="16"/>
          <w:lang w:val="en-GB"/>
        </w:rPr>
        <w:t xml:space="preserve">On the contrary, numbers of self-employed were substantially above their pre-crisis level only in information and communication </w:t>
      </w:r>
      <w:r w:rsidRPr="0041650F">
        <w:rPr>
          <w:color w:val="0D0D0D" w:themeColor="text1" w:themeTint="F2"/>
          <w:spacing w:val="-4"/>
          <w:sz w:val="16"/>
          <w:szCs w:val="16"/>
          <w:lang w:val="en-GB"/>
        </w:rPr>
        <w:t xml:space="preserve">(+10%), </w:t>
      </w:r>
      <w:r>
        <w:rPr>
          <w:color w:val="0D0D0D" w:themeColor="text1" w:themeTint="F2"/>
          <w:spacing w:val="-4"/>
          <w:sz w:val="16"/>
          <w:szCs w:val="16"/>
          <w:lang w:val="en-GB"/>
        </w:rPr>
        <w:t xml:space="preserve">slightly </w:t>
      </w:r>
      <w:r w:rsidRPr="0041650F">
        <w:rPr>
          <w:color w:val="0D0D0D" w:themeColor="text1" w:themeTint="F2"/>
          <w:spacing w:val="-4"/>
          <w:sz w:val="16"/>
          <w:szCs w:val="16"/>
          <w:lang w:val="en-GB"/>
        </w:rPr>
        <w:t>(</w:t>
      </w:r>
      <w:r>
        <w:rPr>
          <w:color w:val="0D0D0D" w:themeColor="text1" w:themeTint="F2"/>
          <w:spacing w:val="-4"/>
          <w:sz w:val="16"/>
          <w:szCs w:val="16"/>
          <w:lang w:val="en-GB"/>
        </w:rPr>
        <w:t xml:space="preserve">up to </w:t>
      </w:r>
      <w:r w:rsidRPr="0041650F">
        <w:rPr>
          <w:color w:val="0D0D0D" w:themeColor="text1" w:themeTint="F2"/>
          <w:spacing w:val="-4"/>
          <w:sz w:val="16"/>
          <w:szCs w:val="16"/>
          <w:lang w:val="en-GB"/>
        </w:rPr>
        <w:t>2%)</w:t>
      </w:r>
      <w:r>
        <w:rPr>
          <w:color w:val="0D0D0D" w:themeColor="text1" w:themeTint="F2"/>
          <w:spacing w:val="-4"/>
          <w:sz w:val="16"/>
          <w:szCs w:val="16"/>
          <w:lang w:val="en-GB"/>
        </w:rPr>
        <w:t xml:space="preserve"> then in construction and in real estate activity. </w:t>
      </w:r>
    </w:p>
  </w:footnote>
  <w:footnote w:id="75">
    <w:p w14:paraId="7F5D4A8D" w14:textId="2DD8B5BA" w:rsidR="003B4260" w:rsidRPr="0041650F" w:rsidRDefault="003B4260" w:rsidP="0041650F">
      <w:pPr>
        <w:pStyle w:val="Textpoznpodarou"/>
        <w:jc w:val="both"/>
        <w:rPr>
          <w:sz w:val="16"/>
          <w:szCs w:val="16"/>
          <w:lang w:val="en-GB"/>
        </w:rPr>
      </w:pPr>
      <w:r w:rsidRPr="0041650F">
        <w:rPr>
          <w:rStyle w:val="Znakapoznpodarou"/>
          <w:sz w:val="16"/>
          <w:szCs w:val="16"/>
          <w:lang w:val="en-GB"/>
        </w:rPr>
        <w:footnoteRef/>
      </w:r>
      <w:r w:rsidRPr="0041650F">
        <w:rPr>
          <w:sz w:val="16"/>
          <w:szCs w:val="16"/>
          <w:lang w:val="en-GB"/>
        </w:rPr>
        <w:t xml:space="preserve"> </w:t>
      </w:r>
      <w:r>
        <w:rPr>
          <w:sz w:val="16"/>
          <w:szCs w:val="16"/>
          <w:lang w:val="en-GB"/>
        </w:rPr>
        <w:t xml:space="preserve">Persons settled in the CR for the long-time </w:t>
      </w:r>
      <w:r w:rsidR="00DF70DA" w:rsidRPr="0041650F">
        <w:rPr>
          <w:sz w:val="16"/>
          <w:szCs w:val="16"/>
          <w:lang w:val="en-GB"/>
        </w:rPr>
        <w:t>(</w:t>
      </w:r>
      <w:r w:rsidR="00DF70DA">
        <w:rPr>
          <w:sz w:val="16"/>
          <w:szCs w:val="16"/>
          <w:lang w:val="en-GB"/>
        </w:rPr>
        <w:t xml:space="preserve">e.g., Vietnamese) </w:t>
      </w:r>
      <w:r>
        <w:rPr>
          <w:sz w:val="16"/>
          <w:szCs w:val="16"/>
          <w:lang w:val="en-GB"/>
        </w:rPr>
        <w:t xml:space="preserve">can be more frequently found among them </w:t>
      </w:r>
      <w:r w:rsidR="00DF70DA">
        <w:rPr>
          <w:sz w:val="16"/>
          <w:szCs w:val="16"/>
          <w:lang w:val="en-GB"/>
        </w:rPr>
        <w:t>(</w:t>
      </w:r>
      <w:r>
        <w:rPr>
          <w:sz w:val="16"/>
          <w:szCs w:val="16"/>
          <w:lang w:val="en-GB"/>
        </w:rPr>
        <w:t>in comparison to the fore</w:t>
      </w:r>
      <w:r w:rsidR="00DF70DA">
        <w:rPr>
          <w:sz w:val="16"/>
          <w:szCs w:val="16"/>
          <w:lang w:val="en-GB"/>
        </w:rPr>
        <w:t>igners with the employee status).</w:t>
      </w:r>
    </w:p>
  </w:footnote>
  <w:footnote w:id="76">
    <w:p w14:paraId="39020C58" w14:textId="3CF521DF" w:rsidR="003B4260" w:rsidRPr="00096AE5" w:rsidRDefault="003B4260" w:rsidP="0041650F">
      <w:pPr>
        <w:pStyle w:val="Textpoznpodarou"/>
        <w:jc w:val="both"/>
        <w:rPr>
          <w:sz w:val="16"/>
          <w:szCs w:val="16"/>
        </w:rPr>
      </w:pPr>
      <w:r w:rsidRPr="0041650F">
        <w:rPr>
          <w:rStyle w:val="Znakapoznpodarou"/>
          <w:sz w:val="16"/>
          <w:szCs w:val="16"/>
          <w:lang w:val="en-GB"/>
        </w:rPr>
        <w:footnoteRef/>
      </w:r>
      <w:r w:rsidRPr="0041650F">
        <w:rPr>
          <w:sz w:val="16"/>
          <w:szCs w:val="16"/>
          <w:lang w:val="en-GB"/>
        </w:rPr>
        <w:t xml:space="preserve"> </w:t>
      </w:r>
      <w:r>
        <w:rPr>
          <w:sz w:val="16"/>
          <w:szCs w:val="16"/>
          <w:lang w:val="en-GB"/>
        </w:rPr>
        <w:t xml:space="preserve">After the deduction of all Ukrainian citizens, the number of foreigners in the employee status expanded by 15.0 thousand for the last year </w:t>
      </w:r>
      <w:r w:rsidRPr="0041650F">
        <w:rPr>
          <w:sz w:val="16"/>
          <w:szCs w:val="16"/>
          <w:lang w:val="en-GB"/>
        </w:rPr>
        <w:t>(</w:t>
      </w:r>
      <w:r>
        <w:rPr>
          <w:sz w:val="16"/>
          <w:szCs w:val="16"/>
          <w:lang w:val="en-GB"/>
        </w:rPr>
        <w:t xml:space="preserve">in years </w:t>
      </w:r>
      <w:r w:rsidRPr="0041650F">
        <w:rPr>
          <w:sz w:val="16"/>
          <w:szCs w:val="16"/>
          <w:lang w:val="en-GB"/>
        </w:rPr>
        <w:t>2022 a</w:t>
      </w:r>
      <w:r>
        <w:rPr>
          <w:sz w:val="16"/>
          <w:szCs w:val="16"/>
          <w:lang w:val="en-GB"/>
        </w:rPr>
        <w:t>nd</w:t>
      </w:r>
      <w:r w:rsidRPr="0041650F">
        <w:rPr>
          <w:spacing w:val="-3"/>
          <w:sz w:val="16"/>
          <w:szCs w:val="16"/>
          <w:lang w:val="en-GB"/>
        </w:rPr>
        <w:t> </w:t>
      </w:r>
      <w:r w:rsidRPr="0041650F">
        <w:rPr>
          <w:sz w:val="16"/>
          <w:szCs w:val="16"/>
          <w:lang w:val="en-GB"/>
        </w:rPr>
        <w:t>2021</w:t>
      </w:r>
      <w:r>
        <w:rPr>
          <w:sz w:val="16"/>
          <w:szCs w:val="16"/>
          <w:lang w:val="en-GB"/>
        </w:rPr>
        <w:t xml:space="preserve"> </w:t>
      </w:r>
      <w:r w:rsidRPr="00170F1A">
        <w:rPr>
          <w:sz w:val="16"/>
          <w:szCs w:val="16"/>
          <w:lang w:val="en-GB"/>
        </w:rPr>
        <w:t>then by 16.7 thousand and 22.0 thousand respectively). Growth of entrepreneurs</w:t>
      </w:r>
      <w:r>
        <w:rPr>
          <w:sz w:val="16"/>
          <w:szCs w:val="16"/>
          <w:lang w:val="en-GB"/>
        </w:rPr>
        <w:t xml:space="preserve"> was analogically 3.2 thousand for year </w:t>
      </w:r>
      <w:r w:rsidRPr="0041650F">
        <w:rPr>
          <w:sz w:val="16"/>
          <w:szCs w:val="16"/>
          <w:lang w:val="en-GB"/>
        </w:rPr>
        <w:t xml:space="preserve">2023 </w:t>
      </w:r>
      <w:r>
        <w:rPr>
          <w:sz w:val="16"/>
          <w:szCs w:val="16"/>
          <w:lang w:val="en-GB"/>
        </w:rPr>
        <w:t>and it oscillated around 3 to 4 thousand also in the previous two years.</w:t>
      </w:r>
    </w:p>
  </w:footnote>
  <w:footnote w:id="77">
    <w:p w14:paraId="2DFA7F58" w14:textId="35F7B6F0" w:rsidR="003B4260" w:rsidRPr="00F3288B" w:rsidRDefault="003B4260" w:rsidP="006B55DF">
      <w:pPr>
        <w:pStyle w:val="Textpoznpodarou"/>
        <w:jc w:val="both"/>
        <w:rPr>
          <w:sz w:val="16"/>
          <w:szCs w:val="16"/>
          <w:lang w:val="en-GB"/>
        </w:rPr>
      </w:pPr>
      <w:r w:rsidRPr="004F321F">
        <w:rPr>
          <w:rStyle w:val="Znakapoznpodarou"/>
          <w:sz w:val="16"/>
          <w:szCs w:val="16"/>
        </w:rPr>
        <w:footnoteRef/>
      </w:r>
      <w:r>
        <w:rPr>
          <w:sz w:val="16"/>
          <w:szCs w:val="16"/>
        </w:rPr>
        <w:t xml:space="preserve"> </w:t>
      </w:r>
      <w:proofErr w:type="spellStart"/>
      <w:r w:rsidRPr="00744FC1">
        <w:rPr>
          <w:sz w:val="16"/>
          <w:szCs w:val="16"/>
        </w:rPr>
        <w:t>Based</w:t>
      </w:r>
      <w:proofErr w:type="spellEnd"/>
      <w:r w:rsidRPr="00744FC1">
        <w:rPr>
          <w:sz w:val="16"/>
          <w:szCs w:val="16"/>
        </w:rPr>
        <w:t xml:space="preserve"> on </w:t>
      </w:r>
      <w:proofErr w:type="spellStart"/>
      <w:r w:rsidRPr="00744FC1">
        <w:rPr>
          <w:sz w:val="16"/>
          <w:szCs w:val="16"/>
        </w:rPr>
        <w:t>the</w:t>
      </w:r>
      <w:proofErr w:type="spellEnd"/>
      <w:r w:rsidRPr="00744FC1">
        <w:rPr>
          <w:sz w:val="16"/>
          <w:szCs w:val="16"/>
        </w:rPr>
        <w:t xml:space="preserve"> LFSS data </w:t>
      </w:r>
      <w:proofErr w:type="spellStart"/>
      <w:r w:rsidRPr="00744FC1">
        <w:rPr>
          <w:sz w:val="16"/>
          <w:szCs w:val="16"/>
        </w:rPr>
        <w:t>for</w:t>
      </w:r>
      <w:proofErr w:type="spellEnd"/>
      <w:r w:rsidRPr="00744FC1">
        <w:rPr>
          <w:sz w:val="16"/>
          <w:szCs w:val="16"/>
        </w:rPr>
        <w:t xml:space="preserve"> Q4 2023, </w:t>
      </w:r>
      <w:proofErr w:type="spellStart"/>
      <w:r w:rsidRPr="00744FC1">
        <w:rPr>
          <w:sz w:val="16"/>
          <w:szCs w:val="16"/>
        </w:rPr>
        <w:t>re</w:t>
      </w:r>
      <w:r w:rsidR="00A82F4D">
        <w:rPr>
          <w:sz w:val="16"/>
          <w:szCs w:val="16"/>
        </w:rPr>
        <w:t>cord</w:t>
      </w:r>
      <w:proofErr w:type="spellEnd"/>
      <w:r w:rsidR="00A82F4D">
        <w:rPr>
          <w:sz w:val="16"/>
          <w:szCs w:val="16"/>
        </w:rPr>
        <w:t xml:space="preserve"> 13.7% </w:t>
      </w:r>
      <w:proofErr w:type="spellStart"/>
      <w:r w:rsidR="00A82F4D">
        <w:rPr>
          <w:sz w:val="16"/>
          <w:szCs w:val="16"/>
        </w:rPr>
        <w:t>of</w:t>
      </w:r>
      <w:proofErr w:type="spellEnd"/>
      <w:r w:rsidR="00A82F4D">
        <w:rPr>
          <w:sz w:val="16"/>
          <w:szCs w:val="16"/>
        </w:rPr>
        <w:t xml:space="preserve"> </w:t>
      </w:r>
      <w:proofErr w:type="spellStart"/>
      <w:r w:rsidR="00A82F4D">
        <w:rPr>
          <w:sz w:val="16"/>
          <w:szCs w:val="16"/>
        </w:rPr>
        <w:t>females</w:t>
      </w:r>
      <w:proofErr w:type="spellEnd"/>
      <w:r w:rsidR="00A82F4D">
        <w:rPr>
          <w:sz w:val="16"/>
          <w:szCs w:val="16"/>
        </w:rPr>
        <w:t xml:space="preserve"> </w:t>
      </w:r>
      <w:proofErr w:type="spellStart"/>
      <w:r w:rsidR="00A82F4D">
        <w:rPr>
          <w:sz w:val="16"/>
          <w:szCs w:val="16"/>
        </w:rPr>
        <w:t>aged</w:t>
      </w:r>
      <w:proofErr w:type="spellEnd"/>
      <w:r w:rsidR="00A82F4D">
        <w:rPr>
          <w:sz w:val="16"/>
          <w:szCs w:val="16"/>
        </w:rPr>
        <w:t xml:space="preserve"> 15+ </w:t>
      </w:r>
      <w:proofErr w:type="spellStart"/>
      <w:r w:rsidR="00A82F4D">
        <w:rPr>
          <w:sz w:val="16"/>
          <w:szCs w:val="16"/>
        </w:rPr>
        <w:t>worked</w:t>
      </w:r>
      <w:proofErr w:type="spellEnd"/>
      <w:r w:rsidR="00A82F4D">
        <w:rPr>
          <w:sz w:val="16"/>
          <w:szCs w:val="16"/>
        </w:rPr>
        <w:t xml:space="preserve"> part </w:t>
      </w:r>
      <w:proofErr w:type="spellStart"/>
      <w:r>
        <w:rPr>
          <w:sz w:val="16"/>
          <w:szCs w:val="16"/>
        </w:rPr>
        <w:t>time</w:t>
      </w:r>
      <w:proofErr w:type="spellEnd"/>
      <w:r>
        <w:rPr>
          <w:sz w:val="16"/>
          <w:szCs w:val="16"/>
        </w:rPr>
        <w:t xml:space="preserve"> in </w:t>
      </w:r>
      <w:proofErr w:type="spellStart"/>
      <w:r>
        <w:rPr>
          <w:sz w:val="16"/>
          <w:szCs w:val="16"/>
        </w:rPr>
        <w:t>the</w:t>
      </w:r>
      <w:proofErr w:type="spellEnd"/>
      <w:r>
        <w:rPr>
          <w:sz w:val="16"/>
          <w:szCs w:val="16"/>
        </w:rPr>
        <w:t xml:space="preserve"> CR. </w:t>
      </w:r>
      <w:proofErr w:type="spellStart"/>
      <w:r>
        <w:rPr>
          <w:sz w:val="16"/>
          <w:szCs w:val="16"/>
        </w:rPr>
        <w:t>That</w:t>
      </w:r>
      <w:proofErr w:type="spellEnd"/>
      <w:r>
        <w:rPr>
          <w:sz w:val="16"/>
          <w:szCs w:val="16"/>
        </w:rPr>
        <w:t xml:space="preserve"> </w:t>
      </w:r>
      <w:proofErr w:type="spellStart"/>
      <w:r>
        <w:rPr>
          <w:sz w:val="16"/>
          <w:szCs w:val="16"/>
        </w:rPr>
        <w:t>is</w:t>
      </w:r>
      <w:proofErr w:type="spellEnd"/>
      <w:r>
        <w:rPr>
          <w:sz w:val="16"/>
          <w:szCs w:val="16"/>
        </w:rPr>
        <w:t xml:space="preserve"> by </w:t>
      </w:r>
      <w:r w:rsidRPr="00647D47">
        <w:rPr>
          <w:sz w:val="16"/>
          <w:szCs w:val="16"/>
          <w:lang w:val="en-GB"/>
        </w:rPr>
        <w:t>1</w:t>
      </w:r>
      <w:r>
        <w:rPr>
          <w:sz w:val="16"/>
          <w:szCs w:val="16"/>
          <w:lang w:val="en-GB"/>
        </w:rPr>
        <w:t>.</w:t>
      </w:r>
      <w:r w:rsidRPr="00647D47">
        <w:rPr>
          <w:sz w:val="16"/>
          <w:szCs w:val="16"/>
          <w:lang w:val="en-GB"/>
        </w:rPr>
        <w:t>7</w:t>
      </w:r>
      <w:r>
        <w:rPr>
          <w:sz w:val="16"/>
          <w:szCs w:val="16"/>
          <w:lang w:val="en-GB"/>
        </w:rPr>
        <w:t xml:space="preserve"> </w:t>
      </w:r>
      <w:proofErr w:type="gramStart"/>
      <w:r>
        <w:rPr>
          <w:sz w:val="16"/>
          <w:szCs w:val="16"/>
          <w:lang w:val="en-GB"/>
        </w:rPr>
        <w:t>p.p.</w:t>
      </w:r>
      <w:proofErr w:type="gramEnd"/>
      <w:r>
        <w:rPr>
          <w:sz w:val="16"/>
          <w:szCs w:val="16"/>
          <w:lang w:val="en-GB"/>
        </w:rPr>
        <w:t xml:space="preserve"> more year-on-year </w:t>
      </w:r>
      <w:r w:rsidRPr="00647D47">
        <w:rPr>
          <w:sz w:val="16"/>
          <w:szCs w:val="16"/>
          <w:lang w:val="en-GB"/>
        </w:rPr>
        <w:t>(</w:t>
      </w:r>
      <w:r>
        <w:rPr>
          <w:sz w:val="16"/>
          <w:szCs w:val="16"/>
          <w:lang w:val="en-GB"/>
        </w:rPr>
        <w:t>together with Slovakia, it represents the most significant growth within the EU</w:t>
      </w:r>
      <w:r w:rsidRPr="00647D47">
        <w:rPr>
          <w:sz w:val="16"/>
          <w:szCs w:val="16"/>
          <w:lang w:val="en-GB"/>
        </w:rPr>
        <w:t xml:space="preserve">). </w:t>
      </w:r>
      <w:r w:rsidR="00A82F4D">
        <w:rPr>
          <w:sz w:val="16"/>
          <w:szCs w:val="16"/>
          <w:lang w:val="en-GB"/>
        </w:rPr>
        <w:t>The share</w:t>
      </w:r>
      <w:r>
        <w:rPr>
          <w:sz w:val="16"/>
          <w:szCs w:val="16"/>
          <w:lang w:val="en-GB"/>
        </w:rPr>
        <w:t xml:space="preserve"> of these contracts in </w:t>
      </w:r>
      <w:r w:rsidRPr="00F3288B">
        <w:rPr>
          <w:sz w:val="16"/>
          <w:szCs w:val="16"/>
          <w:lang w:val="en-GB"/>
        </w:rPr>
        <w:t xml:space="preserve">the CR is still however low in the European context. It reached 29.6% in the EU, in that 34.4% in the euro area. </w:t>
      </w:r>
    </w:p>
  </w:footnote>
  <w:footnote w:id="78">
    <w:p w14:paraId="0704AF31" w14:textId="46F8E423" w:rsidR="003B4260" w:rsidRPr="00F3288B" w:rsidRDefault="003B4260" w:rsidP="00647D47">
      <w:pPr>
        <w:pStyle w:val="Textpoznpodarou"/>
        <w:jc w:val="both"/>
        <w:rPr>
          <w:sz w:val="16"/>
          <w:szCs w:val="16"/>
          <w:lang w:val="en-GB"/>
        </w:rPr>
      </w:pPr>
      <w:r w:rsidRPr="00F3288B">
        <w:rPr>
          <w:rStyle w:val="Znakapoznpodarou"/>
          <w:sz w:val="16"/>
          <w:szCs w:val="16"/>
          <w:lang w:val="en-GB"/>
        </w:rPr>
        <w:footnoteRef/>
      </w:r>
      <w:r w:rsidRPr="00F3288B">
        <w:rPr>
          <w:sz w:val="16"/>
          <w:szCs w:val="16"/>
          <w:lang w:val="en-GB"/>
        </w:rPr>
        <w:t xml:space="preserve"> </w:t>
      </w:r>
      <w:r>
        <w:rPr>
          <w:sz w:val="16"/>
          <w:szCs w:val="16"/>
          <w:lang w:val="en-GB"/>
        </w:rPr>
        <w:t xml:space="preserve">It is the gross domestic product </w:t>
      </w:r>
      <w:r w:rsidRPr="00F3288B">
        <w:rPr>
          <w:sz w:val="16"/>
          <w:szCs w:val="16"/>
          <w:lang w:val="en-GB"/>
        </w:rPr>
        <w:t>(</w:t>
      </w:r>
      <w:r>
        <w:rPr>
          <w:sz w:val="16"/>
          <w:szCs w:val="16"/>
          <w:lang w:val="en-GB"/>
        </w:rPr>
        <w:t xml:space="preserve">in constant prices of year </w:t>
      </w:r>
      <w:r w:rsidRPr="00F3288B">
        <w:rPr>
          <w:sz w:val="16"/>
          <w:szCs w:val="16"/>
          <w:lang w:val="en-GB"/>
        </w:rPr>
        <w:t xml:space="preserve">2015) </w:t>
      </w:r>
      <w:r>
        <w:rPr>
          <w:sz w:val="16"/>
          <w:szCs w:val="16"/>
          <w:lang w:val="en-GB"/>
        </w:rPr>
        <w:t xml:space="preserve">per </w:t>
      </w:r>
      <w:r w:rsidRPr="00F3288B">
        <w:rPr>
          <w:sz w:val="16"/>
          <w:szCs w:val="16"/>
          <w:lang w:val="en-GB"/>
        </w:rPr>
        <w:t>1 ho</w:t>
      </w:r>
      <w:r>
        <w:rPr>
          <w:sz w:val="16"/>
          <w:szCs w:val="16"/>
          <w:lang w:val="en-GB"/>
        </w:rPr>
        <w:t>ur worked by employed persons in the whole economy. Gross value added is used instead of GDP</w:t>
      </w:r>
      <w:r w:rsidR="00A82F4D">
        <w:rPr>
          <w:sz w:val="16"/>
          <w:szCs w:val="16"/>
          <w:lang w:val="en-GB"/>
        </w:rPr>
        <w:t xml:space="preserve"> at the level of main branches.</w:t>
      </w:r>
    </w:p>
  </w:footnote>
  <w:footnote w:id="79">
    <w:p w14:paraId="59C190A3" w14:textId="5394888E" w:rsidR="003B4260" w:rsidRPr="004B7480" w:rsidRDefault="003B4260" w:rsidP="004B7480">
      <w:pPr>
        <w:pStyle w:val="Textpoznpodarou"/>
        <w:jc w:val="both"/>
        <w:rPr>
          <w:color w:val="0D0D0D" w:themeColor="text1" w:themeTint="F2"/>
          <w:spacing w:val="-4"/>
          <w:sz w:val="16"/>
          <w:szCs w:val="16"/>
          <w:lang w:val="en-GB"/>
        </w:rPr>
      </w:pPr>
      <w:r w:rsidRPr="004B7480">
        <w:rPr>
          <w:rStyle w:val="Znakapoznpodarou"/>
          <w:color w:val="0D0D0D" w:themeColor="text1" w:themeTint="F2"/>
          <w:spacing w:val="-2"/>
          <w:sz w:val="16"/>
          <w:szCs w:val="16"/>
          <w:lang w:val="en-GB"/>
        </w:rPr>
        <w:footnoteRef/>
      </w:r>
      <w:r w:rsidRPr="004B7480">
        <w:rPr>
          <w:color w:val="0D0D0D" w:themeColor="text1" w:themeTint="F2"/>
          <w:spacing w:val="-2"/>
          <w:sz w:val="16"/>
          <w:szCs w:val="16"/>
          <w:lang w:val="en-GB"/>
        </w:rPr>
        <w:t xml:space="preserve"> </w:t>
      </w:r>
      <w:r>
        <w:rPr>
          <w:color w:val="0D0D0D" w:themeColor="text1" w:themeTint="F2"/>
          <w:spacing w:val="-2"/>
          <w:sz w:val="16"/>
          <w:szCs w:val="16"/>
          <w:lang w:val="en-GB"/>
        </w:rPr>
        <w:t xml:space="preserve">Businesses in two thirds of industrial branches – both in the energy intensive (metallurgy, production of construction materials, metalworking, chemical and paper industry) and in machinery and supplier sub-branches tied to manufacturing of motor vehicles (electrical engineering, rubber and plastic products) or in a number of mostly smaller branches, whose sales depend to a large part on the household consumption (furniture, clothing, beverage and food industry) expressed prevailing negative expectations of employment (based on survey from February 2024). On the contrary, mildly positive outlooks lasted in manufacturing of motor vehicles, further in the pharmaceutical industry, other industry or repairs and installation of machinery and equipment. </w:t>
      </w:r>
    </w:p>
    <w:p w14:paraId="71D6B300" w14:textId="51A5CEBA" w:rsidR="003B4260" w:rsidRPr="004B7480" w:rsidRDefault="003B4260" w:rsidP="004B7480">
      <w:pPr>
        <w:pStyle w:val="Textpoznpodarou"/>
        <w:jc w:val="both"/>
        <w:rPr>
          <w:color w:val="0D0D0D" w:themeColor="text1" w:themeTint="F2"/>
          <w:spacing w:val="-5"/>
          <w:sz w:val="16"/>
          <w:szCs w:val="16"/>
          <w:lang w:val="en-GB"/>
        </w:rPr>
      </w:pPr>
      <w:r>
        <w:rPr>
          <w:color w:val="0D0D0D" w:themeColor="text1" w:themeTint="F2"/>
          <w:spacing w:val="-5"/>
          <w:sz w:val="16"/>
          <w:szCs w:val="16"/>
          <w:lang w:val="en-GB"/>
        </w:rPr>
        <w:t xml:space="preserve">Negative expectations prevailed in one half of sub-branches in services. It was the most apparent in financial industry, telecommunications and land transport, further in majority of administrative and support service activities, in publishing activities or advertising. In contrast, businesses anticipated rather higher employment in several other business services </w:t>
      </w:r>
      <w:r w:rsidRPr="004B7480">
        <w:rPr>
          <w:color w:val="0D0D0D" w:themeColor="text1" w:themeTint="F2"/>
          <w:spacing w:val="-5"/>
          <w:sz w:val="16"/>
          <w:szCs w:val="16"/>
          <w:lang w:val="en-GB"/>
        </w:rPr>
        <w:t>(</w:t>
      </w:r>
      <w:r>
        <w:rPr>
          <w:color w:val="0D0D0D" w:themeColor="text1" w:themeTint="F2"/>
          <w:spacing w:val="-5"/>
          <w:sz w:val="16"/>
          <w:szCs w:val="16"/>
          <w:lang w:val="en-GB"/>
        </w:rPr>
        <w:t>legal and accounting activities, architectural and engineering activities, employment agencies</w:t>
      </w:r>
      <w:r w:rsidRPr="004B7480">
        <w:rPr>
          <w:color w:val="0D0D0D" w:themeColor="text1" w:themeTint="F2"/>
          <w:spacing w:val="-5"/>
          <w:sz w:val="16"/>
          <w:szCs w:val="16"/>
          <w:lang w:val="en-GB"/>
        </w:rPr>
        <w:t xml:space="preserve">) </w:t>
      </w:r>
      <w:r>
        <w:rPr>
          <w:color w:val="0D0D0D" w:themeColor="text1" w:themeTint="F2"/>
          <w:spacing w:val="-5"/>
          <w:sz w:val="16"/>
          <w:szCs w:val="16"/>
          <w:lang w:val="en-GB"/>
        </w:rPr>
        <w:t>or in the area of programming, insurance and other financial activities,</w:t>
      </w:r>
      <w:r w:rsidR="008C0680">
        <w:rPr>
          <w:color w:val="0D0D0D" w:themeColor="text1" w:themeTint="F2"/>
          <w:spacing w:val="-5"/>
          <w:sz w:val="16"/>
          <w:szCs w:val="16"/>
          <w:lang w:val="en-GB"/>
        </w:rPr>
        <w:t xml:space="preserve"> courier activities, food service, </w:t>
      </w:r>
      <w:proofErr w:type="spellStart"/>
      <w:r w:rsidR="008C0680">
        <w:rPr>
          <w:color w:val="0D0D0D" w:themeColor="text1" w:themeTint="F2"/>
          <w:spacing w:val="-5"/>
          <w:sz w:val="16"/>
          <w:szCs w:val="16"/>
          <w:lang w:val="en-GB"/>
        </w:rPr>
        <w:t>accommodatioin</w:t>
      </w:r>
      <w:proofErr w:type="spellEnd"/>
      <w:r>
        <w:rPr>
          <w:color w:val="0D0D0D" w:themeColor="text1" w:themeTint="F2"/>
          <w:spacing w:val="-5"/>
          <w:sz w:val="16"/>
          <w:szCs w:val="16"/>
          <w:lang w:val="en-GB"/>
        </w:rPr>
        <w:t xml:space="preserve">, air transport and warehousing. </w:t>
      </w:r>
    </w:p>
  </w:footnote>
  <w:footnote w:id="80">
    <w:p w14:paraId="549DF585" w14:textId="5B5DEF84" w:rsidR="003B4260" w:rsidRPr="00D61917" w:rsidRDefault="003B4260" w:rsidP="00D61917">
      <w:pPr>
        <w:pStyle w:val="Textpoznpodarou"/>
        <w:jc w:val="both"/>
        <w:rPr>
          <w:spacing w:val="-3"/>
          <w:sz w:val="16"/>
          <w:szCs w:val="16"/>
          <w:lang w:val="en-GB"/>
        </w:rPr>
      </w:pPr>
      <w:r w:rsidRPr="004E68B1">
        <w:rPr>
          <w:rStyle w:val="Znakapoznpodarou"/>
          <w:spacing w:val="-3"/>
          <w:sz w:val="16"/>
          <w:szCs w:val="16"/>
        </w:rPr>
        <w:footnoteRef/>
      </w:r>
      <w:r>
        <w:rPr>
          <w:spacing w:val="-3"/>
          <w:sz w:val="16"/>
          <w:szCs w:val="16"/>
        </w:rPr>
        <w:t xml:space="preserve"> </w:t>
      </w:r>
      <w:proofErr w:type="spellStart"/>
      <w:r w:rsidRPr="00923322">
        <w:rPr>
          <w:spacing w:val="-3"/>
          <w:sz w:val="16"/>
          <w:szCs w:val="16"/>
        </w:rPr>
        <w:t>Unless</w:t>
      </w:r>
      <w:proofErr w:type="spellEnd"/>
      <w:r w:rsidRPr="00923322">
        <w:rPr>
          <w:spacing w:val="-3"/>
          <w:sz w:val="16"/>
          <w:szCs w:val="16"/>
        </w:rPr>
        <w:t xml:space="preserve"> </w:t>
      </w:r>
      <w:proofErr w:type="spellStart"/>
      <w:r w:rsidRPr="00923322">
        <w:rPr>
          <w:spacing w:val="-3"/>
          <w:sz w:val="16"/>
          <w:szCs w:val="16"/>
        </w:rPr>
        <w:t>stated</w:t>
      </w:r>
      <w:proofErr w:type="spellEnd"/>
      <w:r w:rsidRPr="00923322">
        <w:rPr>
          <w:spacing w:val="-3"/>
          <w:sz w:val="16"/>
          <w:szCs w:val="16"/>
        </w:rPr>
        <w:t xml:space="preserve"> </w:t>
      </w:r>
      <w:proofErr w:type="spellStart"/>
      <w:r w:rsidRPr="00923322">
        <w:rPr>
          <w:spacing w:val="-3"/>
          <w:sz w:val="16"/>
          <w:szCs w:val="16"/>
        </w:rPr>
        <w:t>otherwise</w:t>
      </w:r>
      <w:proofErr w:type="spellEnd"/>
      <w:r w:rsidRPr="00923322">
        <w:rPr>
          <w:spacing w:val="-3"/>
          <w:sz w:val="16"/>
          <w:szCs w:val="16"/>
        </w:rPr>
        <w:t xml:space="preserve">, </w:t>
      </w:r>
      <w:proofErr w:type="spellStart"/>
      <w:r w:rsidRPr="00923322">
        <w:rPr>
          <w:spacing w:val="-3"/>
          <w:sz w:val="16"/>
          <w:szCs w:val="16"/>
        </w:rPr>
        <w:t>all</w:t>
      </w:r>
      <w:proofErr w:type="spellEnd"/>
      <w:r w:rsidRPr="00923322">
        <w:rPr>
          <w:spacing w:val="-3"/>
          <w:sz w:val="16"/>
          <w:szCs w:val="16"/>
        </w:rPr>
        <w:t xml:space="preserve"> data </w:t>
      </w:r>
      <w:proofErr w:type="spellStart"/>
      <w:r w:rsidRPr="00923322">
        <w:rPr>
          <w:spacing w:val="-3"/>
          <w:sz w:val="16"/>
          <w:szCs w:val="16"/>
        </w:rPr>
        <w:t>regarding</w:t>
      </w:r>
      <w:proofErr w:type="spellEnd"/>
      <w:r w:rsidRPr="00923322">
        <w:rPr>
          <w:spacing w:val="-3"/>
          <w:sz w:val="16"/>
          <w:szCs w:val="16"/>
        </w:rPr>
        <w:t xml:space="preserve"> </w:t>
      </w:r>
      <w:proofErr w:type="spellStart"/>
      <w:r w:rsidRPr="00923322">
        <w:rPr>
          <w:spacing w:val="-3"/>
          <w:sz w:val="16"/>
          <w:szCs w:val="16"/>
        </w:rPr>
        <w:t>the</w:t>
      </w:r>
      <w:proofErr w:type="spellEnd"/>
      <w:r w:rsidRPr="00923322">
        <w:rPr>
          <w:spacing w:val="-3"/>
          <w:sz w:val="16"/>
          <w:szCs w:val="16"/>
        </w:rPr>
        <w:t xml:space="preserve"> </w:t>
      </w:r>
      <w:proofErr w:type="spellStart"/>
      <w:r w:rsidRPr="00923322">
        <w:rPr>
          <w:spacing w:val="-3"/>
          <w:sz w:val="16"/>
          <w:szCs w:val="16"/>
        </w:rPr>
        <w:t>unemployment</w:t>
      </w:r>
      <w:proofErr w:type="spellEnd"/>
      <w:r w:rsidRPr="00923322">
        <w:rPr>
          <w:spacing w:val="-3"/>
          <w:sz w:val="16"/>
          <w:szCs w:val="16"/>
        </w:rPr>
        <w:t xml:space="preserve"> </w:t>
      </w:r>
      <w:proofErr w:type="spellStart"/>
      <w:r w:rsidRPr="00923322">
        <w:rPr>
          <w:spacing w:val="-3"/>
          <w:sz w:val="16"/>
          <w:szCs w:val="16"/>
        </w:rPr>
        <w:t>rates</w:t>
      </w:r>
      <w:proofErr w:type="spellEnd"/>
      <w:r w:rsidRPr="00923322">
        <w:rPr>
          <w:spacing w:val="-3"/>
          <w:sz w:val="16"/>
          <w:szCs w:val="16"/>
        </w:rPr>
        <w:t xml:space="preserve"> are </w:t>
      </w:r>
      <w:proofErr w:type="spellStart"/>
      <w:r w:rsidRPr="00923322">
        <w:rPr>
          <w:spacing w:val="-3"/>
          <w:sz w:val="16"/>
          <w:szCs w:val="16"/>
        </w:rPr>
        <w:t>sourced</w:t>
      </w:r>
      <w:proofErr w:type="spellEnd"/>
      <w:r w:rsidRPr="00923322">
        <w:rPr>
          <w:spacing w:val="-3"/>
          <w:sz w:val="16"/>
          <w:szCs w:val="16"/>
        </w:rPr>
        <w:t xml:space="preserve"> </w:t>
      </w:r>
      <w:proofErr w:type="spellStart"/>
      <w:r w:rsidRPr="00923322">
        <w:rPr>
          <w:spacing w:val="-3"/>
          <w:sz w:val="16"/>
          <w:szCs w:val="16"/>
        </w:rPr>
        <w:t>from</w:t>
      </w:r>
      <w:proofErr w:type="spellEnd"/>
      <w:r w:rsidRPr="00923322">
        <w:rPr>
          <w:spacing w:val="-3"/>
          <w:sz w:val="16"/>
          <w:szCs w:val="16"/>
        </w:rPr>
        <w:t xml:space="preserve"> </w:t>
      </w:r>
      <w:proofErr w:type="spellStart"/>
      <w:r w:rsidRPr="00923322">
        <w:rPr>
          <w:spacing w:val="-3"/>
          <w:sz w:val="16"/>
          <w:szCs w:val="16"/>
        </w:rPr>
        <w:t>the</w:t>
      </w:r>
      <w:proofErr w:type="spellEnd"/>
      <w:r w:rsidRPr="00923322">
        <w:rPr>
          <w:spacing w:val="-3"/>
          <w:sz w:val="16"/>
          <w:szCs w:val="16"/>
        </w:rPr>
        <w:t xml:space="preserve"> LFSS (</w:t>
      </w:r>
      <w:proofErr w:type="spellStart"/>
      <w:r w:rsidRPr="00923322">
        <w:rPr>
          <w:spacing w:val="-3"/>
          <w:sz w:val="16"/>
          <w:szCs w:val="16"/>
        </w:rPr>
        <w:t>based</w:t>
      </w:r>
      <w:proofErr w:type="spellEnd"/>
      <w:r w:rsidRPr="00923322">
        <w:rPr>
          <w:spacing w:val="-3"/>
          <w:sz w:val="16"/>
          <w:szCs w:val="16"/>
        </w:rPr>
        <w:t xml:space="preserve"> on </w:t>
      </w:r>
      <w:proofErr w:type="spellStart"/>
      <w:r w:rsidRPr="00923322">
        <w:rPr>
          <w:spacing w:val="-3"/>
          <w:sz w:val="16"/>
          <w:szCs w:val="16"/>
        </w:rPr>
        <w:t>the</w:t>
      </w:r>
      <w:proofErr w:type="spellEnd"/>
      <w:r w:rsidRPr="00923322">
        <w:rPr>
          <w:spacing w:val="-3"/>
          <w:sz w:val="16"/>
          <w:szCs w:val="16"/>
        </w:rPr>
        <w:t xml:space="preserve"> ILO </w:t>
      </w:r>
      <w:proofErr w:type="spellStart"/>
      <w:r w:rsidRPr="00923322">
        <w:rPr>
          <w:spacing w:val="-3"/>
          <w:sz w:val="16"/>
          <w:szCs w:val="16"/>
        </w:rPr>
        <w:t>methodology</w:t>
      </w:r>
      <w:proofErr w:type="spellEnd"/>
      <w:r w:rsidRPr="00923322">
        <w:rPr>
          <w:spacing w:val="-3"/>
          <w:sz w:val="16"/>
          <w:szCs w:val="16"/>
        </w:rPr>
        <w:t xml:space="preserve">) and are </w:t>
      </w:r>
      <w:proofErr w:type="spellStart"/>
      <w:r w:rsidRPr="00923322">
        <w:rPr>
          <w:spacing w:val="-3"/>
          <w:sz w:val="16"/>
          <w:szCs w:val="16"/>
        </w:rPr>
        <w:t>adjusted</w:t>
      </w:r>
      <w:proofErr w:type="spellEnd"/>
      <w:r w:rsidRPr="00923322">
        <w:rPr>
          <w:spacing w:val="-3"/>
          <w:sz w:val="16"/>
          <w:szCs w:val="16"/>
        </w:rPr>
        <w:t xml:space="preserve"> </w:t>
      </w:r>
      <w:proofErr w:type="spellStart"/>
      <w:r w:rsidRPr="00923322">
        <w:rPr>
          <w:spacing w:val="-3"/>
          <w:sz w:val="16"/>
          <w:szCs w:val="16"/>
        </w:rPr>
        <w:t>for</w:t>
      </w:r>
      <w:proofErr w:type="spellEnd"/>
      <w:r w:rsidRPr="00923322">
        <w:rPr>
          <w:spacing w:val="-3"/>
          <w:sz w:val="16"/>
          <w:szCs w:val="16"/>
        </w:rPr>
        <w:t xml:space="preserve"> </w:t>
      </w:r>
      <w:proofErr w:type="spellStart"/>
      <w:r w:rsidRPr="00923322">
        <w:rPr>
          <w:spacing w:val="-3"/>
          <w:sz w:val="16"/>
          <w:szCs w:val="16"/>
        </w:rPr>
        <w:t>seasonal</w:t>
      </w:r>
      <w:proofErr w:type="spellEnd"/>
      <w:r w:rsidRPr="00923322">
        <w:rPr>
          <w:spacing w:val="-3"/>
          <w:sz w:val="16"/>
          <w:szCs w:val="16"/>
        </w:rPr>
        <w:t xml:space="preserve"> </w:t>
      </w:r>
      <w:proofErr w:type="spellStart"/>
      <w:r w:rsidRPr="00923322">
        <w:rPr>
          <w:spacing w:val="-3"/>
          <w:sz w:val="16"/>
          <w:szCs w:val="16"/>
        </w:rPr>
        <w:t>effects</w:t>
      </w:r>
      <w:proofErr w:type="spellEnd"/>
      <w:r w:rsidRPr="00923322">
        <w:rPr>
          <w:spacing w:val="-3"/>
          <w:sz w:val="16"/>
          <w:szCs w:val="16"/>
        </w:rPr>
        <w:t>.</w:t>
      </w:r>
    </w:p>
  </w:footnote>
  <w:footnote w:id="81">
    <w:p w14:paraId="4AE0C628" w14:textId="21252EA5" w:rsidR="003B4260" w:rsidRPr="00F9236F" w:rsidRDefault="003B4260" w:rsidP="00F9236F">
      <w:pPr>
        <w:pStyle w:val="paragraph"/>
        <w:spacing w:before="0" w:beforeAutospacing="0" w:after="0" w:afterAutospacing="0"/>
        <w:jc w:val="both"/>
        <w:textAlignment w:val="baseline"/>
        <w:rPr>
          <w:rFonts w:ascii="Arial" w:eastAsia="Calibri" w:hAnsi="Arial"/>
          <w:color w:val="0D0D0D" w:themeColor="text1" w:themeTint="F2"/>
          <w:spacing w:val="-5"/>
          <w:sz w:val="16"/>
          <w:szCs w:val="16"/>
          <w:lang w:val="en-GB"/>
        </w:rPr>
      </w:pPr>
      <w:r w:rsidRPr="00D61917">
        <w:rPr>
          <w:rFonts w:ascii="Arial" w:eastAsia="Calibri" w:hAnsi="Arial"/>
          <w:color w:val="0D0D0D" w:themeColor="text1" w:themeTint="F2"/>
          <w:spacing w:val="-5"/>
          <w:sz w:val="16"/>
          <w:szCs w:val="16"/>
          <w:vertAlign w:val="superscript"/>
          <w:lang w:val="en-GB"/>
        </w:rPr>
        <w:footnoteRef/>
      </w:r>
      <w:r w:rsidRPr="00D61917">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 xml:space="preserve">Only Malta </w:t>
      </w:r>
      <w:r w:rsidRPr="00F9236F">
        <w:rPr>
          <w:rFonts w:ascii="Arial" w:eastAsia="Calibri" w:hAnsi="Arial"/>
          <w:color w:val="0D0D0D" w:themeColor="text1" w:themeTint="F2"/>
          <w:spacing w:val="-5"/>
          <w:sz w:val="16"/>
          <w:szCs w:val="16"/>
          <w:lang w:val="en-GB"/>
        </w:rPr>
        <w:t>(2</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 xml:space="preserve">6%), </w:t>
      </w:r>
      <w:r>
        <w:rPr>
          <w:rFonts w:ascii="Arial" w:eastAsia="Calibri" w:hAnsi="Arial"/>
          <w:color w:val="0D0D0D" w:themeColor="text1" w:themeTint="F2"/>
          <w:spacing w:val="-5"/>
          <w:sz w:val="16"/>
          <w:szCs w:val="16"/>
          <w:lang w:val="en-GB"/>
        </w:rPr>
        <w:t xml:space="preserve">comparable Poland </w:t>
      </w:r>
      <w:r w:rsidRPr="00F9236F">
        <w:rPr>
          <w:rFonts w:ascii="Arial" w:eastAsia="Calibri" w:hAnsi="Arial"/>
          <w:color w:val="0D0D0D" w:themeColor="text1" w:themeTint="F2"/>
          <w:spacing w:val="-5"/>
          <w:sz w:val="16"/>
          <w:szCs w:val="16"/>
          <w:lang w:val="en-GB"/>
        </w:rPr>
        <w:t>(2</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 xml:space="preserve">9%) </w:t>
      </w:r>
      <w:r>
        <w:rPr>
          <w:rFonts w:ascii="Arial" w:eastAsia="Calibri" w:hAnsi="Arial"/>
          <w:color w:val="0D0D0D" w:themeColor="text1" w:themeTint="F2"/>
          <w:spacing w:val="-5"/>
          <w:sz w:val="16"/>
          <w:szCs w:val="16"/>
          <w:lang w:val="en-GB"/>
        </w:rPr>
        <w:t xml:space="preserve">and Germany </w:t>
      </w:r>
      <w:r w:rsidRPr="00F9236F">
        <w:rPr>
          <w:rFonts w:ascii="Arial" w:eastAsia="Calibri" w:hAnsi="Arial"/>
          <w:color w:val="0D0D0D" w:themeColor="text1" w:themeTint="F2"/>
          <w:spacing w:val="-5"/>
          <w:sz w:val="16"/>
          <w:szCs w:val="16"/>
          <w:lang w:val="en-GB"/>
        </w:rPr>
        <w:t>(3</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1%)</w:t>
      </w:r>
      <w:r>
        <w:rPr>
          <w:rFonts w:ascii="Arial" w:eastAsia="Calibri" w:hAnsi="Arial"/>
          <w:color w:val="0D0D0D" w:themeColor="text1" w:themeTint="F2"/>
          <w:spacing w:val="-5"/>
          <w:sz w:val="16"/>
          <w:szCs w:val="16"/>
          <w:lang w:val="en-GB"/>
        </w:rPr>
        <w:t xml:space="preserve"> recorded lower total unemployment rate (persons aged 15 – 74 years) than this country (3.0%) in January 2024</w:t>
      </w:r>
      <w:r w:rsidRPr="00F9236F">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 xml:space="preserve">Unemployment increased year-on-year in two thirds of the member states </w:t>
      </w:r>
      <w:r w:rsidRPr="00F9236F">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 xml:space="preserve">the most in Estonia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from </w:t>
      </w:r>
      <w:r w:rsidRPr="00F9236F">
        <w:rPr>
          <w:rFonts w:ascii="Arial" w:eastAsia="Calibri" w:hAnsi="Arial"/>
          <w:color w:val="0D0D0D" w:themeColor="text1" w:themeTint="F2"/>
          <w:spacing w:val="-5"/>
          <w:sz w:val="16"/>
          <w:szCs w:val="16"/>
          <w:lang w:val="en-GB"/>
        </w:rPr>
        <w:t>5</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2</w:t>
      </w:r>
      <w:r>
        <w:rPr>
          <w:rFonts w:ascii="Arial" w:eastAsia="Calibri" w:hAnsi="Arial"/>
          <w:color w:val="0D0D0D" w:themeColor="text1" w:themeTint="F2"/>
          <w:spacing w:val="-5"/>
          <w:sz w:val="16"/>
          <w:szCs w:val="16"/>
          <w:lang w:val="en-GB"/>
        </w:rPr>
        <w:t xml:space="preserve"> to </w:t>
      </w:r>
      <w:r w:rsidRPr="00F9236F">
        <w:rPr>
          <w:rFonts w:ascii="Arial" w:eastAsia="Calibri" w:hAnsi="Arial"/>
          <w:color w:val="0D0D0D" w:themeColor="text1" w:themeTint="F2"/>
          <w:spacing w:val="-5"/>
          <w:sz w:val="16"/>
          <w:szCs w:val="16"/>
          <w:lang w:val="en-GB"/>
        </w:rPr>
        <w:t>7</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0%),</w:t>
      </w:r>
      <w:r>
        <w:rPr>
          <w:rFonts w:ascii="Arial" w:eastAsia="Calibri" w:hAnsi="Arial"/>
          <w:color w:val="0D0D0D" w:themeColor="text1" w:themeTint="F2"/>
          <w:spacing w:val="-5"/>
          <w:sz w:val="16"/>
          <w:szCs w:val="16"/>
          <w:lang w:val="en-GB"/>
        </w:rPr>
        <w:t xml:space="preserve"> further in Denmark, Lithuania, and Sweden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identically approximately by </w:t>
      </w:r>
      <w:r w:rsidRPr="00F9236F">
        <w:rPr>
          <w:rFonts w:ascii="Arial" w:eastAsia="Calibri" w:hAnsi="Arial"/>
          <w:color w:val="0D0D0D" w:themeColor="text1" w:themeTint="F2"/>
          <w:spacing w:val="-5"/>
          <w:sz w:val="16"/>
          <w:szCs w:val="16"/>
          <w:lang w:val="en-GB"/>
        </w:rPr>
        <w:t>1 p.</w:t>
      </w:r>
      <w:r>
        <w:rPr>
          <w:rFonts w:ascii="Arial" w:eastAsia="Calibri" w:hAnsi="Arial"/>
          <w:color w:val="0D0D0D" w:themeColor="text1" w:themeTint="F2"/>
          <w:spacing w:val="-5"/>
          <w:sz w:val="16"/>
          <w:szCs w:val="16"/>
          <w:lang w:val="en-GB"/>
        </w:rPr>
        <w:t>p</w:t>
      </w:r>
      <w:r w:rsidRPr="00F9236F">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 xml:space="preserve">On the contrary decrease occurred mainly in countries with traditionally higher unemployment </w:t>
      </w:r>
      <w:r w:rsidRPr="00F9236F">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 xml:space="preserve">in Spain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from </w:t>
      </w:r>
      <w:r w:rsidRPr="00F9236F">
        <w:rPr>
          <w:rFonts w:ascii="Arial" w:eastAsia="Calibri" w:hAnsi="Arial"/>
          <w:color w:val="0D0D0D" w:themeColor="text1" w:themeTint="F2"/>
          <w:spacing w:val="-5"/>
          <w:sz w:val="16"/>
          <w:szCs w:val="16"/>
          <w:lang w:val="en-GB"/>
        </w:rPr>
        <w:t>13</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0</w:t>
      </w:r>
      <w:r>
        <w:rPr>
          <w:rFonts w:ascii="Arial" w:eastAsia="Calibri" w:hAnsi="Arial"/>
          <w:color w:val="0D0D0D" w:themeColor="text1" w:themeTint="F2"/>
          <w:spacing w:val="-5"/>
          <w:sz w:val="16"/>
          <w:szCs w:val="16"/>
          <w:lang w:val="en-GB"/>
        </w:rPr>
        <w:t xml:space="preserve"> to </w:t>
      </w:r>
      <w:r w:rsidRPr="00F9236F">
        <w:rPr>
          <w:rFonts w:ascii="Arial" w:eastAsia="Calibri" w:hAnsi="Arial"/>
          <w:color w:val="0D0D0D" w:themeColor="text1" w:themeTint="F2"/>
          <w:spacing w:val="-5"/>
          <w:sz w:val="16"/>
          <w:szCs w:val="16"/>
          <w:lang w:val="en-GB"/>
        </w:rPr>
        <w:t>11</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6%),</w:t>
      </w:r>
      <w:r>
        <w:rPr>
          <w:rFonts w:ascii="Arial" w:eastAsia="Calibri" w:hAnsi="Arial"/>
          <w:color w:val="0D0D0D" w:themeColor="text1" w:themeTint="F2"/>
          <w:spacing w:val="-5"/>
          <w:sz w:val="16"/>
          <w:szCs w:val="16"/>
          <w:lang w:val="en-GB"/>
        </w:rPr>
        <w:t xml:space="preserve"> in Greece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from </w:t>
      </w:r>
      <w:r w:rsidRPr="00F9236F">
        <w:rPr>
          <w:rFonts w:ascii="Arial" w:eastAsia="Calibri" w:hAnsi="Arial"/>
          <w:color w:val="0D0D0D" w:themeColor="text1" w:themeTint="F2"/>
          <w:spacing w:val="-5"/>
          <w:sz w:val="16"/>
          <w:szCs w:val="16"/>
          <w:lang w:val="en-GB"/>
        </w:rPr>
        <w:t>11</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3</w:t>
      </w:r>
      <w:r>
        <w:rPr>
          <w:rFonts w:ascii="Arial" w:eastAsia="Calibri" w:hAnsi="Arial"/>
          <w:color w:val="0D0D0D" w:themeColor="text1" w:themeTint="F2"/>
          <w:spacing w:val="-5"/>
          <w:sz w:val="16"/>
          <w:szCs w:val="16"/>
          <w:lang w:val="en-GB"/>
        </w:rPr>
        <w:t xml:space="preserve"> to </w:t>
      </w:r>
      <w:r w:rsidRPr="00F9236F">
        <w:rPr>
          <w:rFonts w:ascii="Arial" w:eastAsia="Calibri" w:hAnsi="Arial"/>
          <w:color w:val="0D0D0D" w:themeColor="text1" w:themeTint="F2"/>
          <w:spacing w:val="-5"/>
          <w:sz w:val="16"/>
          <w:szCs w:val="16"/>
          <w:lang w:val="en-GB"/>
        </w:rPr>
        <w:t>10</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4%) a</w:t>
      </w:r>
      <w:r>
        <w:rPr>
          <w:rFonts w:ascii="Arial" w:eastAsia="Calibri" w:hAnsi="Arial"/>
          <w:color w:val="0D0D0D" w:themeColor="text1" w:themeTint="F2"/>
          <w:spacing w:val="-5"/>
          <w:sz w:val="16"/>
          <w:szCs w:val="16"/>
          <w:lang w:val="en-GB"/>
        </w:rPr>
        <w:t xml:space="preserve">nd Italy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from </w:t>
      </w:r>
      <w:r w:rsidRPr="00F9236F">
        <w:rPr>
          <w:rFonts w:ascii="Arial" w:eastAsia="Calibri" w:hAnsi="Arial"/>
          <w:color w:val="0D0D0D" w:themeColor="text1" w:themeTint="F2"/>
          <w:spacing w:val="-5"/>
          <w:sz w:val="16"/>
          <w:szCs w:val="16"/>
          <w:lang w:val="en-GB"/>
        </w:rPr>
        <w:t>7</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9</w:t>
      </w:r>
      <w:r>
        <w:rPr>
          <w:rFonts w:ascii="Arial" w:eastAsia="Calibri" w:hAnsi="Arial"/>
          <w:color w:val="0D0D0D" w:themeColor="text1" w:themeTint="F2"/>
          <w:spacing w:val="-5"/>
          <w:sz w:val="16"/>
          <w:szCs w:val="16"/>
          <w:lang w:val="en-GB"/>
        </w:rPr>
        <w:t xml:space="preserve"> to </w:t>
      </w:r>
      <w:r w:rsidRPr="00F9236F">
        <w:rPr>
          <w:rFonts w:ascii="Arial" w:eastAsia="Calibri" w:hAnsi="Arial"/>
          <w:color w:val="0D0D0D" w:themeColor="text1" w:themeTint="F2"/>
          <w:spacing w:val="-5"/>
          <w:sz w:val="16"/>
          <w:szCs w:val="16"/>
          <w:lang w:val="en-GB"/>
        </w:rPr>
        <w:t>7</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 xml:space="preserve">2%), </w:t>
      </w:r>
      <w:r>
        <w:rPr>
          <w:rFonts w:ascii="Arial" w:eastAsia="Calibri" w:hAnsi="Arial"/>
          <w:color w:val="0D0D0D" w:themeColor="text1" w:themeTint="F2"/>
          <w:spacing w:val="-5"/>
          <w:sz w:val="16"/>
          <w:szCs w:val="16"/>
          <w:lang w:val="en-GB"/>
        </w:rPr>
        <w:t xml:space="preserve">slower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by </w:t>
      </w:r>
      <w:r w:rsidRPr="00F9236F">
        <w:rPr>
          <w:rFonts w:ascii="Arial" w:eastAsia="Calibri" w:hAnsi="Arial"/>
          <w:color w:val="0D0D0D" w:themeColor="text1" w:themeTint="F2"/>
          <w:spacing w:val="-5"/>
          <w:sz w:val="16"/>
          <w:szCs w:val="16"/>
          <w:lang w:val="en-GB"/>
        </w:rPr>
        <w:t>0</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5 p.</w:t>
      </w:r>
      <w:r>
        <w:rPr>
          <w:rFonts w:ascii="Arial" w:eastAsia="Calibri" w:hAnsi="Arial"/>
          <w:color w:val="0D0D0D" w:themeColor="text1" w:themeTint="F2"/>
          <w:spacing w:val="-5"/>
          <w:sz w:val="16"/>
          <w:szCs w:val="16"/>
          <w:lang w:val="en-GB"/>
        </w:rPr>
        <w:t>p</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 it decreased in Portugal, Croatia and Slovakia. Unemployment rate of young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up to </w:t>
      </w:r>
      <w:r w:rsidRPr="00F9236F">
        <w:rPr>
          <w:rFonts w:ascii="Arial" w:eastAsia="Calibri" w:hAnsi="Arial"/>
          <w:color w:val="0D0D0D" w:themeColor="text1" w:themeTint="F2"/>
          <w:spacing w:val="-5"/>
          <w:sz w:val="16"/>
          <w:szCs w:val="16"/>
          <w:lang w:val="en-GB"/>
        </w:rPr>
        <w:t xml:space="preserve">25 </w:t>
      </w:r>
      <w:r>
        <w:rPr>
          <w:rFonts w:ascii="Arial" w:eastAsia="Calibri" w:hAnsi="Arial"/>
          <w:color w:val="0D0D0D" w:themeColor="text1" w:themeTint="F2"/>
          <w:spacing w:val="-5"/>
          <w:sz w:val="16"/>
          <w:szCs w:val="16"/>
          <w:lang w:val="en-GB"/>
        </w:rPr>
        <w:t>years</w:t>
      </w:r>
      <w:r w:rsidRPr="00F9236F">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 xml:space="preserve">followed rather slightly upward trend in the EU last year since </w:t>
      </w:r>
      <w:proofErr w:type="gramStart"/>
      <w:r>
        <w:rPr>
          <w:rFonts w:ascii="Arial" w:eastAsia="Calibri" w:hAnsi="Arial"/>
          <w:color w:val="0D0D0D" w:themeColor="text1" w:themeTint="F2"/>
          <w:spacing w:val="-5"/>
          <w:sz w:val="16"/>
          <w:szCs w:val="16"/>
          <w:lang w:val="en-GB"/>
        </w:rPr>
        <w:t>Spring</w:t>
      </w:r>
      <w:proofErr w:type="gramEnd"/>
      <w:r>
        <w:rPr>
          <w:rFonts w:ascii="Arial" w:eastAsia="Calibri" w:hAnsi="Arial"/>
          <w:color w:val="0D0D0D" w:themeColor="text1" w:themeTint="F2"/>
          <w:spacing w:val="-5"/>
          <w:sz w:val="16"/>
          <w:szCs w:val="16"/>
          <w:lang w:val="en-GB"/>
        </w:rPr>
        <w:t xml:space="preserve">, it then fluctuated at the end of the year. It was 14.9% in the Union in January </w:t>
      </w:r>
      <w:r w:rsidRPr="00F9236F">
        <w:rPr>
          <w:rFonts w:ascii="Arial" w:eastAsia="Calibri" w:hAnsi="Arial"/>
          <w:color w:val="0D0D0D" w:themeColor="text1" w:themeTint="F2"/>
          <w:spacing w:val="-5"/>
          <w:sz w:val="16"/>
          <w:szCs w:val="16"/>
          <w:lang w:val="en-GB"/>
        </w:rPr>
        <w:t>2024</w:t>
      </w:r>
      <w:r>
        <w:rPr>
          <w:rFonts w:ascii="Arial" w:eastAsia="Calibri" w:hAnsi="Arial"/>
          <w:color w:val="0D0D0D" w:themeColor="text1" w:themeTint="F2"/>
          <w:spacing w:val="-5"/>
          <w:sz w:val="16"/>
          <w:szCs w:val="16"/>
          <w:lang w:val="en-GB"/>
        </w:rPr>
        <w:t xml:space="preserve"> </w:t>
      </w:r>
      <w:r w:rsidRPr="00F9236F">
        <w:rPr>
          <w:rFonts w:ascii="Arial" w:eastAsia="Calibri" w:hAnsi="Arial"/>
          <w:color w:val="0D0D0D" w:themeColor="text1" w:themeTint="F2"/>
          <w:spacing w:val="-5"/>
          <w:sz w:val="16"/>
          <w:szCs w:val="16"/>
          <w:lang w:val="en-GB"/>
        </w:rPr>
        <w:t>(+0</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8 p.</w:t>
      </w:r>
      <w:r>
        <w:rPr>
          <w:rFonts w:ascii="Arial" w:eastAsia="Calibri" w:hAnsi="Arial"/>
          <w:color w:val="0D0D0D" w:themeColor="text1" w:themeTint="F2"/>
          <w:spacing w:val="-5"/>
          <w:sz w:val="16"/>
          <w:szCs w:val="16"/>
          <w:lang w:val="en-GB"/>
        </w:rPr>
        <w:t>p. year-on-year</w:t>
      </w:r>
      <w:r w:rsidRPr="00F9236F">
        <w:rPr>
          <w:rFonts w:ascii="Arial" w:eastAsia="Calibri" w:hAnsi="Arial"/>
          <w:color w:val="0D0D0D" w:themeColor="text1" w:themeTint="F2"/>
          <w:spacing w:val="-5"/>
          <w:sz w:val="16"/>
          <w:szCs w:val="16"/>
          <w:lang w:val="en-GB"/>
        </w:rPr>
        <w:t>), 8</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1%</w:t>
      </w:r>
      <w:r>
        <w:rPr>
          <w:rFonts w:ascii="Arial" w:eastAsia="Calibri" w:hAnsi="Arial"/>
          <w:color w:val="0D0D0D" w:themeColor="text1" w:themeTint="F2"/>
          <w:spacing w:val="-5"/>
          <w:sz w:val="16"/>
          <w:szCs w:val="16"/>
          <w:lang w:val="en-GB"/>
        </w:rPr>
        <w:t xml:space="preserve"> in the CR, which was the third lowest value after Germany </w:t>
      </w:r>
      <w:r w:rsidRPr="00F9236F">
        <w:rPr>
          <w:rFonts w:ascii="Arial" w:eastAsia="Calibri" w:hAnsi="Arial"/>
          <w:color w:val="0D0D0D" w:themeColor="text1" w:themeTint="F2"/>
          <w:spacing w:val="-5"/>
          <w:sz w:val="16"/>
          <w:szCs w:val="16"/>
          <w:lang w:val="en-GB"/>
        </w:rPr>
        <w:t>(5</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7%), Malt</w:t>
      </w:r>
      <w:r>
        <w:rPr>
          <w:rFonts w:ascii="Arial" w:eastAsia="Calibri" w:hAnsi="Arial"/>
          <w:color w:val="0D0D0D" w:themeColor="text1" w:themeTint="F2"/>
          <w:spacing w:val="-5"/>
          <w:sz w:val="16"/>
          <w:szCs w:val="16"/>
          <w:lang w:val="en-GB"/>
        </w:rPr>
        <w:t>a</w:t>
      </w:r>
      <w:r w:rsidRPr="00F9236F">
        <w:rPr>
          <w:rFonts w:ascii="Arial" w:eastAsia="Calibri" w:hAnsi="Arial"/>
          <w:color w:val="0D0D0D" w:themeColor="text1" w:themeTint="F2"/>
          <w:spacing w:val="-5"/>
          <w:sz w:val="16"/>
          <w:szCs w:val="16"/>
          <w:lang w:val="en-GB"/>
        </w:rPr>
        <w:t xml:space="preserve"> (7</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 xml:space="preserve">8%). </w:t>
      </w:r>
      <w:r>
        <w:rPr>
          <w:rFonts w:ascii="Arial" w:eastAsia="Calibri" w:hAnsi="Arial"/>
          <w:color w:val="0D0D0D" w:themeColor="text1" w:themeTint="F2"/>
          <w:spacing w:val="-5"/>
          <w:sz w:val="16"/>
          <w:szCs w:val="16"/>
          <w:lang w:val="en-GB"/>
        </w:rPr>
        <w:t xml:space="preserve">The opposite situation was in Spain </w:t>
      </w:r>
      <w:r w:rsidRPr="00F9236F">
        <w:rPr>
          <w:rFonts w:ascii="Arial" w:eastAsia="Calibri" w:hAnsi="Arial"/>
          <w:color w:val="0D0D0D" w:themeColor="text1" w:themeTint="F2"/>
          <w:spacing w:val="-5"/>
          <w:sz w:val="16"/>
          <w:szCs w:val="16"/>
          <w:lang w:val="en-GB"/>
        </w:rPr>
        <w:t>(28</w:t>
      </w:r>
      <w:r>
        <w:rPr>
          <w:rFonts w:ascii="Arial" w:eastAsia="Calibri" w:hAnsi="Arial"/>
          <w:color w:val="0D0D0D" w:themeColor="text1" w:themeTint="F2"/>
          <w:spacing w:val="-5"/>
          <w:sz w:val="16"/>
          <w:szCs w:val="16"/>
          <w:lang w:val="en-GB"/>
        </w:rPr>
        <w:t>.</w:t>
      </w:r>
      <w:r w:rsidRPr="00F9236F">
        <w:rPr>
          <w:rFonts w:ascii="Arial" w:eastAsia="Calibri" w:hAnsi="Arial"/>
          <w:color w:val="0D0D0D" w:themeColor="text1" w:themeTint="F2"/>
          <w:spacing w:val="-5"/>
          <w:sz w:val="16"/>
          <w:szCs w:val="16"/>
          <w:lang w:val="en-GB"/>
        </w:rPr>
        <w:t xml:space="preserve">6%), </w:t>
      </w:r>
      <w:r>
        <w:rPr>
          <w:rFonts w:ascii="Arial" w:eastAsia="Calibri" w:hAnsi="Arial"/>
          <w:color w:val="0D0D0D" w:themeColor="text1" w:themeTint="F2"/>
          <w:spacing w:val="-5"/>
          <w:sz w:val="16"/>
          <w:szCs w:val="16"/>
          <w:lang w:val="en-GB"/>
        </w:rPr>
        <w:t xml:space="preserve">over </w:t>
      </w:r>
      <w:r w:rsidRPr="00F9236F">
        <w:rPr>
          <w:rFonts w:ascii="Arial" w:eastAsia="Calibri" w:hAnsi="Arial"/>
          <w:color w:val="0D0D0D" w:themeColor="text1" w:themeTint="F2"/>
          <w:spacing w:val="-5"/>
          <w:sz w:val="16"/>
          <w:szCs w:val="16"/>
          <w:lang w:val="en-GB"/>
        </w:rPr>
        <w:t xml:space="preserve">20% </w:t>
      </w:r>
      <w:r>
        <w:rPr>
          <w:rFonts w:ascii="Arial" w:eastAsia="Calibri" w:hAnsi="Arial"/>
          <w:color w:val="0D0D0D" w:themeColor="text1" w:themeTint="F2"/>
          <w:spacing w:val="-5"/>
          <w:sz w:val="16"/>
          <w:szCs w:val="16"/>
          <w:lang w:val="en-GB"/>
        </w:rPr>
        <w:t xml:space="preserve">of unemployed among youth was reported by Sweden, Portugal, Greece, Italy and Luxembourg. Year-on-year, the situation slightly improved mainly in Greece </w:t>
      </w:r>
      <w:r w:rsidRPr="00F9236F">
        <w:rPr>
          <w:rFonts w:ascii="Arial" w:eastAsia="Calibri" w:hAnsi="Arial"/>
          <w:color w:val="0D0D0D" w:themeColor="text1" w:themeTint="F2"/>
          <w:spacing w:val="-5"/>
          <w:sz w:val="16"/>
          <w:szCs w:val="16"/>
          <w:lang w:val="en-GB"/>
        </w:rPr>
        <w:t>(</w:t>
      </w:r>
      <w:r>
        <w:rPr>
          <w:rFonts w:ascii="Arial" w:eastAsia="Calibri" w:hAnsi="Arial"/>
          <w:color w:val="0D0D0D" w:themeColor="text1" w:themeTint="F2"/>
          <w:spacing w:val="-5"/>
          <w:sz w:val="16"/>
          <w:szCs w:val="16"/>
          <w:lang w:val="en-GB"/>
        </w:rPr>
        <w:t xml:space="preserve">decrease by </w:t>
      </w:r>
      <w:r w:rsidRPr="00F9236F">
        <w:rPr>
          <w:rFonts w:ascii="Arial" w:eastAsia="Calibri" w:hAnsi="Arial"/>
          <w:color w:val="0D0D0D" w:themeColor="text1" w:themeTint="F2"/>
          <w:spacing w:val="-5"/>
          <w:sz w:val="16"/>
          <w:szCs w:val="16"/>
          <w:lang w:val="en-GB"/>
        </w:rPr>
        <w:t>4</w:t>
      </w:r>
      <w:r>
        <w:rPr>
          <w:rFonts w:ascii="Arial" w:eastAsia="Calibri" w:hAnsi="Arial"/>
          <w:color w:val="0D0D0D" w:themeColor="text1" w:themeTint="F2"/>
          <w:spacing w:val="-5"/>
          <w:sz w:val="16"/>
          <w:szCs w:val="16"/>
          <w:lang w:val="en-GB"/>
        </w:rPr>
        <w:t xml:space="preserve"> </w:t>
      </w:r>
      <w:r w:rsidRPr="00F9236F">
        <w:rPr>
          <w:rFonts w:ascii="Arial" w:eastAsia="Calibri" w:hAnsi="Arial"/>
          <w:color w:val="0D0D0D" w:themeColor="text1" w:themeTint="F2"/>
          <w:spacing w:val="-5"/>
          <w:sz w:val="16"/>
          <w:szCs w:val="16"/>
          <w:lang w:val="en-GB"/>
        </w:rPr>
        <w:t>p.</w:t>
      </w:r>
      <w:r>
        <w:rPr>
          <w:rFonts w:ascii="Arial" w:eastAsia="Calibri" w:hAnsi="Arial"/>
          <w:color w:val="0D0D0D" w:themeColor="text1" w:themeTint="F2"/>
          <w:spacing w:val="-5"/>
          <w:sz w:val="16"/>
          <w:szCs w:val="16"/>
          <w:lang w:val="en-GB"/>
        </w:rPr>
        <w:t>p</w:t>
      </w:r>
      <w:r w:rsidRPr="00F9236F">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 xml:space="preserve">it then worsened mainly in Bulgaria </w:t>
      </w:r>
      <w:r w:rsidRPr="00F9236F">
        <w:rPr>
          <w:rFonts w:ascii="Arial" w:eastAsia="Calibri" w:hAnsi="Arial"/>
          <w:color w:val="0D0D0D" w:themeColor="text1" w:themeTint="F2"/>
          <w:spacing w:val="-5"/>
          <w:sz w:val="16"/>
          <w:szCs w:val="16"/>
          <w:lang w:val="en-GB"/>
        </w:rPr>
        <w:t>(+7 p.</w:t>
      </w:r>
      <w:r>
        <w:rPr>
          <w:rFonts w:ascii="Arial" w:eastAsia="Calibri" w:hAnsi="Arial"/>
          <w:color w:val="0D0D0D" w:themeColor="text1" w:themeTint="F2"/>
          <w:spacing w:val="-5"/>
          <w:sz w:val="16"/>
          <w:szCs w:val="16"/>
          <w:lang w:val="en-GB"/>
        </w:rPr>
        <w:t>p</w:t>
      </w:r>
      <w:r w:rsidRPr="00F9236F">
        <w:rPr>
          <w:rFonts w:ascii="Arial" w:eastAsia="Calibri" w:hAnsi="Arial"/>
          <w:color w:val="0D0D0D" w:themeColor="text1" w:themeTint="F2"/>
          <w:spacing w:val="-5"/>
          <w:sz w:val="16"/>
          <w:szCs w:val="16"/>
          <w:lang w:val="en-GB"/>
        </w:rPr>
        <w:t>.), Lit</w:t>
      </w:r>
      <w:r>
        <w:rPr>
          <w:rFonts w:ascii="Arial" w:eastAsia="Calibri" w:hAnsi="Arial"/>
          <w:color w:val="0D0D0D" w:themeColor="text1" w:themeTint="F2"/>
          <w:spacing w:val="-5"/>
          <w:sz w:val="16"/>
          <w:szCs w:val="16"/>
          <w:lang w:val="en-GB"/>
        </w:rPr>
        <w:t xml:space="preserve">huania </w:t>
      </w:r>
      <w:r w:rsidRPr="00F9236F">
        <w:rPr>
          <w:rFonts w:ascii="Arial" w:eastAsia="Calibri" w:hAnsi="Arial"/>
          <w:color w:val="0D0D0D" w:themeColor="text1" w:themeTint="F2"/>
          <w:spacing w:val="-5"/>
          <w:sz w:val="16"/>
          <w:szCs w:val="16"/>
          <w:lang w:val="en-GB"/>
        </w:rPr>
        <w:t>(+4 p.</w:t>
      </w:r>
      <w:r>
        <w:rPr>
          <w:rFonts w:ascii="Arial" w:eastAsia="Calibri" w:hAnsi="Arial"/>
          <w:color w:val="0D0D0D" w:themeColor="text1" w:themeTint="F2"/>
          <w:spacing w:val="-5"/>
          <w:sz w:val="16"/>
          <w:szCs w:val="16"/>
          <w:lang w:val="en-GB"/>
        </w:rPr>
        <w:t>p</w:t>
      </w:r>
      <w:r w:rsidRPr="00F9236F">
        <w:rPr>
          <w:rFonts w:ascii="Arial" w:eastAsia="Calibri" w:hAnsi="Arial"/>
          <w:color w:val="0D0D0D" w:themeColor="text1" w:themeTint="F2"/>
          <w:spacing w:val="-5"/>
          <w:sz w:val="16"/>
          <w:szCs w:val="16"/>
          <w:lang w:val="en-GB"/>
        </w:rPr>
        <w:t xml:space="preserve">.) </w:t>
      </w:r>
      <w:r>
        <w:rPr>
          <w:rFonts w:ascii="Arial" w:eastAsia="Calibri" w:hAnsi="Arial"/>
          <w:color w:val="0D0D0D" w:themeColor="text1" w:themeTint="F2"/>
          <w:spacing w:val="-5"/>
          <w:sz w:val="16"/>
          <w:szCs w:val="16"/>
          <w:lang w:val="en-GB"/>
        </w:rPr>
        <w:t>or Sweden and Finland</w:t>
      </w:r>
      <w:r w:rsidRPr="00F9236F">
        <w:rPr>
          <w:rFonts w:ascii="Arial" w:eastAsia="Calibri" w:hAnsi="Arial"/>
          <w:color w:val="0D0D0D" w:themeColor="text1" w:themeTint="F2"/>
          <w:spacing w:val="-5"/>
          <w:sz w:val="16"/>
          <w:szCs w:val="16"/>
          <w:lang w:val="en-GB"/>
        </w:rPr>
        <w:t>.</w:t>
      </w:r>
    </w:p>
  </w:footnote>
  <w:footnote w:id="82">
    <w:p w14:paraId="2C1EDA61" w14:textId="347FD1A2" w:rsidR="003B4260" w:rsidRPr="00F9236F" w:rsidRDefault="003B4260" w:rsidP="00896DF6">
      <w:pPr>
        <w:pStyle w:val="Textpoznpodarou"/>
        <w:jc w:val="both"/>
        <w:rPr>
          <w:spacing w:val="-3"/>
          <w:sz w:val="16"/>
          <w:szCs w:val="16"/>
          <w:lang w:val="en-GB"/>
        </w:rPr>
      </w:pPr>
      <w:r w:rsidRPr="00F9236F">
        <w:rPr>
          <w:rStyle w:val="Znakapoznpodarou"/>
          <w:sz w:val="16"/>
          <w:szCs w:val="16"/>
          <w:lang w:val="en-GB"/>
        </w:rPr>
        <w:footnoteRef/>
      </w:r>
      <w:r w:rsidRPr="00F9236F">
        <w:rPr>
          <w:sz w:val="16"/>
          <w:szCs w:val="16"/>
          <w:lang w:val="en-GB"/>
        </w:rPr>
        <w:t xml:space="preserve"> </w:t>
      </w:r>
      <w:r>
        <w:rPr>
          <w:sz w:val="16"/>
          <w:szCs w:val="16"/>
          <w:lang w:val="en-GB"/>
        </w:rPr>
        <w:t xml:space="preserve">Based on the LFSS data, the seasonally unadjusted proportion of the reachable job applicants aged </w:t>
      </w:r>
      <w:r w:rsidRPr="00FC7BC8">
        <w:rPr>
          <w:spacing w:val="-3"/>
          <w:sz w:val="16"/>
          <w:szCs w:val="16"/>
          <w:lang w:val="en-GB"/>
        </w:rPr>
        <w:t>15</w:t>
      </w:r>
      <w:r>
        <w:rPr>
          <w:spacing w:val="-3"/>
          <w:sz w:val="16"/>
          <w:szCs w:val="16"/>
          <w:lang w:val="en-GB"/>
        </w:rPr>
        <w:t xml:space="preserve"> to </w:t>
      </w:r>
      <w:r w:rsidRPr="00FC7BC8">
        <w:rPr>
          <w:spacing w:val="-3"/>
          <w:sz w:val="16"/>
          <w:szCs w:val="16"/>
          <w:lang w:val="en-GB"/>
        </w:rPr>
        <w:t>64</w:t>
      </w:r>
      <w:r>
        <w:rPr>
          <w:spacing w:val="-3"/>
          <w:sz w:val="16"/>
          <w:szCs w:val="16"/>
          <w:lang w:val="en-GB"/>
        </w:rPr>
        <w:t xml:space="preserve"> years of the population of the same age arrived at 4.0% at the end of February (males 3.7%, females 4.2%). January unemployment is at a three-year maximum, nevertheless the increase is only negligible </w:t>
      </w:r>
      <w:r w:rsidRPr="00F9236F">
        <w:rPr>
          <w:spacing w:val="-3"/>
          <w:sz w:val="16"/>
          <w:szCs w:val="16"/>
          <w:lang w:val="en-GB"/>
        </w:rPr>
        <w:t>(+0</w:t>
      </w:r>
      <w:r>
        <w:rPr>
          <w:spacing w:val="-3"/>
          <w:sz w:val="16"/>
          <w:szCs w:val="16"/>
          <w:lang w:val="en-GB"/>
        </w:rPr>
        <w:t>.</w:t>
      </w:r>
      <w:r w:rsidRPr="00F9236F">
        <w:rPr>
          <w:spacing w:val="-3"/>
          <w:sz w:val="16"/>
          <w:szCs w:val="16"/>
          <w:lang w:val="en-GB"/>
        </w:rPr>
        <w:t>4 p.</w:t>
      </w:r>
      <w:r>
        <w:rPr>
          <w:spacing w:val="-3"/>
          <w:sz w:val="16"/>
          <w:szCs w:val="16"/>
          <w:lang w:val="en-GB"/>
        </w:rPr>
        <w:t xml:space="preserve">p. in </w:t>
      </w:r>
      <w:proofErr w:type="spellStart"/>
      <w:r>
        <w:rPr>
          <w:spacing w:val="-3"/>
          <w:sz w:val="16"/>
          <w:szCs w:val="16"/>
          <w:lang w:val="en-GB"/>
        </w:rPr>
        <w:t>cumulation</w:t>
      </w:r>
      <w:proofErr w:type="spellEnd"/>
      <w:r w:rsidRPr="00F9236F">
        <w:rPr>
          <w:spacing w:val="-3"/>
          <w:sz w:val="16"/>
          <w:szCs w:val="16"/>
          <w:lang w:val="en-GB"/>
        </w:rPr>
        <w:t>).</w:t>
      </w:r>
      <w:r>
        <w:rPr>
          <w:spacing w:val="-3"/>
          <w:sz w:val="16"/>
          <w:szCs w:val="16"/>
          <w:lang w:val="en-GB"/>
        </w:rPr>
        <w:t xml:space="preserve"> The highest unemployment troubled the regions </w:t>
      </w:r>
      <w:proofErr w:type="spellStart"/>
      <w:r w:rsidRPr="009F1F17">
        <w:rPr>
          <w:i/>
          <w:iCs/>
          <w:spacing w:val="-3"/>
          <w:sz w:val="16"/>
          <w:szCs w:val="16"/>
          <w:lang w:val="en-GB"/>
        </w:rPr>
        <w:t>Karviná</w:t>
      </w:r>
      <w:proofErr w:type="spellEnd"/>
      <w:r w:rsidRPr="00F9236F">
        <w:rPr>
          <w:spacing w:val="-3"/>
          <w:sz w:val="16"/>
          <w:szCs w:val="16"/>
          <w:lang w:val="en-GB"/>
        </w:rPr>
        <w:t xml:space="preserve"> (8</w:t>
      </w:r>
      <w:r>
        <w:rPr>
          <w:spacing w:val="-3"/>
          <w:sz w:val="16"/>
          <w:szCs w:val="16"/>
          <w:lang w:val="en-GB"/>
        </w:rPr>
        <w:t>.</w:t>
      </w:r>
      <w:r w:rsidRPr="00F9236F">
        <w:rPr>
          <w:spacing w:val="-3"/>
          <w:sz w:val="16"/>
          <w:szCs w:val="16"/>
          <w:lang w:val="en-GB"/>
        </w:rPr>
        <w:t xml:space="preserve">2%), </w:t>
      </w:r>
      <w:r>
        <w:rPr>
          <w:spacing w:val="-3"/>
          <w:sz w:val="16"/>
          <w:szCs w:val="16"/>
          <w:lang w:val="en-GB"/>
        </w:rPr>
        <w:t xml:space="preserve">it was also high in </w:t>
      </w:r>
      <w:proofErr w:type="spellStart"/>
      <w:r w:rsidRPr="009F1F17">
        <w:rPr>
          <w:i/>
          <w:iCs/>
          <w:spacing w:val="-3"/>
          <w:sz w:val="16"/>
          <w:szCs w:val="16"/>
          <w:lang w:val="en-GB"/>
        </w:rPr>
        <w:t>Bruntálsko</w:t>
      </w:r>
      <w:proofErr w:type="spellEnd"/>
      <w:r>
        <w:rPr>
          <w:spacing w:val="-3"/>
          <w:sz w:val="16"/>
          <w:szCs w:val="16"/>
          <w:lang w:val="en-GB"/>
        </w:rPr>
        <w:t xml:space="preserve"> </w:t>
      </w:r>
      <w:r w:rsidRPr="00F9236F">
        <w:rPr>
          <w:spacing w:val="-3"/>
          <w:sz w:val="16"/>
          <w:szCs w:val="16"/>
          <w:lang w:val="en-GB"/>
        </w:rPr>
        <w:t>(7</w:t>
      </w:r>
      <w:r>
        <w:rPr>
          <w:spacing w:val="-3"/>
          <w:sz w:val="16"/>
          <w:szCs w:val="16"/>
          <w:lang w:val="en-GB"/>
        </w:rPr>
        <w:t>.</w:t>
      </w:r>
      <w:r w:rsidRPr="00F9236F">
        <w:rPr>
          <w:spacing w:val="-3"/>
          <w:sz w:val="16"/>
          <w:szCs w:val="16"/>
          <w:lang w:val="en-GB"/>
        </w:rPr>
        <w:t>9%) a</w:t>
      </w:r>
      <w:r>
        <w:rPr>
          <w:spacing w:val="-3"/>
          <w:sz w:val="16"/>
          <w:szCs w:val="16"/>
          <w:lang w:val="en-GB"/>
        </w:rPr>
        <w:t xml:space="preserve">nd also </w:t>
      </w:r>
      <w:proofErr w:type="spellStart"/>
      <w:r w:rsidRPr="009F1F17">
        <w:rPr>
          <w:i/>
          <w:iCs/>
          <w:spacing w:val="-3"/>
          <w:sz w:val="16"/>
          <w:szCs w:val="16"/>
          <w:lang w:val="en-GB"/>
        </w:rPr>
        <w:t>Mostecko</w:t>
      </w:r>
      <w:proofErr w:type="spellEnd"/>
      <w:r>
        <w:rPr>
          <w:spacing w:val="-3"/>
          <w:sz w:val="16"/>
          <w:szCs w:val="16"/>
          <w:lang w:val="en-GB"/>
        </w:rPr>
        <w:t xml:space="preserve"> </w:t>
      </w:r>
      <w:r w:rsidRPr="00F9236F">
        <w:rPr>
          <w:spacing w:val="-3"/>
          <w:sz w:val="16"/>
          <w:szCs w:val="16"/>
          <w:lang w:val="en-GB"/>
        </w:rPr>
        <w:t>(7</w:t>
      </w:r>
      <w:r>
        <w:rPr>
          <w:spacing w:val="-3"/>
          <w:sz w:val="16"/>
          <w:szCs w:val="16"/>
          <w:lang w:val="en-GB"/>
        </w:rPr>
        <w:t>.</w:t>
      </w:r>
      <w:r w:rsidRPr="00F9236F">
        <w:rPr>
          <w:spacing w:val="-3"/>
          <w:sz w:val="16"/>
          <w:szCs w:val="16"/>
          <w:lang w:val="en-GB"/>
        </w:rPr>
        <w:t xml:space="preserve">6%), </w:t>
      </w:r>
      <w:r>
        <w:rPr>
          <w:spacing w:val="-3"/>
          <w:sz w:val="16"/>
          <w:szCs w:val="16"/>
          <w:lang w:val="en-GB"/>
        </w:rPr>
        <w:t xml:space="preserve">where it increased the most of all regions year-on-year </w:t>
      </w:r>
      <w:r w:rsidRPr="00F9236F">
        <w:rPr>
          <w:spacing w:val="-3"/>
          <w:sz w:val="16"/>
          <w:szCs w:val="16"/>
          <w:lang w:val="en-GB"/>
        </w:rPr>
        <w:t>(+0</w:t>
      </w:r>
      <w:r>
        <w:rPr>
          <w:spacing w:val="-3"/>
          <w:sz w:val="16"/>
          <w:szCs w:val="16"/>
          <w:lang w:val="en-GB"/>
        </w:rPr>
        <w:t>.</w:t>
      </w:r>
      <w:r w:rsidRPr="00F9236F">
        <w:rPr>
          <w:spacing w:val="-3"/>
          <w:sz w:val="16"/>
          <w:szCs w:val="16"/>
          <w:lang w:val="en-GB"/>
        </w:rPr>
        <w:t>7 p.</w:t>
      </w:r>
      <w:r>
        <w:rPr>
          <w:spacing w:val="-3"/>
          <w:sz w:val="16"/>
          <w:szCs w:val="16"/>
          <w:lang w:val="en-GB"/>
        </w:rPr>
        <w:t>p</w:t>
      </w:r>
      <w:r w:rsidRPr="00F9236F">
        <w:rPr>
          <w:spacing w:val="-3"/>
          <w:sz w:val="16"/>
          <w:szCs w:val="16"/>
          <w:lang w:val="en-GB"/>
        </w:rPr>
        <w:t>.).</w:t>
      </w:r>
    </w:p>
  </w:footnote>
  <w:footnote w:id="83">
    <w:p w14:paraId="36AC79A8" w14:textId="688EDE73" w:rsidR="003B4260" w:rsidRPr="00F9236F" w:rsidRDefault="003B4260" w:rsidP="00A62C71">
      <w:pPr>
        <w:pStyle w:val="Textpoznpodarou"/>
        <w:jc w:val="both"/>
        <w:rPr>
          <w:sz w:val="16"/>
          <w:szCs w:val="16"/>
          <w:lang w:val="en-GB"/>
        </w:rPr>
      </w:pPr>
      <w:r w:rsidRPr="00F9236F">
        <w:rPr>
          <w:rStyle w:val="Znakapoznpodarou"/>
          <w:sz w:val="16"/>
          <w:szCs w:val="16"/>
          <w:lang w:val="en-GB"/>
        </w:rPr>
        <w:footnoteRef/>
      </w:r>
      <w:r w:rsidRPr="00F9236F">
        <w:rPr>
          <w:sz w:val="16"/>
          <w:szCs w:val="16"/>
          <w:lang w:val="en-GB"/>
        </w:rPr>
        <w:t xml:space="preserve"> </w:t>
      </w:r>
      <w:r>
        <w:rPr>
          <w:sz w:val="16"/>
          <w:szCs w:val="16"/>
          <w:lang w:val="en-GB"/>
        </w:rPr>
        <w:t>Only less than one fifth of this quantity is however able to join the workforce immediately. Significant part of working reserves consists of students and females on the parental leave.</w:t>
      </w:r>
    </w:p>
  </w:footnote>
  <w:footnote w:id="84">
    <w:p w14:paraId="11C3E146" w14:textId="547578EB" w:rsidR="003B4260" w:rsidRPr="00F9236F" w:rsidRDefault="003B4260" w:rsidP="00F9236F">
      <w:pPr>
        <w:pStyle w:val="Textpoznpodarou"/>
        <w:jc w:val="both"/>
        <w:rPr>
          <w:sz w:val="16"/>
          <w:szCs w:val="16"/>
          <w:lang w:val="en-GB"/>
        </w:rPr>
      </w:pPr>
      <w:r w:rsidRPr="00F9236F">
        <w:rPr>
          <w:rStyle w:val="Znakapoznpodarou"/>
          <w:sz w:val="16"/>
          <w:szCs w:val="16"/>
          <w:lang w:val="en-GB"/>
        </w:rPr>
        <w:footnoteRef/>
      </w:r>
      <w:r w:rsidRPr="00F9236F">
        <w:rPr>
          <w:sz w:val="16"/>
          <w:szCs w:val="16"/>
          <w:lang w:val="en-GB"/>
        </w:rPr>
        <w:t xml:space="preserve"> N</w:t>
      </w:r>
      <w:r>
        <w:rPr>
          <w:sz w:val="16"/>
          <w:szCs w:val="16"/>
          <w:lang w:val="en-GB"/>
        </w:rPr>
        <w:t xml:space="preserve">ot all offers of vacant job positions in the records of the LO can however be considered still current. Only </w:t>
      </w:r>
      <w:r w:rsidRPr="00F9236F">
        <w:rPr>
          <w:sz w:val="16"/>
          <w:szCs w:val="16"/>
          <w:lang w:val="en-GB"/>
        </w:rPr>
        <w:t>45%</w:t>
      </w:r>
      <w:r>
        <w:rPr>
          <w:sz w:val="16"/>
          <w:szCs w:val="16"/>
          <w:lang w:val="en-GB"/>
        </w:rPr>
        <w:t xml:space="preserve"> of total number of vacancies </w:t>
      </w:r>
      <w:r w:rsidRPr="00F9236F">
        <w:rPr>
          <w:sz w:val="16"/>
          <w:szCs w:val="16"/>
          <w:lang w:val="en-GB"/>
        </w:rPr>
        <w:t>(272</w:t>
      </w:r>
      <w:r>
        <w:rPr>
          <w:sz w:val="16"/>
          <w:szCs w:val="16"/>
          <w:lang w:val="en-GB"/>
        </w:rPr>
        <w:t> </w:t>
      </w:r>
      <w:r w:rsidRPr="00F9236F">
        <w:rPr>
          <w:sz w:val="16"/>
          <w:szCs w:val="16"/>
          <w:lang w:val="en-GB"/>
        </w:rPr>
        <w:t>t</w:t>
      </w:r>
      <w:r>
        <w:rPr>
          <w:sz w:val="16"/>
          <w:szCs w:val="16"/>
          <w:lang w:val="en-GB"/>
        </w:rPr>
        <w:t>housand</w:t>
      </w:r>
      <w:r w:rsidRPr="00F9236F">
        <w:rPr>
          <w:sz w:val="16"/>
          <w:szCs w:val="16"/>
          <w:lang w:val="en-GB"/>
        </w:rPr>
        <w:t>)</w:t>
      </w:r>
      <w:r>
        <w:rPr>
          <w:sz w:val="16"/>
          <w:szCs w:val="16"/>
          <w:lang w:val="en-GB"/>
        </w:rPr>
        <w:t xml:space="preserve"> were advertised less than half year at the end of Q</w:t>
      </w:r>
      <w:r w:rsidRPr="00F9236F">
        <w:rPr>
          <w:sz w:val="16"/>
          <w:szCs w:val="16"/>
          <w:lang w:val="en-GB"/>
        </w:rPr>
        <w:t>4</w:t>
      </w:r>
      <w:r>
        <w:rPr>
          <w:sz w:val="16"/>
          <w:szCs w:val="16"/>
          <w:lang w:val="en-GB"/>
        </w:rPr>
        <w:t xml:space="preserve"> </w:t>
      </w:r>
      <w:r w:rsidRPr="00F9236F">
        <w:rPr>
          <w:sz w:val="16"/>
          <w:szCs w:val="16"/>
          <w:lang w:val="en-GB"/>
        </w:rPr>
        <w:t>2023</w:t>
      </w:r>
      <w:r>
        <w:rPr>
          <w:sz w:val="16"/>
          <w:szCs w:val="16"/>
          <w:lang w:val="en-GB"/>
        </w:rPr>
        <w:t xml:space="preserve">. CZSO also ascertains the number of job vacancies </w:t>
      </w:r>
      <w:r w:rsidRPr="00F9236F">
        <w:rPr>
          <w:sz w:val="16"/>
          <w:szCs w:val="16"/>
          <w:lang w:val="en-GB"/>
        </w:rPr>
        <w:t>(</w:t>
      </w:r>
      <w:r>
        <w:rPr>
          <w:sz w:val="16"/>
          <w:szCs w:val="16"/>
          <w:lang w:val="en-GB"/>
        </w:rPr>
        <w:t>based on the survey in businesses</w:t>
      </w:r>
      <w:r w:rsidRPr="00F9236F">
        <w:rPr>
          <w:sz w:val="16"/>
          <w:szCs w:val="16"/>
          <w:lang w:val="en-GB"/>
        </w:rPr>
        <w:t xml:space="preserve">) </w:t>
      </w:r>
      <w:r>
        <w:rPr>
          <w:sz w:val="16"/>
          <w:szCs w:val="16"/>
          <w:lang w:val="en-GB"/>
        </w:rPr>
        <w:t>on an experimental basis since year 2000. The number of job vacancies was this way estimated to 91.5 thousand in the CR in Q4 2023. Their number decreased by 6</w:t>
      </w:r>
      <w:r>
        <w:rPr>
          <w:sz w:val="16"/>
          <w:szCs w:val="16"/>
        </w:rPr>
        <w:t>%</w:t>
      </w:r>
      <w:r>
        <w:rPr>
          <w:sz w:val="16"/>
          <w:szCs w:val="16"/>
          <w:lang w:val="en-GB"/>
        </w:rPr>
        <w:t xml:space="preserve"> year-on-year when it fell for a third quarter in a row. Manufacturing participated the most in this decrease. </w:t>
      </w:r>
    </w:p>
  </w:footnote>
  <w:footnote w:id="85">
    <w:p w14:paraId="22A5F999" w14:textId="37D68AB7" w:rsidR="003B4260" w:rsidRPr="00F9236F" w:rsidRDefault="003B4260" w:rsidP="00021B76">
      <w:pPr>
        <w:pStyle w:val="Textpoznpodarou"/>
        <w:jc w:val="both"/>
        <w:rPr>
          <w:spacing w:val="-3"/>
          <w:sz w:val="16"/>
          <w:szCs w:val="16"/>
          <w:lang w:val="en-GB"/>
        </w:rPr>
      </w:pPr>
      <w:r w:rsidRPr="00F9236F">
        <w:rPr>
          <w:rStyle w:val="Znakapoznpodarou"/>
          <w:spacing w:val="-3"/>
          <w:sz w:val="16"/>
          <w:szCs w:val="16"/>
          <w:lang w:val="en-GB"/>
        </w:rPr>
        <w:footnoteRef/>
      </w:r>
      <w:r w:rsidRPr="00F9236F">
        <w:rPr>
          <w:spacing w:val="-3"/>
          <w:sz w:val="16"/>
          <w:szCs w:val="16"/>
          <w:lang w:val="en-GB"/>
        </w:rPr>
        <w:t xml:space="preserve"> </w:t>
      </w:r>
      <w:r w:rsidRPr="00E13E90">
        <w:rPr>
          <w:spacing w:val="-3"/>
          <w:sz w:val="16"/>
          <w:szCs w:val="16"/>
          <w:lang w:val="en-GB"/>
        </w:rPr>
        <w:t>The branch public administration and social work was an exception. As of 1</w:t>
      </w:r>
      <w:r w:rsidRPr="00E13E90">
        <w:rPr>
          <w:spacing w:val="-3"/>
          <w:sz w:val="16"/>
          <w:szCs w:val="16"/>
          <w:vertAlign w:val="superscript"/>
          <w:lang w:val="en-GB"/>
        </w:rPr>
        <w:t>st</w:t>
      </w:r>
      <w:r w:rsidRPr="00E13E90">
        <w:rPr>
          <w:spacing w:val="-3"/>
          <w:sz w:val="16"/>
          <w:szCs w:val="16"/>
          <w:lang w:val="en-GB"/>
        </w:rPr>
        <w:t xml:space="preserve"> September 2022, 10% </w:t>
      </w:r>
      <w:r>
        <w:rPr>
          <w:spacing w:val="-3"/>
          <w:sz w:val="16"/>
          <w:szCs w:val="16"/>
          <w:lang w:val="en-GB"/>
        </w:rPr>
        <w:t>raise of the pay tariffs for employees falling under the Act on civil service was put in place</w:t>
      </w:r>
      <w:r w:rsidRPr="00E13E90">
        <w:rPr>
          <w:spacing w:val="-4"/>
          <w:sz w:val="16"/>
          <w:szCs w:val="16"/>
          <w:lang w:val="en-GB"/>
        </w:rPr>
        <w:t xml:space="preserve">. </w:t>
      </w:r>
      <w:r>
        <w:rPr>
          <w:spacing w:val="-4"/>
          <w:sz w:val="16"/>
          <w:szCs w:val="16"/>
          <w:lang w:val="en-GB"/>
        </w:rPr>
        <w:t xml:space="preserve">The pay tariffs of armed forces and public security forces were also raised (by 10%) as of January </w:t>
      </w:r>
      <w:r w:rsidRPr="00E13E90">
        <w:rPr>
          <w:spacing w:val="-4"/>
          <w:sz w:val="16"/>
          <w:szCs w:val="16"/>
          <w:lang w:val="en-GB"/>
        </w:rPr>
        <w:t>2023</w:t>
      </w:r>
      <w:r>
        <w:rPr>
          <w:spacing w:val="-4"/>
          <w:sz w:val="16"/>
          <w:szCs w:val="16"/>
          <w:lang w:val="en-GB"/>
        </w:rPr>
        <w:t xml:space="preserve">. </w:t>
      </w:r>
    </w:p>
  </w:footnote>
  <w:footnote w:id="86">
    <w:p w14:paraId="54651AC7" w14:textId="3477D08A" w:rsidR="003B4260" w:rsidRPr="00F9236F" w:rsidRDefault="003B4260" w:rsidP="00021B76">
      <w:pPr>
        <w:pStyle w:val="Textpoznpodarou"/>
        <w:jc w:val="both"/>
        <w:rPr>
          <w:spacing w:val="-3"/>
          <w:sz w:val="16"/>
          <w:szCs w:val="16"/>
          <w:lang w:val="en-GB"/>
        </w:rPr>
      </w:pPr>
      <w:r w:rsidRPr="00F9236F">
        <w:rPr>
          <w:rStyle w:val="Znakapoznpodarou"/>
          <w:spacing w:val="-3"/>
          <w:sz w:val="16"/>
          <w:szCs w:val="16"/>
          <w:lang w:val="en-GB"/>
        </w:rPr>
        <w:footnoteRef/>
      </w:r>
      <w:r w:rsidRPr="00F9236F">
        <w:rPr>
          <w:spacing w:val="-3"/>
          <w:sz w:val="16"/>
          <w:szCs w:val="16"/>
          <w:lang w:val="en-GB"/>
        </w:rPr>
        <w:t xml:space="preserve"> </w:t>
      </w:r>
      <w:r>
        <w:rPr>
          <w:spacing w:val="-3"/>
          <w:sz w:val="16"/>
          <w:szCs w:val="16"/>
          <w:lang w:val="en-GB"/>
        </w:rPr>
        <w:t xml:space="preserve">Minimum wage was raised by 6.8% </w:t>
      </w:r>
      <w:r w:rsidRPr="00E13E90">
        <w:rPr>
          <w:spacing w:val="-3"/>
          <w:sz w:val="16"/>
          <w:szCs w:val="16"/>
          <w:lang w:val="en-GB"/>
        </w:rPr>
        <w:t>(</w:t>
      </w:r>
      <w:r>
        <w:rPr>
          <w:spacing w:val="-3"/>
          <w:sz w:val="16"/>
          <w:szCs w:val="16"/>
          <w:lang w:val="en-GB"/>
        </w:rPr>
        <w:t>comparably to the previous year</w:t>
      </w:r>
      <w:r w:rsidRPr="00E13E90">
        <w:rPr>
          <w:spacing w:val="-3"/>
          <w:sz w:val="16"/>
          <w:szCs w:val="16"/>
          <w:lang w:val="en-GB"/>
        </w:rPr>
        <w:t>)</w:t>
      </w:r>
      <w:r>
        <w:rPr>
          <w:spacing w:val="-3"/>
          <w:sz w:val="16"/>
          <w:szCs w:val="16"/>
          <w:lang w:val="en-GB"/>
        </w:rPr>
        <w:t xml:space="preserve"> as of January </w:t>
      </w:r>
      <w:r w:rsidRPr="00E13E90">
        <w:rPr>
          <w:spacing w:val="-3"/>
          <w:sz w:val="16"/>
          <w:szCs w:val="16"/>
          <w:lang w:val="en-GB"/>
        </w:rPr>
        <w:t>2023.</w:t>
      </w:r>
      <w:r>
        <w:rPr>
          <w:spacing w:val="-3"/>
          <w:sz w:val="16"/>
          <w:szCs w:val="16"/>
          <w:lang w:val="en-GB"/>
        </w:rPr>
        <w:t xml:space="preserve"> Unlike the practice from past years however the shift of the minimum wage was not accompanied by increase of the boundary for the so-called guaranteed wages</w:t>
      </w:r>
      <w:r w:rsidRPr="00E13E90">
        <w:rPr>
          <w:spacing w:val="-3"/>
          <w:sz w:val="16"/>
          <w:szCs w:val="16"/>
          <w:lang w:val="en-GB"/>
        </w:rPr>
        <w:t xml:space="preserve"> (</w:t>
      </w:r>
      <w:r>
        <w:rPr>
          <w:spacing w:val="-3"/>
          <w:sz w:val="16"/>
          <w:szCs w:val="16"/>
          <w:lang w:val="en-GB"/>
        </w:rPr>
        <w:t xml:space="preserve">it increased last year only in the eighth </w:t>
      </w:r>
      <w:r w:rsidRPr="00E13E90">
        <w:rPr>
          <w:spacing w:val="-3"/>
          <w:sz w:val="16"/>
          <w:szCs w:val="16"/>
          <w:lang w:val="en-GB"/>
        </w:rPr>
        <w:t xml:space="preserve">– </w:t>
      </w:r>
      <w:r>
        <w:rPr>
          <w:spacing w:val="-3"/>
          <w:sz w:val="16"/>
          <w:szCs w:val="16"/>
          <w:lang w:val="en-GB"/>
        </w:rPr>
        <w:t xml:space="preserve">category of jobs with the highest qualification </w:t>
      </w:r>
      <w:r w:rsidRPr="00E13E90">
        <w:rPr>
          <w:spacing w:val="-3"/>
          <w:sz w:val="16"/>
          <w:szCs w:val="16"/>
          <w:lang w:val="en-GB"/>
        </w:rPr>
        <w:t xml:space="preserve">– </w:t>
      </w:r>
      <w:r>
        <w:rPr>
          <w:spacing w:val="-3"/>
          <w:sz w:val="16"/>
          <w:szCs w:val="16"/>
          <w:lang w:val="en-GB"/>
        </w:rPr>
        <w:t>where however only a fraction of employees likely receives wage</w:t>
      </w:r>
      <w:r w:rsidRPr="00E13E90">
        <w:rPr>
          <w:spacing w:val="-3"/>
          <w:sz w:val="16"/>
          <w:szCs w:val="16"/>
          <w:lang w:val="en-GB"/>
        </w:rPr>
        <w:t>).</w:t>
      </w:r>
    </w:p>
  </w:footnote>
  <w:footnote w:id="87">
    <w:p w14:paraId="45C126F9" w14:textId="445A08ED" w:rsidR="003B4260" w:rsidRPr="00003AAE" w:rsidRDefault="003B4260" w:rsidP="00003AAE">
      <w:pPr>
        <w:pStyle w:val="Textpoznpodarou"/>
        <w:jc w:val="both"/>
        <w:rPr>
          <w:spacing w:val="-2"/>
          <w:sz w:val="16"/>
          <w:szCs w:val="16"/>
          <w:lang w:val="en-GB"/>
        </w:rPr>
      </w:pPr>
      <w:r w:rsidRPr="00663B5E">
        <w:rPr>
          <w:rStyle w:val="Znakapoznpodarou"/>
          <w:spacing w:val="-2"/>
          <w:sz w:val="16"/>
          <w:szCs w:val="16"/>
        </w:rPr>
        <w:footnoteRef/>
      </w:r>
      <w:r w:rsidRPr="00663B5E">
        <w:rPr>
          <w:spacing w:val="-2"/>
          <w:sz w:val="16"/>
          <w:szCs w:val="16"/>
        </w:rPr>
        <w:t xml:space="preserve"> </w:t>
      </w:r>
      <w:r w:rsidRPr="00003AAE">
        <w:rPr>
          <w:spacing w:val="-2"/>
          <w:sz w:val="16"/>
          <w:szCs w:val="16"/>
          <w:lang w:val="en-GB"/>
        </w:rPr>
        <w:t>Re</w:t>
      </w:r>
      <w:r>
        <w:rPr>
          <w:spacing w:val="-2"/>
          <w:sz w:val="16"/>
          <w:szCs w:val="16"/>
          <w:lang w:val="en-GB"/>
        </w:rPr>
        <w:t xml:space="preserve">al labour productivity per 1 employee was higher only by 3.3% in the whole economy at the end of year </w:t>
      </w:r>
      <w:r w:rsidRPr="00003AAE">
        <w:rPr>
          <w:spacing w:val="-2"/>
          <w:sz w:val="16"/>
          <w:szCs w:val="16"/>
          <w:lang w:val="en-GB"/>
        </w:rPr>
        <w:t>2023</w:t>
      </w:r>
      <w:r>
        <w:rPr>
          <w:spacing w:val="-2"/>
          <w:sz w:val="16"/>
          <w:szCs w:val="16"/>
          <w:lang w:val="en-GB"/>
        </w:rPr>
        <w:t xml:space="preserve"> against Q</w:t>
      </w:r>
      <w:r w:rsidRPr="00003AAE">
        <w:rPr>
          <w:spacing w:val="-2"/>
          <w:sz w:val="16"/>
          <w:szCs w:val="16"/>
          <w:lang w:val="en-GB"/>
        </w:rPr>
        <w:t>1</w:t>
      </w:r>
      <w:r>
        <w:rPr>
          <w:spacing w:val="-2"/>
          <w:sz w:val="16"/>
          <w:szCs w:val="16"/>
          <w:lang w:val="en-GB"/>
        </w:rPr>
        <w:t xml:space="preserve"> </w:t>
      </w:r>
      <w:r w:rsidRPr="00003AAE">
        <w:rPr>
          <w:spacing w:val="-2"/>
          <w:sz w:val="16"/>
          <w:szCs w:val="16"/>
          <w:lang w:val="en-GB"/>
        </w:rPr>
        <w:t>2018</w:t>
      </w:r>
      <w:r>
        <w:rPr>
          <w:spacing w:val="-2"/>
          <w:sz w:val="16"/>
          <w:szCs w:val="16"/>
          <w:lang w:val="en-GB"/>
        </w:rPr>
        <w:t xml:space="preserve">. </w:t>
      </w:r>
    </w:p>
  </w:footnote>
  <w:footnote w:id="88">
    <w:p w14:paraId="1E0100C4" w14:textId="6B386913" w:rsidR="003B4260" w:rsidRPr="00003AAE" w:rsidRDefault="003B4260" w:rsidP="004675AC">
      <w:pPr>
        <w:pStyle w:val="Textpoznpodarou"/>
        <w:jc w:val="both"/>
        <w:rPr>
          <w:spacing w:val="-3"/>
          <w:sz w:val="16"/>
          <w:szCs w:val="16"/>
          <w:lang w:val="en-GB"/>
        </w:rPr>
      </w:pPr>
      <w:r w:rsidRPr="00003AAE">
        <w:rPr>
          <w:rStyle w:val="Znakapoznpodarou"/>
          <w:spacing w:val="-3"/>
          <w:sz w:val="16"/>
          <w:szCs w:val="16"/>
          <w:lang w:val="en-GB"/>
        </w:rPr>
        <w:footnoteRef/>
      </w:r>
      <w:r w:rsidRPr="00003AAE">
        <w:rPr>
          <w:spacing w:val="-3"/>
          <w:sz w:val="16"/>
          <w:szCs w:val="16"/>
          <w:lang w:val="en-GB"/>
        </w:rPr>
        <w:t xml:space="preserve"> </w:t>
      </w:r>
      <w:r w:rsidRPr="00FC7BC8">
        <w:rPr>
          <w:spacing w:val="-3"/>
          <w:sz w:val="16"/>
          <w:szCs w:val="16"/>
          <w:lang w:val="en-GB"/>
        </w:rPr>
        <w:t xml:space="preserve">The Gross disposable income (GDI) of households in real expression </w:t>
      </w:r>
      <w:r>
        <w:rPr>
          <w:spacing w:val="-3"/>
          <w:sz w:val="16"/>
          <w:szCs w:val="16"/>
          <w:lang w:val="en-GB"/>
        </w:rPr>
        <w:t xml:space="preserve">decreased based on the up-to-date data by 2.8% year-on-year in Q1 2023, already only by 0.2% in the subsequent quarter and by 0.9% in Q3. In that the volume of wages and salaries (in the national accounts conception) analogically decreased in real terms by 3.7% and 1.8%, in Q3 it then stagnated. In Q4 (based on preliminary data) this volume already increased only negligibly </w:t>
      </w:r>
      <w:r w:rsidRPr="00003AAE">
        <w:rPr>
          <w:spacing w:val="-3"/>
          <w:sz w:val="16"/>
          <w:szCs w:val="16"/>
          <w:lang w:val="en-GB"/>
        </w:rPr>
        <w:t>(+0</w:t>
      </w:r>
      <w:r>
        <w:rPr>
          <w:spacing w:val="-3"/>
          <w:sz w:val="16"/>
          <w:szCs w:val="16"/>
          <w:lang w:val="en-GB"/>
        </w:rPr>
        <w:t>.</w:t>
      </w:r>
      <w:r w:rsidRPr="00003AAE">
        <w:rPr>
          <w:spacing w:val="-3"/>
          <w:sz w:val="16"/>
          <w:szCs w:val="16"/>
          <w:lang w:val="en-GB"/>
        </w:rPr>
        <w:t>7%)</w:t>
      </w:r>
      <w:r>
        <w:rPr>
          <w:spacing w:val="-3"/>
          <w:sz w:val="16"/>
          <w:szCs w:val="16"/>
          <w:lang w:val="en-GB"/>
        </w:rPr>
        <w:t xml:space="preserve">, it represented the first year-on-year increase in the last seven quarters. Wages and salaries reflect (unlike the business statistics) also </w:t>
      </w:r>
      <w:r w:rsidRPr="00FC7BC8">
        <w:rPr>
          <w:spacing w:val="-3"/>
          <w:sz w:val="16"/>
          <w:szCs w:val="16"/>
          <w:lang w:val="en-GB"/>
        </w:rPr>
        <w:t>other factors, e.g. the grey economy, possible increase of economic activity of population, for instance in the form of second employments or work agreements. GDI includes next to wages and salaries also income flowing from running a business or ownership of capital and also social transfers from state, incl. the until recently fully adjusted retirement pensions (effect of the amendment of the adjustment scheme for the reason of saving measures occurred for the first time in June 2023).</w:t>
      </w:r>
    </w:p>
  </w:footnote>
  <w:footnote w:id="89">
    <w:p w14:paraId="27871EAB" w14:textId="132CED25" w:rsidR="003B4260" w:rsidRPr="00003AAE" w:rsidRDefault="003B4260" w:rsidP="00C10D44">
      <w:pPr>
        <w:pStyle w:val="Textpoznpodarou"/>
        <w:jc w:val="both"/>
        <w:rPr>
          <w:sz w:val="16"/>
          <w:szCs w:val="16"/>
          <w:lang w:val="en-GB"/>
        </w:rPr>
      </w:pPr>
      <w:r w:rsidRPr="00003AAE">
        <w:rPr>
          <w:rStyle w:val="Znakapoznpodarou"/>
          <w:spacing w:val="-3"/>
          <w:sz w:val="16"/>
          <w:szCs w:val="16"/>
          <w:lang w:val="en-GB"/>
        </w:rPr>
        <w:footnoteRef/>
      </w:r>
      <w:r w:rsidRPr="00003AAE">
        <w:rPr>
          <w:spacing w:val="-3"/>
          <w:sz w:val="16"/>
          <w:szCs w:val="16"/>
          <w:lang w:val="en-GB"/>
        </w:rPr>
        <w:t xml:space="preserve"> </w:t>
      </w:r>
      <w:r w:rsidRPr="00E13E90">
        <w:rPr>
          <w:spacing w:val="-3"/>
          <w:sz w:val="16"/>
          <w:szCs w:val="16"/>
          <w:lang w:val="en-GB"/>
        </w:rPr>
        <w:t xml:space="preserve">Includes generation and distribution of electricity, gas, heat and air conditioning. </w:t>
      </w:r>
    </w:p>
  </w:footnote>
  <w:footnote w:id="90">
    <w:p w14:paraId="05B05A32" w14:textId="4A012C8D" w:rsidR="003B4260" w:rsidRPr="00003AAE" w:rsidRDefault="003B4260" w:rsidP="00003AAE">
      <w:pPr>
        <w:pStyle w:val="Textpoznpodarou"/>
        <w:jc w:val="both"/>
        <w:rPr>
          <w:sz w:val="16"/>
          <w:szCs w:val="16"/>
          <w:lang w:val="en-GB"/>
        </w:rPr>
      </w:pPr>
      <w:r w:rsidRPr="00003AAE">
        <w:rPr>
          <w:rStyle w:val="Znakapoznpodarou"/>
          <w:sz w:val="16"/>
          <w:szCs w:val="16"/>
          <w:lang w:val="en-GB"/>
        </w:rPr>
        <w:footnoteRef/>
      </w:r>
      <w:r w:rsidRPr="00003AAE">
        <w:rPr>
          <w:sz w:val="16"/>
          <w:szCs w:val="16"/>
          <w:lang w:val="en-GB"/>
        </w:rPr>
        <w:t xml:space="preserve"> </w:t>
      </w:r>
      <w:r>
        <w:rPr>
          <w:sz w:val="16"/>
          <w:szCs w:val="16"/>
          <w:lang w:val="en-GB"/>
        </w:rPr>
        <w:t xml:space="preserve">Fast pace of wages mainly reflected the extraordinary bonuses paid out at the beginning of the year here. </w:t>
      </w:r>
    </w:p>
  </w:footnote>
  <w:footnote w:id="91">
    <w:p w14:paraId="5980DBFF" w14:textId="7CBDA0A6" w:rsidR="003B4260" w:rsidRPr="00E64CDB" w:rsidRDefault="003B4260" w:rsidP="00601818">
      <w:pPr>
        <w:spacing w:after="0" w:line="240" w:lineRule="auto"/>
        <w:rPr>
          <w:sz w:val="16"/>
          <w:szCs w:val="16"/>
          <w:lang w:val="en-GB"/>
        </w:rPr>
      </w:pPr>
      <w:r w:rsidRPr="00D16130">
        <w:rPr>
          <w:rStyle w:val="Znakapoznpodarou"/>
          <w:sz w:val="16"/>
          <w:szCs w:val="16"/>
        </w:rPr>
        <w:footnoteRef/>
      </w:r>
      <w:r w:rsidRPr="00D16130">
        <w:rPr>
          <w:sz w:val="16"/>
          <w:szCs w:val="16"/>
        </w:rPr>
        <w:t xml:space="preserve"> </w:t>
      </w:r>
      <w:r>
        <w:rPr>
          <w:sz w:val="16"/>
          <w:szCs w:val="16"/>
          <w:lang w:val="en-GB"/>
        </w:rPr>
        <w:t xml:space="preserve">For simplification includes branch Public administration, mandatory social security; Education; Health and social work; Cultural, amusement and recreational activities. </w:t>
      </w:r>
    </w:p>
  </w:footnote>
  <w:footnote w:id="92">
    <w:p w14:paraId="3F84A971" w14:textId="2B0FCA56" w:rsidR="003B4260" w:rsidRPr="00E64CDB" w:rsidRDefault="003B4260" w:rsidP="00E64CDB">
      <w:pPr>
        <w:pStyle w:val="Textpoznpodarou"/>
        <w:jc w:val="both"/>
        <w:rPr>
          <w:sz w:val="16"/>
          <w:szCs w:val="16"/>
          <w:lang w:val="en-GB"/>
        </w:rPr>
      </w:pPr>
      <w:r w:rsidRPr="00E64CDB">
        <w:rPr>
          <w:rStyle w:val="Znakapoznpodarou"/>
          <w:sz w:val="16"/>
          <w:szCs w:val="16"/>
          <w:lang w:val="en-GB"/>
        </w:rPr>
        <w:footnoteRef/>
      </w:r>
      <w:r w:rsidRPr="00E64CDB">
        <w:rPr>
          <w:sz w:val="16"/>
          <w:szCs w:val="16"/>
          <w:lang w:val="en-GB"/>
        </w:rPr>
        <w:t xml:space="preserve"> </w:t>
      </w:r>
      <w:r>
        <w:rPr>
          <w:sz w:val="16"/>
          <w:szCs w:val="16"/>
          <w:lang w:val="en-GB"/>
        </w:rPr>
        <w:t xml:space="preserve">According to the MEYS data, the average monthly wage of teachers (including management workers) reached in the regional education (in facilities established by regions or municipalities) </w:t>
      </w:r>
      <w:r w:rsidRPr="00E64CDB">
        <w:rPr>
          <w:sz w:val="16"/>
          <w:szCs w:val="16"/>
          <w:lang w:val="en-GB"/>
        </w:rPr>
        <w:t>49</w:t>
      </w:r>
      <w:r>
        <w:rPr>
          <w:sz w:val="16"/>
          <w:szCs w:val="16"/>
          <w:lang w:val="en-GB"/>
        </w:rPr>
        <w:t>.</w:t>
      </w:r>
      <w:r w:rsidRPr="00E64CDB">
        <w:rPr>
          <w:sz w:val="16"/>
          <w:szCs w:val="16"/>
          <w:lang w:val="en-GB"/>
        </w:rPr>
        <w:t>9</w:t>
      </w:r>
      <w:r>
        <w:rPr>
          <w:sz w:val="16"/>
          <w:szCs w:val="16"/>
          <w:lang w:val="en-GB"/>
        </w:rPr>
        <w:t xml:space="preserve"> thousand CZK last year and increased by </w:t>
      </w:r>
      <w:r w:rsidRPr="00E64CDB">
        <w:rPr>
          <w:sz w:val="16"/>
          <w:szCs w:val="16"/>
          <w:lang w:val="en-GB"/>
        </w:rPr>
        <w:t>3</w:t>
      </w:r>
      <w:r>
        <w:rPr>
          <w:sz w:val="16"/>
          <w:szCs w:val="16"/>
          <w:lang w:val="en-GB"/>
        </w:rPr>
        <w:t>.</w:t>
      </w:r>
      <w:r w:rsidRPr="00E64CDB">
        <w:rPr>
          <w:sz w:val="16"/>
          <w:szCs w:val="16"/>
          <w:lang w:val="en-GB"/>
        </w:rPr>
        <w:t>5%</w:t>
      </w:r>
      <w:r>
        <w:rPr>
          <w:sz w:val="16"/>
          <w:szCs w:val="16"/>
          <w:lang w:val="en-GB"/>
        </w:rPr>
        <w:t xml:space="preserve"> year-on-year</w:t>
      </w:r>
      <w:r w:rsidRPr="00E64CDB">
        <w:rPr>
          <w:sz w:val="16"/>
          <w:szCs w:val="16"/>
          <w:lang w:val="en-GB"/>
        </w:rPr>
        <w:t xml:space="preserve"> (</w:t>
      </w:r>
      <w:r>
        <w:rPr>
          <w:sz w:val="16"/>
          <w:szCs w:val="16"/>
          <w:lang w:val="en-GB"/>
        </w:rPr>
        <w:t xml:space="preserve">by 0.8% in year </w:t>
      </w:r>
      <w:r w:rsidRPr="00E64CDB">
        <w:rPr>
          <w:sz w:val="16"/>
          <w:szCs w:val="16"/>
          <w:lang w:val="en-GB"/>
        </w:rPr>
        <w:t>2022).</w:t>
      </w:r>
      <w:r>
        <w:rPr>
          <w:sz w:val="16"/>
          <w:szCs w:val="16"/>
          <w:lang w:val="en-GB"/>
        </w:rPr>
        <w:t xml:space="preserve"> In that, qualified teachers (including assistants and school psychologists</w:t>
      </w:r>
      <w:r w:rsidRPr="00E64CDB">
        <w:rPr>
          <w:sz w:val="16"/>
          <w:szCs w:val="16"/>
          <w:lang w:val="en-GB"/>
        </w:rPr>
        <w:t xml:space="preserve">) </w:t>
      </w:r>
      <w:r>
        <w:rPr>
          <w:sz w:val="16"/>
          <w:szCs w:val="16"/>
          <w:lang w:val="en-GB"/>
        </w:rPr>
        <w:t>received 4</w:t>
      </w:r>
      <w:r w:rsidRPr="00E64CDB">
        <w:rPr>
          <w:sz w:val="16"/>
          <w:szCs w:val="16"/>
          <w:lang w:val="en-GB"/>
        </w:rPr>
        <w:t>6</w:t>
      </w:r>
      <w:r>
        <w:rPr>
          <w:sz w:val="16"/>
          <w:szCs w:val="16"/>
          <w:lang w:val="en-GB"/>
        </w:rPr>
        <w:t>.</w:t>
      </w:r>
      <w:r w:rsidRPr="00E64CDB">
        <w:rPr>
          <w:sz w:val="16"/>
          <w:szCs w:val="16"/>
          <w:lang w:val="en-GB"/>
        </w:rPr>
        <w:t>5</w:t>
      </w:r>
      <w:r>
        <w:rPr>
          <w:sz w:val="16"/>
          <w:szCs w:val="16"/>
          <w:lang w:val="en-GB"/>
        </w:rPr>
        <w:t xml:space="preserve"> thousand </w:t>
      </w:r>
      <w:r w:rsidRPr="00E64CDB">
        <w:rPr>
          <w:sz w:val="16"/>
          <w:szCs w:val="16"/>
          <w:lang w:val="en-GB"/>
        </w:rPr>
        <w:t>(+3</w:t>
      </w:r>
      <w:r>
        <w:rPr>
          <w:sz w:val="16"/>
          <w:szCs w:val="16"/>
          <w:lang w:val="en-GB"/>
        </w:rPr>
        <w:t>.</w:t>
      </w:r>
      <w:r w:rsidRPr="00E64CDB">
        <w:rPr>
          <w:sz w:val="16"/>
          <w:szCs w:val="16"/>
          <w:lang w:val="en-GB"/>
        </w:rPr>
        <w:t>0%</w:t>
      </w:r>
      <w:r>
        <w:rPr>
          <w:sz w:val="16"/>
          <w:szCs w:val="16"/>
          <w:lang w:val="en-GB"/>
        </w:rPr>
        <w:t xml:space="preserve"> year-on-year</w:t>
      </w:r>
      <w:r w:rsidRPr="00E64CDB">
        <w:rPr>
          <w:sz w:val="16"/>
          <w:szCs w:val="16"/>
          <w:lang w:val="en-GB"/>
        </w:rPr>
        <w:t>),</w:t>
      </w:r>
      <w:r>
        <w:rPr>
          <w:sz w:val="16"/>
          <w:szCs w:val="16"/>
          <w:lang w:val="en-GB"/>
        </w:rPr>
        <w:t xml:space="preserve"> non-teaching staff then </w:t>
      </w:r>
      <w:r w:rsidRPr="00E64CDB">
        <w:rPr>
          <w:sz w:val="16"/>
          <w:szCs w:val="16"/>
          <w:lang w:val="en-GB"/>
        </w:rPr>
        <w:t>29</w:t>
      </w:r>
      <w:r>
        <w:rPr>
          <w:sz w:val="16"/>
          <w:szCs w:val="16"/>
          <w:lang w:val="en-GB"/>
        </w:rPr>
        <w:t>.</w:t>
      </w:r>
      <w:r w:rsidRPr="00E64CDB">
        <w:rPr>
          <w:sz w:val="16"/>
          <w:szCs w:val="16"/>
          <w:lang w:val="en-GB"/>
        </w:rPr>
        <w:t>1</w:t>
      </w:r>
      <w:r>
        <w:rPr>
          <w:sz w:val="16"/>
          <w:szCs w:val="16"/>
          <w:lang w:val="en-GB"/>
        </w:rPr>
        <w:t xml:space="preserve"> thousand CZK </w:t>
      </w:r>
      <w:r w:rsidRPr="00E64CDB">
        <w:rPr>
          <w:sz w:val="16"/>
          <w:szCs w:val="16"/>
          <w:lang w:val="en-GB"/>
        </w:rPr>
        <w:t>(+9</w:t>
      </w:r>
      <w:r>
        <w:rPr>
          <w:sz w:val="16"/>
          <w:szCs w:val="16"/>
          <w:lang w:val="en-GB"/>
        </w:rPr>
        <w:t>.</w:t>
      </w:r>
      <w:r w:rsidRPr="00E64CDB">
        <w:rPr>
          <w:sz w:val="16"/>
          <w:szCs w:val="16"/>
          <w:lang w:val="en-GB"/>
        </w:rPr>
        <w:t>7%).</w:t>
      </w:r>
    </w:p>
  </w:footnote>
  <w:footnote w:id="93">
    <w:p w14:paraId="35FE3A52" w14:textId="77777777" w:rsidR="004705FC" w:rsidRPr="00E64CDB" w:rsidRDefault="004705FC" w:rsidP="00E64CDB">
      <w:pPr>
        <w:pStyle w:val="Textpoznpodarou"/>
        <w:jc w:val="both"/>
        <w:rPr>
          <w:sz w:val="16"/>
          <w:szCs w:val="16"/>
          <w:lang w:val="en-GB"/>
        </w:rPr>
      </w:pPr>
      <w:r w:rsidRPr="00E64CDB">
        <w:rPr>
          <w:rStyle w:val="Znakapoznpodarou"/>
          <w:sz w:val="16"/>
          <w:szCs w:val="16"/>
          <w:lang w:val="en-GB"/>
        </w:rPr>
        <w:footnoteRef/>
      </w:r>
      <w:r w:rsidRPr="00E64CDB">
        <w:rPr>
          <w:sz w:val="16"/>
          <w:szCs w:val="16"/>
          <w:lang w:val="en-GB"/>
        </w:rPr>
        <w:t xml:space="preserve"> </w:t>
      </w:r>
      <w:r>
        <w:rPr>
          <w:sz w:val="16"/>
          <w:szCs w:val="16"/>
          <w:lang w:val="en-GB"/>
        </w:rPr>
        <w:t>Attained median size of earnings of females was by 13% lower against males in Q</w:t>
      </w:r>
      <w:r>
        <w:rPr>
          <w:rStyle w:val="normaltextrun"/>
          <w:rFonts w:eastAsia="MS Gothic" w:cs="Arial"/>
          <w:sz w:val="16"/>
          <w:szCs w:val="16"/>
          <w:lang w:val="en-GB"/>
        </w:rPr>
        <w:t xml:space="preserve">4 </w:t>
      </w:r>
      <w:r w:rsidRPr="00E64CDB">
        <w:rPr>
          <w:rStyle w:val="normaltextrun"/>
          <w:rFonts w:eastAsia="MS Gothic" w:cs="Arial"/>
          <w:sz w:val="16"/>
          <w:szCs w:val="16"/>
          <w:lang w:val="en-GB"/>
        </w:rPr>
        <w:t>2023</w:t>
      </w:r>
      <w:r>
        <w:rPr>
          <w:rStyle w:val="normaltextrun"/>
          <w:rFonts w:eastAsia="MS Gothic" w:cs="Arial"/>
          <w:sz w:val="16"/>
          <w:szCs w:val="16"/>
          <w:lang w:val="en-GB"/>
        </w:rPr>
        <w:t xml:space="preserve"> </w:t>
      </w:r>
      <w:r w:rsidRPr="00E64CDB">
        <w:rPr>
          <w:rStyle w:val="normaltextrun"/>
          <w:rFonts w:eastAsia="MS Gothic" w:cs="Arial"/>
          <w:sz w:val="16"/>
          <w:szCs w:val="16"/>
          <w:lang w:val="en-GB"/>
        </w:rPr>
        <w:t>(resp. 5</w:t>
      </w:r>
      <w:r>
        <w:rPr>
          <w:rStyle w:val="normaltextrun"/>
          <w:rFonts w:eastAsia="MS Gothic" w:cs="Arial"/>
          <w:sz w:val="16"/>
          <w:szCs w:val="16"/>
          <w:lang w:val="en-GB"/>
        </w:rPr>
        <w:t>.</w:t>
      </w:r>
      <w:r w:rsidRPr="00E64CDB">
        <w:rPr>
          <w:rStyle w:val="normaltextrun"/>
          <w:rFonts w:eastAsia="MS Gothic" w:cs="Arial"/>
          <w:sz w:val="16"/>
          <w:szCs w:val="16"/>
          <w:lang w:val="en-GB"/>
        </w:rPr>
        <w:t xml:space="preserve">5 </w:t>
      </w:r>
      <w:r>
        <w:rPr>
          <w:rStyle w:val="normaltextrun"/>
          <w:rFonts w:eastAsia="MS Gothic" w:cs="Arial"/>
          <w:sz w:val="16"/>
          <w:szCs w:val="16"/>
          <w:lang w:val="en-GB"/>
        </w:rPr>
        <w:t>thousand CZK monthly</w:t>
      </w:r>
      <w:r w:rsidRPr="00E64CDB">
        <w:rPr>
          <w:rStyle w:val="normaltextrun"/>
          <w:rFonts w:eastAsia="MS Gothic" w:cs="Arial"/>
          <w:sz w:val="16"/>
          <w:szCs w:val="16"/>
          <w:lang w:val="en-GB"/>
        </w:rPr>
        <w:t>).</w:t>
      </w:r>
    </w:p>
  </w:footnote>
  <w:footnote w:id="94">
    <w:p w14:paraId="0BBB8405" w14:textId="041C27BA" w:rsidR="003B4260" w:rsidRPr="0049505A" w:rsidRDefault="003B4260" w:rsidP="0049505A">
      <w:pPr>
        <w:pStyle w:val="Textpoznpodarou"/>
        <w:jc w:val="both"/>
        <w:rPr>
          <w:sz w:val="16"/>
          <w:szCs w:val="16"/>
          <w:lang w:val="en-GB"/>
        </w:rPr>
      </w:pPr>
      <w:r>
        <w:rPr>
          <w:rStyle w:val="Znakapoznpodarou"/>
          <w:sz w:val="16"/>
          <w:szCs w:val="16"/>
        </w:rPr>
        <w:footnoteRef/>
      </w:r>
      <w:r>
        <w:rPr>
          <w:sz w:val="16"/>
          <w:szCs w:val="16"/>
        </w:rPr>
        <w:t xml:space="preserve"> </w:t>
      </w:r>
      <w:r w:rsidRPr="0049505A">
        <w:rPr>
          <w:sz w:val="16"/>
          <w:szCs w:val="16"/>
          <w:lang w:val="en-GB"/>
        </w:rPr>
        <w:t>Unless stated otherwise, the source of data in the chapter is the Czech National Bank database ARAD. Values of foreign exchange rates also stem from the CNB.</w:t>
      </w:r>
    </w:p>
  </w:footnote>
  <w:footnote w:id="95">
    <w:p w14:paraId="33C45DA1" w14:textId="7E7C8053" w:rsidR="003B4260" w:rsidRPr="0049505A" w:rsidRDefault="003B4260" w:rsidP="0049505A">
      <w:pPr>
        <w:pStyle w:val="Textpoznpodarou"/>
        <w:jc w:val="both"/>
        <w:rPr>
          <w:sz w:val="16"/>
          <w:szCs w:val="16"/>
          <w:lang w:val="en-GB"/>
        </w:rPr>
      </w:pPr>
      <w:r w:rsidRPr="0049505A">
        <w:rPr>
          <w:rStyle w:val="Znakapoznpodarou"/>
          <w:sz w:val="16"/>
          <w:szCs w:val="16"/>
          <w:lang w:val="en-GB"/>
        </w:rPr>
        <w:footnoteRef/>
      </w:r>
      <w:r w:rsidRPr="0049505A">
        <w:rPr>
          <w:sz w:val="16"/>
          <w:szCs w:val="16"/>
          <w:lang w:val="en-GB"/>
        </w:rPr>
        <w:t xml:space="preserve"> </w:t>
      </w:r>
      <w:r>
        <w:rPr>
          <w:sz w:val="16"/>
          <w:szCs w:val="16"/>
          <w:lang w:val="en-GB"/>
        </w:rPr>
        <w:t>Unless stated otherwise, as the change of interest rates is meant the difference between value as of 31</w:t>
      </w:r>
      <w:r w:rsidRPr="0049505A">
        <w:rPr>
          <w:sz w:val="16"/>
          <w:szCs w:val="16"/>
          <w:vertAlign w:val="superscript"/>
          <w:lang w:val="en-GB"/>
        </w:rPr>
        <w:t>st</w:t>
      </w:r>
      <w:r>
        <w:rPr>
          <w:sz w:val="16"/>
          <w:szCs w:val="16"/>
          <w:lang w:val="en-GB"/>
        </w:rPr>
        <w:t xml:space="preserve"> December </w:t>
      </w:r>
      <w:r w:rsidRPr="001C044E">
        <w:rPr>
          <w:sz w:val="16"/>
          <w:szCs w:val="16"/>
          <w:lang w:val="en-GB"/>
        </w:rPr>
        <w:t>202</w:t>
      </w:r>
      <w:r>
        <w:rPr>
          <w:sz w:val="16"/>
          <w:szCs w:val="16"/>
          <w:lang w:val="en-GB"/>
        </w:rPr>
        <w:t>3</w:t>
      </w:r>
      <w:r w:rsidRPr="001C044E">
        <w:rPr>
          <w:sz w:val="16"/>
          <w:szCs w:val="16"/>
          <w:lang w:val="en-GB"/>
        </w:rPr>
        <w:t xml:space="preserve"> a</w:t>
      </w:r>
      <w:r>
        <w:rPr>
          <w:sz w:val="16"/>
          <w:szCs w:val="16"/>
          <w:lang w:val="en-GB"/>
        </w:rPr>
        <w:t>nd 30</w:t>
      </w:r>
      <w:r w:rsidRPr="0049505A">
        <w:rPr>
          <w:sz w:val="16"/>
          <w:szCs w:val="16"/>
          <w:vertAlign w:val="superscript"/>
          <w:lang w:val="en-GB"/>
        </w:rPr>
        <w:t>th</w:t>
      </w:r>
      <w:r>
        <w:rPr>
          <w:sz w:val="16"/>
          <w:szCs w:val="16"/>
          <w:lang w:val="en-GB"/>
        </w:rPr>
        <w:t xml:space="preserve"> September </w:t>
      </w:r>
      <w:r w:rsidRPr="001C044E">
        <w:rPr>
          <w:sz w:val="16"/>
          <w:szCs w:val="16"/>
          <w:lang w:val="en-GB"/>
        </w:rPr>
        <w:t>202</w:t>
      </w:r>
      <w:r>
        <w:rPr>
          <w:sz w:val="16"/>
          <w:szCs w:val="16"/>
          <w:lang w:val="en-GB"/>
        </w:rPr>
        <w:t>3</w:t>
      </w:r>
      <w:r w:rsidRPr="001C044E">
        <w:rPr>
          <w:sz w:val="16"/>
          <w:szCs w:val="16"/>
          <w:lang w:val="en-GB"/>
        </w:rPr>
        <w:t>.</w:t>
      </w:r>
    </w:p>
  </w:footnote>
  <w:footnote w:id="96">
    <w:p w14:paraId="0F48AA9B" w14:textId="30B04574" w:rsidR="003B4260" w:rsidRPr="0049505A" w:rsidRDefault="003B4260" w:rsidP="0049505A">
      <w:pPr>
        <w:pStyle w:val="Textpoznpodarou"/>
        <w:jc w:val="both"/>
        <w:rPr>
          <w:sz w:val="16"/>
          <w:szCs w:val="16"/>
          <w:lang w:val="en-GB"/>
        </w:rPr>
      </w:pPr>
      <w:r w:rsidRPr="0049505A">
        <w:rPr>
          <w:rStyle w:val="Znakapoznpodarou"/>
          <w:sz w:val="16"/>
          <w:szCs w:val="16"/>
          <w:lang w:val="en-GB"/>
        </w:rPr>
        <w:footnoteRef/>
      </w:r>
      <w:r w:rsidRPr="0049505A">
        <w:rPr>
          <w:sz w:val="16"/>
          <w:szCs w:val="16"/>
          <w:lang w:val="en-GB"/>
        </w:rPr>
        <w:t xml:space="preserve"> </w:t>
      </w:r>
      <w:r>
        <w:rPr>
          <w:sz w:val="16"/>
          <w:szCs w:val="16"/>
          <w:lang w:val="en-GB"/>
        </w:rPr>
        <w:t xml:space="preserve">Population including self-employed persons. </w:t>
      </w:r>
    </w:p>
  </w:footnote>
  <w:footnote w:id="97">
    <w:p w14:paraId="71C5A9DD" w14:textId="577B6249" w:rsidR="003B4260" w:rsidRPr="004839DD" w:rsidRDefault="003B4260" w:rsidP="00EF433F">
      <w:pPr>
        <w:pStyle w:val="Textpoznpodarou"/>
        <w:jc w:val="both"/>
        <w:rPr>
          <w:lang w:val="en-GB"/>
        </w:rPr>
      </w:pPr>
      <w:r w:rsidRPr="00FE4E1A">
        <w:rPr>
          <w:rStyle w:val="Znakapoznpodarou"/>
          <w:sz w:val="16"/>
          <w:szCs w:val="16"/>
        </w:rPr>
        <w:footnoteRef/>
      </w:r>
      <w:r w:rsidRPr="00FE4E1A">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credit</w:t>
      </w:r>
      <w:proofErr w:type="spellEnd"/>
      <w:r>
        <w:rPr>
          <w:sz w:val="16"/>
          <w:szCs w:val="16"/>
        </w:rPr>
        <w:t xml:space="preserve"> </w:t>
      </w:r>
      <w:proofErr w:type="spellStart"/>
      <w:r>
        <w:rPr>
          <w:sz w:val="16"/>
          <w:szCs w:val="16"/>
        </w:rPr>
        <w:t>from</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building</w:t>
      </w:r>
      <w:proofErr w:type="spellEnd"/>
      <w:r>
        <w:rPr>
          <w:sz w:val="16"/>
          <w:szCs w:val="16"/>
        </w:rPr>
        <w:t xml:space="preserve"> society </w:t>
      </w:r>
      <w:proofErr w:type="spellStart"/>
      <w:r>
        <w:rPr>
          <w:sz w:val="16"/>
          <w:szCs w:val="16"/>
        </w:rPr>
        <w:t>accounts</w:t>
      </w:r>
      <w:proofErr w:type="spellEnd"/>
      <w:r>
        <w:rPr>
          <w:sz w:val="16"/>
          <w:szCs w:val="16"/>
        </w:rPr>
        <w:t xml:space="preserve"> </w:t>
      </w:r>
      <w:proofErr w:type="spellStart"/>
      <w:r>
        <w:rPr>
          <w:sz w:val="16"/>
          <w:szCs w:val="16"/>
        </w:rPr>
        <w:t>expanded</w:t>
      </w:r>
      <w:proofErr w:type="spellEnd"/>
      <w:r>
        <w:rPr>
          <w:sz w:val="16"/>
          <w:szCs w:val="16"/>
        </w:rPr>
        <w:t xml:space="preserve"> by double </w:t>
      </w:r>
      <w:proofErr w:type="spellStart"/>
      <w:r>
        <w:rPr>
          <w:sz w:val="16"/>
          <w:szCs w:val="16"/>
        </w:rPr>
        <w:t>digit</w:t>
      </w:r>
      <w:proofErr w:type="spellEnd"/>
      <w:r>
        <w:rPr>
          <w:sz w:val="16"/>
          <w:szCs w:val="16"/>
        </w:rPr>
        <w:t xml:space="preserve"> pace </w:t>
      </w:r>
      <w:proofErr w:type="spellStart"/>
      <w:r>
        <w:rPr>
          <w:sz w:val="16"/>
          <w:szCs w:val="16"/>
        </w:rPr>
        <w:t>since</w:t>
      </w:r>
      <w:proofErr w:type="spellEnd"/>
      <w:r>
        <w:rPr>
          <w:sz w:val="16"/>
          <w:szCs w:val="16"/>
        </w:rPr>
        <w:t xml:space="preserve"> </w:t>
      </w:r>
      <w:proofErr w:type="spellStart"/>
      <w:r>
        <w:rPr>
          <w:sz w:val="16"/>
          <w:szCs w:val="16"/>
        </w:rPr>
        <w:t>the</w:t>
      </w:r>
      <w:proofErr w:type="spellEnd"/>
      <w:r>
        <w:rPr>
          <w:sz w:val="16"/>
          <w:szCs w:val="16"/>
        </w:rPr>
        <w:t xml:space="preserve"> end </w:t>
      </w:r>
      <w:proofErr w:type="spellStart"/>
      <w:r>
        <w:rPr>
          <w:sz w:val="16"/>
          <w:szCs w:val="16"/>
        </w:rPr>
        <w:t>of</w:t>
      </w:r>
      <w:proofErr w:type="spellEnd"/>
      <w:r>
        <w:rPr>
          <w:sz w:val="16"/>
          <w:szCs w:val="16"/>
        </w:rPr>
        <w:t xml:space="preserve"> </w:t>
      </w:r>
      <w:proofErr w:type="spellStart"/>
      <w:r>
        <w:rPr>
          <w:sz w:val="16"/>
          <w:szCs w:val="16"/>
        </w:rPr>
        <w:t>year</w:t>
      </w:r>
      <w:proofErr w:type="spellEnd"/>
      <w:r>
        <w:rPr>
          <w:sz w:val="16"/>
          <w:szCs w:val="16"/>
        </w:rPr>
        <w:t xml:space="preserve"> </w:t>
      </w:r>
      <w:r w:rsidRPr="004839DD">
        <w:rPr>
          <w:sz w:val="16"/>
          <w:szCs w:val="16"/>
          <w:lang w:val="en-GB"/>
        </w:rPr>
        <w:t xml:space="preserve">2022. </w:t>
      </w:r>
      <w:r>
        <w:rPr>
          <w:sz w:val="16"/>
          <w:szCs w:val="16"/>
          <w:lang w:val="en-GB"/>
        </w:rPr>
        <w:t>Credit from the building society account, where the maximum interest is restricted by the law, became more advantageous financing instrument for the debtors thanks to the substantial increase of interest rates on mortgages.</w:t>
      </w:r>
      <w:r w:rsidRPr="004839DD">
        <w:rPr>
          <w:lang w:val="en-GB"/>
        </w:rPr>
        <w:t xml:space="preserve"> </w:t>
      </w:r>
    </w:p>
  </w:footnote>
  <w:footnote w:id="98">
    <w:p w14:paraId="47126DE8" w14:textId="005789D7" w:rsidR="003B4260" w:rsidRPr="004839DD" w:rsidRDefault="003B4260" w:rsidP="00563E41">
      <w:pPr>
        <w:pStyle w:val="Textpoznpodarou"/>
        <w:jc w:val="both"/>
        <w:rPr>
          <w:sz w:val="16"/>
          <w:szCs w:val="16"/>
          <w:lang w:val="en-GB"/>
        </w:rPr>
      </w:pPr>
      <w:r w:rsidRPr="004839DD">
        <w:rPr>
          <w:rStyle w:val="Znakapoznpodarou"/>
          <w:sz w:val="16"/>
          <w:szCs w:val="16"/>
          <w:lang w:val="en-GB"/>
        </w:rPr>
        <w:footnoteRef/>
      </w:r>
      <w:r w:rsidRPr="004839DD">
        <w:rPr>
          <w:sz w:val="16"/>
          <w:szCs w:val="16"/>
          <w:lang w:val="en-GB"/>
        </w:rPr>
        <w:t xml:space="preserve"> </w:t>
      </w:r>
      <w:r w:rsidRPr="007E1443">
        <w:rPr>
          <w:sz w:val="16"/>
          <w:szCs w:val="16"/>
          <w:lang w:val="en-GB"/>
        </w:rPr>
        <w:t xml:space="preserve">New contracts also include the refinanced credit and </w:t>
      </w:r>
      <w:r>
        <w:rPr>
          <w:sz w:val="16"/>
          <w:szCs w:val="16"/>
          <w:lang w:val="en-GB"/>
        </w:rPr>
        <w:t>o</w:t>
      </w:r>
      <w:r w:rsidRPr="007A3C7D">
        <w:rPr>
          <w:sz w:val="16"/>
          <w:szCs w:val="16"/>
          <w:lang w:val="en-GB"/>
        </w:rPr>
        <w:t>ther renegotiated loans</w:t>
      </w:r>
      <w:r w:rsidRPr="007E1443">
        <w:rPr>
          <w:sz w:val="16"/>
          <w:szCs w:val="16"/>
          <w:lang w:val="en-GB"/>
        </w:rPr>
        <w:t>. Refinanc</w:t>
      </w:r>
      <w:r>
        <w:rPr>
          <w:sz w:val="16"/>
          <w:szCs w:val="16"/>
          <w:lang w:val="en-GB"/>
        </w:rPr>
        <w:t xml:space="preserve">ed credit includes current contracts concluded newly at other bank, while other renegotiated loans are current contracts concluded with new conditions at the same bank. </w:t>
      </w:r>
    </w:p>
  </w:footnote>
  <w:footnote w:id="99">
    <w:p w14:paraId="6AEDF139" w14:textId="20F9A6AD" w:rsidR="003B4260" w:rsidRPr="004839DD" w:rsidRDefault="003B4260" w:rsidP="00563E41">
      <w:pPr>
        <w:pStyle w:val="Textpoznpodarou"/>
        <w:jc w:val="both"/>
        <w:rPr>
          <w:sz w:val="16"/>
          <w:szCs w:val="16"/>
          <w:lang w:val="en-GB"/>
        </w:rPr>
      </w:pPr>
      <w:r w:rsidRPr="004839DD">
        <w:rPr>
          <w:rStyle w:val="Znakapoznpodarou"/>
          <w:sz w:val="16"/>
          <w:szCs w:val="16"/>
          <w:lang w:val="en-GB"/>
        </w:rPr>
        <w:footnoteRef/>
      </w:r>
      <w:r w:rsidRPr="004839DD">
        <w:rPr>
          <w:sz w:val="16"/>
          <w:szCs w:val="16"/>
          <w:lang w:val="en-GB"/>
        </w:rPr>
        <w:t xml:space="preserve"> </w:t>
      </w:r>
      <w:r>
        <w:rPr>
          <w:sz w:val="16"/>
          <w:szCs w:val="16"/>
          <w:lang w:val="en-GB"/>
        </w:rPr>
        <w:t xml:space="preserve">Credit in foreign currency started to rise steeply following the commencement of the repeated increase of the monetary policy-relevant rates in June </w:t>
      </w:r>
      <w:r w:rsidRPr="007E1443">
        <w:rPr>
          <w:sz w:val="16"/>
          <w:szCs w:val="16"/>
          <w:lang w:val="en-GB"/>
        </w:rPr>
        <w:t>2021.</w:t>
      </w:r>
    </w:p>
  </w:footnote>
  <w:footnote w:id="100">
    <w:p w14:paraId="218512E7" w14:textId="6BCDF4E8" w:rsidR="003B4260" w:rsidRPr="006C5C22" w:rsidRDefault="003B4260" w:rsidP="006C5C22">
      <w:pPr>
        <w:pStyle w:val="Textpoznpodarou"/>
        <w:jc w:val="both"/>
        <w:rPr>
          <w:rFonts w:eastAsia="Times New Roman"/>
          <w:spacing w:val="-2"/>
          <w:sz w:val="16"/>
          <w:szCs w:val="16"/>
          <w:lang w:val="en-GB"/>
        </w:rPr>
      </w:pPr>
      <w:r w:rsidRPr="008534DA">
        <w:rPr>
          <w:rStyle w:val="Znakapoznpodarou"/>
          <w:spacing w:val="-2"/>
          <w:sz w:val="16"/>
          <w:szCs w:val="16"/>
        </w:rPr>
        <w:footnoteRef/>
      </w:r>
      <w:r w:rsidRPr="008534DA">
        <w:rPr>
          <w:spacing w:val="-2"/>
          <w:sz w:val="16"/>
          <w:szCs w:val="16"/>
        </w:rPr>
        <w:t xml:space="preserve"> </w:t>
      </w:r>
      <w:r w:rsidRPr="006C5C22">
        <w:rPr>
          <w:rFonts w:eastAsia="Times New Roman"/>
          <w:spacing w:val="-2"/>
          <w:sz w:val="16"/>
          <w:szCs w:val="16"/>
          <w:lang w:val="en-GB"/>
        </w:rPr>
        <w:t xml:space="preserve">Unless stated otherwise, all data related to the state budget stem from the data of the Ministry of Finance regarding the treasury fulfilment. </w:t>
      </w:r>
    </w:p>
  </w:footnote>
  <w:footnote w:id="101">
    <w:p w14:paraId="0932F52C" w14:textId="70D84351" w:rsidR="003B4260" w:rsidRPr="00EF433F" w:rsidRDefault="003B4260" w:rsidP="006C5C22">
      <w:pPr>
        <w:pStyle w:val="Textpoznpodarou"/>
        <w:jc w:val="both"/>
        <w:rPr>
          <w:spacing w:val="-2"/>
          <w:sz w:val="16"/>
          <w:szCs w:val="16"/>
          <w:lang w:val="en-GB"/>
        </w:rPr>
      </w:pPr>
      <w:r w:rsidRPr="00EF433F">
        <w:rPr>
          <w:rStyle w:val="Znakapoznpodarou"/>
          <w:spacing w:val="-2"/>
          <w:sz w:val="16"/>
          <w:szCs w:val="16"/>
          <w:lang w:val="en-GB"/>
        </w:rPr>
        <w:footnoteRef/>
      </w:r>
      <w:r w:rsidRPr="00EF433F">
        <w:rPr>
          <w:spacing w:val="-2"/>
          <w:sz w:val="16"/>
          <w:szCs w:val="16"/>
          <w:lang w:val="en-GB"/>
        </w:rPr>
        <w:t xml:space="preserve"> </w:t>
      </w:r>
      <w:r w:rsidRPr="00E63B6E">
        <w:rPr>
          <w:sz w:val="16"/>
          <w:szCs w:val="16"/>
          <w:lang w:val="en-GB"/>
        </w:rPr>
        <w:t>Based on Act No. 449/2023 Coll., on the state budget for year 2023</w:t>
      </w:r>
      <w:r>
        <w:rPr>
          <w:sz w:val="16"/>
          <w:szCs w:val="16"/>
          <w:lang w:val="en-GB"/>
        </w:rPr>
        <w:t xml:space="preserve"> (from 30</w:t>
      </w:r>
      <w:r w:rsidRPr="00BA29B7">
        <w:rPr>
          <w:sz w:val="16"/>
          <w:szCs w:val="16"/>
          <w:vertAlign w:val="superscript"/>
          <w:lang w:val="en-GB"/>
        </w:rPr>
        <w:t>th</w:t>
      </w:r>
      <w:r>
        <w:rPr>
          <w:sz w:val="16"/>
          <w:szCs w:val="16"/>
          <w:lang w:val="en-GB"/>
        </w:rPr>
        <w:t xml:space="preserve"> November 2022) anticipating deficit of 295 </w:t>
      </w:r>
      <w:proofErr w:type="spellStart"/>
      <w:r>
        <w:rPr>
          <w:sz w:val="16"/>
          <w:szCs w:val="16"/>
          <w:lang w:val="en-GB"/>
        </w:rPr>
        <w:t>bn</w:t>
      </w:r>
      <w:proofErr w:type="spellEnd"/>
      <w:r>
        <w:rPr>
          <w:sz w:val="16"/>
          <w:szCs w:val="16"/>
          <w:lang w:val="en-GB"/>
        </w:rPr>
        <w:t xml:space="preserve"> CZK for the last year. </w:t>
      </w:r>
      <w:r w:rsidRPr="00EF433F">
        <w:rPr>
          <w:spacing w:val="-2"/>
          <w:sz w:val="16"/>
          <w:szCs w:val="16"/>
          <w:lang w:val="en-GB"/>
        </w:rPr>
        <w:t xml:space="preserve"> </w:t>
      </w:r>
    </w:p>
  </w:footnote>
  <w:footnote w:id="102">
    <w:p w14:paraId="02F456E1" w14:textId="7203B918" w:rsidR="003B4260" w:rsidRPr="00EF433F" w:rsidRDefault="003B4260" w:rsidP="006C5C22">
      <w:pPr>
        <w:autoSpaceDE w:val="0"/>
        <w:autoSpaceDN w:val="0"/>
        <w:adjustRightInd w:val="0"/>
        <w:spacing w:after="0" w:line="240" w:lineRule="auto"/>
        <w:rPr>
          <w:rFonts w:eastAsia="Calibri" w:cs="Arial"/>
          <w:spacing w:val="-2"/>
          <w:sz w:val="16"/>
          <w:szCs w:val="16"/>
          <w:lang w:val="en-GB" w:eastAsia="en-US"/>
        </w:rPr>
      </w:pPr>
      <w:r w:rsidRPr="00EF433F">
        <w:rPr>
          <w:rStyle w:val="Znakapoznpodarou"/>
          <w:spacing w:val="-2"/>
          <w:sz w:val="16"/>
          <w:szCs w:val="16"/>
          <w:lang w:val="en-GB"/>
        </w:rPr>
        <w:footnoteRef/>
      </w:r>
      <w:r w:rsidRPr="00EF433F">
        <w:rPr>
          <w:spacing w:val="-2"/>
          <w:sz w:val="16"/>
          <w:szCs w:val="16"/>
          <w:lang w:val="en-GB"/>
        </w:rPr>
        <w:t xml:space="preserve"> </w:t>
      </w:r>
      <w:r>
        <w:rPr>
          <w:spacing w:val="-2"/>
          <w:sz w:val="16"/>
          <w:szCs w:val="16"/>
          <w:lang w:val="en-GB"/>
        </w:rPr>
        <w:t>It relates to funds on programmes/projects form the EU and FM budget, which were pre-financed from the SB and consequently gradually reimbursed from the EU and FM budget. Without these funds, which are included in the approved budget with neutral impact, the last year</w:t>
      </w:r>
      <w:r>
        <w:rPr>
          <w:spacing w:val="-2"/>
          <w:sz w:val="16"/>
          <w:szCs w:val="16"/>
          <w:lang w:val="en-US"/>
        </w:rPr>
        <w:t>’</w:t>
      </w:r>
      <w:r w:rsidRPr="00BA29B7">
        <w:rPr>
          <w:spacing w:val="-2"/>
          <w:sz w:val="16"/>
          <w:szCs w:val="16"/>
          <w:lang w:val="en-GB"/>
        </w:rPr>
        <w:t xml:space="preserve">s </w:t>
      </w:r>
      <w:r>
        <w:rPr>
          <w:spacing w:val="-2"/>
          <w:sz w:val="16"/>
          <w:szCs w:val="16"/>
          <w:lang w:val="en-GB"/>
        </w:rPr>
        <w:t xml:space="preserve">deficit was </w:t>
      </w:r>
      <w:r w:rsidRPr="00EF433F">
        <w:rPr>
          <w:rFonts w:cs="Arial"/>
          <w:spacing w:val="-2"/>
          <w:sz w:val="16"/>
          <w:szCs w:val="16"/>
          <w:lang w:val="en-GB" w:eastAsia="en-US"/>
        </w:rPr>
        <w:t>299</w:t>
      </w:r>
      <w:r>
        <w:rPr>
          <w:rFonts w:cs="Arial"/>
          <w:spacing w:val="-2"/>
          <w:sz w:val="16"/>
          <w:szCs w:val="16"/>
          <w:lang w:val="en-GB" w:eastAsia="en-US"/>
        </w:rPr>
        <w:t>.</w:t>
      </w:r>
      <w:r w:rsidRPr="00EF433F">
        <w:rPr>
          <w:rFonts w:cs="Arial"/>
          <w:spacing w:val="-2"/>
          <w:sz w:val="16"/>
          <w:szCs w:val="16"/>
          <w:lang w:val="en-GB" w:eastAsia="en-US"/>
        </w:rPr>
        <w:t>4</w:t>
      </w:r>
      <w:r w:rsidRPr="00EF433F">
        <w:rPr>
          <w:rFonts w:eastAsia="Calibri" w:cs="Arial"/>
          <w:spacing w:val="-2"/>
          <w:sz w:val="16"/>
          <w:szCs w:val="16"/>
          <w:lang w:val="en-GB" w:eastAsia="en-US"/>
        </w:rPr>
        <w:t xml:space="preserve"> </w:t>
      </w:r>
      <w:proofErr w:type="spellStart"/>
      <w:r>
        <w:rPr>
          <w:rFonts w:eastAsia="Calibri" w:cs="Arial"/>
          <w:spacing w:val="-2"/>
          <w:sz w:val="16"/>
          <w:szCs w:val="16"/>
          <w:lang w:val="en-GB" w:eastAsia="en-US"/>
        </w:rPr>
        <w:t>bn</w:t>
      </w:r>
      <w:proofErr w:type="spellEnd"/>
      <w:r>
        <w:rPr>
          <w:rFonts w:eastAsia="Calibri" w:cs="Arial"/>
          <w:spacing w:val="-2"/>
          <w:sz w:val="16"/>
          <w:szCs w:val="16"/>
          <w:lang w:val="en-GB" w:eastAsia="en-US"/>
        </w:rPr>
        <w:t xml:space="preserve"> CZK </w:t>
      </w:r>
      <w:r w:rsidRPr="00EF433F">
        <w:rPr>
          <w:rFonts w:eastAsia="Calibri" w:cs="Arial"/>
          <w:spacing w:val="-2"/>
          <w:sz w:val="16"/>
          <w:szCs w:val="16"/>
          <w:lang w:val="en-GB" w:eastAsia="en-US"/>
        </w:rPr>
        <w:t>(</w:t>
      </w:r>
      <w:r>
        <w:rPr>
          <w:rFonts w:eastAsia="Calibri" w:cs="Arial"/>
          <w:spacing w:val="-2"/>
          <w:sz w:val="16"/>
          <w:szCs w:val="16"/>
          <w:lang w:val="en-GB" w:eastAsia="en-US"/>
        </w:rPr>
        <w:t xml:space="preserve">by </w:t>
      </w:r>
      <w:r w:rsidRPr="00EF433F">
        <w:rPr>
          <w:rFonts w:eastAsia="Calibri" w:cs="Arial"/>
          <w:spacing w:val="-2"/>
          <w:sz w:val="16"/>
          <w:szCs w:val="16"/>
          <w:lang w:val="en-GB" w:eastAsia="en-US"/>
        </w:rPr>
        <w:t>17</w:t>
      </w:r>
      <w:r>
        <w:rPr>
          <w:rFonts w:eastAsia="Calibri" w:cs="Arial"/>
          <w:spacing w:val="-2"/>
          <w:sz w:val="16"/>
          <w:szCs w:val="16"/>
          <w:lang w:val="en-GB" w:eastAsia="en-US"/>
        </w:rPr>
        <w:t>.</w:t>
      </w:r>
      <w:r w:rsidRPr="00EF433F">
        <w:rPr>
          <w:rFonts w:eastAsia="Calibri" w:cs="Arial"/>
          <w:spacing w:val="-2"/>
          <w:sz w:val="16"/>
          <w:szCs w:val="16"/>
          <w:lang w:val="en-GB" w:eastAsia="en-US"/>
        </w:rPr>
        <w:t>3</w:t>
      </w:r>
      <w:r>
        <w:rPr>
          <w:rFonts w:eastAsia="Calibri" w:cs="Arial"/>
          <w:spacing w:val="-2"/>
          <w:sz w:val="16"/>
          <w:szCs w:val="16"/>
          <w:lang w:val="en-GB" w:eastAsia="en-US"/>
        </w:rPr>
        <w:t xml:space="preserve"> </w:t>
      </w:r>
      <w:proofErr w:type="spellStart"/>
      <w:r>
        <w:rPr>
          <w:rFonts w:eastAsia="Calibri" w:cs="Arial"/>
          <w:spacing w:val="-2"/>
          <w:sz w:val="16"/>
          <w:szCs w:val="16"/>
          <w:lang w:val="en-GB" w:eastAsia="en-US"/>
        </w:rPr>
        <w:t>bn</w:t>
      </w:r>
      <w:proofErr w:type="spellEnd"/>
      <w:r>
        <w:rPr>
          <w:rFonts w:eastAsia="Calibri" w:cs="Arial"/>
          <w:spacing w:val="-2"/>
          <w:sz w:val="16"/>
          <w:szCs w:val="16"/>
          <w:lang w:val="en-GB" w:eastAsia="en-US"/>
        </w:rPr>
        <w:t xml:space="preserve"> less year-on-year</w:t>
      </w:r>
      <w:r w:rsidRPr="00EF433F">
        <w:rPr>
          <w:rFonts w:eastAsia="Calibri" w:cs="Arial"/>
          <w:spacing w:val="-2"/>
          <w:sz w:val="16"/>
          <w:szCs w:val="16"/>
          <w:lang w:val="en-GB" w:eastAsia="en-US"/>
        </w:rPr>
        <w:t>).</w:t>
      </w:r>
    </w:p>
  </w:footnote>
  <w:footnote w:id="103">
    <w:p w14:paraId="72B5AA8F" w14:textId="6EBF2407" w:rsidR="003B4260" w:rsidRPr="00EF433F" w:rsidRDefault="003B4260" w:rsidP="006C5C22">
      <w:pPr>
        <w:pStyle w:val="Textpoznpodarou"/>
        <w:jc w:val="both"/>
        <w:rPr>
          <w:spacing w:val="-2"/>
          <w:sz w:val="16"/>
          <w:szCs w:val="16"/>
          <w:lang w:val="en-GB"/>
        </w:rPr>
      </w:pPr>
      <w:r w:rsidRPr="00EF433F">
        <w:rPr>
          <w:rStyle w:val="Znakapoznpodarou"/>
          <w:spacing w:val="-2"/>
          <w:sz w:val="16"/>
          <w:szCs w:val="16"/>
          <w:lang w:val="en-GB"/>
        </w:rPr>
        <w:footnoteRef/>
      </w:r>
      <w:r w:rsidRPr="00EF433F">
        <w:rPr>
          <w:spacing w:val="-2"/>
          <w:sz w:val="16"/>
          <w:szCs w:val="16"/>
          <w:lang w:val="en-GB"/>
        </w:rPr>
        <w:t xml:space="preserve"> </w:t>
      </w:r>
      <w:r>
        <w:rPr>
          <w:spacing w:val="-2"/>
          <w:sz w:val="16"/>
          <w:szCs w:val="16"/>
          <w:lang w:val="en-GB"/>
        </w:rPr>
        <w:t xml:space="preserve">From January till May, in total the record deficit was reported in the amount of </w:t>
      </w:r>
      <w:r w:rsidRPr="00EF433F">
        <w:rPr>
          <w:spacing w:val="-2"/>
          <w:sz w:val="16"/>
          <w:szCs w:val="16"/>
          <w:lang w:val="en-GB"/>
        </w:rPr>
        <w:t>271.4</w:t>
      </w:r>
      <w:r>
        <w:rPr>
          <w:spacing w:val="-2"/>
          <w:sz w:val="16"/>
          <w:szCs w:val="16"/>
          <w:lang w:val="en-GB"/>
        </w:rPr>
        <w:t xml:space="preserve"> </w:t>
      </w:r>
      <w:proofErr w:type="spellStart"/>
      <w:r>
        <w:rPr>
          <w:spacing w:val="-2"/>
          <w:sz w:val="16"/>
          <w:szCs w:val="16"/>
          <w:lang w:val="en-GB"/>
        </w:rPr>
        <w:t>bn</w:t>
      </w:r>
      <w:proofErr w:type="spellEnd"/>
      <w:r>
        <w:rPr>
          <w:spacing w:val="-2"/>
          <w:sz w:val="16"/>
          <w:szCs w:val="16"/>
          <w:lang w:val="en-GB"/>
        </w:rPr>
        <w:t xml:space="preserve"> CZK</w:t>
      </w:r>
      <w:r w:rsidRPr="00EF433F">
        <w:rPr>
          <w:spacing w:val="-2"/>
          <w:sz w:val="16"/>
          <w:szCs w:val="16"/>
          <w:lang w:val="en-GB"/>
        </w:rPr>
        <w:t xml:space="preserve">. </w:t>
      </w:r>
      <w:r>
        <w:rPr>
          <w:spacing w:val="-2"/>
          <w:sz w:val="16"/>
          <w:szCs w:val="16"/>
          <w:lang w:val="en-GB"/>
        </w:rPr>
        <w:t xml:space="preserve">On the contrary the surplus reached </w:t>
      </w:r>
      <w:r w:rsidRPr="00EF433F">
        <w:rPr>
          <w:spacing w:val="-2"/>
          <w:sz w:val="16"/>
          <w:szCs w:val="16"/>
          <w:lang w:val="en-GB"/>
        </w:rPr>
        <w:t>90</w:t>
      </w:r>
      <w:r>
        <w:rPr>
          <w:spacing w:val="-2"/>
          <w:sz w:val="16"/>
          <w:szCs w:val="16"/>
          <w:lang w:val="en-GB"/>
        </w:rPr>
        <w:t>.</w:t>
      </w:r>
      <w:r w:rsidRPr="00EF433F">
        <w:rPr>
          <w:spacing w:val="-2"/>
          <w:sz w:val="16"/>
          <w:szCs w:val="16"/>
          <w:lang w:val="en-GB"/>
        </w:rPr>
        <w:t>6</w:t>
      </w:r>
      <w:r>
        <w:rPr>
          <w:spacing w:val="-2"/>
          <w:sz w:val="16"/>
          <w:szCs w:val="16"/>
          <w:lang w:val="en-GB"/>
        </w:rPr>
        <w:t xml:space="preserve"> </w:t>
      </w:r>
      <w:proofErr w:type="spellStart"/>
      <w:r>
        <w:rPr>
          <w:spacing w:val="-2"/>
          <w:sz w:val="16"/>
          <w:szCs w:val="16"/>
          <w:lang w:val="en-GB"/>
        </w:rPr>
        <w:t>bn</w:t>
      </w:r>
      <w:proofErr w:type="spellEnd"/>
      <w:r>
        <w:rPr>
          <w:spacing w:val="-2"/>
          <w:sz w:val="16"/>
          <w:szCs w:val="16"/>
          <w:lang w:val="en-GB"/>
        </w:rPr>
        <w:t xml:space="preserve"> from June till September</w:t>
      </w:r>
      <w:r w:rsidRPr="00EF433F">
        <w:rPr>
          <w:spacing w:val="-2"/>
          <w:sz w:val="16"/>
          <w:szCs w:val="16"/>
          <w:lang w:val="en-GB"/>
        </w:rPr>
        <w:t>.</w:t>
      </w:r>
    </w:p>
  </w:footnote>
  <w:footnote w:id="104">
    <w:p w14:paraId="3E5D3254" w14:textId="73890312" w:rsidR="003B4260" w:rsidRPr="00940207" w:rsidRDefault="003B4260" w:rsidP="00E06436">
      <w:pPr>
        <w:pStyle w:val="Textpoznpodarou"/>
        <w:jc w:val="both"/>
        <w:rPr>
          <w:spacing w:val="-2"/>
          <w:sz w:val="16"/>
          <w:szCs w:val="16"/>
          <w:lang w:val="en-GB"/>
        </w:rPr>
      </w:pPr>
      <w:r w:rsidRPr="008534DA">
        <w:rPr>
          <w:rStyle w:val="Znakapoznpodarou"/>
          <w:spacing w:val="-2"/>
          <w:sz w:val="16"/>
          <w:szCs w:val="16"/>
        </w:rPr>
        <w:footnoteRef/>
      </w:r>
      <w:r w:rsidRPr="008534DA">
        <w:rPr>
          <w:spacing w:val="-2"/>
          <w:sz w:val="16"/>
          <w:szCs w:val="16"/>
        </w:rPr>
        <w:t xml:space="preserve"> </w:t>
      </w:r>
      <w:r w:rsidRPr="00940207">
        <w:rPr>
          <w:spacing w:val="-2"/>
          <w:sz w:val="16"/>
          <w:szCs w:val="16"/>
          <w:lang w:val="en-GB"/>
        </w:rPr>
        <w:t>It relates to the social security insurance and active employment policy.</w:t>
      </w:r>
    </w:p>
  </w:footnote>
  <w:footnote w:id="105">
    <w:p w14:paraId="18608D2C" w14:textId="2B2C820B" w:rsidR="003B4260" w:rsidRPr="00940207" w:rsidRDefault="003B4260" w:rsidP="00E06436">
      <w:pPr>
        <w:pStyle w:val="Textpoznpodarou"/>
        <w:jc w:val="both"/>
        <w:rPr>
          <w:spacing w:val="-2"/>
          <w:sz w:val="16"/>
          <w:szCs w:val="16"/>
          <w:lang w:val="en-GB"/>
        </w:rPr>
      </w:pPr>
      <w:r w:rsidRPr="00940207">
        <w:rPr>
          <w:rStyle w:val="Znakapoznpodarou"/>
          <w:spacing w:val="-2"/>
          <w:sz w:val="16"/>
          <w:szCs w:val="16"/>
          <w:lang w:val="en-GB"/>
        </w:rPr>
        <w:footnoteRef/>
      </w:r>
      <w:r w:rsidRPr="00940207">
        <w:rPr>
          <w:spacing w:val="-2"/>
          <w:sz w:val="16"/>
          <w:szCs w:val="16"/>
          <w:lang w:val="en-GB"/>
        </w:rPr>
        <w:t xml:space="preserve"> It manifested via the weakening growth pace of employment as well as nominal average wages. In addition, the introduction of relief for employers enabling shorter job contracts to selected group of employees </w:t>
      </w:r>
      <w:r w:rsidRPr="00940207">
        <w:rPr>
          <w:sz w:val="16"/>
          <w:szCs w:val="16"/>
          <w:lang w:val="en-GB"/>
        </w:rPr>
        <w:t xml:space="preserve">(e.g. parents of smaller children, </w:t>
      </w:r>
      <w:r>
        <w:rPr>
          <w:sz w:val="16"/>
          <w:szCs w:val="16"/>
          <w:lang w:val="en-GB"/>
        </w:rPr>
        <w:t xml:space="preserve">persons caring for relatives or persons above </w:t>
      </w:r>
      <w:r w:rsidRPr="00940207">
        <w:rPr>
          <w:sz w:val="16"/>
          <w:szCs w:val="16"/>
          <w:lang w:val="en-GB"/>
        </w:rPr>
        <w:t xml:space="preserve">55 </w:t>
      </w:r>
      <w:r>
        <w:rPr>
          <w:sz w:val="16"/>
          <w:szCs w:val="16"/>
          <w:lang w:val="en-GB"/>
        </w:rPr>
        <w:t>years of age</w:t>
      </w:r>
      <w:r w:rsidRPr="00940207">
        <w:rPr>
          <w:sz w:val="16"/>
          <w:szCs w:val="16"/>
          <w:lang w:val="en-GB"/>
        </w:rPr>
        <w:t xml:space="preserve">) </w:t>
      </w:r>
      <w:r>
        <w:rPr>
          <w:sz w:val="16"/>
          <w:szCs w:val="16"/>
          <w:lang w:val="en-GB"/>
        </w:rPr>
        <w:t xml:space="preserve">or increase of levy rates for hazardous occupations </w:t>
      </w:r>
      <w:r w:rsidRPr="00940207">
        <w:rPr>
          <w:sz w:val="16"/>
          <w:szCs w:val="16"/>
          <w:lang w:val="en-GB"/>
        </w:rPr>
        <w:t xml:space="preserve">also impacted the collection of insurance. </w:t>
      </w:r>
    </w:p>
  </w:footnote>
  <w:footnote w:id="106">
    <w:p w14:paraId="4B147D7E" w14:textId="13A88BCE" w:rsidR="003B4260" w:rsidRPr="00940207" w:rsidRDefault="003B4260" w:rsidP="0068020C">
      <w:pPr>
        <w:pStyle w:val="Textpoznpodarou"/>
        <w:jc w:val="both"/>
        <w:rPr>
          <w:spacing w:val="-2"/>
          <w:lang w:val="en-GB"/>
        </w:rPr>
      </w:pPr>
      <w:r w:rsidRPr="00940207">
        <w:rPr>
          <w:rStyle w:val="Znakapoznpodarou"/>
          <w:spacing w:val="-2"/>
          <w:sz w:val="16"/>
          <w:szCs w:val="16"/>
          <w:lang w:val="en-GB"/>
        </w:rPr>
        <w:footnoteRef/>
      </w:r>
      <w:r w:rsidRPr="00940207">
        <w:rPr>
          <w:spacing w:val="-2"/>
          <w:lang w:val="en-GB"/>
        </w:rPr>
        <w:t xml:space="preserve"> </w:t>
      </w:r>
      <w:r w:rsidRPr="00940207">
        <w:rPr>
          <w:spacing w:val="-2"/>
          <w:sz w:val="16"/>
          <w:szCs w:val="16"/>
          <w:lang w:val="en-GB"/>
        </w:rPr>
        <w:t xml:space="preserve">Annual collections of these temporarily introduced “sector” taxes from businesses from the unexpected profits and levies from the excess income was primarily estimated on 100 </w:t>
      </w:r>
      <w:proofErr w:type="spellStart"/>
      <w:r>
        <w:rPr>
          <w:spacing w:val="-2"/>
          <w:sz w:val="16"/>
          <w:szCs w:val="16"/>
          <w:lang w:val="en-GB"/>
        </w:rPr>
        <w:t>bn</w:t>
      </w:r>
      <w:proofErr w:type="spellEnd"/>
      <w:r>
        <w:rPr>
          <w:spacing w:val="-2"/>
          <w:sz w:val="16"/>
          <w:szCs w:val="16"/>
          <w:lang w:val="en-GB"/>
        </w:rPr>
        <w:t xml:space="preserve"> CZK</w:t>
      </w:r>
      <w:r w:rsidRPr="00940207">
        <w:rPr>
          <w:spacing w:val="-2"/>
          <w:sz w:val="16"/>
          <w:szCs w:val="16"/>
          <w:lang w:val="en-GB"/>
        </w:rPr>
        <w:t xml:space="preserve">. For its key component – tax on unexpected profits – the original budget estimate of the annual collection was revised already last year in April (from 85 </w:t>
      </w:r>
      <w:proofErr w:type="spellStart"/>
      <w:r>
        <w:rPr>
          <w:spacing w:val="-2"/>
          <w:sz w:val="16"/>
          <w:szCs w:val="16"/>
          <w:lang w:val="en-GB"/>
        </w:rPr>
        <w:t>bn</w:t>
      </w:r>
      <w:proofErr w:type="spellEnd"/>
      <w:r>
        <w:rPr>
          <w:spacing w:val="-2"/>
          <w:sz w:val="16"/>
          <w:szCs w:val="16"/>
          <w:lang w:val="en-GB"/>
        </w:rPr>
        <w:t xml:space="preserve"> CZK</w:t>
      </w:r>
      <w:r w:rsidRPr="00940207">
        <w:rPr>
          <w:spacing w:val="-2"/>
          <w:sz w:val="16"/>
          <w:szCs w:val="16"/>
          <w:lang w:val="en-GB"/>
        </w:rPr>
        <w:t xml:space="preserve"> to 28 </w:t>
      </w:r>
      <w:proofErr w:type="spellStart"/>
      <w:r w:rsidRPr="00940207">
        <w:rPr>
          <w:spacing w:val="-2"/>
          <w:sz w:val="16"/>
          <w:szCs w:val="16"/>
          <w:lang w:val="en-GB"/>
        </w:rPr>
        <w:t>bn</w:t>
      </w:r>
      <w:proofErr w:type="spellEnd"/>
      <w:r w:rsidRPr="00940207">
        <w:rPr>
          <w:spacing w:val="-2"/>
          <w:sz w:val="16"/>
          <w:szCs w:val="16"/>
          <w:lang w:val="en-GB"/>
        </w:rPr>
        <w:t xml:space="preserve">), partial correction of the anticipated yield was made in august (to 46 </w:t>
      </w:r>
      <w:proofErr w:type="spellStart"/>
      <w:r>
        <w:rPr>
          <w:spacing w:val="-2"/>
          <w:sz w:val="16"/>
          <w:szCs w:val="16"/>
          <w:lang w:val="en-GB"/>
        </w:rPr>
        <w:t>bn</w:t>
      </w:r>
      <w:proofErr w:type="spellEnd"/>
      <w:r>
        <w:rPr>
          <w:spacing w:val="-2"/>
          <w:sz w:val="16"/>
          <w:szCs w:val="16"/>
          <w:lang w:val="en-GB"/>
        </w:rPr>
        <w:t xml:space="preserve"> CZK</w:t>
      </w:r>
      <w:r w:rsidRPr="00940207">
        <w:rPr>
          <w:spacing w:val="-2"/>
          <w:sz w:val="16"/>
          <w:szCs w:val="16"/>
          <w:lang w:val="en-GB"/>
        </w:rPr>
        <w:t>).</w:t>
      </w:r>
    </w:p>
  </w:footnote>
  <w:footnote w:id="107">
    <w:p w14:paraId="6C1F2090" w14:textId="22E53C4C" w:rsidR="003B4260" w:rsidRPr="00940207" w:rsidRDefault="003B4260" w:rsidP="00E06436">
      <w:pPr>
        <w:pStyle w:val="Textpoznpodarou"/>
        <w:jc w:val="both"/>
        <w:rPr>
          <w:spacing w:val="-2"/>
          <w:sz w:val="16"/>
          <w:szCs w:val="16"/>
          <w:lang w:val="en-GB"/>
        </w:rPr>
      </w:pPr>
      <w:r w:rsidRPr="00940207">
        <w:rPr>
          <w:rStyle w:val="Znakapoznpodarou"/>
          <w:spacing w:val="-2"/>
          <w:sz w:val="16"/>
          <w:szCs w:val="16"/>
          <w:lang w:val="en-GB"/>
        </w:rPr>
        <w:footnoteRef/>
      </w:r>
      <w:r w:rsidRPr="00940207">
        <w:rPr>
          <w:spacing w:val="-2"/>
          <w:sz w:val="16"/>
          <w:szCs w:val="16"/>
          <w:lang w:val="en-GB"/>
        </w:rPr>
        <w:t xml:space="preserve"> </w:t>
      </w:r>
      <w:r w:rsidRPr="00940207">
        <w:rPr>
          <w:sz w:val="16"/>
          <w:szCs w:val="16"/>
          <w:lang w:val="en-GB"/>
        </w:rPr>
        <w:t>It applies to energy, petrochemical and mining companies and also involves large banks. Vast majority of the collection of this tax however (88%) fl</w:t>
      </w:r>
      <w:r>
        <w:rPr>
          <w:sz w:val="16"/>
          <w:szCs w:val="16"/>
          <w:lang w:val="en-GB"/>
        </w:rPr>
        <w:t xml:space="preserve">owed </w:t>
      </w:r>
      <w:r w:rsidRPr="00940207">
        <w:rPr>
          <w:sz w:val="16"/>
          <w:szCs w:val="16"/>
          <w:lang w:val="en-GB"/>
        </w:rPr>
        <w:t xml:space="preserve">into the SB only from the energy industry. </w:t>
      </w:r>
      <w:r w:rsidRPr="00940207">
        <w:rPr>
          <w:spacing w:val="-2"/>
          <w:sz w:val="16"/>
          <w:szCs w:val="16"/>
          <w:lang w:val="en-GB"/>
        </w:rPr>
        <w:t xml:space="preserve"> </w:t>
      </w:r>
    </w:p>
  </w:footnote>
  <w:footnote w:id="108">
    <w:p w14:paraId="013133B2" w14:textId="49B9E25D" w:rsidR="003B4260" w:rsidRPr="00940207" w:rsidRDefault="003B4260" w:rsidP="00E06436">
      <w:pPr>
        <w:pStyle w:val="Textpoznpodarou"/>
        <w:jc w:val="both"/>
        <w:rPr>
          <w:sz w:val="16"/>
          <w:szCs w:val="16"/>
          <w:lang w:val="en-GB"/>
        </w:rPr>
      </w:pPr>
      <w:r w:rsidRPr="00940207">
        <w:rPr>
          <w:rStyle w:val="Znakapoznpodarou"/>
          <w:spacing w:val="-2"/>
          <w:sz w:val="16"/>
          <w:szCs w:val="16"/>
          <w:lang w:val="en-GB"/>
        </w:rPr>
        <w:footnoteRef/>
      </w:r>
      <w:r w:rsidRPr="00940207">
        <w:rPr>
          <w:spacing w:val="-2"/>
          <w:sz w:val="16"/>
          <w:szCs w:val="16"/>
          <w:lang w:val="en-GB"/>
        </w:rPr>
        <w:t xml:space="preserve"> This levy </w:t>
      </w:r>
      <w:r w:rsidRPr="00940207">
        <w:rPr>
          <w:sz w:val="16"/>
          <w:szCs w:val="16"/>
          <w:lang w:val="en-GB"/>
        </w:rPr>
        <w:t>(taxed by 90% rate) presents a difference between real income and ceiling of the market income from the sale of electricity above the given limit (for the time period from 1</w:t>
      </w:r>
      <w:r w:rsidRPr="00940207">
        <w:rPr>
          <w:sz w:val="16"/>
          <w:szCs w:val="16"/>
          <w:vertAlign w:val="superscript"/>
          <w:lang w:val="en-GB"/>
        </w:rPr>
        <w:t>st</w:t>
      </w:r>
      <w:r w:rsidRPr="00940207">
        <w:rPr>
          <w:sz w:val="16"/>
          <w:szCs w:val="16"/>
          <w:lang w:val="en-GB"/>
        </w:rPr>
        <w:t xml:space="preserve"> December 2022 till the end of year 2023).</w:t>
      </w:r>
    </w:p>
  </w:footnote>
  <w:footnote w:id="109">
    <w:p w14:paraId="5798DF0C" w14:textId="279ADC83" w:rsidR="003B4260" w:rsidRPr="00940207" w:rsidRDefault="003B4260" w:rsidP="00E06436">
      <w:pPr>
        <w:pStyle w:val="Textpoznpodarou"/>
        <w:jc w:val="both"/>
        <w:rPr>
          <w:sz w:val="16"/>
          <w:szCs w:val="16"/>
          <w:lang w:val="en-GB"/>
        </w:rPr>
      </w:pPr>
      <w:r w:rsidRPr="00940207">
        <w:rPr>
          <w:rStyle w:val="Znakapoznpodarou"/>
          <w:sz w:val="16"/>
          <w:szCs w:val="16"/>
          <w:lang w:val="en-GB"/>
        </w:rPr>
        <w:footnoteRef/>
      </w:r>
      <w:r w:rsidRPr="00940207">
        <w:rPr>
          <w:sz w:val="16"/>
          <w:szCs w:val="16"/>
          <w:lang w:val="en-GB"/>
        </w:rPr>
        <w:t xml:space="preserve"> Gross operational surplus of the non-financial businesses increased by 16% year-on-year in year </w:t>
      </w:r>
      <w:r w:rsidRPr="00940207">
        <w:rPr>
          <w:spacing w:val="-4"/>
          <w:sz w:val="16"/>
          <w:szCs w:val="16"/>
          <w:lang w:val="en-GB"/>
        </w:rPr>
        <w:t>2022 (it also increased similarly in Q1 to Q3 2023), rate of profit of these businesses equalled 47% in year</w:t>
      </w:r>
      <w:r>
        <w:rPr>
          <w:spacing w:val="-4"/>
          <w:sz w:val="16"/>
          <w:szCs w:val="16"/>
          <w:lang w:val="en-GB"/>
        </w:rPr>
        <w:t xml:space="preserve"> </w:t>
      </w:r>
      <w:r w:rsidRPr="00940207">
        <w:rPr>
          <w:spacing w:val="-4"/>
          <w:sz w:val="16"/>
          <w:szCs w:val="16"/>
          <w:lang w:val="en-GB"/>
        </w:rPr>
        <w:t>2022, 48.7% then in Q1 to Q3 2023%.</w:t>
      </w:r>
    </w:p>
  </w:footnote>
  <w:footnote w:id="110">
    <w:p w14:paraId="1EB1AFB8" w14:textId="122F3264" w:rsidR="003B4260" w:rsidRPr="00940207" w:rsidRDefault="003B4260" w:rsidP="00F157DD">
      <w:pPr>
        <w:pStyle w:val="Textpoznpodarou"/>
        <w:jc w:val="both"/>
        <w:rPr>
          <w:spacing w:val="-6"/>
          <w:sz w:val="16"/>
          <w:szCs w:val="16"/>
          <w:lang w:val="en-GB"/>
        </w:rPr>
      </w:pPr>
      <w:r w:rsidRPr="00940207">
        <w:rPr>
          <w:rStyle w:val="Znakapoznpodarou"/>
          <w:spacing w:val="-6"/>
          <w:sz w:val="16"/>
          <w:szCs w:val="16"/>
          <w:lang w:val="en-GB"/>
        </w:rPr>
        <w:footnoteRef/>
      </w:r>
      <w:r w:rsidRPr="00940207">
        <w:rPr>
          <w:spacing w:val="-6"/>
          <w:sz w:val="16"/>
          <w:szCs w:val="16"/>
          <w:lang w:val="en-GB"/>
        </w:rPr>
        <w:t xml:space="preserve"> </w:t>
      </w:r>
      <w:r w:rsidRPr="00940207">
        <w:rPr>
          <w:sz w:val="16"/>
          <w:szCs w:val="16"/>
          <w:lang w:val="en-GB"/>
        </w:rPr>
        <w:t>State-wide collection of ITNP from dependent activity (at the level of all public budgets</w:t>
      </w:r>
      <w:r w:rsidRPr="00940207">
        <w:rPr>
          <w:spacing w:val="-4"/>
          <w:sz w:val="16"/>
          <w:szCs w:val="16"/>
          <w:lang w:val="en-GB"/>
        </w:rPr>
        <w:t xml:space="preserve">) hovered only slightly above the level of year 2017 last year and lagged by 18% behind the record size from year 2019. Reducing the tax burden on labour since year 2021 played a key role here (abolition of the so called super gross wage). </w:t>
      </w:r>
    </w:p>
  </w:footnote>
  <w:footnote w:id="111">
    <w:p w14:paraId="21AEFB6A" w14:textId="083DC7F1" w:rsidR="003B4260" w:rsidRPr="0072306E" w:rsidRDefault="003B4260" w:rsidP="0072306E">
      <w:pPr>
        <w:pStyle w:val="Textpoznpodarou"/>
        <w:jc w:val="both"/>
        <w:rPr>
          <w:sz w:val="16"/>
          <w:szCs w:val="16"/>
          <w:lang w:val="en-GB"/>
        </w:rPr>
      </w:pPr>
      <w:r w:rsidRPr="00855CAD">
        <w:rPr>
          <w:rStyle w:val="Znakapoznpodarou"/>
          <w:sz w:val="16"/>
          <w:szCs w:val="16"/>
        </w:rPr>
        <w:footnoteRef/>
      </w:r>
      <w:r w:rsidRPr="00855CAD">
        <w:rPr>
          <w:sz w:val="16"/>
          <w:szCs w:val="16"/>
        </w:rPr>
        <w:t xml:space="preserve"> </w:t>
      </w:r>
      <w:r w:rsidRPr="0072306E">
        <w:rPr>
          <w:sz w:val="16"/>
          <w:szCs w:val="16"/>
          <w:lang w:val="en-GB"/>
        </w:rPr>
        <w:t>R</w:t>
      </w:r>
      <w:r>
        <w:rPr>
          <w:sz w:val="16"/>
          <w:szCs w:val="16"/>
          <w:lang w:val="en-GB"/>
        </w:rPr>
        <w:t xml:space="preserve">eal expenditures on the final consumption of domestic households slightly increased at the end of the last year against Q3 and the decrease of expenditures in the year-on-year comparison (lasting continuously nearly two years) practically halted. </w:t>
      </w:r>
    </w:p>
  </w:footnote>
  <w:footnote w:id="112">
    <w:p w14:paraId="50EFD59E" w14:textId="6733E8CA" w:rsidR="003B4260" w:rsidRPr="0072306E" w:rsidRDefault="003B4260" w:rsidP="0072306E">
      <w:pPr>
        <w:pStyle w:val="Textpoznpodarou"/>
        <w:jc w:val="both"/>
        <w:rPr>
          <w:sz w:val="16"/>
          <w:szCs w:val="16"/>
          <w:lang w:val="en-GB"/>
        </w:rPr>
      </w:pPr>
      <w:r w:rsidRPr="0072306E">
        <w:rPr>
          <w:rStyle w:val="Znakapoznpodarou"/>
          <w:sz w:val="16"/>
          <w:szCs w:val="16"/>
          <w:lang w:val="en-GB"/>
        </w:rPr>
        <w:footnoteRef/>
      </w:r>
      <w:r w:rsidRPr="0072306E">
        <w:rPr>
          <w:sz w:val="16"/>
          <w:szCs w:val="16"/>
          <w:lang w:val="en-GB"/>
        </w:rPr>
        <w:t xml:space="preserve"> </w:t>
      </w:r>
      <w:r>
        <w:rPr>
          <w:sz w:val="16"/>
          <w:szCs w:val="16"/>
          <w:lang w:val="en-GB"/>
        </w:rPr>
        <w:t xml:space="preserve">It relates to the increase from </w:t>
      </w:r>
      <w:r w:rsidRPr="00DE4882">
        <w:rPr>
          <w:sz w:val="16"/>
          <w:szCs w:val="16"/>
          <w:lang w:val="en-GB"/>
        </w:rPr>
        <w:t>1</w:t>
      </w:r>
      <w:r>
        <w:rPr>
          <w:sz w:val="16"/>
          <w:szCs w:val="16"/>
          <w:lang w:val="en-GB"/>
        </w:rPr>
        <w:t xml:space="preserve"> to </w:t>
      </w:r>
      <w:r w:rsidRPr="00DE4882">
        <w:rPr>
          <w:sz w:val="16"/>
          <w:szCs w:val="16"/>
          <w:lang w:val="en-GB"/>
        </w:rPr>
        <w:t>2</w:t>
      </w:r>
      <w:r>
        <w:rPr>
          <w:sz w:val="16"/>
          <w:szCs w:val="16"/>
          <w:lang w:val="en-GB"/>
        </w:rPr>
        <w:t xml:space="preserve"> mil CZK, which became effective as of January </w:t>
      </w:r>
      <w:r w:rsidRPr="00DE4882">
        <w:rPr>
          <w:sz w:val="16"/>
          <w:szCs w:val="16"/>
          <w:lang w:val="en-GB"/>
        </w:rPr>
        <w:t>2023.</w:t>
      </w:r>
      <w:r>
        <w:rPr>
          <w:sz w:val="16"/>
          <w:szCs w:val="16"/>
          <w:lang w:val="en-GB"/>
        </w:rPr>
        <w:t xml:space="preserve"> Together with the widening of the flat rate scheme it reflected in the year-on-year reduction of the number of VAT payers. </w:t>
      </w:r>
    </w:p>
  </w:footnote>
  <w:footnote w:id="113">
    <w:p w14:paraId="1BE2EC83" w14:textId="6845DEA1" w:rsidR="003B4260" w:rsidRPr="00495DA8" w:rsidRDefault="003B4260" w:rsidP="00495DA8">
      <w:pPr>
        <w:pStyle w:val="Textpoznpodarou"/>
        <w:jc w:val="both"/>
        <w:rPr>
          <w:sz w:val="16"/>
          <w:szCs w:val="16"/>
          <w:lang w:val="en-GB"/>
        </w:rPr>
      </w:pPr>
      <w:r w:rsidRPr="0072306E">
        <w:rPr>
          <w:rStyle w:val="Znakapoznpodarou"/>
          <w:sz w:val="16"/>
          <w:szCs w:val="16"/>
          <w:lang w:val="en-GB"/>
        </w:rPr>
        <w:footnoteRef/>
      </w:r>
      <w:r w:rsidRPr="0072306E">
        <w:rPr>
          <w:sz w:val="16"/>
          <w:szCs w:val="16"/>
          <w:lang w:val="en-GB"/>
        </w:rPr>
        <w:t xml:space="preserve"> </w:t>
      </w:r>
      <w:r w:rsidRPr="00495DA8">
        <w:rPr>
          <w:sz w:val="16"/>
          <w:szCs w:val="16"/>
          <w:lang w:val="en-GB"/>
        </w:rPr>
        <w:t xml:space="preserve">It also includes the energy taxes and the digital services tax. </w:t>
      </w:r>
    </w:p>
  </w:footnote>
  <w:footnote w:id="114">
    <w:p w14:paraId="6B981675" w14:textId="42DA3036" w:rsidR="003B4260" w:rsidRPr="00495DA8" w:rsidRDefault="003B4260" w:rsidP="00495DA8">
      <w:pPr>
        <w:pStyle w:val="Textpoznpodarou"/>
        <w:jc w:val="both"/>
        <w:rPr>
          <w:sz w:val="16"/>
          <w:szCs w:val="16"/>
          <w:lang w:val="en-GB"/>
        </w:rPr>
      </w:pPr>
      <w:r w:rsidRPr="00495DA8">
        <w:rPr>
          <w:rStyle w:val="Znakapoznpodarou"/>
          <w:sz w:val="16"/>
          <w:szCs w:val="16"/>
          <w:lang w:val="en-GB"/>
        </w:rPr>
        <w:footnoteRef/>
      </w:r>
      <w:r w:rsidRPr="00495DA8">
        <w:rPr>
          <w:sz w:val="16"/>
          <w:szCs w:val="16"/>
          <w:lang w:val="en-GB"/>
        </w:rPr>
        <w:t xml:space="preserve"> </w:t>
      </w:r>
      <w:r>
        <w:rPr>
          <w:sz w:val="16"/>
          <w:szCs w:val="16"/>
          <w:lang w:val="en-GB"/>
        </w:rPr>
        <w:t xml:space="preserve">Collection of the consumption tax on heated tobacco products increased by 8.3% year-on-year for the three quarters last year. </w:t>
      </w:r>
    </w:p>
  </w:footnote>
  <w:footnote w:id="115">
    <w:p w14:paraId="44A28189" w14:textId="036ED61F" w:rsidR="003B4260" w:rsidRPr="00495DA8" w:rsidRDefault="003B4260" w:rsidP="00495DA8">
      <w:pPr>
        <w:pStyle w:val="Textpoznpodarou"/>
        <w:jc w:val="both"/>
        <w:rPr>
          <w:lang w:val="en-GB"/>
        </w:rPr>
      </w:pPr>
      <w:r w:rsidRPr="00495DA8">
        <w:rPr>
          <w:rStyle w:val="Znakapoznpodarou"/>
          <w:sz w:val="16"/>
          <w:szCs w:val="16"/>
          <w:lang w:val="en-GB"/>
        </w:rPr>
        <w:footnoteRef/>
      </w:r>
      <w:r w:rsidRPr="00495DA8">
        <w:rPr>
          <w:sz w:val="16"/>
          <w:szCs w:val="16"/>
          <w:lang w:val="en-GB"/>
        </w:rPr>
        <w:t xml:space="preserve"> </w:t>
      </w:r>
      <w:r>
        <w:rPr>
          <w:sz w:val="16"/>
          <w:szCs w:val="16"/>
          <w:lang w:val="en-GB"/>
        </w:rPr>
        <w:t xml:space="preserve">This increase occurred from August last year </w:t>
      </w:r>
      <w:r w:rsidRPr="00495DA8">
        <w:rPr>
          <w:sz w:val="16"/>
          <w:szCs w:val="16"/>
          <w:lang w:val="en-GB"/>
        </w:rPr>
        <w:t>(</w:t>
      </w:r>
      <w:r>
        <w:rPr>
          <w:sz w:val="16"/>
          <w:szCs w:val="16"/>
          <w:lang w:val="en-GB"/>
        </w:rPr>
        <w:t xml:space="preserve">by </w:t>
      </w:r>
      <w:r w:rsidRPr="00495DA8">
        <w:rPr>
          <w:sz w:val="16"/>
          <w:szCs w:val="16"/>
          <w:lang w:val="en-GB"/>
        </w:rPr>
        <w:t>1</w:t>
      </w:r>
      <w:r>
        <w:rPr>
          <w:sz w:val="16"/>
          <w:szCs w:val="16"/>
          <w:lang w:val="en-GB"/>
        </w:rPr>
        <w:t>.</w:t>
      </w:r>
      <w:r w:rsidRPr="00495DA8">
        <w:rPr>
          <w:sz w:val="16"/>
          <w:szCs w:val="16"/>
          <w:lang w:val="en-GB"/>
        </w:rPr>
        <w:t>5</w:t>
      </w:r>
      <w:r>
        <w:rPr>
          <w:sz w:val="16"/>
          <w:szCs w:val="16"/>
          <w:lang w:val="en-GB"/>
        </w:rPr>
        <w:t xml:space="preserve"> CZK per litre</w:t>
      </w:r>
      <w:r w:rsidRPr="00495DA8">
        <w:rPr>
          <w:sz w:val="16"/>
          <w:szCs w:val="16"/>
          <w:lang w:val="en-GB"/>
        </w:rPr>
        <w:t xml:space="preserve">). </w:t>
      </w:r>
      <w:r>
        <w:rPr>
          <w:sz w:val="16"/>
          <w:szCs w:val="16"/>
          <w:lang w:val="en-GB"/>
        </w:rPr>
        <w:t xml:space="preserve">Consumption tax rate on diesel fuel thus returned to the original size </w:t>
      </w:r>
      <w:r w:rsidRPr="00495DA8">
        <w:rPr>
          <w:sz w:val="16"/>
          <w:szCs w:val="16"/>
          <w:lang w:val="en-GB"/>
        </w:rPr>
        <w:t>(9</w:t>
      </w:r>
      <w:r>
        <w:rPr>
          <w:sz w:val="16"/>
          <w:szCs w:val="16"/>
          <w:lang w:val="en-GB"/>
        </w:rPr>
        <w:t>.</w:t>
      </w:r>
      <w:r w:rsidRPr="00495DA8">
        <w:rPr>
          <w:sz w:val="16"/>
          <w:szCs w:val="16"/>
          <w:lang w:val="en-GB"/>
        </w:rPr>
        <w:t>95</w:t>
      </w:r>
      <w:r>
        <w:rPr>
          <w:sz w:val="16"/>
          <w:szCs w:val="16"/>
          <w:lang w:val="en-GB"/>
        </w:rPr>
        <w:t xml:space="preserve"> CZK</w:t>
      </w:r>
      <w:r w:rsidRPr="00495DA8">
        <w:rPr>
          <w:sz w:val="16"/>
          <w:szCs w:val="16"/>
          <w:lang w:val="en-GB"/>
        </w:rPr>
        <w:t xml:space="preserve">/l) </w:t>
      </w:r>
      <w:r>
        <w:rPr>
          <w:sz w:val="16"/>
          <w:szCs w:val="16"/>
          <w:lang w:val="en-GB"/>
        </w:rPr>
        <w:t xml:space="preserve">valid until May </w:t>
      </w:r>
      <w:r w:rsidRPr="00495DA8">
        <w:rPr>
          <w:sz w:val="16"/>
          <w:szCs w:val="16"/>
          <w:lang w:val="en-GB"/>
        </w:rPr>
        <w:t xml:space="preserve">2022. </w:t>
      </w:r>
      <w:r>
        <w:rPr>
          <w:sz w:val="16"/>
          <w:szCs w:val="16"/>
          <w:lang w:val="en-GB"/>
        </w:rPr>
        <w:t xml:space="preserve">From </w:t>
      </w:r>
      <w:r w:rsidRPr="00495DA8">
        <w:rPr>
          <w:sz w:val="16"/>
          <w:szCs w:val="16"/>
          <w:lang w:val="en-GB"/>
        </w:rPr>
        <w:t>1</w:t>
      </w:r>
      <w:r w:rsidRPr="00F564D1">
        <w:rPr>
          <w:sz w:val="16"/>
          <w:szCs w:val="16"/>
          <w:vertAlign w:val="superscript"/>
          <w:lang w:val="en-GB"/>
        </w:rPr>
        <w:t>st</w:t>
      </w:r>
      <w:r>
        <w:rPr>
          <w:sz w:val="16"/>
          <w:szCs w:val="16"/>
          <w:lang w:val="en-GB"/>
        </w:rPr>
        <w:t xml:space="preserve"> June </w:t>
      </w:r>
      <w:r w:rsidRPr="00495DA8">
        <w:rPr>
          <w:sz w:val="16"/>
          <w:szCs w:val="16"/>
          <w:lang w:val="en-GB"/>
        </w:rPr>
        <w:t xml:space="preserve">2022 </w:t>
      </w:r>
      <w:r>
        <w:rPr>
          <w:sz w:val="16"/>
          <w:szCs w:val="16"/>
          <w:lang w:val="en-GB"/>
        </w:rPr>
        <w:t xml:space="preserve">till </w:t>
      </w:r>
      <w:r w:rsidRPr="00495DA8">
        <w:rPr>
          <w:sz w:val="16"/>
          <w:szCs w:val="16"/>
          <w:lang w:val="en-GB"/>
        </w:rPr>
        <w:t>30</w:t>
      </w:r>
      <w:r w:rsidRPr="00F564D1">
        <w:rPr>
          <w:sz w:val="16"/>
          <w:szCs w:val="16"/>
          <w:vertAlign w:val="superscript"/>
          <w:lang w:val="en-GB"/>
        </w:rPr>
        <w:t>th</w:t>
      </w:r>
      <w:r>
        <w:rPr>
          <w:sz w:val="16"/>
          <w:szCs w:val="16"/>
          <w:lang w:val="en-GB"/>
        </w:rPr>
        <w:t xml:space="preserve"> September </w:t>
      </w:r>
      <w:r w:rsidRPr="00495DA8">
        <w:rPr>
          <w:sz w:val="16"/>
          <w:szCs w:val="16"/>
          <w:lang w:val="en-GB"/>
        </w:rPr>
        <w:t xml:space="preserve">2022 </w:t>
      </w:r>
      <w:r>
        <w:rPr>
          <w:sz w:val="16"/>
          <w:szCs w:val="16"/>
          <w:lang w:val="en-GB"/>
        </w:rPr>
        <w:t>the consumption tax on unleaded petrol was also lowered</w:t>
      </w:r>
      <w:r w:rsidRPr="00495DA8">
        <w:rPr>
          <w:sz w:val="16"/>
          <w:szCs w:val="16"/>
          <w:lang w:val="en-GB"/>
        </w:rPr>
        <w:t>.</w:t>
      </w:r>
    </w:p>
  </w:footnote>
  <w:footnote w:id="116">
    <w:p w14:paraId="29504880" w14:textId="0369BD48" w:rsidR="003B4260" w:rsidRPr="00495DA8" w:rsidRDefault="003B4260" w:rsidP="00495DA8">
      <w:pPr>
        <w:spacing w:after="0" w:line="240" w:lineRule="auto"/>
        <w:rPr>
          <w:spacing w:val="-4"/>
          <w:lang w:val="en-GB"/>
        </w:rPr>
      </w:pPr>
      <w:r w:rsidRPr="00495DA8">
        <w:rPr>
          <w:rStyle w:val="Znakapoznpodarou"/>
          <w:spacing w:val="-4"/>
          <w:sz w:val="16"/>
          <w:szCs w:val="16"/>
          <w:lang w:val="en-GB"/>
        </w:rPr>
        <w:footnoteRef/>
      </w:r>
      <w:r w:rsidRPr="00495DA8">
        <w:rPr>
          <w:spacing w:val="-4"/>
          <w:sz w:val="16"/>
          <w:szCs w:val="16"/>
          <w:lang w:val="en-GB"/>
        </w:rPr>
        <w:t xml:space="preserve"> </w:t>
      </w:r>
      <w:r>
        <w:rPr>
          <w:spacing w:val="-4"/>
          <w:sz w:val="16"/>
          <w:szCs w:val="16"/>
          <w:lang w:val="en-GB"/>
        </w:rPr>
        <w:t>According to the CZSO figures, the consumption of diesel fuel increased by 1.3%</w:t>
      </w:r>
      <w:r w:rsidRPr="00495DA8">
        <w:rPr>
          <w:rFonts w:eastAsia="Calibri"/>
          <w:spacing w:val="-4"/>
          <w:sz w:val="16"/>
          <w:szCs w:val="16"/>
          <w:lang w:val="en-GB"/>
        </w:rPr>
        <w:t xml:space="preserve">, </w:t>
      </w:r>
      <w:r>
        <w:rPr>
          <w:rFonts w:eastAsia="Calibri"/>
          <w:spacing w:val="-4"/>
          <w:sz w:val="16"/>
          <w:szCs w:val="16"/>
          <w:lang w:val="en-GB"/>
        </w:rPr>
        <w:t xml:space="preserve">petrol by </w:t>
      </w:r>
      <w:r w:rsidRPr="00495DA8">
        <w:rPr>
          <w:rFonts w:eastAsia="Calibri"/>
          <w:spacing w:val="-4"/>
          <w:sz w:val="16"/>
          <w:szCs w:val="16"/>
          <w:lang w:val="en-GB"/>
        </w:rPr>
        <w:t>6</w:t>
      </w:r>
      <w:r>
        <w:rPr>
          <w:rFonts w:eastAsia="Calibri"/>
          <w:spacing w:val="-4"/>
          <w:sz w:val="16"/>
          <w:szCs w:val="16"/>
          <w:lang w:val="en-GB"/>
        </w:rPr>
        <w:t>.</w:t>
      </w:r>
      <w:r w:rsidRPr="00495DA8">
        <w:rPr>
          <w:rFonts w:eastAsia="Calibri"/>
          <w:spacing w:val="-4"/>
          <w:sz w:val="16"/>
          <w:szCs w:val="16"/>
          <w:lang w:val="en-GB"/>
        </w:rPr>
        <w:t>0% a</w:t>
      </w:r>
      <w:r>
        <w:rPr>
          <w:rFonts w:eastAsia="Calibri"/>
          <w:spacing w:val="-4"/>
          <w:sz w:val="16"/>
          <w:szCs w:val="16"/>
          <w:lang w:val="en-GB"/>
        </w:rPr>
        <w:t xml:space="preserve">nd jet kerosene by </w:t>
      </w:r>
      <w:r w:rsidRPr="00495DA8">
        <w:rPr>
          <w:rFonts w:eastAsia="Calibri"/>
          <w:spacing w:val="-4"/>
          <w:sz w:val="16"/>
          <w:szCs w:val="16"/>
          <w:lang w:val="en-GB"/>
        </w:rPr>
        <w:t>25%</w:t>
      </w:r>
      <w:r>
        <w:rPr>
          <w:rFonts w:eastAsia="Calibri"/>
          <w:spacing w:val="-4"/>
          <w:sz w:val="16"/>
          <w:szCs w:val="16"/>
          <w:lang w:val="en-GB"/>
        </w:rPr>
        <w:t xml:space="preserve"> from January till November 2023</w:t>
      </w:r>
      <w:r w:rsidRPr="00495DA8">
        <w:rPr>
          <w:rFonts w:eastAsia="Calibri"/>
          <w:spacing w:val="-4"/>
          <w:sz w:val="16"/>
          <w:szCs w:val="16"/>
          <w:lang w:val="en-GB"/>
        </w:rPr>
        <w:t xml:space="preserve">. </w:t>
      </w:r>
      <w:r>
        <w:rPr>
          <w:rFonts w:eastAsia="Calibri"/>
          <w:spacing w:val="-4"/>
          <w:sz w:val="16"/>
          <w:szCs w:val="16"/>
          <w:lang w:val="en-GB"/>
        </w:rPr>
        <w:t xml:space="preserve">Decreased occurred for other petroleum products </w:t>
      </w:r>
      <w:r w:rsidRPr="00495DA8">
        <w:rPr>
          <w:rFonts w:eastAsia="Calibri"/>
          <w:spacing w:val="-4"/>
          <w:sz w:val="16"/>
          <w:szCs w:val="16"/>
          <w:lang w:val="en-GB"/>
        </w:rPr>
        <w:t>(</w:t>
      </w:r>
      <w:r>
        <w:rPr>
          <w:rFonts w:eastAsia="Calibri"/>
          <w:spacing w:val="-4"/>
          <w:sz w:val="16"/>
          <w:szCs w:val="16"/>
          <w:lang w:val="en-GB"/>
        </w:rPr>
        <w:t>including e.g. refinery gas, air, technical petrol, paraffin and waxes</w:t>
      </w:r>
      <w:r w:rsidRPr="00495DA8">
        <w:rPr>
          <w:rFonts w:eastAsia="Calibri"/>
          <w:spacing w:val="-4"/>
          <w:sz w:val="16"/>
          <w:szCs w:val="16"/>
          <w:lang w:val="en-GB"/>
        </w:rPr>
        <w:t xml:space="preserve">, </w:t>
      </w:r>
      <w:r>
        <w:rPr>
          <w:rFonts w:eastAsia="Calibri"/>
          <w:spacing w:val="-4"/>
          <w:sz w:val="16"/>
          <w:szCs w:val="16"/>
          <w:lang w:val="en-GB"/>
        </w:rPr>
        <w:t>petroleum coke</w:t>
      </w:r>
      <w:r w:rsidRPr="00495DA8">
        <w:rPr>
          <w:rFonts w:eastAsia="Calibri"/>
          <w:spacing w:val="-4"/>
          <w:sz w:val="16"/>
          <w:szCs w:val="16"/>
          <w:lang w:val="en-GB"/>
        </w:rPr>
        <w:t>).</w:t>
      </w:r>
    </w:p>
  </w:footnote>
  <w:footnote w:id="117">
    <w:p w14:paraId="07FA2747" w14:textId="644B0FF1" w:rsidR="003B4260" w:rsidRPr="00495DA8" w:rsidRDefault="003B4260" w:rsidP="00495DA8">
      <w:pPr>
        <w:pStyle w:val="Textpoznpodarou"/>
        <w:jc w:val="both"/>
        <w:rPr>
          <w:sz w:val="16"/>
          <w:szCs w:val="16"/>
          <w:lang w:val="en-GB"/>
        </w:rPr>
      </w:pPr>
      <w:r w:rsidRPr="00495DA8">
        <w:rPr>
          <w:rStyle w:val="Znakapoznpodarou"/>
          <w:sz w:val="16"/>
          <w:szCs w:val="16"/>
          <w:lang w:val="en-GB"/>
        </w:rPr>
        <w:footnoteRef/>
      </w:r>
      <w:r w:rsidRPr="00495DA8">
        <w:rPr>
          <w:sz w:val="16"/>
          <w:szCs w:val="16"/>
          <w:lang w:val="en-GB"/>
        </w:rPr>
        <w:t xml:space="preserve"> </w:t>
      </w:r>
      <w:r>
        <w:rPr>
          <w:sz w:val="16"/>
          <w:szCs w:val="16"/>
          <w:lang w:val="en-GB"/>
        </w:rPr>
        <w:t>Vast majority of last year</w:t>
      </w:r>
      <w:r>
        <w:rPr>
          <w:sz w:val="16"/>
          <w:szCs w:val="16"/>
          <w:lang w:val="en-US"/>
        </w:rPr>
        <w:t xml:space="preserve">’s </w:t>
      </w:r>
      <w:r w:rsidRPr="003F54B4">
        <w:rPr>
          <w:sz w:val="16"/>
          <w:szCs w:val="16"/>
          <w:lang w:val="en-GB"/>
        </w:rPr>
        <w:t>reven</w:t>
      </w:r>
      <w:r>
        <w:rPr>
          <w:sz w:val="16"/>
          <w:szCs w:val="16"/>
          <w:lang w:val="en-GB"/>
        </w:rPr>
        <w:t xml:space="preserve">ues related to the previous programme period </w:t>
      </w:r>
      <w:r w:rsidRPr="00495DA8">
        <w:rPr>
          <w:sz w:val="16"/>
          <w:szCs w:val="16"/>
          <w:lang w:val="en-GB"/>
        </w:rPr>
        <w:t xml:space="preserve">(2014+). </w:t>
      </w:r>
      <w:r>
        <w:rPr>
          <w:sz w:val="16"/>
          <w:szCs w:val="16"/>
          <w:lang w:val="en-GB"/>
        </w:rPr>
        <w:t xml:space="preserve">The most weight significant revenues from the structural funds attained </w:t>
      </w:r>
      <w:r w:rsidRPr="00495DA8">
        <w:rPr>
          <w:sz w:val="16"/>
          <w:szCs w:val="16"/>
          <w:lang w:val="en-GB"/>
        </w:rPr>
        <w:t>51</w:t>
      </w:r>
      <w:r>
        <w:rPr>
          <w:sz w:val="16"/>
          <w:szCs w:val="16"/>
          <w:lang w:val="en-GB"/>
        </w:rPr>
        <w:t>.</w:t>
      </w:r>
      <w:r w:rsidRPr="00495DA8">
        <w:rPr>
          <w:sz w:val="16"/>
          <w:szCs w:val="16"/>
          <w:lang w:val="en-GB"/>
        </w:rPr>
        <w:t>0</w:t>
      </w:r>
      <w:r>
        <w:rPr>
          <w:sz w:val="16"/>
          <w:szCs w:val="16"/>
          <w:lang w:val="en-GB"/>
        </w:rPr>
        <w:t xml:space="preserve"> </w:t>
      </w:r>
      <w:proofErr w:type="spellStart"/>
      <w:r>
        <w:rPr>
          <w:sz w:val="16"/>
          <w:szCs w:val="16"/>
          <w:lang w:val="en-GB"/>
        </w:rPr>
        <w:t>bn</w:t>
      </w:r>
      <w:proofErr w:type="spellEnd"/>
      <w:r>
        <w:rPr>
          <w:sz w:val="16"/>
          <w:szCs w:val="16"/>
          <w:lang w:val="en-GB"/>
        </w:rPr>
        <w:t xml:space="preserve"> CZK </w:t>
      </w:r>
      <w:r w:rsidRPr="00495DA8">
        <w:rPr>
          <w:sz w:val="16"/>
          <w:szCs w:val="16"/>
          <w:lang w:val="en-GB"/>
        </w:rPr>
        <w:t>(</w:t>
      </w:r>
      <w:r>
        <w:rPr>
          <w:sz w:val="16"/>
          <w:szCs w:val="16"/>
          <w:lang w:val="en-GB"/>
        </w:rPr>
        <w:t xml:space="preserve">they fell year-on-year for the third time in a row, last time by </w:t>
      </w:r>
      <w:r w:rsidRPr="00495DA8">
        <w:rPr>
          <w:sz w:val="16"/>
          <w:szCs w:val="16"/>
          <w:lang w:val="en-GB"/>
        </w:rPr>
        <w:t>18</w:t>
      </w:r>
      <w:r>
        <w:rPr>
          <w:sz w:val="16"/>
          <w:szCs w:val="16"/>
          <w:lang w:val="en-GB"/>
        </w:rPr>
        <w:t>.</w:t>
      </w:r>
      <w:r w:rsidRPr="00495DA8">
        <w:rPr>
          <w:sz w:val="16"/>
          <w:szCs w:val="16"/>
          <w:lang w:val="en-GB"/>
        </w:rPr>
        <w:t xml:space="preserve">6%). </w:t>
      </w:r>
      <w:r>
        <w:rPr>
          <w:sz w:val="16"/>
          <w:szCs w:val="16"/>
          <w:lang w:val="en-GB"/>
        </w:rPr>
        <w:t xml:space="preserve">Resources on rural development decreased by more than one tenth </w:t>
      </w:r>
      <w:r w:rsidRPr="00495DA8">
        <w:rPr>
          <w:sz w:val="16"/>
          <w:szCs w:val="16"/>
          <w:lang w:val="en-GB"/>
        </w:rPr>
        <w:t>(</w:t>
      </w:r>
      <w:r>
        <w:rPr>
          <w:sz w:val="16"/>
          <w:szCs w:val="16"/>
          <w:lang w:val="en-GB"/>
        </w:rPr>
        <w:t xml:space="preserve">to </w:t>
      </w:r>
      <w:r w:rsidRPr="00495DA8">
        <w:rPr>
          <w:sz w:val="16"/>
          <w:szCs w:val="16"/>
          <w:lang w:val="en-GB"/>
        </w:rPr>
        <w:t>7</w:t>
      </w:r>
      <w:r>
        <w:rPr>
          <w:sz w:val="16"/>
          <w:szCs w:val="16"/>
          <w:lang w:val="en-GB"/>
        </w:rPr>
        <w:t>.</w:t>
      </w:r>
      <w:r w:rsidRPr="00495DA8">
        <w:rPr>
          <w:sz w:val="16"/>
          <w:szCs w:val="16"/>
          <w:lang w:val="en-GB"/>
        </w:rPr>
        <w:t>2</w:t>
      </w:r>
      <w:r>
        <w:rPr>
          <w:sz w:val="16"/>
          <w:szCs w:val="16"/>
          <w:lang w:val="en-GB"/>
        </w:rPr>
        <w:t xml:space="preserve"> </w:t>
      </w:r>
      <w:proofErr w:type="spellStart"/>
      <w:r>
        <w:rPr>
          <w:sz w:val="16"/>
          <w:szCs w:val="16"/>
          <w:lang w:val="en-GB"/>
        </w:rPr>
        <w:t>bn</w:t>
      </w:r>
      <w:proofErr w:type="spellEnd"/>
      <w:r w:rsidRPr="00495DA8">
        <w:rPr>
          <w:sz w:val="16"/>
          <w:szCs w:val="16"/>
          <w:lang w:val="en-GB"/>
        </w:rPr>
        <w:t>),</w:t>
      </w:r>
      <w:r>
        <w:rPr>
          <w:sz w:val="16"/>
          <w:szCs w:val="16"/>
          <w:lang w:val="en-GB"/>
        </w:rPr>
        <w:t xml:space="preserve"> on the contrary direct wages in agriculture remained traditionally stable </w:t>
      </w:r>
      <w:r w:rsidRPr="00495DA8">
        <w:rPr>
          <w:sz w:val="16"/>
          <w:szCs w:val="16"/>
          <w:lang w:val="en-GB"/>
        </w:rPr>
        <w:t>(20</w:t>
      </w:r>
      <w:r>
        <w:rPr>
          <w:sz w:val="16"/>
          <w:szCs w:val="16"/>
          <w:lang w:val="en-GB"/>
        </w:rPr>
        <w:t>.</w:t>
      </w:r>
      <w:r w:rsidRPr="00495DA8">
        <w:rPr>
          <w:sz w:val="16"/>
          <w:szCs w:val="16"/>
          <w:lang w:val="en-GB"/>
        </w:rPr>
        <w:t>5</w:t>
      </w:r>
      <w:r>
        <w:rPr>
          <w:sz w:val="16"/>
          <w:szCs w:val="16"/>
          <w:lang w:val="en-GB"/>
        </w:rPr>
        <w:t xml:space="preserve"> </w:t>
      </w:r>
      <w:proofErr w:type="spellStart"/>
      <w:r>
        <w:rPr>
          <w:sz w:val="16"/>
          <w:szCs w:val="16"/>
          <w:lang w:val="en-GB"/>
        </w:rPr>
        <w:t>bn</w:t>
      </w:r>
      <w:proofErr w:type="spellEnd"/>
      <w:r w:rsidRPr="00495DA8">
        <w:rPr>
          <w:sz w:val="16"/>
          <w:szCs w:val="16"/>
          <w:lang w:val="en-GB"/>
        </w:rPr>
        <w:t xml:space="preserve">). </w:t>
      </w:r>
      <w:r>
        <w:rPr>
          <w:sz w:val="16"/>
          <w:szCs w:val="16"/>
          <w:lang w:val="en-GB"/>
        </w:rPr>
        <w:t xml:space="preserve">The CR acquired </w:t>
      </w:r>
      <w:r w:rsidRPr="00495DA8">
        <w:rPr>
          <w:sz w:val="16"/>
          <w:szCs w:val="16"/>
          <w:lang w:val="en-GB"/>
        </w:rPr>
        <w:t xml:space="preserve">30 </w:t>
      </w:r>
      <w:proofErr w:type="spellStart"/>
      <w:r>
        <w:rPr>
          <w:sz w:val="16"/>
          <w:szCs w:val="16"/>
          <w:lang w:val="en-GB"/>
        </w:rPr>
        <w:t>bn</w:t>
      </w:r>
      <w:proofErr w:type="spellEnd"/>
      <w:r>
        <w:rPr>
          <w:sz w:val="16"/>
          <w:szCs w:val="16"/>
          <w:lang w:val="en-GB"/>
        </w:rPr>
        <w:t xml:space="preserve"> CZK from the cohesion fund last year, by nearly one half more year-on-year. </w:t>
      </w:r>
      <w:r w:rsidRPr="00495DA8">
        <w:rPr>
          <w:sz w:val="16"/>
          <w:szCs w:val="16"/>
          <w:lang w:val="en-GB"/>
        </w:rPr>
        <w:t xml:space="preserve"> </w:t>
      </w:r>
    </w:p>
  </w:footnote>
  <w:footnote w:id="118">
    <w:p w14:paraId="22C17AEE" w14:textId="108D7837" w:rsidR="003B4260" w:rsidRPr="00B34CC8" w:rsidRDefault="003B4260" w:rsidP="00B34CC8">
      <w:pPr>
        <w:pStyle w:val="Textpoznpodarou"/>
        <w:jc w:val="both"/>
        <w:rPr>
          <w:sz w:val="16"/>
          <w:szCs w:val="16"/>
          <w:lang w:val="en-GB"/>
        </w:rPr>
      </w:pPr>
      <w:r w:rsidRPr="00495DA8">
        <w:rPr>
          <w:rStyle w:val="Znakapoznpodarou"/>
          <w:sz w:val="16"/>
          <w:szCs w:val="16"/>
          <w:lang w:val="en-GB"/>
        </w:rPr>
        <w:footnoteRef/>
      </w:r>
      <w:r w:rsidRPr="00495DA8">
        <w:rPr>
          <w:sz w:val="16"/>
          <w:szCs w:val="16"/>
          <w:lang w:val="en-GB"/>
        </w:rPr>
        <w:t xml:space="preserve"> </w:t>
      </w:r>
      <w:r>
        <w:rPr>
          <w:sz w:val="16"/>
          <w:szCs w:val="16"/>
          <w:lang w:val="en-GB"/>
        </w:rPr>
        <w:t>The average retirement pension increased by 4.7% during due adjustment last year in January</w:t>
      </w:r>
      <w:r w:rsidRPr="00B34CC8">
        <w:rPr>
          <w:sz w:val="16"/>
          <w:szCs w:val="16"/>
          <w:lang w:val="en-GB"/>
        </w:rPr>
        <w:t xml:space="preserve">, </w:t>
      </w:r>
      <w:r>
        <w:rPr>
          <w:sz w:val="16"/>
          <w:szCs w:val="16"/>
          <w:lang w:val="en-GB"/>
        </w:rPr>
        <w:t xml:space="preserve">by 3.9% in June during the extraordinary increase </w:t>
      </w:r>
      <w:r w:rsidRPr="00B34CC8">
        <w:rPr>
          <w:color w:val="0D0D0D" w:themeColor="text1" w:themeTint="F2"/>
          <w:spacing w:val="-4"/>
          <w:sz w:val="16"/>
          <w:szCs w:val="16"/>
          <w:lang w:val="en-GB"/>
        </w:rPr>
        <w:t>(</w:t>
      </w:r>
      <w:r>
        <w:rPr>
          <w:color w:val="0D0D0D" w:themeColor="text1" w:themeTint="F2"/>
          <w:spacing w:val="-4"/>
          <w:sz w:val="16"/>
          <w:szCs w:val="16"/>
          <w:lang w:val="en-GB"/>
        </w:rPr>
        <w:t>under already amended legislative conditions moderating the rate of growth of adjustment</w:t>
      </w:r>
      <w:r w:rsidRPr="00B34CC8">
        <w:rPr>
          <w:color w:val="0D0D0D" w:themeColor="text1" w:themeTint="F2"/>
          <w:spacing w:val="-4"/>
          <w:sz w:val="16"/>
          <w:szCs w:val="16"/>
          <w:lang w:val="en-GB"/>
        </w:rPr>
        <w:t>)</w:t>
      </w:r>
      <w:r>
        <w:rPr>
          <w:color w:val="0D0D0D" w:themeColor="text1" w:themeTint="F2"/>
          <w:spacing w:val="-4"/>
          <w:sz w:val="16"/>
          <w:szCs w:val="16"/>
          <w:lang w:val="en-GB"/>
        </w:rPr>
        <w:t xml:space="preserve">. The level of pensions </w:t>
      </w:r>
      <w:r w:rsidRPr="00B34CC8">
        <w:rPr>
          <w:color w:val="0D0D0D" w:themeColor="text1" w:themeTint="F2"/>
          <w:spacing w:val="-4"/>
          <w:sz w:val="16"/>
          <w:szCs w:val="16"/>
          <w:lang w:val="en-GB"/>
        </w:rPr>
        <w:t>(</w:t>
      </w:r>
      <w:r>
        <w:rPr>
          <w:color w:val="0D0D0D" w:themeColor="text1" w:themeTint="F2"/>
          <w:spacing w:val="-4"/>
          <w:sz w:val="16"/>
          <w:szCs w:val="16"/>
          <w:lang w:val="en-GB"/>
        </w:rPr>
        <w:t>especially of females</w:t>
      </w:r>
      <w:r w:rsidRPr="00B34CC8">
        <w:rPr>
          <w:color w:val="0D0D0D" w:themeColor="text1" w:themeTint="F2"/>
          <w:spacing w:val="-4"/>
          <w:sz w:val="16"/>
          <w:szCs w:val="16"/>
          <w:lang w:val="en-GB"/>
        </w:rPr>
        <w:t>)</w:t>
      </w:r>
      <w:r>
        <w:rPr>
          <w:color w:val="0D0D0D" w:themeColor="text1" w:themeTint="F2"/>
          <w:spacing w:val="-4"/>
          <w:sz w:val="16"/>
          <w:szCs w:val="16"/>
          <w:lang w:val="en-GB"/>
        </w:rPr>
        <w:t xml:space="preserve"> was also elevated by the newly introduced regular allowance per every raised child, child-rearing allowance (</w:t>
      </w:r>
      <w:r w:rsidRPr="00B34CC8">
        <w:rPr>
          <w:color w:val="0D0D0D" w:themeColor="text1" w:themeTint="F2"/>
          <w:spacing w:val="-4"/>
          <w:sz w:val="16"/>
          <w:szCs w:val="16"/>
          <w:lang w:val="en-GB"/>
        </w:rPr>
        <w:t>500</w:t>
      </w:r>
      <w:r>
        <w:rPr>
          <w:color w:val="0D0D0D" w:themeColor="text1" w:themeTint="F2"/>
          <w:spacing w:val="-4"/>
          <w:sz w:val="16"/>
          <w:szCs w:val="16"/>
          <w:lang w:val="en-GB"/>
        </w:rPr>
        <w:t xml:space="preserve"> CZK</w:t>
      </w:r>
      <w:r w:rsidRPr="00B34CC8">
        <w:rPr>
          <w:color w:val="0D0D0D" w:themeColor="text1" w:themeTint="F2"/>
          <w:spacing w:val="-4"/>
          <w:sz w:val="16"/>
          <w:szCs w:val="16"/>
          <w:lang w:val="en-GB"/>
        </w:rPr>
        <w:t>).</w:t>
      </w:r>
      <w:r w:rsidRPr="00B34CC8">
        <w:rPr>
          <w:sz w:val="16"/>
          <w:szCs w:val="16"/>
          <w:lang w:val="en-GB"/>
        </w:rPr>
        <w:t xml:space="preserve"> </w:t>
      </w:r>
      <w:r>
        <w:rPr>
          <w:sz w:val="16"/>
          <w:szCs w:val="16"/>
          <w:lang w:val="en-GB"/>
        </w:rPr>
        <w:t xml:space="preserve">The average monthly old age pension </w:t>
      </w:r>
      <w:r w:rsidRPr="00B34CC8">
        <w:rPr>
          <w:sz w:val="16"/>
          <w:szCs w:val="16"/>
          <w:lang w:val="en-GB"/>
        </w:rPr>
        <w:t>(</w:t>
      </w:r>
      <w:r>
        <w:rPr>
          <w:sz w:val="16"/>
          <w:szCs w:val="16"/>
          <w:lang w:val="en-GB"/>
        </w:rPr>
        <w:t>without overlap with other pensions</w:t>
      </w:r>
      <w:r w:rsidRPr="00B34CC8">
        <w:rPr>
          <w:sz w:val="16"/>
          <w:szCs w:val="16"/>
          <w:lang w:val="en-GB"/>
        </w:rPr>
        <w:t xml:space="preserve">) </w:t>
      </w:r>
      <w:r>
        <w:rPr>
          <w:sz w:val="16"/>
          <w:szCs w:val="16"/>
          <w:lang w:val="en-GB"/>
        </w:rPr>
        <w:t xml:space="preserve">was </w:t>
      </w:r>
      <w:r w:rsidRPr="00B34CC8">
        <w:rPr>
          <w:sz w:val="16"/>
          <w:szCs w:val="16"/>
          <w:lang w:val="en-GB"/>
        </w:rPr>
        <w:t xml:space="preserve">21 454 </w:t>
      </w:r>
      <w:r>
        <w:rPr>
          <w:sz w:val="16"/>
          <w:szCs w:val="16"/>
          <w:lang w:val="en-GB"/>
        </w:rPr>
        <w:t>CZK for males</w:t>
      </w:r>
      <w:r w:rsidRPr="00B34CC8">
        <w:rPr>
          <w:sz w:val="16"/>
          <w:szCs w:val="16"/>
          <w:lang w:val="en-GB"/>
        </w:rPr>
        <w:t>, 19</w:t>
      </w:r>
      <w:r>
        <w:rPr>
          <w:sz w:val="16"/>
          <w:szCs w:val="16"/>
          <w:lang w:val="en-GB"/>
        </w:rPr>
        <w:t> </w:t>
      </w:r>
      <w:r w:rsidRPr="00B34CC8">
        <w:rPr>
          <w:sz w:val="16"/>
          <w:szCs w:val="16"/>
          <w:lang w:val="en-GB"/>
        </w:rPr>
        <w:t>063</w:t>
      </w:r>
      <w:r>
        <w:rPr>
          <w:sz w:val="16"/>
          <w:szCs w:val="16"/>
          <w:lang w:val="en-GB"/>
        </w:rPr>
        <w:t xml:space="preserve"> CZK for females last year in December. Resulting from the introduction of “child-raising”</w:t>
      </w:r>
      <w:r w:rsidRPr="00B34CC8">
        <w:rPr>
          <w:sz w:val="16"/>
          <w:szCs w:val="16"/>
          <w:lang w:val="en-GB"/>
        </w:rPr>
        <w:t xml:space="preserve"> </w:t>
      </w:r>
      <w:r>
        <w:rPr>
          <w:sz w:val="16"/>
          <w:szCs w:val="16"/>
          <w:lang w:val="en-GB"/>
        </w:rPr>
        <w:t xml:space="preserve">the difference in the level of pensions markedly narrowed between males and females. </w:t>
      </w:r>
    </w:p>
  </w:footnote>
  <w:footnote w:id="119">
    <w:p w14:paraId="7395AF69" w14:textId="25AA7958" w:rsidR="003B4260" w:rsidRPr="00B34CC8" w:rsidRDefault="003B4260" w:rsidP="00B34CC8">
      <w:pPr>
        <w:pStyle w:val="Textpoznpodarou"/>
        <w:jc w:val="both"/>
        <w:rPr>
          <w:sz w:val="16"/>
          <w:szCs w:val="16"/>
          <w:lang w:val="en-GB"/>
        </w:rPr>
      </w:pPr>
      <w:r w:rsidRPr="00B34CC8">
        <w:rPr>
          <w:rStyle w:val="Znakapoznpodarou"/>
          <w:sz w:val="16"/>
          <w:szCs w:val="16"/>
          <w:lang w:val="en-GB"/>
        </w:rPr>
        <w:footnoteRef/>
      </w:r>
      <w:r w:rsidRPr="00B34CC8">
        <w:rPr>
          <w:sz w:val="16"/>
          <w:szCs w:val="16"/>
          <w:lang w:val="en-GB"/>
        </w:rPr>
        <w:t xml:space="preserve"> </w:t>
      </w:r>
      <w:r>
        <w:rPr>
          <w:sz w:val="16"/>
          <w:szCs w:val="16"/>
          <w:lang w:val="en-GB"/>
        </w:rPr>
        <w:t>Growth of the number of all rec</w:t>
      </w:r>
      <w:r w:rsidR="004A376B">
        <w:rPr>
          <w:sz w:val="16"/>
          <w:szCs w:val="16"/>
          <w:lang w:val="en-GB"/>
        </w:rPr>
        <w:t>ipients of permanently reduced</w:t>
      </w:r>
      <w:r>
        <w:rPr>
          <w:sz w:val="16"/>
          <w:szCs w:val="16"/>
          <w:lang w:val="en-GB"/>
        </w:rPr>
        <w:t xml:space="preserve"> old age pensions </w:t>
      </w:r>
      <w:r w:rsidRPr="00B34CC8">
        <w:rPr>
          <w:sz w:val="16"/>
          <w:szCs w:val="16"/>
          <w:lang w:val="en-GB"/>
        </w:rPr>
        <w:t>(</w:t>
      </w:r>
      <w:r>
        <w:rPr>
          <w:sz w:val="16"/>
          <w:szCs w:val="16"/>
          <w:lang w:val="en-GB"/>
        </w:rPr>
        <w:t>SOP</w:t>
      </w:r>
      <w:r w:rsidRPr="00B34CC8">
        <w:rPr>
          <w:sz w:val="16"/>
          <w:szCs w:val="16"/>
          <w:lang w:val="en-GB"/>
        </w:rPr>
        <w:t>)</w:t>
      </w:r>
      <w:r>
        <w:rPr>
          <w:sz w:val="16"/>
          <w:szCs w:val="16"/>
          <w:lang w:val="en-GB"/>
        </w:rPr>
        <w:t xml:space="preserve"> accelerated last year </w:t>
      </w:r>
      <w:r w:rsidRPr="00B34CC8">
        <w:rPr>
          <w:sz w:val="16"/>
          <w:szCs w:val="16"/>
          <w:lang w:val="en-GB"/>
        </w:rPr>
        <w:t>(</w:t>
      </w:r>
      <w:r>
        <w:rPr>
          <w:sz w:val="16"/>
          <w:szCs w:val="16"/>
          <w:lang w:val="en-GB"/>
        </w:rPr>
        <w:t xml:space="preserve">to </w:t>
      </w:r>
      <w:r w:rsidRPr="00B34CC8">
        <w:rPr>
          <w:sz w:val="16"/>
          <w:szCs w:val="16"/>
          <w:lang w:val="en-GB"/>
        </w:rPr>
        <w:t>7</w:t>
      </w:r>
      <w:r>
        <w:rPr>
          <w:sz w:val="16"/>
          <w:szCs w:val="16"/>
          <w:lang w:val="en-GB"/>
        </w:rPr>
        <w:t>.</w:t>
      </w:r>
      <w:r w:rsidRPr="00B34CC8">
        <w:rPr>
          <w:sz w:val="16"/>
          <w:szCs w:val="16"/>
          <w:lang w:val="en-GB"/>
        </w:rPr>
        <w:t>7%</w:t>
      </w:r>
      <w:r>
        <w:rPr>
          <w:sz w:val="16"/>
          <w:szCs w:val="16"/>
          <w:lang w:val="en-GB"/>
        </w:rPr>
        <w:t xml:space="preserve"> year-on-year in Q4, the most since year </w:t>
      </w:r>
      <w:r w:rsidRPr="00B34CC8">
        <w:rPr>
          <w:sz w:val="16"/>
          <w:szCs w:val="16"/>
          <w:lang w:val="en-GB"/>
        </w:rPr>
        <w:t>2012) a</w:t>
      </w:r>
      <w:r>
        <w:rPr>
          <w:sz w:val="16"/>
          <w:szCs w:val="16"/>
          <w:lang w:val="en-GB"/>
        </w:rPr>
        <w:t xml:space="preserve">nd their share on all old age pension recipients crossed the </w:t>
      </w:r>
      <w:r w:rsidRPr="00B34CC8">
        <w:rPr>
          <w:sz w:val="16"/>
          <w:szCs w:val="16"/>
          <w:lang w:val="en-GB"/>
        </w:rPr>
        <w:t>30%</w:t>
      </w:r>
      <w:r>
        <w:rPr>
          <w:sz w:val="16"/>
          <w:szCs w:val="16"/>
          <w:lang w:val="en-GB"/>
        </w:rPr>
        <w:t xml:space="preserve"> threshold</w:t>
      </w:r>
      <w:r w:rsidRPr="00B34CC8">
        <w:rPr>
          <w:sz w:val="16"/>
          <w:szCs w:val="16"/>
          <w:lang w:val="en-GB"/>
        </w:rPr>
        <w:t xml:space="preserve">. </w:t>
      </w:r>
      <w:r>
        <w:rPr>
          <w:sz w:val="16"/>
          <w:szCs w:val="16"/>
          <w:lang w:val="en-GB"/>
        </w:rPr>
        <w:t xml:space="preserve">Number of SOP do not include persons, which lodged the request for early retirement, but postponed the commencement of its </w:t>
      </w:r>
      <w:proofErr w:type="spellStart"/>
      <w:r>
        <w:rPr>
          <w:sz w:val="16"/>
          <w:szCs w:val="16"/>
          <w:lang w:val="en-GB"/>
        </w:rPr>
        <w:t>payout</w:t>
      </w:r>
      <w:proofErr w:type="spellEnd"/>
      <w:r>
        <w:rPr>
          <w:sz w:val="16"/>
          <w:szCs w:val="16"/>
          <w:lang w:val="en-GB"/>
        </w:rPr>
        <w:t xml:space="preserve">. </w:t>
      </w:r>
    </w:p>
  </w:footnote>
  <w:footnote w:id="120">
    <w:p w14:paraId="50773CC4" w14:textId="36F7C8B6" w:rsidR="003B4260" w:rsidRPr="00B34CC8" w:rsidRDefault="003B4260" w:rsidP="00B34CC8">
      <w:pPr>
        <w:pStyle w:val="Textpoznpodarou"/>
        <w:jc w:val="both"/>
        <w:rPr>
          <w:rFonts w:cs="Arial"/>
          <w:color w:val="000000" w:themeColor="text1"/>
          <w:spacing w:val="-4"/>
          <w:sz w:val="16"/>
          <w:szCs w:val="16"/>
          <w:lang w:val="en-GB"/>
        </w:rPr>
      </w:pPr>
      <w:r w:rsidRPr="00B34CC8">
        <w:rPr>
          <w:rStyle w:val="Znakapoznpodarou"/>
          <w:spacing w:val="-4"/>
          <w:sz w:val="16"/>
          <w:szCs w:val="16"/>
          <w:lang w:val="en-GB"/>
        </w:rPr>
        <w:footnoteRef/>
      </w:r>
      <w:r w:rsidRPr="00B34CC8">
        <w:rPr>
          <w:spacing w:val="-4"/>
          <w:sz w:val="16"/>
          <w:szCs w:val="16"/>
          <w:lang w:val="en-GB"/>
        </w:rPr>
        <w:t xml:space="preserve"> It expresses the difference between the income from insurance on pensions and outlays on the pension insurance benefits </w:t>
      </w:r>
      <w:r w:rsidRPr="00B34CC8">
        <w:rPr>
          <w:rFonts w:cs="Arial"/>
          <w:color w:val="000000" w:themeColor="text1"/>
          <w:spacing w:val="-4"/>
          <w:sz w:val="16"/>
          <w:szCs w:val="16"/>
          <w:lang w:val="en-GB"/>
        </w:rPr>
        <w:t>(including the costs of its administration).</w:t>
      </w:r>
    </w:p>
  </w:footnote>
  <w:footnote w:id="121">
    <w:p w14:paraId="0962FB28" w14:textId="3405BCC6" w:rsidR="003B4260" w:rsidRPr="00B34CC8" w:rsidRDefault="003B4260" w:rsidP="00B34CC8">
      <w:pPr>
        <w:pStyle w:val="Textpoznpodarou"/>
        <w:jc w:val="both"/>
        <w:rPr>
          <w:spacing w:val="-4"/>
          <w:sz w:val="16"/>
          <w:szCs w:val="16"/>
          <w:lang w:val="en-GB"/>
        </w:rPr>
      </w:pPr>
      <w:r w:rsidRPr="00B34CC8">
        <w:rPr>
          <w:rStyle w:val="Znakapoznpodarou"/>
          <w:spacing w:val="-4"/>
          <w:sz w:val="16"/>
          <w:szCs w:val="16"/>
          <w:lang w:val="en-GB"/>
        </w:rPr>
        <w:footnoteRef/>
      </w:r>
      <w:r w:rsidRPr="00B34CC8">
        <w:rPr>
          <w:spacing w:val="-4"/>
          <w:sz w:val="16"/>
          <w:szCs w:val="16"/>
          <w:lang w:val="en-GB"/>
        </w:rPr>
        <w:t xml:space="preserve"> </w:t>
      </w:r>
      <w:r>
        <w:rPr>
          <w:spacing w:val="-4"/>
          <w:sz w:val="16"/>
          <w:szCs w:val="16"/>
          <w:lang w:val="en-GB"/>
        </w:rPr>
        <w:t xml:space="preserve">Admissible cost of housing is considered during the calculation of the benefit amount </w:t>
      </w:r>
      <w:r w:rsidRPr="00B34CC8">
        <w:rPr>
          <w:spacing w:val="-4"/>
          <w:sz w:val="16"/>
          <w:szCs w:val="16"/>
          <w:lang w:val="en-GB"/>
        </w:rPr>
        <w:t>(</w:t>
      </w:r>
      <w:r>
        <w:rPr>
          <w:spacing w:val="-4"/>
          <w:sz w:val="16"/>
          <w:szCs w:val="16"/>
          <w:lang w:val="en-GB"/>
        </w:rPr>
        <w:t>determined by the government regulation</w:t>
      </w:r>
      <w:r w:rsidRPr="00B34CC8">
        <w:rPr>
          <w:spacing w:val="-4"/>
          <w:sz w:val="16"/>
          <w:szCs w:val="16"/>
          <w:lang w:val="en-GB"/>
        </w:rPr>
        <w:t>)</w:t>
      </w:r>
      <w:r>
        <w:rPr>
          <w:spacing w:val="-4"/>
          <w:sz w:val="16"/>
          <w:szCs w:val="16"/>
          <w:lang w:val="en-GB"/>
        </w:rPr>
        <w:t xml:space="preserve"> since July 2023</w:t>
      </w:r>
      <w:r w:rsidRPr="00B34CC8">
        <w:rPr>
          <w:spacing w:val="-4"/>
          <w:sz w:val="16"/>
          <w:szCs w:val="16"/>
          <w:lang w:val="en-GB"/>
        </w:rPr>
        <w:t xml:space="preserve">, whose size is dependent on the number of persons and the form of housing. </w:t>
      </w:r>
    </w:p>
  </w:footnote>
  <w:footnote w:id="122">
    <w:p w14:paraId="3549D9BD" w14:textId="1F7A29BD" w:rsidR="003B4260" w:rsidRPr="00B34CC8" w:rsidRDefault="003B4260" w:rsidP="00B34CC8">
      <w:pPr>
        <w:pStyle w:val="Textpoznpodarou"/>
        <w:jc w:val="both"/>
        <w:rPr>
          <w:sz w:val="16"/>
          <w:szCs w:val="16"/>
          <w:lang w:val="en-GB"/>
        </w:rPr>
      </w:pPr>
      <w:r w:rsidRPr="00B34CC8">
        <w:rPr>
          <w:rStyle w:val="Znakapoznpodarou"/>
          <w:spacing w:val="-4"/>
          <w:sz w:val="16"/>
          <w:szCs w:val="16"/>
          <w:lang w:val="en-GB"/>
        </w:rPr>
        <w:footnoteRef/>
      </w:r>
      <w:r w:rsidRPr="00B34CC8">
        <w:rPr>
          <w:spacing w:val="-4"/>
          <w:sz w:val="16"/>
          <w:szCs w:val="16"/>
          <w:lang w:val="en-GB"/>
        </w:rPr>
        <w:t xml:space="preserve"> </w:t>
      </w:r>
      <w:r>
        <w:rPr>
          <w:spacing w:val="-4"/>
          <w:sz w:val="16"/>
          <w:szCs w:val="16"/>
          <w:lang w:val="en-GB"/>
        </w:rPr>
        <w:t xml:space="preserve">Expenditures on these benefits exceeded the revenues from the insurance also last year </w:t>
      </w:r>
      <w:r w:rsidRPr="00B34CC8">
        <w:rPr>
          <w:spacing w:val="-4"/>
          <w:sz w:val="16"/>
          <w:szCs w:val="16"/>
          <w:lang w:val="en-GB"/>
        </w:rPr>
        <w:t>(</w:t>
      </w:r>
      <w:r>
        <w:rPr>
          <w:spacing w:val="-4"/>
          <w:sz w:val="16"/>
          <w:szCs w:val="16"/>
          <w:lang w:val="en-GB"/>
        </w:rPr>
        <w:t>despite their fast growth</w:t>
      </w:r>
      <w:r w:rsidRPr="00B34CC8">
        <w:rPr>
          <w:spacing w:val="-4"/>
          <w:sz w:val="16"/>
          <w:szCs w:val="16"/>
          <w:lang w:val="en-GB"/>
        </w:rPr>
        <w:t>), t</w:t>
      </w:r>
      <w:r>
        <w:rPr>
          <w:spacing w:val="-4"/>
          <w:sz w:val="16"/>
          <w:szCs w:val="16"/>
          <w:lang w:val="en-GB"/>
        </w:rPr>
        <w:t xml:space="preserve">his deficit nevertheless decreased from </w:t>
      </w:r>
      <w:r w:rsidRPr="00B34CC8">
        <w:rPr>
          <w:spacing w:val="-4"/>
          <w:sz w:val="16"/>
          <w:szCs w:val="16"/>
          <w:lang w:val="en-GB"/>
        </w:rPr>
        <w:t>8</w:t>
      </w:r>
      <w:r>
        <w:rPr>
          <w:spacing w:val="-4"/>
          <w:sz w:val="16"/>
          <w:szCs w:val="16"/>
          <w:lang w:val="en-GB"/>
        </w:rPr>
        <w:t>.</w:t>
      </w:r>
      <w:r w:rsidRPr="00B34CC8">
        <w:rPr>
          <w:spacing w:val="-4"/>
          <w:sz w:val="16"/>
          <w:szCs w:val="16"/>
          <w:lang w:val="en-GB"/>
        </w:rPr>
        <w:t>0</w:t>
      </w:r>
      <w:r>
        <w:rPr>
          <w:spacing w:val="-4"/>
          <w:sz w:val="16"/>
          <w:szCs w:val="16"/>
          <w:lang w:val="en-GB"/>
        </w:rPr>
        <w:t xml:space="preserve"> </w:t>
      </w:r>
      <w:proofErr w:type="spellStart"/>
      <w:r>
        <w:rPr>
          <w:spacing w:val="-4"/>
          <w:sz w:val="16"/>
          <w:szCs w:val="16"/>
          <w:lang w:val="en-GB"/>
        </w:rPr>
        <w:t>bn</w:t>
      </w:r>
      <w:proofErr w:type="spellEnd"/>
      <w:r>
        <w:rPr>
          <w:spacing w:val="-4"/>
          <w:sz w:val="16"/>
          <w:szCs w:val="16"/>
          <w:lang w:val="en-GB"/>
        </w:rPr>
        <w:t xml:space="preserve"> CZK in year </w:t>
      </w:r>
      <w:r w:rsidRPr="00B34CC8">
        <w:rPr>
          <w:spacing w:val="-4"/>
          <w:sz w:val="16"/>
          <w:szCs w:val="16"/>
          <w:lang w:val="en-GB"/>
        </w:rPr>
        <w:t>2022</w:t>
      </w:r>
      <w:r>
        <w:rPr>
          <w:spacing w:val="-4"/>
          <w:sz w:val="16"/>
          <w:szCs w:val="16"/>
          <w:lang w:val="en-GB"/>
        </w:rPr>
        <w:t xml:space="preserve"> to last year’s </w:t>
      </w:r>
      <w:r w:rsidRPr="00B34CC8">
        <w:rPr>
          <w:spacing w:val="-4"/>
          <w:sz w:val="16"/>
          <w:szCs w:val="16"/>
          <w:lang w:val="en-GB"/>
        </w:rPr>
        <w:t>2</w:t>
      </w:r>
      <w:r>
        <w:rPr>
          <w:spacing w:val="-4"/>
          <w:sz w:val="16"/>
          <w:szCs w:val="16"/>
          <w:lang w:val="en-GB"/>
        </w:rPr>
        <w:t>.</w:t>
      </w:r>
      <w:r w:rsidRPr="00B34CC8">
        <w:rPr>
          <w:spacing w:val="-4"/>
          <w:sz w:val="16"/>
          <w:szCs w:val="16"/>
          <w:lang w:val="en-GB"/>
        </w:rPr>
        <w:t>7</w:t>
      </w:r>
      <w:r>
        <w:rPr>
          <w:spacing w:val="-4"/>
          <w:sz w:val="16"/>
          <w:szCs w:val="16"/>
          <w:lang w:val="en-GB"/>
        </w:rPr>
        <w:t xml:space="preserve"> bn</w:t>
      </w:r>
      <w:r w:rsidRPr="00B34CC8">
        <w:rPr>
          <w:spacing w:val="-4"/>
          <w:sz w:val="16"/>
          <w:szCs w:val="16"/>
          <w:lang w:val="en-GB"/>
        </w:rPr>
        <w:t>.</w:t>
      </w:r>
    </w:p>
  </w:footnote>
  <w:footnote w:id="123">
    <w:p w14:paraId="6D3307F1" w14:textId="4FD5E540" w:rsidR="003B4260" w:rsidRPr="00B34CC8" w:rsidRDefault="003B4260" w:rsidP="00B34CC8">
      <w:pPr>
        <w:pStyle w:val="Textpoznpodarou"/>
        <w:jc w:val="both"/>
        <w:rPr>
          <w:spacing w:val="-6"/>
          <w:sz w:val="16"/>
          <w:szCs w:val="16"/>
          <w:lang w:val="en-GB"/>
        </w:rPr>
      </w:pPr>
      <w:r w:rsidRPr="00B34CC8">
        <w:rPr>
          <w:rStyle w:val="Znakapoznpodarou"/>
          <w:spacing w:val="-6"/>
          <w:sz w:val="16"/>
          <w:szCs w:val="16"/>
          <w:lang w:val="en-GB"/>
        </w:rPr>
        <w:footnoteRef/>
      </w:r>
      <w:r w:rsidRPr="00B34CC8">
        <w:rPr>
          <w:spacing w:val="-6"/>
          <w:sz w:val="16"/>
          <w:szCs w:val="16"/>
          <w:lang w:val="en-GB"/>
        </w:rPr>
        <w:t xml:space="preserve"> </w:t>
      </w:r>
      <w:r>
        <w:rPr>
          <w:spacing w:val="-6"/>
          <w:sz w:val="16"/>
          <w:szCs w:val="16"/>
          <w:lang w:val="en-GB"/>
        </w:rPr>
        <w:t xml:space="preserve">Higher growth is connected to the raising of limit of benefits on special </w:t>
      </w:r>
      <w:proofErr w:type="spellStart"/>
      <w:r>
        <w:rPr>
          <w:spacing w:val="-6"/>
          <w:sz w:val="16"/>
          <w:szCs w:val="16"/>
        </w:rPr>
        <w:t>aid</w:t>
      </w:r>
      <w:proofErr w:type="spellEnd"/>
      <w:r>
        <w:rPr>
          <w:spacing w:val="-6"/>
          <w:sz w:val="16"/>
          <w:szCs w:val="16"/>
        </w:rPr>
        <w:t xml:space="preserve"> and on mobility. </w:t>
      </w:r>
      <w:proofErr w:type="spellStart"/>
      <w:r>
        <w:rPr>
          <w:spacing w:val="-6"/>
          <w:sz w:val="16"/>
          <w:szCs w:val="16"/>
        </w:rPr>
        <w:t>Number</w:t>
      </w:r>
      <w:proofErr w:type="spellEnd"/>
      <w:r>
        <w:rPr>
          <w:spacing w:val="-6"/>
          <w:sz w:val="16"/>
          <w:szCs w:val="16"/>
        </w:rPr>
        <w:t xml:space="preserve"> </w:t>
      </w:r>
      <w:proofErr w:type="spellStart"/>
      <w:r>
        <w:rPr>
          <w:spacing w:val="-6"/>
          <w:sz w:val="16"/>
          <w:szCs w:val="16"/>
        </w:rPr>
        <w:t>of</w:t>
      </w:r>
      <w:proofErr w:type="spellEnd"/>
      <w:r>
        <w:rPr>
          <w:spacing w:val="-6"/>
          <w:sz w:val="16"/>
          <w:szCs w:val="16"/>
        </w:rPr>
        <w:t xml:space="preserve"> </w:t>
      </w:r>
      <w:proofErr w:type="spellStart"/>
      <w:r>
        <w:rPr>
          <w:spacing w:val="-6"/>
          <w:sz w:val="16"/>
          <w:szCs w:val="16"/>
        </w:rPr>
        <w:t>recipients</w:t>
      </w:r>
      <w:proofErr w:type="spellEnd"/>
      <w:r>
        <w:rPr>
          <w:spacing w:val="-6"/>
          <w:sz w:val="16"/>
          <w:szCs w:val="16"/>
        </w:rPr>
        <w:t xml:space="preserve"> </w:t>
      </w:r>
      <w:proofErr w:type="spellStart"/>
      <w:r>
        <w:rPr>
          <w:spacing w:val="-6"/>
          <w:sz w:val="16"/>
          <w:szCs w:val="16"/>
        </w:rPr>
        <w:t>of</w:t>
      </w:r>
      <w:proofErr w:type="spellEnd"/>
      <w:r>
        <w:rPr>
          <w:spacing w:val="-6"/>
          <w:sz w:val="16"/>
          <w:szCs w:val="16"/>
        </w:rPr>
        <w:t xml:space="preserve"> these </w:t>
      </w:r>
      <w:proofErr w:type="spellStart"/>
      <w:r>
        <w:rPr>
          <w:spacing w:val="-6"/>
          <w:sz w:val="16"/>
          <w:szCs w:val="16"/>
        </w:rPr>
        <w:t>benefits</w:t>
      </w:r>
      <w:proofErr w:type="spellEnd"/>
      <w:r>
        <w:rPr>
          <w:spacing w:val="-6"/>
          <w:sz w:val="16"/>
          <w:szCs w:val="16"/>
        </w:rPr>
        <w:t xml:space="preserve"> </w:t>
      </w:r>
      <w:proofErr w:type="spellStart"/>
      <w:r>
        <w:rPr>
          <w:spacing w:val="-6"/>
          <w:sz w:val="16"/>
          <w:szCs w:val="16"/>
        </w:rPr>
        <w:t>was</w:t>
      </w:r>
      <w:proofErr w:type="spellEnd"/>
      <w:r>
        <w:rPr>
          <w:spacing w:val="-6"/>
          <w:sz w:val="16"/>
          <w:szCs w:val="16"/>
        </w:rPr>
        <w:t xml:space="preserve"> </w:t>
      </w:r>
      <w:proofErr w:type="spellStart"/>
      <w:r>
        <w:rPr>
          <w:spacing w:val="-6"/>
          <w:sz w:val="16"/>
          <w:szCs w:val="16"/>
        </w:rPr>
        <w:t>higher</w:t>
      </w:r>
      <w:proofErr w:type="spellEnd"/>
      <w:r>
        <w:rPr>
          <w:spacing w:val="-6"/>
          <w:sz w:val="16"/>
          <w:szCs w:val="16"/>
        </w:rPr>
        <w:t xml:space="preserve"> </w:t>
      </w:r>
      <w:proofErr w:type="spellStart"/>
      <w:r>
        <w:rPr>
          <w:spacing w:val="-6"/>
          <w:sz w:val="16"/>
          <w:szCs w:val="16"/>
        </w:rPr>
        <w:t>only</w:t>
      </w:r>
      <w:proofErr w:type="spellEnd"/>
      <w:r>
        <w:rPr>
          <w:spacing w:val="-6"/>
          <w:sz w:val="16"/>
          <w:szCs w:val="16"/>
        </w:rPr>
        <w:t xml:space="preserve"> by 2% </w:t>
      </w:r>
      <w:proofErr w:type="spellStart"/>
      <w:r>
        <w:rPr>
          <w:spacing w:val="-6"/>
          <w:sz w:val="16"/>
          <w:szCs w:val="16"/>
        </w:rPr>
        <w:t>year</w:t>
      </w:r>
      <w:proofErr w:type="spellEnd"/>
      <w:r>
        <w:rPr>
          <w:spacing w:val="-6"/>
          <w:sz w:val="16"/>
          <w:szCs w:val="16"/>
        </w:rPr>
        <w:t>-on-</w:t>
      </w:r>
      <w:proofErr w:type="spellStart"/>
      <w:r>
        <w:rPr>
          <w:spacing w:val="-6"/>
          <w:sz w:val="16"/>
          <w:szCs w:val="16"/>
        </w:rPr>
        <w:t>year</w:t>
      </w:r>
      <w:proofErr w:type="spellEnd"/>
      <w:r>
        <w:rPr>
          <w:spacing w:val="-6"/>
          <w:sz w:val="16"/>
          <w:szCs w:val="16"/>
        </w:rPr>
        <w:t xml:space="preserve">. </w:t>
      </w:r>
    </w:p>
  </w:footnote>
  <w:footnote w:id="124">
    <w:p w14:paraId="59C4920C" w14:textId="542D0C1D" w:rsidR="003B4260" w:rsidRPr="00B34CC8" w:rsidRDefault="003B4260" w:rsidP="00B34CC8">
      <w:pPr>
        <w:pStyle w:val="Textpoznpodarou"/>
        <w:jc w:val="both"/>
        <w:rPr>
          <w:spacing w:val="-4"/>
          <w:sz w:val="16"/>
          <w:szCs w:val="16"/>
          <w:lang w:val="en-GB"/>
        </w:rPr>
      </w:pPr>
      <w:r w:rsidRPr="00B34CC8">
        <w:rPr>
          <w:rStyle w:val="Znakapoznpodarou"/>
          <w:spacing w:val="-4"/>
          <w:sz w:val="16"/>
          <w:szCs w:val="16"/>
          <w:lang w:val="en-GB"/>
        </w:rPr>
        <w:footnoteRef/>
      </w:r>
      <w:r w:rsidRPr="00B34CC8">
        <w:rPr>
          <w:spacing w:val="-4"/>
          <w:sz w:val="16"/>
          <w:szCs w:val="16"/>
          <w:lang w:val="en-GB"/>
        </w:rPr>
        <w:t xml:space="preserve"> </w:t>
      </w:r>
      <w:r>
        <w:rPr>
          <w:spacing w:val="-4"/>
          <w:sz w:val="16"/>
          <w:szCs w:val="16"/>
          <w:lang w:val="en-GB"/>
        </w:rPr>
        <w:t>86 </w:t>
      </w:r>
      <w:r>
        <w:rPr>
          <w:sz w:val="16"/>
          <w:szCs w:val="16"/>
          <w:lang w:val="en-GB"/>
        </w:rPr>
        <w:t>thousand of registered job applicants (30.9% of their total number) were entitled to the unemployment benefit in December last year.</w:t>
      </w:r>
    </w:p>
  </w:footnote>
  <w:footnote w:id="125">
    <w:p w14:paraId="6523CCF8" w14:textId="1DF7489F" w:rsidR="003B4260" w:rsidRPr="00B34CC8" w:rsidRDefault="003B4260" w:rsidP="00B34CC8">
      <w:pPr>
        <w:pStyle w:val="Textpoznpodarou"/>
        <w:jc w:val="both"/>
        <w:rPr>
          <w:spacing w:val="-4"/>
          <w:sz w:val="16"/>
          <w:szCs w:val="16"/>
          <w:lang w:val="en-GB"/>
        </w:rPr>
      </w:pPr>
      <w:r w:rsidRPr="00B34CC8">
        <w:rPr>
          <w:rStyle w:val="Znakapoznpodarou"/>
          <w:spacing w:val="-4"/>
          <w:sz w:val="16"/>
          <w:szCs w:val="16"/>
          <w:lang w:val="en-GB"/>
        </w:rPr>
        <w:footnoteRef/>
      </w:r>
      <w:r w:rsidRPr="00B34CC8">
        <w:rPr>
          <w:spacing w:val="-4"/>
          <w:sz w:val="16"/>
          <w:szCs w:val="16"/>
          <w:lang w:val="en-GB"/>
        </w:rPr>
        <w:t xml:space="preserve"> T</w:t>
      </w:r>
      <w:r>
        <w:rPr>
          <w:spacing w:val="-4"/>
          <w:sz w:val="16"/>
          <w:szCs w:val="16"/>
          <w:lang w:val="en-GB"/>
        </w:rPr>
        <w:t xml:space="preserve">hus, they exceeded the so far record transfers from year 2021, which mainly consisted of support programmes for entrepreneurs in the peak period of the covid-19 pandemics, by one tenth. </w:t>
      </w:r>
    </w:p>
  </w:footnote>
  <w:footnote w:id="126">
    <w:p w14:paraId="297B348A" w14:textId="77347FA5" w:rsidR="003B4260" w:rsidRPr="00B34CC8" w:rsidRDefault="003B4260" w:rsidP="00E63BAE">
      <w:pPr>
        <w:pStyle w:val="Textpoznpodarou"/>
        <w:jc w:val="both"/>
        <w:rPr>
          <w:spacing w:val="-4"/>
          <w:sz w:val="16"/>
          <w:szCs w:val="16"/>
          <w:lang w:val="en-GB"/>
        </w:rPr>
      </w:pPr>
      <w:r w:rsidRPr="00B34CC8">
        <w:rPr>
          <w:rStyle w:val="Znakapoznpodarou"/>
          <w:spacing w:val="-4"/>
          <w:sz w:val="16"/>
          <w:szCs w:val="16"/>
          <w:lang w:val="en-GB"/>
        </w:rPr>
        <w:footnoteRef/>
      </w:r>
      <w:r w:rsidRPr="00B34CC8">
        <w:rPr>
          <w:spacing w:val="-4"/>
          <w:sz w:val="16"/>
          <w:szCs w:val="16"/>
          <w:lang w:val="en-GB"/>
        </w:rPr>
        <w:t xml:space="preserve"> </w:t>
      </w:r>
      <w:r>
        <w:rPr>
          <w:spacing w:val="-4"/>
          <w:sz w:val="16"/>
          <w:szCs w:val="16"/>
          <w:lang w:val="en-GB"/>
        </w:rPr>
        <w:t xml:space="preserve">The volume of resource on the wages of qualified teachers increased by 4% since January </w:t>
      </w:r>
      <w:r w:rsidRPr="00B34CC8">
        <w:rPr>
          <w:spacing w:val="-4"/>
          <w:sz w:val="16"/>
          <w:szCs w:val="16"/>
          <w:lang w:val="en-GB"/>
        </w:rPr>
        <w:t>2023</w:t>
      </w:r>
      <w:r>
        <w:rPr>
          <w:spacing w:val="-4"/>
          <w:sz w:val="16"/>
          <w:szCs w:val="16"/>
          <w:lang w:val="en-GB"/>
        </w:rPr>
        <w:t xml:space="preserve">, the increase for non-teaching workers occurred already since September </w:t>
      </w:r>
      <w:r w:rsidRPr="00B34CC8">
        <w:rPr>
          <w:spacing w:val="-4"/>
          <w:sz w:val="16"/>
          <w:szCs w:val="16"/>
          <w:lang w:val="en-GB"/>
        </w:rPr>
        <w:t xml:space="preserve">2022 (+8%). </w:t>
      </w:r>
    </w:p>
  </w:footnote>
  <w:footnote w:id="127">
    <w:p w14:paraId="769B61EE" w14:textId="1C178DF0" w:rsidR="003B4260" w:rsidRPr="002C64D1" w:rsidRDefault="003B4260" w:rsidP="00E63BAE">
      <w:pPr>
        <w:pStyle w:val="Textpoznpodarou"/>
        <w:jc w:val="both"/>
        <w:rPr>
          <w:spacing w:val="-4"/>
          <w:sz w:val="16"/>
          <w:szCs w:val="16"/>
          <w:lang w:val="en-GB"/>
        </w:rPr>
      </w:pPr>
      <w:r w:rsidRPr="002C64D1">
        <w:rPr>
          <w:rStyle w:val="Znakapoznpodarou"/>
          <w:spacing w:val="-4"/>
          <w:sz w:val="16"/>
          <w:szCs w:val="16"/>
          <w:lang w:val="en-GB"/>
        </w:rPr>
        <w:footnoteRef/>
      </w:r>
      <w:r w:rsidRPr="002C64D1">
        <w:rPr>
          <w:spacing w:val="-4"/>
          <w:sz w:val="16"/>
          <w:szCs w:val="16"/>
          <w:lang w:val="en-GB"/>
        </w:rPr>
        <w:t xml:space="preserve"> </w:t>
      </w:r>
      <w:r w:rsidRPr="002C64D1">
        <w:rPr>
          <w:spacing w:val="-2"/>
          <w:sz w:val="16"/>
          <w:szCs w:val="16"/>
          <w:lang w:val="en-GB"/>
        </w:rPr>
        <w:t>Net expenditures c</w:t>
      </w:r>
      <w:r w:rsidRPr="002C64D1">
        <w:rPr>
          <w:sz w:val="16"/>
          <w:szCs w:val="16"/>
          <w:lang w:val="en-GB"/>
        </w:rPr>
        <w:t xml:space="preserve">orrespond to the balance of the budget chapter State debt </w:t>
      </w:r>
      <w:r w:rsidRPr="002C64D1">
        <w:rPr>
          <w:spacing w:val="-2"/>
          <w:sz w:val="16"/>
          <w:szCs w:val="16"/>
          <w:lang w:val="en-GB"/>
        </w:rPr>
        <w:t xml:space="preserve">(no. 396). </w:t>
      </w:r>
      <w:r>
        <w:rPr>
          <w:spacing w:val="-2"/>
          <w:sz w:val="16"/>
          <w:szCs w:val="16"/>
          <w:lang w:val="en-GB"/>
        </w:rPr>
        <w:t xml:space="preserve">Payments of counter-inflationary state bonds to citizens had a major effect on the growth of expenditures here, rising interest rates of other instruments of debt financing and overall trend of growth of indebtedness from the preceding years </w:t>
      </w:r>
      <w:r>
        <w:rPr>
          <w:color w:val="0D0D0D" w:themeColor="text1" w:themeTint="F2"/>
          <w:spacing w:val="-4"/>
          <w:sz w:val="16"/>
          <w:szCs w:val="16"/>
          <w:lang w:val="en-GB"/>
        </w:rPr>
        <w:t>had a partial role then</w:t>
      </w:r>
      <w:r w:rsidRPr="002C64D1">
        <w:rPr>
          <w:color w:val="0D0D0D" w:themeColor="text1" w:themeTint="F2"/>
          <w:spacing w:val="-4"/>
          <w:sz w:val="16"/>
          <w:szCs w:val="16"/>
          <w:lang w:val="en-GB"/>
        </w:rPr>
        <w:t xml:space="preserve">. </w:t>
      </w:r>
    </w:p>
  </w:footnote>
  <w:footnote w:id="128">
    <w:p w14:paraId="4208D275" w14:textId="48F66ED2" w:rsidR="003B4260" w:rsidRPr="002C64D1" w:rsidRDefault="003B4260" w:rsidP="00E63BAE">
      <w:pPr>
        <w:pStyle w:val="Textpoznpodarou"/>
        <w:jc w:val="both"/>
        <w:rPr>
          <w:sz w:val="16"/>
          <w:szCs w:val="16"/>
          <w:lang w:val="en-GB"/>
        </w:rPr>
      </w:pPr>
      <w:r w:rsidRPr="002C64D1">
        <w:rPr>
          <w:rStyle w:val="Znakapoznpodarou"/>
          <w:spacing w:val="-4"/>
          <w:sz w:val="16"/>
          <w:szCs w:val="16"/>
          <w:lang w:val="en-GB"/>
        </w:rPr>
        <w:footnoteRef/>
      </w:r>
      <w:r w:rsidRPr="002C64D1">
        <w:rPr>
          <w:spacing w:val="-4"/>
          <w:sz w:val="16"/>
          <w:szCs w:val="16"/>
          <w:lang w:val="en-GB"/>
        </w:rPr>
        <w:t xml:space="preserve"> It represented the highest growth in the last five-year period. Still the last year’s increase mildly stayed behind the volume of paid out wages and salaries in the whole economy.  </w:t>
      </w:r>
    </w:p>
  </w:footnote>
  <w:footnote w:id="129">
    <w:p w14:paraId="3C01AC50" w14:textId="77777777" w:rsidR="00EB1C78" w:rsidRPr="00CF34C9" w:rsidRDefault="00EB1C78" w:rsidP="00CF34C9">
      <w:pPr>
        <w:pStyle w:val="Textpoznpodarou"/>
        <w:jc w:val="both"/>
        <w:rPr>
          <w:sz w:val="16"/>
          <w:szCs w:val="16"/>
          <w:lang w:val="en-GB"/>
        </w:rPr>
      </w:pPr>
      <w:r w:rsidRPr="00B770DF">
        <w:rPr>
          <w:rStyle w:val="Znakapoznpodarou"/>
          <w:sz w:val="16"/>
          <w:szCs w:val="16"/>
        </w:rPr>
        <w:footnoteRef/>
      </w:r>
      <w:r w:rsidRPr="00B770DF">
        <w:rPr>
          <w:sz w:val="16"/>
          <w:szCs w:val="16"/>
        </w:rPr>
        <w:t xml:space="preserve"> </w:t>
      </w:r>
      <w:proofErr w:type="spellStart"/>
      <w:r>
        <w:rPr>
          <w:sz w:val="16"/>
          <w:szCs w:val="16"/>
        </w:rPr>
        <w:t>Approved</w:t>
      </w:r>
      <w:proofErr w:type="spellEnd"/>
      <w:r>
        <w:rPr>
          <w:sz w:val="16"/>
          <w:szCs w:val="16"/>
        </w:rPr>
        <w:t xml:space="preserve"> budget </w:t>
      </w:r>
      <w:proofErr w:type="spellStart"/>
      <w:r>
        <w:rPr>
          <w:sz w:val="16"/>
          <w:szCs w:val="16"/>
        </w:rPr>
        <w:t>of</w:t>
      </w:r>
      <w:proofErr w:type="spellEnd"/>
      <w:r>
        <w:rPr>
          <w:sz w:val="16"/>
          <w:szCs w:val="16"/>
          <w:lang w:val="en-GB"/>
        </w:rPr>
        <w:t xml:space="preserve"> the State fund for transport infrastructure counted thanks to the reinforcement of the principle of multi-source financing </w:t>
      </w:r>
      <w:r w:rsidRPr="00CF34C9">
        <w:rPr>
          <w:sz w:val="16"/>
          <w:szCs w:val="16"/>
          <w:lang w:val="en-GB"/>
        </w:rPr>
        <w:t>(</w:t>
      </w:r>
      <w:r>
        <w:rPr>
          <w:sz w:val="16"/>
          <w:szCs w:val="16"/>
          <w:lang w:val="en-GB"/>
        </w:rPr>
        <w:t>including new instruments of debt financing</w:t>
      </w:r>
      <w:r w:rsidRPr="00CF34C9">
        <w:rPr>
          <w:sz w:val="16"/>
          <w:szCs w:val="16"/>
          <w:lang w:val="en-GB"/>
        </w:rPr>
        <w:t>)</w:t>
      </w:r>
      <w:r>
        <w:rPr>
          <w:sz w:val="16"/>
          <w:szCs w:val="16"/>
          <w:lang w:val="en-GB"/>
        </w:rPr>
        <w:t xml:space="preserve"> with record revenues in the amount of </w:t>
      </w:r>
      <w:r w:rsidRPr="00CF34C9">
        <w:rPr>
          <w:sz w:val="16"/>
          <w:szCs w:val="16"/>
          <w:lang w:val="en-GB"/>
        </w:rPr>
        <w:t>150</w:t>
      </w:r>
      <w:r>
        <w:rPr>
          <w:sz w:val="16"/>
          <w:szCs w:val="16"/>
          <w:lang w:val="en-GB"/>
        </w:rPr>
        <w:t>.</w:t>
      </w:r>
      <w:r w:rsidRPr="00CF34C9">
        <w:rPr>
          <w:sz w:val="16"/>
          <w:szCs w:val="16"/>
          <w:lang w:val="en-GB"/>
        </w:rPr>
        <w:t>9</w:t>
      </w:r>
      <w:r>
        <w:rPr>
          <w:sz w:val="16"/>
          <w:szCs w:val="16"/>
          <w:lang w:val="en-GB"/>
        </w:rPr>
        <w:t xml:space="preserve"> </w:t>
      </w:r>
      <w:proofErr w:type="spellStart"/>
      <w:r>
        <w:rPr>
          <w:sz w:val="16"/>
          <w:szCs w:val="16"/>
          <w:lang w:val="en-GB"/>
        </w:rPr>
        <w:t>bn</w:t>
      </w:r>
      <w:proofErr w:type="spellEnd"/>
      <w:r>
        <w:rPr>
          <w:sz w:val="16"/>
          <w:szCs w:val="16"/>
          <w:lang w:val="en-GB"/>
        </w:rPr>
        <w:t xml:space="preserve"> CZK in year 2023</w:t>
      </w:r>
      <w:r w:rsidRPr="00CF34C9">
        <w:rPr>
          <w:sz w:val="16"/>
          <w:szCs w:val="16"/>
          <w:lang w:val="en-GB"/>
        </w:rPr>
        <w:t>.</w:t>
      </w:r>
    </w:p>
  </w:footnote>
  <w:footnote w:id="130">
    <w:p w14:paraId="5917E889" w14:textId="7138D234" w:rsidR="003B4260" w:rsidRPr="00CF34C9" w:rsidRDefault="003B4260" w:rsidP="00CF34C9">
      <w:pPr>
        <w:pStyle w:val="Textpoznpodarou"/>
        <w:jc w:val="both"/>
        <w:rPr>
          <w:spacing w:val="-4"/>
          <w:sz w:val="16"/>
          <w:szCs w:val="16"/>
          <w:lang w:val="en-GB"/>
        </w:rPr>
      </w:pPr>
      <w:r w:rsidRPr="00CF34C9">
        <w:rPr>
          <w:rStyle w:val="Znakapoznpodarou"/>
          <w:spacing w:val="-4"/>
          <w:sz w:val="16"/>
          <w:szCs w:val="16"/>
          <w:lang w:val="en-GB"/>
        </w:rPr>
        <w:footnoteRef/>
      </w:r>
      <w:r w:rsidRPr="00CF34C9">
        <w:rPr>
          <w:spacing w:val="-4"/>
          <w:sz w:val="16"/>
          <w:szCs w:val="16"/>
          <w:lang w:val="en-GB"/>
        </w:rPr>
        <w:t xml:space="preserve"> Unless stated otherwise, d</w:t>
      </w:r>
      <w:r w:rsidRPr="00CF34C9">
        <w:rPr>
          <w:sz w:val="16"/>
          <w:szCs w:val="16"/>
          <w:lang w:val="en-GB"/>
        </w:rPr>
        <w:t>ata regarding the budget balance of sector VI in the CR are expressed without seasonal adjustment.</w:t>
      </w:r>
    </w:p>
  </w:footnote>
  <w:footnote w:id="131">
    <w:p w14:paraId="60941BFF" w14:textId="77777777" w:rsidR="003B4260" w:rsidRPr="00CF34C9" w:rsidRDefault="003B4260" w:rsidP="00CB01F1">
      <w:pPr>
        <w:pStyle w:val="Textpoznpodarou"/>
        <w:jc w:val="both"/>
        <w:rPr>
          <w:spacing w:val="-4"/>
          <w:sz w:val="16"/>
          <w:szCs w:val="16"/>
          <w:lang w:val="en-GB"/>
        </w:rPr>
      </w:pPr>
      <w:r w:rsidRPr="00CF34C9">
        <w:rPr>
          <w:rStyle w:val="Znakapoznpodarou"/>
          <w:spacing w:val="-4"/>
          <w:sz w:val="16"/>
          <w:szCs w:val="16"/>
          <w:lang w:val="en-GB"/>
        </w:rPr>
        <w:footnoteRef/>
      </w:r>
      <w:r w:rsidRPr="00CF34C9">
        <w:rPr>
          <w:spacing w:val="-4"/>
          <w:sz w:val="16"/>
          <w:szCs w:val="16"/>
          <w:lang w:val="en-GB"/>
        </w:rPr>
        <w:t xml:space="preserve"> </w:t>
      </w:r>
      <w:r w:rsidRPr="00CF34C9">
        <w:rPr>
          <w:sz w:val="16"/>
          <w:szCs w:val="16"/>
          <w:lang w:val="en-GB"/>
        </w:rPr>
        <w:t>Data regarding the budget of government institutions for Q4 as well as the whole year 2023 will be published by the CZSO on 2</w:t>
      </w:r>
      <w:r w:rsidRPr="00CF34C9">
        <w:rPr>
          <w:sz w:val="16"/>
          <w:szCs w:val="16"/>
          <w:vertAlign w:val="superscript"/>
          <w:lang w:val="en-GB"/>
        </w:rPr>
        <w:t>nd</w:t>
      </w:r>
      <w:r w:rsidRPr="00CF34C9">
        <w:rPr>
          <w:sz w:val="16"/>
          <w:szCs w:val="16"/>
          <w:lang w:val="en-GB"/>
        </w:rPr>
        <w:t xml:space="preserve"> April 2024, Eurostat then on 22</w:t>
      </w:r>
      <w:r w:rsidRPr="00CF34C9">
        <w:rPr>
          <w:sz w:val="16"/>
          <w:szCs w:val="16"/>
          <w:vertAlign w:val="superscript"/>
          <w:lang w:val="en-GB"/>
        </w:rPr>
        <w:t xml:space="preserve">nd </w:t>
      </w:r>
      <w:r w:rsidRPr="00CF34C9">
        <w:rPr>
          <w:sz w:val="16"/>
          <w:szCs w:val="16"/>
          <w:lang w:val="en-GB"/>
        </w:rPr>
        <w:t xml:space="preserve">April. More detailed assessment of the development for Q3 2023 is contained in the publication Analysis of the sector accounts: </w:t>
      </w:r>
      <w:hyperlink r:id="rId3" w:history="1">
        <w:proofErr w:type="spellStart"/>
        <w:r w:rsidRPr="00CF34C9">
          <w:rPr>
            <w:rStyle w:val="Hypertextovodkaz"/>
            <w:spacing w:val="-4"/>
            <w:sz w:val="16"/>
            <w:szCs w:val="16"/>
            <w:lang w:val="en-GB"/>
          </w:rPr>
          <w:t>Analýza</w:t>
        </w:r>
        <w:proofErr w:type="spellEnd"/>
        <w:r w:rsidRPr="00CF34C9">
          <w:rPr>
            <w:rStyle w:val="Hypertextovodkaz"/>
            <w:spacing w:val="-4"/>
            <w:sz w:val="16"/>
            <w:szCs w:val="16"/>
            <w:lang w:val="en-GB"/>
          </w:rPr>
          <w:t xml:space="preserve"> </w:t>
        </w:r>
        <w:proofErr w:type="spellStart"/>
        <w:r w:rsidRPr="00CF34C9">
          <w:rPr>
            <w:rStyle w:val="Hypertextovodkaz"/>
            <w:spacing w:val="-4"/>
            <w:sz w:val="16"/>
            <w:szCs w:val="16"/>
            <w:lang w:val="en-GB"/>
          </w:rPr>
          <w:t>sektorových</w:t>
        </w:r>
        <w:proofErr w:type="spellEnd"/>
        <w:r w:rsidRPr="00CF34C9">
          <w:rPr>
            <w:rStyle w:val="Hypertextovodkaz"/>
            <w:spacing w:val="-4"/>
            <w:sz w:val="16"/>
            <w:szCs w:val="16"/>
            <w:lang w:val="en-GB"/>
          </w:rPr>
          <w:t xml:space="preserve"> </w:t>
        </w:r>
        <w:proofErr w:type="spellStart"/>
        <w:r w:rsidRPr="00CF34C9">
          <w:rPr>
            <w:rStyle w:val="Hypertextovodkaz"/>
            <w:spacing w:val="-4"/>
            <w:sz w:val="16"/>
            <w:szCs w:val="16"/>
            <w:lang w:val="en-GB"/>
          </w:rPr>
          <w:t>účtů</w:t>
        </w:r>
        <w:proofErr w:type="spellEnd"/>
        <w:r w:rsidRPr="00CF34C9">
          <w:rPr>
            <w:rStyle w:val="Hypertextovodkaz"/>
            <w:spacing w:val="-4"/>
            <w:sz w:val="16"/>
            <w:szCs w:val="16"/>
            <w:lang w:val="en-GB"/>
          </w:rPr>
          <w:t>:</w:t>
        </w:r>
      </w:hyperlink>
    </w:p>
  </w:footnote>
  <w:footnote w:id="132">
    <w:p w14:paraId="0540C111" w14:textId="6C1EF8EC" w:rsidR="003B4260" w:rsidRPr="00CF34C9" w:rsidRDefault="003B4260" w:rsidP="00CF34C9">
      <w:pPr>
        <w:pStyle w:val="Textpoznpodarou"/>
        <w:jc w:val="both"/>
        <w:rPr>
          <w:rFonts w:cs="Arial"/>
          <w:spacing w:val="-7"/>
          <w:sz w:val="16"/>
          <w:szCs w:val="16"/>
          <w:lang w:val="en-GB"/>
        </w:rPr>
      </w:pPr>
      <w:r w:rsidRPr="00CF34C9">
        <w:rPr>
          <w:rStyle w:val="Znakapoznpodarou"/>
          <w:rFonts w:cs="Arial"/>
          <w:spacing w:val="-7"/>
          <w:sz w:val="16"/>
          <w:szCs w:val="16"/>
          <w:lang w:val="en-GB"/>
        </w:rPr>
        <w:footnoteRef/>
      </w:r>
      <w:r w:rsidRPr="00CF34C9">
        <w:rPr>
          <w:rFonts w:cs="Arial"/>
          <w:spacing w:val="-7"/>
          <w:sz w:val="16"/>
          <w:szCs w:val="16"/>
          <w:lang w:val="en-GB"/>
        </w:rPr>
        <w:t xml:space="preserve"> Swiftly growing nominal GDP contributed to the year-on-year decrease of indebtedness −3.9 p.p. in Q3, on the contrary the effect of the nominal change of the debt arrived at + 3.2 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3B4260" w14:paraId="3D57519A" w14:textId="77777777" w:rsidTr="7059F910">
      <w:trPr>
        <w:trHeight w:val="300"/>
      </w:trPr>
      <w:tc>
        <w:tcPr>
          <w:tcW w:w="3210" w:type="dxa"/>
        </w:tcPr>
        <w:p w14:paraId="7811EB53" w14:textId="4DDFCD4B" w:rsidR="003B4260" w:rsidRDefault="003B4260" w:rsidP="7059F910">
          <w:pPr>
            <w:pStyle w:val="Zhlav"/>
            <w:ind w:left="-115"/>
          </w:pPr>
        </w:p>
      </w:tc>
      <w:tc>
        <w:tcPr>
          <w:tcW w:w="3210" w:type="dxa"/>
        </w:tcPr>
        <w:p w14:paraId="5B18E2FB" w14:textId="699852E7" w:rsidR="003B4260" w:rsidRDefault="003B4260" w:rsidP="7059F910">
          <w:pPr>
            <w:pStyle w:val="Zhlav"/>
            <w:jc w:val="center"/>
          </w:pPr>
        </w:p>
      </w:tc>
      <w:tc>
        <w:tcPr>
          <w:tcW w:w="3210" w:type="dxa"/>
        </w:tcPr>
        <w:p w14:paraId="1759E02E" w14:textId="10B800EB" w:rsidR="003B4260" w:rsidRDefault="003B4260" w:rsidP="7059F910">
          <w:pPr>
            <w:pStyle w:val="Zhlav"/>
            <w:ind w:right="-115"/>
            <w:jc w:val="right"/>
          </w:pPr>
        </w:p>
      </w:tc>
    </w:tr>
  </w:tbl>
  <w:p w14:paraId="757EF678" w14:textId="58C73B80" w:rsidR="003B4260" w:rsidRDefault="003B4260" w:rsidP="7059F9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3B4260" w14:paraId="0DBEFC73" w14:textId="77777777" w:rsidTr="7059F910">
      <w:trPr>
        <w:trHeight w:val="300"/>
      </w:trPr>
      <w:tc>
        <w:tcPr>
          <w:tcW w:w="3210" w:type="dxa"/>
        </w:tcPr>
        <w:p w14:paraId="2A6581A2" w14:textId="561A369A" w:rsidR="003B4260" w:rsidRDefault="003B4260" w:rsidP="7059F910">
          <w:pPr>
            <w:pStyle w:val="Zhlav"/>
            <w:ind w:left="-115"/>
          </w:pPr>
        </w:p>
      </w:tc>
      <w:tc>
        <w:tcPr>
          <w:tcW w:w="3210" w:type="dxa"/>
        </w:tcPr>
        <w:p w14:paraId="3D3E0A0E" w14:textId="2B32CF54" w:rsidR="003B4260" w:rsidRDefault="003B4260" w:rsidP="7059F910">
          <w:pPr>
            <w:pStyle w:val="Zhlav"/>
            <w:jc w:val="center"/>
          </w:pPr>
        </w:p>
      </w:tc>
      <w:tc>
        <w:tcPr>
          <w:tcW w:w="3210" w:type="dxa"/>
        </w:tcPr>
        <w:p w14:paraId="64BF241E" w14:textId="61DF3F23" w:rsidR="003B4260" w:rsidRDefault="003B4260" w:rsidP="7059F910">
          <w:pPr>
            <w:pStyle w:val="Zhlav"/>
            <w:ind w:right="-115"/>
            <w:jc w:val="right"/>
          </w:pPr>
        </w:p>
      </w:tc>
    </w:tr>
  </w:tbl>
  <w:p w14:paraId="7626C104" w14:textId="012EE53B" w:rsidR="003B4260" w:rsidRDefault="003B4260" w:rsidP="7059F9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3CA608AA" w:rsidR="003B4260" w:rsidRDefault="003B4260" w:rsidP="00937AE2">
    <w:pPr>
      <w:pStyle w:val="Zhlav"/>
    </w:pPr>
    <w:proofErr w:type="spellStart"/>
    <w:r>
      <w:t>The</w:t>
    </w:r>
    <w:proofErr w:type="spellEnd"/>
    <w:r>
      <w:t xml:space="preserve"> Czech </w:t>
    </w:r>
    <w:proofErr w:type="spellStart"/>
    <w:r>
      <w:t>Economy</w:t>
    </w:r>
    <w:proofErr w:type="spellEnd"/>
    <w:r>
      <w:t xml:space="preserve"> </w:t>
    </w:r>
    <w:proofErr w:type="spellStart"/>
    <w:r>
      <w:t>Development</w:t>
    </w:r>
    <w:proofErr w:type="spellEnd"/>
  </w:p>
  <w:p w14:paraId="3E881AB3" w14:textId="77777777" w:rsidR="003B4260" w:rsidRPr="006F5416" w:rsidRDefault="003B4260" w:rsidP="00937AE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22785F80" w:rsidR="003B4260" w:rsidRDefault="003B4260" w:rsidP="00937AE2">
    <w:pPr>
      <w:pStyle w:val="Zhlav"/>
    </w:pPr>
    <w:proofErr w:type="spellStart"/>
    <w:r>
      <w:t>The</w:t>
    </w:r>
    <w:proofErr w:type="spellEnd"/>
    <w:r>
      <w:t xml:space="preserve"> Czech </w:t>
    </w:r>
    <w:proofErr w:type="spellStart"/>
    <w:r>
      <w:t>Economy</w:t>
    </w:r>
    <w:proofErr w:type="spellEnd"/>
    <w:r>
      <w:t xml:space="preserve"> </w:t>
    </w:r>
    <w:proofErr w:type="spellStart"/>
    <w:r>
      <w:t>Development</w:t>
    </w:r>
    <w:proofErr w:type="spellEnd"/>
  </w:p>
  <w:p w14:paraId="57266714" w14:textId="77777777" w:rsidR="003B4260" w:rsidRPr="006F5416" w:rsidRDefault="003B4260"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75795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1B2A5724"/>
    <w:multiLevelType w:val="hybridMultilevel"/>
    <w:tmpl w:val="0EA8A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5C59E0"/>
    <w:multiLevelType w:val="multilevel"/>
    <w:tmpl w:val="74A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AB4B86"/>
    <w:multiLevelType w:val="multilevel"/>
    <w:tmpl w:val="52D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5280B15"/>
    <w:multiLevelType w:val="hybridMultilevel"/>
    <w:tmpl w:val="5156A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6C06F7"/>
    <w:multiLevelType w:val="multilevel"/>
    <w:tmpl w:val="AF4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841503"/>
    <w:multiLevelType w:val="hybridMultilevel"/>
    <w:tmpl w:val="322E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D23EC3"/>
    <w:multiLevelType w:val="hybridMultilevel"/>
    <w:tmpl w:val="B65A4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5236EE"/>
    <w:multiLevelType w:val="hybridMultilevel"/>
    <w:tmpl w:val="CC2A1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3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4077D1"/>
    <w:multiLevelType w:val="multilevel"/>
    <w:tmpl w:val="B70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9A0FF0"/>
    <w:multiLevelType w:val="hybridMultilevel"/>
    <w:tmpl w:val="3D88D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67F0B9"/>
    <w:multiLevelType w:val="hybridMultilevel"/>
    <w:tmpl w:val="9B0C99B6"/>
    <w:lvl w:ilvl="0" w:tplc="5FC8F242">
      <w:start w:val="1"/>
      <w:numFmt w:val="bullet"/>
      <w:lvlText w:val=""/>
      <w:lvlJc w:val="left"/>
      <w:pPr>
        <w:ind w:left="720" w:hanging="360"/>
      </w:pPr>
      <w:rPr>
        <w:rFonts w:ascii="Symbol" w:hAnsi="Symbol" w:hint="default"/>
      </w:rPr>
    </w:lvl>
    <w:lvl w:ilvl="1" w:tplc="5E7298D6">
      <w:start w:val="1"/>
      <w:numFmt w:val="bullet"/>
      <w:lvlText w:val="o"/>
      <w:lvlJc w:val="left"/>
      <w:pPr>
        <w:ind w:left="1440" w:hanging="360"/>
      </w:pPr>
      <w:rPr>
        <w:rFonts w:ascii="Courier New" w:hAnsi="Courier New" w:hint="default"/>
      </w:rPr>
    </w:lvl>
    <w:lvl w:ilvl="2" w:tplc="F418EABE">
      <w:start w:val="1"/>
      <w:numFmt w:val="bullet"/>
      <w:lvlText w:val=""/>
      <w:lvlJc w:val="left"/>
      <w:pPr>
        <w:ind w:left="2160" w:hanging="360"/>
      </w:pPr>
      <w:rPr>
        <w:rFonts w:ascii="Wingdings" w:hAnsi="Wingdings" w:hint="default"/>
      </w:rPr>
    </w:lvl>
    <w:lvl w:ilvl="3" w:tplc="0F78DB5E">
      <w:start w:val="1"/>
      <w:numFmt w:val="bullet"/>
      <w:lvlText w:val=""/>
      <w:lvlJc w:val="left"/>
      <w:pPr>
        <w:ind w:left="2880" w:hanging="360"/>
      </w:pPr>
      <w:rPr>
        <w:rFonts w:ascii="Symbol" w:hAnsi="Symbol" w:hint="default"/>
      </w:rPr>
    </w:lvl>
    <w:lvl w:ilvl="4" w:tplc="29062F28">
      <w:start w:val="1"/>
      <w:numFmt w:val="bullet"/>
      <w:lvlText w:val="o"/>
      <w:lvlJc w:val="left"/>
      <w:pPr>
        <w:ind w:left="3600" w:hanging="360"/>
      </w:pPr>
      <w:rPr>
        <w:rFonts w:ascii="Courier New" w:hAnsi="Courier New" w:hint="default"/>
      </w:rPr>
    </w:lvl>
    <w:lvl w:ilvl="5" w:tplc="A1920AAC">
      <w:start w:val="1"/>
      <w:numFmt w:val="bullet"/>
      <w:lvlText w:val=""/>
      <w:lvlJc w:val="left"/>
      <w:pPr>
        <w:ind w:left="4320" w:hanging="360"/>
      </w:pPr>
      <w:rPr>
        <w:rFonts w:ascii="Wingdings" w:hAnsi="Wingdings" w:hint="default"/>
      </w:rPr>
    </w:lvl>
    <w:lvl w:ilvl="6" w:tplc="E4A63608">
      <w:start w:val="1"/>
      <w:numFmt w:val="bullet"/>
      <w:lvlText w:val=""/>
      <w:lvlJc w:val="left"/>
      <w:pPr>
        <w:ind w:left="5040" w:hanging="360"/>
      </w:pPr>
      <w:rPr>
        <w:rFonts w:ascii="Symbol" w:hAnsi="Symbol" w:hint="default"/>
      </w:rPr>
    </w:lvl>
    <w:lvl w:ilvl="7" w:tplc="320420C0">
      <w:start w:val="1"/>
      <w:numFmt w:val="bullet"/>
      <w:lvlText w:val="o"/>
      <w:lvlJc w:val="left"/>
      <w:pPr>
        <w:ind w:left="5760" w:hanging="360"/>
      </w:pPr>
      <w:rPr>
        <w:rFonts w:ascii="Courier New" w:hAnsi="Courier New" w:hint="default"/>
      </w:rPr>
    </w:lvl>
    <w:lvl w:ilvl="8" w:tplc="F24CCE7A">
      <w:start w:val="1"/>
      <w:numFmt w:val="bullet"/>
      <w:lvlText w:val=""/>
      <w:lvlJc w:val="left"/>
      <w:pPr>
        <w:ind w:left="6480" w:hanging="360"/>
      </w:pPr>
      <w:rPr>
        <w:rFonts w:ascii="Wingdings" w:hAnsi="Wingdings" w:hint="default"/>
      </w:rPr>
    </w:lvl>
  </w:abstractNum>
  <w:abstractNum w:abstractNumId="43" w15:restartNumberingAfterBreak="0">
    <w:nsid w:val="71CC6022"/>
    <w:multiLevelType w:val="multilevel"/>
    <w:tmpl w:val="70CA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819D0"/>
    <w:multiLevelType w:val="multilevel"/>
    <w:tmpl w:val="DBA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7"/>
  </w:num>
  <w:num w:numId="14">
    <w:abstractNumId w:val="14"/>
  </w:num>
  <w:num w:numId="15">
    <w:abstractNumId w:val="23"/>
  </w:num>
  <w:num w:numId="16">
    <w:abstractNumId w:val="18"/>
  </w:num>
  <w:num w:numId="17">
    <w:abstractNumId w:val="38"/>
  </w:num>
  <w:num w:numId="18">
    <w:abstractNumId w:val="29"/>
  </w:num>
  <w:num w:numId="19">
    <w:abstractNumId w:val="41"/>
  </w:num>
  <w:num w:numId="20">
    <w:abstractNumId w:val="44"/>
  </w:num>
  <w:num w:numId="21">
    <w:abstractNumId w:val="36"/>
  </w:num>
  <w:num w:numId="22">
    <w:abstractNumId w:val="22"/>
  </w:num>
  <w:num w:numId="23">
    <w:abstractNumId w:val="19"/>
  </w:num>
  <w:num w:numId="24">
    <w:abstractNumId w:val="20"/>
  </w:num>
  <w:num w:numId="25">
    <w:abstractNumId w:val="13"/>
  </w:num>
  <w:num w:numId="26">
    <w:abstractNumId w:val="31"/>
  </w:num>
  <w:num w:numId="27">
    <w:abstractNumId w:val="30"/>
  </w:num>
  <w:num w:numId="28">
    <w:abstractNumId w:val="10"/>
  </w:num>
  <w:num w:numId="29">
    <w:abstractNumId w:val="44"/>
  </w:num>
  <w:num w:numId="30">
    <w:abstractNumId w:val="32"/>
  </w:num>
  <w:num w:numId="31">
    <w:abstractNumId w:val="12"/>
  </w:num>
  <w:num w:numId="32">
    <w:abstractNumId w:val="46"/>
  </w:num>
  <w:num w:numId="33">
    <w:abstractNumId w:val="44"/>
  </w:num>
  <w:num w:numId="34">
    <w:abstractNumId w:val="11"/>
  </w:num>
  <w:num w:numId="35">
    <w:abstractNumId w:val="39"/>
  </w:num>
  <w:num w:numId="36">
    <w:abstractNumId w:val="33"/>
  </w:num>
  <w:num w:numId="37">
    <w:abstractNumId w:val="24"/>
  </w:num>
  <w:num w:numId="38">
    <w:abstractNumId w:val="28"/>
  </w:num>
  <w:num w:numId="39">
    <w:abstractNumId w:val="15"/>
  </w:num>
  <w:num w:numId="40">
    <w:abstractNumId w:val="26"/>
  </w:num>
  <w:num w:numId="41">
    <w:abstractNumId w:val="27"/>
  </w:num>
  <w:num w:numId="42">
    <w:abstractNumId w:val="45"/>
  </w:num>
  <w:num w:numId="43">
    <w:abstractNumId w:val="25"/>
  </w:num>
  <w:num w:numId="44">
    <w:abstractNumId w:val="16"/>
  </w:num>
  <w:num w:numId="45">
    <w:abstractNumId w:val="21"/>
  </w:num>
  <w:num w:numId="46">
    <w:abstractNumId w:val="35"/>
  </w:num>
  <w:num w:numId="47">
    <w:abstractNumId w:val="43"/>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1295"/>
    <w:rsid w:val="0000209D"/>
    <w:rsid w:val="00002566"/>
    <w:rsid w:val="00002AE5"/>
    <w:rsid w:val="00002D0D"/>
    <w:rsid w:val="0000370A"/>
    <w:rsid w:val="00003849"/>
    <w:rsid w:val="00003AAE"/>
    <w:rsid w:val="00003F5C"/>
    <w:rsid w:val="00004D5A"/>
    <w:rsid w:val="00004EA4"/>
    <w:rsid w:val="00005219"/>
    <w:rsid w:val="000056D5"/>
    <w:rsid w:val="00005D9E"/>
    <w:rsid w:val="000063D5"/>
    <w:rsid w:val="00006625"/>
    <w:rsid w:val="00006ABD"/>
    <w:rsid w:val="00006B67"/>
    <w:rsid w:val="00006BF3"/>
    <w:rsid w:val="00006C0B"/>
    <w:rsid w:val="000073A0"/>
    <w:rsid w:val="00007656"/>
    <w:rsid w:val="0000767A"/>
    <w:rsid w:val="00007ABE"/>
    <w:rsid w:val="00007D73"/>
    <w:rsid w:val="00010107"/>
    <w:rsid w:val="00010256"/>
    <w:rsid w:val="00010702"/>
    <w:rsid w:val="00010A2C"/>
    <w:rsid w:val="0001128E"/>
    <w:rsid w:val="00011912"/>
    <w:rsid w:val="000122C2"/>
    <w:rsid w:val="000129B7"/>
    <w:rsid w:val="000137BD"/>
    <w:rsid w:val="0001387D"/>
    <w:rsid w:val="00014715"/>
    <w:rsid w:val="00014ED0"/>
    <w:rsid w:val="00016420"/>
    <w:rsid w:val="00016BDB"/>
    <w:rsid w:val="00017B01"/>
    <w:rsid w:val="000200BE"/>
    <w:rsid w:val="000205D1"/>
    <w:rsid w:val="000209A4"/>
    <w:rsid w:val="00020F22"/>
    <w:rsid w:val="000210C0"/>
    <w:rsid w:val="0002195D"/>
    <w:rsid w:val="00021B76"/>
    <w:rsid w:val="00021D2F"/>
    <w:rsid w:val="00021DD9"/>
    <w:rsid w:val="00021E39"/>
    <w:rsid w:val="00021F9B"/>
    <w:rsid w:val="0002248B"/>
    <w:rsid w:val="000228AE"/>
    <w:rsid w:val="000233D1"/>
    <w:rsid w:val="000234D6"/>
    <w:rsid w:val="00023D29"/>
    <w:rsid w:val="00024348"/>
    <w:rsid w:val="00024377"/>
    <w:rsid w:val="00025C85"/>
    <w:rsid w:val="00026109"/>
    <w:rsid w:val="0002622B"/>
    <w:rsid w:val="000262B5"/>
    <w:rsid w:val="00026389"/>
    <w:rsid w:val="0002669F"/>
    <w:rsid w:val="000279E5"/>
    <w:rsid w:val="000305E0"/>
    <w:rsid w:val="00031AE0"/>
    <w:rsid w:val="00031BB2"/>
    <w:rsid w:val="000322EF"/>
    <w:rsid w:val="00032C3C"/>
    <w:rsid w:val="00033FCD"/>
    <w:rsid w:val="000348AF"/>
    <w:rsid w:val="00034B70"/>
    <w:rsid w:val="00034DF7"/>
    <w:rsid w:val="00034E58"/>
    <w:rsid w:val="00034E68"/>
    <w:rsid w:val="000350C8"/>
    <w:rsid w:val="000351E0"/>
    <w:rsid w:val="00036195"/>
    <w:rsid w:val="000366CD"/>
    <w:rsid w:val="000374B2"/>
    <w:rsid w:val="000376C0"/>
    <w:rsid w:val="00037D64"/>
    <w:rsid w:val="000400BD"/>
    <w:rsid w:val="000403A7"/>
    <w:rsid w:val="00040632"/>
    <w:rsid w:val="00040D93"/>
    <w:rsid w:val="00040EE0"/>
    <w:rsid w:val="00040F4C"/>
    <w:rsid w:val="00041AFC"/>
    <w:rsid w:val="00041CEC"/>
    <w:rsid w:val="00041D02"/>
    <w:rsid w:val="0004219A"/>
    <w:rsid w:val="00042596"/>
    <w:rsid w:val="00042A4A"/>
    <w:rsid w:val="00043033"/>
    <w:rsid w:val="00044183"/>
    <w:rsid w:val="0004431D"/>
    <w:rsid w:val="00044906"/>
    <w:rsid w:val="00044AAC"/>
    <w:rsid w:val="00046514"/>
    <w:rsid w:val="0004694F"/>
    <w:rsid w:val="00046CFC"/>
    <w:rsid w:val="00046F12"/>
    <w:rsid w:val="00046F2F"/>
    <w:rsid w:val="000472CA"/>
    <w:rsid w:val="00047AD4"/>
    <w:rsid w:val="00047D54"/>
    <w:rsid w:val="0005033D"/>
    <w:rsid w:val="00050541"/>
    <w:rsid w:val="0005054A"/>
    <w:rsid w:val="0005087F"/>
    <w:rsid w:val="00050A87"/>
    <w:rsid w:val="00051506"/>
    <w:rsid w:val="00051810"/>
    <w:rsid w:val="000522E4"/>
    <w:rsid w:val="00053713"/>
    <w:rsid w:val="0005434E"/>
    <w:rsid w:val="00054793"/>
    <w:rsid w:val="00054ED8"/>
    <w:rsid w:val="00055CB6"/>
    <w:rsid w:val="00055E2F"/>
    <w:rsid w:val="0005691D"/>
    <w:rsid w:val="0005704A"/>
    <w:rsid w:val="000572DD"/>
    <w:rsid w:val="00057B1E"/>
    <w:rsid w:val="00057CBA"/>
    <w:rsid w:val="00057EC1"/>
    <w:rsid w:val="0006033F"/>
    <w:rsid w:val="00060382"/>
    <w:rsid w:val="000610E1"/>
    <w:rsid w:val="000616AD"/>
    <w:rsid w:val="000620AE"/>
    <w:rsid w:val="00062113"/>
    <w:rsid w:val="000622A6"/>
    <w:rsid w:val="00062405"/>
    <w:rsid w:val="00062A71"/>
    <w:rsid w:val="00062D70"/>
    <w:rsid w:val="00062EC5"/>
    <w:rsid w:val="00062F22"/>
    <w:rsid w:val="00063975"/>
    <w:rsid w:val="00063CEA"/>
    <w:rsid w:val="00064013"/>
    <w:rsid w:val="0006444D"/>
    <w:rsid w:val="000645FC"/>
    <w:rsid w:val="00065296"/>
    <w:rsid w:val="0006533F"/>
    <w:rsid w:val="00065348"/>
    <w:rsid w:val="00065423"/>
    <w:rsid w:val="0006551C"/>
    <w:rsid w:val="0006558D"/>
    <w:rsid w:val="00065A75"/>
    <w:rsid w:val="000663F0"/>
    <w:rsid w:val="00066558"/>
    <w:rsid w:val="000671DB"/>
    <w:rsid w:val="00067363"/>
    <w:rsid w:val="00067982"/>
    <w:rsid w:val="00070A87"/>
    <w:rsid w:val="000712B3"/>
    <w:rsid w:val="00071A7C"/>
    <w:rsid w:val="00071B5D"/>
    <w:rsid w:val="00071E38"/>
    <w:rsid w:val="00072FF5"/>
    <w:rsid w:val="00073A5A"/>
    <w:rsid w:val="00073B01"/>
    <w:rsid w:val="0007474E"/>
    <w:rsid w:val="00074988"/>
    <w:rsid w:val="00075068"/>
    <w:rsid w:val="0007512B"/>
    <w:rsid w:val="00075551"/>
    <w:rsid w:val="000758F0"/>
    <w:rsid w:val="000763A1"/>
    <w:rsid w:val="000767F5"/>
    <w:rsid w:val="00076D90"/>
    <w:rsid w:val="0007735D"/>
    <w:rsid w:val="00077714"/>
    <w:rsid w:val="00077BB3"/>
    <w:rsid w:val="00077FF0"/>
    <w:rsid w:val="00081A55"/>
    <w:rsid w:val="00081BB4"/>
    <w:rsid w:val="00081EBA"/>
    <w:rsid w:val="0008263E"/>
    <w:rsid w:val="00082C19"/>
    <w:rsid w:val="00082F89"/>
    <w:rsid w:val="00083457"/>
    <w:rsid w:val="000834ED"/>
    <w:rsid w:val="000837CD"/>
    <w:rsid w:val="00083B7F"/>
    <w:rsid w:val="000842DB"/>
    <w:rsid w:val="000845BB"/>
    <w:rsid w:val="00084BFF"/>
    <w:rsid w:val="000851A9"/>
    <w:rsid w:val="00085395"/>
    <w:rsid w:val="00086896"/>
    <w:rsid w:val="00086AC1"/>
    <w:rsid w:val="00086D19"/>
    <w:rsid w:val="00087634"/>
    <w:rsid w:val="00087F2B"/>
    <w:rsid w:val="00090694"/>
    <w:rsid w:val="0009098B"/>
    <w:rsid w:val="00090EE2"/>
    <w:rsid w:val="00090FC6"/>
    <w:rsid w:val="0009122C"/>
    <w:rsid w:val="000913B1"/>
    <w:rsid w:val="0009290F"/>
    <w:rsid w:val="00092F51"/>
    <w:rsid w:val="00093093"/>
    <w:rsid w:val="00093241"/>
    <w:rsid w:val="000934D5"/>
    <w:rsid w:val="00093868"/>
    <w:rsid w:val="0009445D"/>
    <w:rsid w:val="00094A84"/>
    <w:rsid w:val="00095025"/>
    <w:rsid w:val="00095135"/>
    <w:rsid w:val="00095152"/>
    <w:rsid w:val="00095A60"/>
    <w:rsid w:val="0009626E"/>
    <w:rsid w:val="0009644D"/>
    <w:rsid w:val="0009653A"/>
    <w:rsid w:val="0009704A"/>
    <w:rsid w:val="00097191"/>
    <w:rsid w:val="000974D1"/>
    <w:rsid w:val="00097784"/>
    <w:rsid w:val="0009799E"/>
    <w:rsid w:val="000A07CB"/>
    <w:rsid w:val="000A0BC0"/>
    <w:rsid w:val="000A0CD8"/>
    <w:rsid w:val="000A1183"/>
    <w:rsid w:val="000A12ED"/>
    <w:rsid w:val="000A1D49"/>
    <w:rsid w:val="000A212B"/>
    <w:rsid w:val="000A242D"/>
    <w:rsid w:val="000A256D"/>
    <w:rsid w:val="000A2643"/>
    <w:rsid w:val="000A2778"/>
    <w:rsid w:val="000A288C"/>
    <w:rsid w:val="000A2E5F"/>
    <w:rsid w:val="000A385C"/>
    <w:rsid w:val="000A3A2C"/>
    <w:rsid w:val="000A3D9E"/>
    <w:rsid w:val="000A3FD4"/>
    <w:rsid w:val="000A4A54"/>
    <w:rsid w:val="000A4ED9"/>
    <w:rsid w:val="000A55C4"/>
    <w:rsid w:val="000A5858"/>
    <w:rsid w:val="000A589E"/>
    <w:rsid w:val="000A5DB7"/>
    <w:rsid w:val="000A6254"/>
    <w:rsid w:val="000A629B"/>
    <w:rsid w:val="000A6753"/>
    <w:rsid w:val="000A6D94"/>
    <w:rsid w:val="000A72BC"/>
    <w:rsid w:val="000A7377"/>
    <w:rsid w:val="000A74A4"/>
    <w:rsid w:val="000A74BB"/>
    <w:rsid w:val="000A76E0"/>
    <w:rsid w:val="000A775A"/>
    <w:rsid w:val="000A79B3"/>
    <w:rsid w:val="000A7D63"/>
    <w:rsid w:val="000A7FF4"/>
    <w:rsid w:val="000B03CC"/>
    <w:rsid w:val="000B1A37"/>
    <w:rsid w:val="000B25DA"/>
    <w:rsid w:val="000B28BD"/>
    <w:rsid w:val="000B3D72"/>
    <w:rsid w:val="000B4212"/>
    <w:rsid w:val="000B4309"/>
    <w:rsid w:val="000B4461"/>
    <w:rsid w:val="000B51CC"/>
    <w:rsid w:val="000B52D8"/>
    <w:rsid w:val="000B67B7"/>
    <w:rsid w:val="000B6A0A"/>
    <w:rsid w:val="000B75A7"/>
    <w:rsid w:val="000C0127"/>
    <w:rsid w:val="000C0190"/>
    <w:rsid w:val="000C0CA6"/>
    <w:rsid w:val="000C0EA8"/>
    <w:rsid w:val="000C13A2"/>
    <w:rsid w:val="000C1BF6"/>
    <w:rsid w:val="000C21E7"/>
    <w:rsid w:val="000C23EC"/>
    <w:rsid w:val="000C26A2"/>
    <w:rsid w:val="000C290E"/>
    <w:rsid w:val="000C30C3"/>
    <w:rsid w:val="000C3330"/>
    <w:rsid w:val="000C3408"/>
    <w:rsid w:val="000C3422"/>
    <w:rsid w:val="000C35AB"/>
    <w:rsid w:val="000C3F7B"/>
    <w:rsid w:val="000C4769"/>
    <w:rsid w:val="000C4D56"/>
    <w:rsid w:val="000C52FC"/>
    <w:rsid w:val="000C5DFA"/>
    <w:rsid w:val="000C6AFD"/>
    <w:rsid w:val="000C6C90"/>
    <w:rsid w:val="000C72B7"/>
    <w:rsid w:val="000C735A"/>
    <w:rsid w:val="000C77CF"/>
    <w:rsid w:val="000C7A79"/>
    <w:rsid w:val="000D0A26"/>
    <w:rsid w:val="000D0D18"/>
    <w:rsid w:val="000D127B"/>
    <w:rsid w:val="000D13CB"/>
    <w:rsid w:val="000D2196"/>
    <w:rsid w:val="000D2C2E"/>
    <w:rsid w:val="000D3058"/>
    <w:rsid w:val="000D310A"/>
    <w:rsid w:val="000D3EF4"/>
    <w:rsid w:val="000D4497"/>
    <w:rsid w:val="000D4761"/>
    <w:rsid w:val="000D4DC0"/>
    <w:rsid w:val="000D4E8E"/>
    <w:rsid w:val="000D55BA"/>
    <w:rsid w:val="000D5637"/>
    <w:rsid w:val="000D585E"/>
    <w:rsid w:val="000D5A03"/>
    <w:rsid w:val="000D5ED3"/>
    <w:rsid w:val="000D6A2D"/>
    <w:rsid w:val="000D6F4E"/>
    <w:rsid w:val="000D6FDA"/>
    <w:rsid w:val="000D71A4"/>
    <w:rsid w:val="000D73BB"/>
    <w:rsid w:val="000D78F5"/>
    <w:rsid w:val="000D7AC7"/>
    <w:rsid w:val="000D7C6F"/>
    <w:rsid w:val="000E04FD"/>
    <w:rsid w:val="000E0E96"/>
    <w:rsid w:val="000E298B"/>
    <w:rsid w:val="000E2C7D"/>
    <w:rsid w:val="000E3E56"/>
    <w:rsid w:val="000E440D"/>
    <w:rsid w:val="000E4AC5"/>
    <w:rsid w:val="000E5B90"/>
    <w:rsid w:val="000E5DB7"/>
    <w:rsid w:val="000E6253"/>
    <w:rsid w:val="000E6AC4"/>
    <w:rsid w:val="000E6E4D"/>
    <w:rsid w:val="000E6FBD"/>
    <w:rsid w:val="000E6FCB"/>
    <w:rsid w:val="000F001C"/>
    <w:rsid w:val="000F00AA"/>
    <w:rsid w:val="000F0848"/>
    <w:rsid w:val="000F090B"/>
    <w:rsid w:val="000F0E42"/>
    <w:rsid w:val="000F15F7"/>
    <w:rsid w:val="000F1AA2"/>
    <w:rsid w:val="000F378E"/>
    <w:rsid w:val="000F3B71"/>
    <w:rsid w:val="000F3F3B"/>
    <w:rsid w:val="000F45A2"/>
    <w:rsid w:val="000F4721"/>
    <w:rsid w:val="000F47E8"/>
    <w:rsid w:val="000F4C6D"/>
    <w:rsid w:val="000F4E9C"/>
    <w:rsid w:val="000F60E1"/>
    <w:rsid w:val="000F70E4"/>
    <w:rsid w:val="000F7269"/>
    <w:rsid w:val="000F76EA"/>
    <w:rsid w:val="000F7C7E"/>
    <w:rsid w:val="001005BD"/>
    <w:rsid w:val="00100A8B"/>
    <w:rsid w:val="00100F5C"/>
    <w:rsid w:val="00101B15"/>
    <w:rsid w:val="00101BF3"/>
    <w:rsid w:val="00101CDA"/>
    <w:rsid w:val="00102037"/>
    <w:rsid w:val="0010228E"/>
    <w:rsid w:val="0010343F"/>
    <w:rsid w:val="00103DCB"/>
    <w:rsid w:val="00104C4C"/>
    <w:rsid w:val="00105015"/>
    <w:rsid w:val="001050E8"/>
    <w:rsid w:val="0010544F"/>
    <w:rsid w:val="001055D2"/>
    <w:rsid w:val="001057C2"/>
    <w:rsid w:val="00106BCC"/>
    <w:rsid w:val="00107124"/>
    <w:rsid w:val="001074C0"/>
    <w:rsid w:val="00107B0A"/>
    <w:rsid w:val="0011038E"/>
    <w:rsid w:val="0011055D"/>
    <w:rsid w:val="001112D2"/>
    <w:rsid w:val="001112DD"/>
    <w:rsid w:val="00111573"/>
    <w:rsid w:val="00112370"/>
    <w:rsid w:val="0011239B"/>
    <w:rsid w:val="001125EF"/>
    <w:rsid w:val="00112919"/>
    <w:rsid w:val="00112CAB"/>
    <w:rsid w:val="00112CEB"/>
    <w:rsid w:val="00113A77"/>
    <w:rsid w:val="0011440C"/>
    <w:rsid w:val="0011456E"/>
    <w:rsid w:val="00114C33"/>
    <w:rsid w:val="00114D5B"/>
    <w:rsid w:val="00114E3A"/>
    <w:rsid w:val="001150CE"/>
    <w:rsid w:val="001154D8"/>
    <w:rsid w:val="00115AA5"/>
    <w:rsid w:val="00115DD6"/>
    <w:rsid w:val="00116D3F"/>
    <w:rsid w:val="00117474"/>
    <w:rsid w:val="00117623"/>
    <w:rsid w:val="00117FEA"/>
    <w:rsid w:val="001200CF"/>
    <w:rsid w:val="001202B0"/>
    <w:rsid w:val="001208E3"/>
    <w:rsid w:val="001211F9"/>
    <w:rsid w:val="00121609"/>
    <w:rsid w:val="00121735"/>
    <w:rsid w:val="0012192F"/>
    <w:rsid w:val="001223CD"/>
    <w:rsid w:val="00122994"/>
    <w:rsid w:val="00123204"/>
    <w:rsid w:val="001238F5"/>
    <w:rsid w:val="00123C7D"/>
    <w:rsid w:val="00124B46"/>
    <w:rsid w:val="001257BE"/>
    <w:rsid w:val="001257E0"/>
    <w:rsid w:val="00125D69"/>
    <w:rsid w:val="00127263"/>
    <w:rsid w:val="0012799C"/>
    <w:rsid w:val="00127BC2"/>
    <w:rsid w:val="00127E15"/>
    <w:rsid w:val="00130654"/>
    <w:rsid w:val="001308F1"/>
    <w:rsid w:val="00130ACD"/>
    <w:rsid w:val="00130ADC"/>
    <w:rsid w:val="00130D9F"/>
    <w:rsid w:val="00132C4D"/>
    <w:rsid w:val="00133FC1"/>
    <w:rsid w:val="00134659"/>
    <w:rsid w:val="00135111"/>
    <w:rsid w:val="00135376"/>
    <w:rsid w:val="00136175"/>
    <w:rsid w:val="0013689F"/>
    <w:rsid w:val="00136A6F"/>
    <w:rsid w:val="00136C1A"/>
    <w:rsid w:val="001371E1"/>
    <w:rsid w:val="00137812"/>
    <w:rsid w:val="00137DE5"/>
    <w:rsid w:val="00137F06"/>
    <w:rsid w:val="001405FA"/>
    <w:rsid w:val="00140802"/>
    <w:rsid w:val="00140D1A"/>
    <w:rsid w:val="00141184"/>
    <w:rsid w:val="00141315"/>
    <w:rsid w:val="0014152B"/>
    <w:rsid w:val="00141740"/>
    <w:rsid w:val="00141AA0"/>
    <w:rsid w:val="00141AE4"/>
    <w:rsid w:val="001425C3"/>
    <w:rsid w:val="0014262D"/>
    <w:rsid w:val="00142B29"/>
    <w:rsid w:val="00143EED"/>
    <w:rsid w:val="00144108"/>
    <w:rsid w:val="00144440"/>
    <w:rsid w:val="00144588"/>
    <w:rsid w:val="001447DD"/>
    <w:rsid w:val="00145358"/>
    <w:rsid w:val="001459BC"/>
    <w:rsid w:val="00145B0F"/>
    <w:rsid w:val="00146B27"/>
    <w:rsid w:val="00146F76"/>
    <w:rsid w:val="0014779E"/>
    <w:rsid w:val="00147B13"/>
    <w:rsid w:val="001500D8"/>
    <w:rsid w:val="00150384"/>
    <w:rsid w:val="001504BA"/>
    <w:rsid w:val="00150860"/>
    <w:rsid w:val="001509D4"/>
    <w:rsid w:val="00150ECA"/>
    <w:rsid w:val="0015108F"/>
    <w:rsid w:val="00151707"/>
    <w:rsid w:val="0015218F"/>
    <w:rsid w:val="00152C86"/>
    <w:rsid w:val="00152EBC"/>
    <w:rsid w:val="00152F4F"/>
    <w:rsid w:val="00153264"/>
    <w:rsid w:val="0015329F"/>
    <w:rsid w:val="00154286"/>
    <w:rsid w:val="001544A1"/>
    <w:rsid w:val="00154CA1"/>
    <w:rsid w:val="001553B8"/>
    <w:rsid w:val="001554C2"/>
    <w:rsid w:val="00155571"/>
    <w:rsid w:val="00156D04"/>
    <w:rsid w:val="001571C0"/>
    <w:rsid w:val="001574FE"/>
    <w:rsid w:val="0015753D"/>
    <w:rsid w:val="00157984"/>
    <w:rsid w:val="00157CC9"/>
    <w:rsid w:val="001609AE"/>
    <w:rsid w:val="00160C21"/>
    <w:rsid w:val="001612DB"/>
    <w:rsid w:val="001612F4"/>
    <w:rsid w:val="00161553"/>
    <w:rsid w:val="0016216F"/>
    <w:rsid w:val="0016256B"/>
    <w:rsid w:val="00162F81"/>
    <w:rsid w:val="00163660"/>
    <w:rsid w:val="00163793"/>
    <w:rsid w:val="00163868"/>
    <w:rsid w:val="00164CA1"/>
    <w:rsid w:val="00165313"/>
    <w:rsid w:val="001659C3"/>
    <w:rsid w:val="00165DC6"/>
    <w:rsid w:val="00166593"/>
    <w:rsid w:val="001665AB"/>
    <w:rsid w:val="00166A55"/>
    <w:rsid w:val="00166D80"/>
    <w:rsid w:val="00167485"/>
    <w:rsid w:val="00167809"/>
    <w:rsid w:val="001679F5"/>
    <w:rsid w:val="00167B92"/>
    <w:rsid w:val="00167CB9"/>
    <w:rsid w:val="00167DD8"/>
    <w:rsid w:val="001705AD"/>
    <w:rsid w:val="001706D6"/>
    <w:rsid w:val="00170CFD"/>
    <w:rsid w:val="00170F1A"/>
    <w:rsid w:val="001714F2"/>
    <w:rsid w:val="00171FEA"/>
    <w:rsid w:val="00172F60"/>
    <w:rsid w:val="00173622"/>
    <w:rsid w:val="00173D32"/>
    <w:rsid w:val="0017448A"/>
    <w:rsid w:val="00174ED1"/>
    <w:rsid w:val="00175B9F"/>
    <w:rsid w:val="001762F4"/>
    <w:rsid w:val="001765D1"/>
    <w:rsid w:val="001777BA"/>
    <w:rsid w:val="00180DA4"/>
    <w:rsid w:val="00181029"/>
    <w:rsid w:val="00181276"/>
    <w:rsid w:val="00181BBC"/>
    <w:rsid w:val="00182D75"/>
    <w:rsid w:val="0018385F"/>
    <w:rsid w:val="00183BCF"/>
    <w:rsid w:val="00184017"/>
    <w:rsid w:val="001847BB"/>
    <w:rsid w:val="00184B08"/>
    <w:rsid w:val="00185010"/>
    <w:rsid w:val="001854F2"/>
    <w:rsid w:val="00185C22"/>
    <w:rsid w:val="00186A7F"/>
    <w:rsid w:val="00186BA9"/>
    <w:rsid w:val="00186FB2"/>
    <w:rsid w:val="00187D50"/>
    <w:rsid w:val="00190B4D"/>
    <w:rsid w:val="0019123D"/>
    <w:rsid w:val="0019196C"/>
    <w:rsid w:val="00191F6B"/>
    <w:rsid w:val="001926A9"/>
    <w:rsid w:val="00192BA8"/>
    <w:rsid w:val="00192F05"/>
    <w:rsid w:val="00194024"/>
    <w:rsid w:val="00194729"/>
    <w:rsid w:val="00194850"/>
    <w:rsid w:val="00195234"/>
    <w:rsid w:val="00195EA6"/>
    <w:rsid w:val="00196016"/>
    <w:rsid w:val="00196117"/>
    <w:rsid w:val="00197A70"/>
    <w:rsid w:val="00197A8B"/>
    <w:rsid w:val="00197C0F"/>
    <w:rsid w:val="00197D0E"/>
    <w:rsid w:val="001A0487"/>
    <w:rsid w:val="001A0675"/>
    <w:rsid w:val="001A0A37"/>
    <w:rsid w:val="001A164B"/>
    <w:rsid w:val="001A1F68"/>
    <w:rsid w:val="001A21FA"/>
    <w:rsid w:val="001A28C9"/>
    <w:rsid w:val="001A3474"/>
    <w:rsid w:val="001A422F"/>
    <w:rsid w:val="001A4A73"/>
    <w:rsid w:val="001A4D7C"/>
    <w:rsid w:val="001A4EF0"/>
    <w:rsid w:val="001A552F"/>
    <w:rsid w:val="001A5CB7"/>
    <w:rsid w:val="001A6042"/>
    <w:rsid w:val="001A6A14"/>
    <w:rsid w:val="001A6F58"/>
    <w:rsid w:val="001A70B1"/>
    <w:rsid w:val="001A7672"/>
    <w:rsid w:val="001B0738"/>
    <w:rsid w:val="001B1235"/>
    <w:rsid w:val="001B158D"/>
    <w:rsid w:val="001B1BBB"/>
    <w:rsid w:val="001B2CA9"/>
    <w:rsid w:val="001B3110"/>
    <w:rsid w:val="001B3328"/>
    <w:rsid w:val="001B37CA"/>
    <w:rsid w:val="001B3E38"/>
    <w:rsid w:val="001B40F5"/>
    <w:rsid w:val="001B4729"/>
    <w:rsid w:val="001B4DF6"/>
    <w:rsid w:val="001B4F0E"/>
    <w:rsid w:val="001B5292"/>
    <w:rsid w:val="001B5F40"/>
    <w:rsid w:val="001B6310"/>
    <w:rsid w:val="001B6C09"/>
    <w:rsid w:val="001B6E12"/>
    <w:rsid w:val="001B7A58"/>
    <w:rsid w:val="001B7E67"/>
    <w:rsid w:val="001B7FAD"/>
    <w:rsid w:val="001C05CD"/>
    <w:rsid w:val="001C082B"/>
    <w:rsid w:val="001C0F17"/>
    <w:rsid w:val="001C11A6"/>
    <w:rsid w:val="001C1B24"/>
    <w:rsid w:val="001C1B66"/>
    <w:rsid w:val="001C1BB5"/>
    <w:rsid w:val="001C1C72"/>
    <w:rsid w:val="001C24A7"/>
    <w:rsid w:val="001C24BB"/>
    <w:rsid w:val="001C2732"/>
    <w:rsid w:val="001C31A2"/>
    <w:rsid w:val="001C351D"/>
    <w:rsid w:val="001C3794"/>
    <w:rsid w:val="001C3855"/>
    <w:rsid w:val="001C41C1"/>
    <w:rsid w:val="001C4ABB"/>
    <w:rsid w:val="001C4B8F"/>
    <w:rsid w:val="001C4BB8"/>
    <w:rsid w:val="001C4D8C"/>
    <w:rsid w:val="001C4FD0"/>
    <w:rsid w:val="001C544D"/>
    <w:rsid w:val="001C5E46"/>
    <w:rsid w:val="001C6AB8"/>
    <w:rsid w:val="001C6B3B"/>
    <w:rsid w:val="001C7A26"/>
    <w:rsid w:val="001C7E3F"/>
    <w:rsid w:val="001D0EF1"/>
    <w:rsid w:val="001D0F32"/>
    <w:rsid w:val="001D16D0"/>
    <w:rsid w:val="001D1A44"/>
    <w:rsid w:val="001D1C56"/>
    <w:rsid w:val="001D1D2C"/>
    <w:rsid w:val="001D22C2"/>
    <w:rsid w:val="001D2C99"/>
    <w:rsid w:val="001D2FE3"/>
    <w:rsid w:val="001D3A7F"/>
    <w:rsid w:val="001D3B75"/>
    <w:rsid w:val="001D452E"/>
    <w:rsid w:val="001D54C1"/>
    <w:rsid w:val="001D556E"/>
    <w:rsid w:val="001D5DF2"/>
    <w:rsid w:val="001D6175"/>
    <w:rsid w:val="001D68B2"/>
    <w:rsid w:val="001D6B3F"/>
    <w:rsid w:val="001D6FE1"/>
    <w:rsid w:val="001D759D"/>
    <w:rsid w:val="001D7EFD"/>
    <w:rsid w:val="001D7F60"/>
    <w:rsid w:val="001E085B"/>
    <w:rsid w:val="001E0CAA"/>
    <w:rsid w:val="001E149B"/>
    <w:rsid w:val="001E155C"/>
    <w:rsid w:val="001E15CB"/>
    <w:rsid w:val="001E18A0"/>
    <w:rsid w:val="001E1AF1"/>
    <w:rsid w:val="001E297E"/>
    <w:rsid w:val="001E3306"/>
    <w:rsid w:val="001E34DC"/>
    <w:rsid w:val="001E3802"/>
    <w:rsid w:val="001E40B1"/>
    <w:rsid w:val="001E504C"/>
    <w:rsid w:val="001E52DE"/>
    <w:rsid w:val="001E56AC"/>
    <w:rsid w:val="001E5A17"/>
    <w:rsid w:val="001E6441"/>
    <w:rsid w:val="001E6B52"/>
    <w:rsid w:val="001E74C5"/>
    <w:rsid w:val="001F0A97"/>
    <w:rsid w:val="001F1236"/>
    <w:rsid w:val="001F18F2"/>
    <w:rsid w:val="001F2F90"/>
    <w:rsid w:val="001F3021"/>
    <w:rsid w:val="001F3C7C"/>
    <w:rsid w:val="001F4597"/>
    <w:rsid w:val="001F4826"/>
    <w:rsid w:val="001F4933"/>
    <w:rsid w:val="001F5918"/>
    <w:rsid w:val="001F59C8"/>
    <w:rsid w:val="001F5E33"/>
    <w:rsid w:val="001F6483"/>
    <w:rsid w:val="001F6CD3"/>
    <w:rsid w:val="001F75DA"/>
    <w:rsid w:val="001F7931"/>
    <w:rsid w:val="001F7CE0"/>
    <w:rsid w:val="00200085"/>
    <w:rsid w:val="002007D3"/>
    <w:rsid w:val="00201633"/>
    <w:rsid w:val="002019B5"/>
    <w:rsid w:val="00203332"/>
    <w:rsid w:val="002036E6"/>
    <w:rsid w:val="002038E8"/>
    <w:rsid w:val="00203CD5"/>
    <w:rsid w:val="00203D8F"/>
    <w:rsid w:val="00203DA4"/>
    <w:rsid w:val="0020460A"/>
    <w:rsid w:val="00204EA6"/>
    <w:rsid w:val="00205019"/>
    <w:rsid w:val="00205186"/>
    <w:rsid w:val="002062DE"/>
    <w:rsid w:val="00206516"/>
    <w:rsid w:val="00206598"/>
    <w:rsid w:val="002070CF"/>
    <w:rsid w:val="002071D5"/>
    <w:rsid w:val="002073FD"/>
    <w:rsid w:val="00207414"/>
    <w:rsid w:val="00207AB0"/>
    <w:rsid w:val="00207B33"/>
    <w:rsid w:val="00207E73"/>
    <w:rsid w:val="002102F8"/>
    <w:rsid w:val="002110EC"/>
    <w:rsid w:val="002111E5"/>
    <w:rsid w:val="0021149E"/>
    <w:rsid w:val="0021173B"/>
    <w:rsid w:val="002118B9"/>
    <w:rsid w:val="00211CFD"/>
    <w:rsid w:val="002125DC"/>
    <w:rsid w:val="00213691"/>
    <w:rsid w:val="002142C0"/>
    <w:rsid w:val="00214853"/>
    <w:rsid w:val="00215388"/>
    <w:rsid w:val="002165A2"/>
    <w:rsid w:val="00217993"/>
    <w:rsid w:val="00217BED"/>
    <w:rsid w:val="00217C5B"/>
    <w:rsid w:val="00217CC3"/>
    <w:rsid w:val="00220128"/>
    <w:rsid w:val="00220362"/>
    <w:rsid w:val="00220989"/>
    <w:rsid w:val="00220A43"/>
    <w:rsid w:val="0022139E"/>
    <w:rsid w:val="00222312"/>
    <w:rsid w:val="00222729"/>
    <w:rsid w:val="0022287B"/>
    <w:rsid w:val="002228DB"/>
    <w:rsid w:val="00223185"/>
    <w:rsid w:val="00223264"/>
    <w:rsid w:val="002233D6"/>
    <w:rsid w:val="00223E20"/>
    <w:rsid w:val="00224335"/>
    <w:rsid w:val="0022441D"/>
    <w:rsid w:val="00224574"/>
    <w:rsid w:val="00224BB6"/>
    <w:rsid w:val="00224E3F"/>
    <w:rsid w:val="00225000"/>
    <w:rsid w:val="0022521D"/>
    <w:rsid w:val="002252E0"/>
    <w:rsid w:val="00225396"/>
    <w:rsid w:val="002255F6"/>
    <w:rsid w:val="00225B43"/>
    <w:rsid w:val="00226032"/>
    <w:rsid w:val="002267F7"/>
    <w:rsid w:val="0022738D"/>
    <w:rsid w:val="00227605"/>
    <w:rsid w:val="00227850"/>
    <w:rsid w:val="00227A53"/>
    <w:rsid w:val="00227C6C"/>
    <w:rsid w:val="00227E2E"/>
    <w:rsid w:val="00227F36"/>
    <w:rsid w:val="00227F53"/>
    <w:rsid w:val="00230AFA"/>
    <w:rsid w:val="00230C6E"/>
    <w:rsid w:val="00230E21"/>
    <w:rsid w:val="00231066"/>
    <w:rsid w:val="002316A8"/>
    <w:rsid w:val="00231855"/>
    <w:rsid w:val="00231859"/>
    <w:rsid w:val="002320C9"/>
    <w:rsid w:val="0023288F"/>
    <w:rsid w:val="0023290A"/>
    <w:rsid w:val="00232B6D"/>
    <w:rsid w:val="0023359B"/>
    <w:rsid w:val="00233603"/>
    <w:rsid w:val="00233FE7"/>
    <w:rsid w:val="002340EF"/>
    <w:rsid w:val="00234B82"/>
    <w:rsid w:val="00236443"/>
    <w:rsid w:val="00236700"/>
    <w:rsid w:val="00236D2A"/>
    <w:rsid w:val="0023714F"/>
    <w:rsid w:val="00237C24"/>
    <w:rsid w:val="00237C8B"/>
    <w:rsid w:val="00240391"/>
    <w:rsid w:val="00240AF3"/>
    <w:rsid w:val="002418D5"/>
    <w:rsid w:val="00241A9F"/>
    <w:rsid w:val="00241B06"/>
    <w:rsid w:val="0024343A"/>
    <w:rsid w:val="002436BA"/>
    <w:rsid w:val="0024385F"/>
    <w:rsid w:val="002438DC"/>
    <w:rsid w:val="00244652"/>
    <w:rsid w:val="00244A15"/>
    <w:rsid w:val="00244BB9"/>
    <w:rsid w:val="002452D9"/>
    <w:rsid w:val="0024629B"/>
    <w:rsid w:val="0024649B"/>
    <w:rsid w:val="00246CAA"/>
    <w:rsid w:val="002470EB"/>
    <w:rsid w:val="00247319"/>
    <w:rsid w:val="0024799E"/>
    <w:rsid w:val="00247E60"/>
    <w:rsid w:val="00251001"/>
    <w:rsid w:val="002512B7"/>
    <w:rsid w:val="00251496"/>
    <w:rsid w:val="00251B08"/>
    <w:rsid w:val="00251C53"/>
    <w:rsid w:val="00251E6D"/>
    <w:rsid w:val="00252AB9"/>
    <w:rsid w:val="002532B1"/>
    <w:rsid w:val="00253952"/>
    <w:rsid w:val="00253C0F"/>
    <w:rsid w:val="00253F48"/>
    <w:rsid w:val="00254A01"/>
    <w:rsid w:val="00254FC3"/>
    <w:rsid w:val="00255452"/>
    <w:rsid w:val="002558C1"/>
    <w:rsid w:val="00256207"/>
    <w:rsid w:val="002565FC"/>
    <w:rsid w:val="002575F3"/>
    <w:rsid w:val="002601B4"/>
    <w:rsid w:val="00260374"/>
    <w:rsid w:val="002603E1"/>
    <w:rsid w:val="002605FE"/>
    <w:rsid w:val="0026120E"/>
    <w:rsid w:val="002617EE"/>
    <w:rsid w:val="00261DDB"/>
    <w:rsid w:val="00262582"/>
    <w:rsid w:val="0026291D"/>
    <w:rsid w:val="00262CF3"/>
    <w:rsid w:val="002632C6"/>
    <w:rsid w:val="002638DD"/>
    <w:rsid w:val="0026398B"/>
    <w:rsid w:val="00264309"/>
    <w:rsid w:val="00264992"/>
    <w:rsid w:val="00264B4F"/>
    <w:rsid w:val="00264B85"/>
    <w:rsid w:val="0026564B"/>
    <w:rsid w:val="00265C83"/>
    <w:rsid w:val="00265E85"/>
    <w:rsid w:val="00267B49"/>
    <w:rsid w:val="00267C51"/>
    <w:rsid w:val="002700D9"/>
    <w:rsid w:val="0027025F"/>
    <w:rsid w:val="002709CC"/>
    <w:rsid w:val="00270D25"/>
    <w:rsid w:val="00270D5D"/>
    <w:rsid w:val="00271022"/>
    <w:rsid w:val="00271389"/>
    <w:rsid w:val="00271465"/>
    <w:rsid w:val="00271A07"/>
    <w:rsid w:val="00271E47"/>
    <w:rsid w:val="00271E7B"/>
    <w:rsid w:val="002721F5"/>
    <w:rsid w:val="00272DF4"/>
    <w:rsid w:val="0027334D"/>
    <w:rsid w:val="002734AB"/>
    <w:rsid w:val="00273B51"/>
    <w:rsid w:val="00275062"/>
    <w:rsid w:val="002752AD"/>
    <w:rsid w:val="00275758"/>
    <w:rsid w:val="0027583D"/>
    <w:rsid w:val="002759C7"/>
    <w:rsid w:val="00275DEF"/>
    <w:rsid w:val="00275E0B"/>
    <w:rsid w:val="00275E43"/>
    <w:rsid w:val="0027609F"/>
    <w:rsid w:val="002763A2"/>
    <w:rsid w:val="002765D8"/>
    <w:rsid w:val="00276B33"/>
    <w:rsid w:val="00276FBB"/>
    <w:rsid w:val="002771D9"/>
    <w:rsid w:val="00277669"/>
    <w:rsid w:val="002778C8"/>
    <w:rsid w:val="002803A5"/>
    <w:rsid w:val="00280ACB"/>
    <w:rsid w:val="0028120B"/>
    <w:rsid w:val="002812E3"/>
    <w:rsid w:val="00281576"/>
    <w:rsid w:val="00282AD4"/>
    <w:rsid w:val="00282B3F"/>
    <w:rsid w:val="0028341F"/>
    <w:rsid w:val="002837AE"/>
    <w:rsid w:val="00283C13"/>
    <w:rsid w:val="00283F7B"/>
    <w:rsid w:val="0028405F"/>
    <w:rsid w:val="00284229"/>
    <w:rsid w:val="0028431A"/>
    <w:rsid w:val="002853FA"/>
    <w:rsid w:val="00285412"/>
    <w:rsid w:val="00286220"/>
    <w:rsid w:val="002868F0"/>
    <w:rsid w:val="00291043"/>
    <w:rsid w:val="0029110B"/>
    <w:rsid w:val="002915D0"/>
    <w:rsid w:val="00291640"/>
    <w:rsid w:val="0029237E"/>
    <w:rsid w:val="00292997"/>
    <w:rsid w:val="00292D82"/>
    <w:rsid w:val="00293D24"/>
    <w:rsid w:val="0029461A"/>
    <w:rsid w:val="00294977"/>
    <w:rsid w:val="00294A56"/>
    <w:rsid w:val="0029509B"/>
    <w:rsid w:val="00295369"/>
    <w:rsid w:val="0029588F"/>
    <w:rsid w:val="00295E96"/>
    <w:rsid w:val="00296878"/>
    <w:rsid w:val="00297256"/>
    <w:rsid w:val="00297560"/>
    <w:rsid w:val="00297A5C"/>
    <w:rsid w:val="00297D51"/>
    <w:rsid w:val="002A0044"/>
    <w:rsid w:val="002A0122"/>
    <w:rsid w:val="002A0132"/>
    <w:rsid w:val="002A016B"/>
    <w:rsid w:val="002A0D51"/>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6614"/>
    <w:rsid w:val="002A7089"/>
    <w:rsid w:val="002A70B9"/>
    <w:rsid w:val="002A7B05"/>
    <w:rsid w:val="002B060E"/>
    <w:rsid w:val="002B0692"/>
    <w:rsid w:val="002B1619"/>
    <w:rsid w:val="002B1AB8"/>
    <w:rsid w:val="002B3EF4"/>
    <w:rsid w:val="002B4845"/>
    <w:rsid w:val="002B5436"/>
    <w:rsid w:val="002B5567"/>
    <w:rsid w:val="002B5812"/>
    <w:rsid w:val="002B6D2D"/>
    <w:rsid w:val="002B72AA"/>
    <w:rsid w:val="002B75C0"/>
    <w:rsid w:val="002C0D7D"/>
    <w:rsid w:val="002C1110"/>
    <w:rsid w:val="002C1BC2"/>
    <w:rsid w:val="002C1F09"/>
    <w:rsid w:val="002C22A4"/>
    <w:rsid w:val="002C2551"/>
    <w:rsid w:val="002C260B"/>
    <w:rsid w:val="002C268F"/>
    <w:rsid w:val="002C27A6"/>
    <w:rsid w:val="002C31E4"/>
    <w:rsid w:val="002C398D"/>
    <w:rsid w:val="002C3B72"/>
    <w:rsid w:val="002C40D2"/>
    <w:rsid w:val="002C43BD"/>
    <w:rsid w:val="002C509F"/>
    <w:rsid w:val="002C5245"/>
    <w:rsid w:val="002C564A"/>
    <w:rsid w:val="002C59D8"/>
    <w:rsid w:val="002C5FEB"/>
    <w:rsid w:val="002C6494"/>
    <w:rsid w:val="002C64D1"/>
    <w:rsid w:val="002D05CB"/>
    <w:rsid w:val="002D0E59"/>
    <w:rsid w:val="002D191B"/>
    <w:rsid w:val="002D2380"/>
    <w:rsid w:val="002D25D3"/>
    <w:rsid w:val="002D26B8"/>
    <w:rsid w:val="002D2842"/>
    <w:rsid w:val="002D2C4F"/>
    <w:rsid w:val="002D2D0C"/>
    <w:rsid w:val="002D3A49"/>
    <w:rsid w:val="002D3EBB"/>
    <w:rsid w:val="002D40D0"/>
    <w:rsid w:val="002D4256"/>
    <w:rsid w:val="002D455C"/>
    <w:rsid w:val="002D495E"/>
    <w:rsid w:val="002D4AE8"/>
    <w:rsid w:val="002D6066"/>
    <w:rsid w:val="002D6A4C"/>
    <w:rsid w:val="002E02A1"/>
    <w:rsid w:val="002E1281"/>
    <w:rsid w:val="002E196A"/>
    <w:rsid w:val="002E1F8A"/>
    <w:rsid w:val="002E20C7"/>
    <w:rsid w:val="002E20CD"/>
    <w:rsid w:val="002E2137"/>
    <w:rsid w:val="002E222E"/>
    <w:rsid w:val="002E28D8"/>
    <w:rsid w:val="002E3080"/>
    <w:rsid w:val="002E3638"/>
    <w:rsid w:val="002E37D1"/>
    <w:rsid w:val="002E3BEE"/>
    <w:rsid w:val="002E4DCE"/>
    <w:rsid w:val="002E4E4C"/>
    <w:rsid w:val="002E4EA7"/>
    <w:rsid w:val="002E5846"/>
    <w:rsid w:val="002E631B"/>
    <w:rsid w:val="002E792B"/>
    <w:rsid w:val="002E7AEB"/>
    <w:rsid w:val="002E7B79"/>
    <w:rsid w:val="002E7C7A"/>
    <w:rsid w:val="002F044E"/>
    <w:rsid w:val="002F1B09"/>
    <w:rsid w:val="002F1D56"/>
    <w:rsid w:val="002F1DCB"/>
    <w:rsid w:val="002F1DE4"/>
    <w:rsid w:val="002F2D8A"/>
    <w:rsid w:val="002F333D"/>
    <w:rsid w:val="002F351A"/>
    <w:rsid w:val="002F357F"/>
    <w:rsid w:val="002F4027"/>
    <w:rsid w:val="002F46D6"/>
    <w:rsid w:val="002F498A"/>
    <w:rsid w:val="002F4AD8"/>
    <w:rsid w:val="002F5285"/>
    <w:rsid w:val="002F545A"/>
    <w:rsid w:val="002F5723"/>
    <w:rsid w:val="002F5820"/>
    <w:rsid w:val="002F64BB"/>
    <w:rsid w:val="002F7D9B"/>
    <w:rsid w:val="0030028C"/>
    <w:rsid w:val="00300AEB"/>
    <w:rsid w:val="00300C31"/>
    <w:rsid w:val="00300D42"/>
    <w:rsid w:val="00300E53"/>
    <w:rsid w:val="00301294"/>
    <w:rsid w:val="003015C8"/>
    <w:rsid w:val="003017EC"/>
    <w:rsid w:val="00302165"/>
    <w:rsid w:val="00303AC8"/>
    <w:rsid w:val="00303BB4"/>
    <w:rsid w:val="00304439"/>
    <w:rsid w:val="00304771"/>
    <w:rsid w:val="00304D16"/>
    <w:rsid w:val="00304F9C"/>
    <w:rsid w:val="003052D4"/>
    <w:rsid w:val="00305863"/>
    <w:rsid w:val="003060D6"/>
    <w:rsid w:val="003060E9"/>
    <w:rsid w:val="00306147"/>
    <w:rsid w:val="0030617B"/>
    <w:rsid w:val="00306C5B"/>
    <w:rsid w:val="00306D98"/>
    <w:rsid w:val="003073BA"/>
    <w:rsid w:val="00307529"/>
    <w:rsid w:val="00307DB3"/>
    <w:rsid w:val="00307ED2"/>
    <w:rsid w:val="003106A6"/>
    <w:rsid w:val="0031076D"/>
    <w:rsid w:val="0031169A"/>
    <w:rsid w:val="00311AA6"/>
    <w:rsid w:val="00311C4D"/>
    <w:rsid w:val="00311D5F"/>
    <w:rsid w:val="003121AB"/>
    <w:rsid w:val="00312A85"/>
    <w:rsid w:val="00312F7E"/>
    <w:rsid w:val="003135C4"/>
    <w:rsid w:val="003144BC"/>
    <w:rsid w:val="00314879"/>
    <w:rsid w:val="00314D47"/>
    <w:rsid w:val="00315169"/>
    <w:rsid w:val="003153C8"/>
    <w:rsid w:val="00315524"/>
    <w:rsid w:val="00315561"/>
    <w:rsid w:val="00315D2C"/>
    <w:rsid w:val="00316A8B"/>
    <w:rsid w:val="00316B3D"/>
    <w:rsid w:val="00317660"/>
    <w:rsid w:val="00320336"/>
    <w:rsid w:val="0032058C"/>
    <w:rsid w:val="003208D0"/>
    <w:rsid w:val="003209D6"/>
    <w:rsid w:val="00320DB8"/>
    <w:rsid w:val="003217B9"/>
    <w:rsid w:val="003217DE"/>
    <w:rsid w:val="00321924"/>
    <w:rsid w:val="00321A92"/>
    <w:rsid w:val="00321AF1"/>
    <w:rsid w:val="00321EB6"/>
    <w:rsid w:val="00321ED1"/>
    <w:rsid w:val="003220A5"/>
    <w:rsid w:val="003221F0"/>
    <w:rsid w:val="0032331F"/>
    <w:rsid w:val="003238E0"/>
    <w:rsid w:val="00323A1C"/>
    <w:rsid w:val="00323A2F"/>
    <w:rsid w:val="00323A8E"/>
    <w:rsid w:val="00323EDA"/>
    <w:rsid w:val="003247E1"/>
    <w:rsid w:val="00324B59"/>
    <w:rsid w:val="0032525E"/>
    <w:rsid w:val="00325E46"/>
    <w:rsid w:val="00325EB7"/>
    <w:rsid w:val="0032656E"/>
    <w:rsid w:val="00326D81"/>
    <w:rsid w:val="0032788F"/>
    <w:rsid w:val="00327B15"/>
    <w:rsid w:val="003306F1"/>
    <w:rsid w:val="00332190"/>
    <w:rsid w:val="00332A98"/>
    <w:rsid w:val="003334BD"/>
    <w:rsid w:val="00333973"/>
    <w:rsid w:val="00333B99"/>
    <w:rsid w:val="00333CD0"/>
    <w:rsid w:val="0033448D"/>
    <w:rsid w:val="00334AD2"/>
    <w:rsid w:val="00334C7F"/>
    <w:rsid w:val="00334CB6"/>
    <w:rsid w:val="00334D87"/>
    <w:rsid w:val="00335CF6"/>
    <w:rsid w:val="0033709C"/>
    <w:rsid w:val="003370C5"/>
    <w:rsid w:val="00337224"/>
    <w:rsid w:val="003373C6"/>
    <w:rsid w:val="0033753A"/>
    <w:rsid w:val="003375E0"/>
    <w:rsid w:val="00337DD5"/>
    <w:rsid w:val="00340BF3"/>
    <w:rsid w:val="00341C6C"/>
    <w:rsid w:val="00341D26"/>
    <w:rsid w:val="00341EF0"/>
    <w:rsid w:val="00341F05"/>
    <w:rsid w:val="00342BA6"/>
    <w:rsid w:val="00342E43"/>
    <w:rsid w:val="0034335E"/>
    <w:rsid w:val="00343410"/>
    <w:rsid w:val="00343AA7"/>
    <w:rsid w:val="00343B41"/>
    <w:rsid w:val="00344668"/>
    <w:rsid w:val="00344940"/>
    <w:rsid w:val="0034506D"/>
    <w:rsid w:val="0034599A"/>
    <w:rsid w:val="00345F2D"/>
    <w:rsid w:val="00346234"/>
    <w:rsid w:val="003462D9"/>
    <w:rsid w:val="00346712"/>
    <w:rsid w:val="0034723F"/>
    <w:rsid w:val="00347247"/>
    <w:rsid w:val="0034741E"/>
    <w:rsid w:val="003474B6"/>
    <w:rsid w:val="0034770F"/>
    <w:rsid w:val="00347DD4"/>
    <w:rsid w:val="00350D81"/>
    <w:rsid w:val="00351894"/>
    <w:rsid w:val="00351DF5"/>
    <w:rsid w:val="003523A9"/>
    <w:rsid w:val="00352B43"/>
    <w:rsid w:val="00352C28"/>
    <w:rsid w:val="0035378B"/>
    <w:rsid w:val="0035383B"/>
    <w:rsid w:val="00353A78"/>
    <w:rsid w:val="00353B33"/>
    <w:rsid w:val="003541BB"/>
    <w:rsid w:val="00354502"/>
    <w:rsid w:val="00354931"/>
    <w:rsid w:val="00354B4A"/>
    <w:rsid w:val="00354F89"/>
    <w:rsid w:val="0035506D"/>
    <w:rsid w:val="003560FF"/>
    <w:rsid w:val="00356894"/>
    <w:rsid w:val="00356E17"/>
    <w:rsid w:val="003579A1"/>
    <w:rsid w:val="0036077F"/>
    <w:rsid w:val="00360A35"/>
    <w:rsid w:val="00360B1C"/>
    <w:rsid w:val="00360C86"/>
    <w:rsid w:val="00360F7A"/>
    <w:rsid w:val="00360FBC"/>
    <w:rsid w:val="00361537"/>
    <w:rsid w:val="00361B2D"/>
    <w:rsid w:val="00361FB7"/>
    <w:rsid w:val="0036242A"/>
    <w:rsid w:val="00362C23"/>
    <w:rsid w:val="00362DCA"/>
    <w:rsid w:val="00362E63"/>
    <w:rsid w:val="00362E90"/>
    <w:rsid w:val="00364F8B"/>
    <w:rsid w:val="00364FA0"/>
    <w:rsid w:val="003650A1"/>
    <w:rsid w:val="003657F3"/>
    <w:rsid w:val="00365844"/>
    <w:rsid w:val="00365F61"/>
    <w:rsid w:val="0036624C"/>
    <w:rsid w:val="003666F0"/>
    <w:rsid w:val="003672B6"/>
    <w:rsid w:val="00367B15"/>
    <w:rsid w:val="00367F84"/>
    <w:rsid w:val="00370384"/>
    <w:rsid w:val="0037039F"/>
    <w:rsid w:val="003712BC"/>
    <w:rsid w:val="003712D8"/>
    <w:rsid w:val="00372164"/>
    <w:rsid w:val="00372507"/>
    <w:rsid w:val="003738BD"/>
    <w:rsid w:val="00373FFC"/>
    <w:rsid w:val="00374263"/>
    <w:rsid w:val="003746F0"/>
    <w:rsid w:val="0037480D"/>
    <w:rsid w:val="00374A20"/>
    <w:rsid w:val="00374AB7"/>
    <w:rsid w:val="00374B96"/>
    <w:rsid w:val="00374E21"/>
    <w:rsid w:val="0037537A"/>
    <w:rsid w:val="0037708B"/>
    <w:rsid w:val="00377B2E"/>
    <w:rsid w:val="003805A3"/>
    <w:rsid w:val="00380C9B"/>
    <w:rsid w:val="003810F0"/>
    <w:rsid w:val="0038159D"/>
    <w:rsid w:val="003815D4"/>
    <w:rsid w:val="003818DC"/>
    <w:rsid w:val="00381A55"/>
    <w:rsid w:val="00382446"/>
    <w:rsid w:val="00382513"/>
    <w:rsid w:val="00383388"/>
    <w:rsid w:val="003834F8"/>
    <w:rsid w:val="003838D0"/>
    <w:rsid w:val="003840C2"/>
    <w:rsid w:val="00384327"/>
    <w:rsid w:val="00384A89"/>
    <w:rsid w:val="00384CB8"/>
    <w:rsid w:val="00385086"/>
    <w:rsid w:val="00385D98"/>
    <w:rsid w:val="0038744D"/>
    <w:rsid w:val="00387518"/>
    <w:rsid w:val="0038775D"/>
    <w:rsid w:val="00387EDC"/>
    <w:rsid w:val="00390306"/>
    <w:rsid w:val="003908A6"/>
    <w:rsid w:val="0039109D"/>
    <w:rsid w:val="003914C2"/>
    <w:rsid w:val="00391636"/>
    <w:rsid w:val="00391989"/>
    <w:rsid w:val="00391A6C"/>
    <w:rsid w:val="003927F6"/>
    <w:rsid w:val="0039398D"/>
    <w:rsid w:val="00393B3F"/>
    <w:rsid w:val="0039402D"/>
    <w:rsid w:val="003957FE"/>
    <w:rsid w:val="0039645E"/>
    <w:rsid w:val="00396739"/>
    <w:rsid w:val="003967D9"/>
    <w:rsid w:val="003970CA"/>
    <w:rsid w:val="003978B1"/>
    <w:rsid w:val="00397B61"/>
    <w:rsid w:val="003A04F6"/>
    <w:rsid w:val="003A0837"/>
    <w:rsid w:val="003A18CA"/>
    <w:rsid w:val="003A1A73"/>
    <w:rsid w:val="003A1FA7"/>
    <w:rsid w:val="003A2B4D"/>
    <w:rsid w:val="003A2BCE"/>
    <w:rsid w:val="003A2D12"/>
    <w:rsid w:val="003A2EBA"/>
    <w:rsid w:val="003A32DB"/>
    <w:rsid w:val="003A36FA"/>
    <w:rsid w:val="003A3D27"/>
    <w:rsid w:val="003A45E3"/>
    <w:rsid w:val="003A46B8"/>
    <w:rsid w:val="003A478C"/>
    <w:rsid w:val="003A4964"/>
    <w:rsid w:val="003A4A38"/>
    <w:rsid w:val="003A5295"/>
    <w:rsid w:val="003A5525"/>
    <w:rsid w:val="003A5889"/>
    <w:rsid w:val="003A5C8C"/>
    <w:rsid w:val="003A689E"/>
    <w:rsid w:val="003A6B38"/>
    <w:rsid w:val="003A6B83"/>
    <w:rsid w:val="003A6C97"/>
    <w:rsid w:val="003A722F"/>
    <w:rsid w:val="003A7373"/>
    <w:rsid w:val="003A7CF7"/>
    <w:rsid w:val="003A7D09"/>
    <w:rsid w:val="003B039F"/>
    <w:rsid w:val="003B0834"/>
    <w:rsid w:val="003B0DF4"/>
    <w:rsid w:val="003B1F9D"/>
    <w:rsid w:val="003B2504"/>
    <w:rsid w:val="003B2A8D"/>
    <w:rsid w:val="003B2AD1"/>
    <w:rsid w:val="003B2D2E"/>
    <w:rsid w:val="003B376A"/>
    <w:rsid w:val="003B4260"/>
    <w:rsid w:val="003B4538"/>
    <w:rsid w:val="003B461F"/>
    <w:rsid w:val="003B483F"/>
    <w:rsid w:val="003B4998"/>
    <w:rsid w:val="003B4A56"/>
    <w:rsid w:val="003B5A32"/>
    <w:rsid w:val="003B5B59"/>
    <w:rsid w:val="003B68C5"/>
    <w:rsid w:val="003B709D"/>
    <w:rsid w:val="003B7B50"/>
    <w:rsid w:val="003C0B07"/>
    <w:rsid w:val="003C160A"/>
    <w:rsid w:val="003C19B1"/>
    <w:rsid w:val="003C2034"/>
    <w:rsid w:val="003C23ED"/>
    <w:rsid w:val="003C2557"/>
    <w:rsid w:val="003C2CE7"/>
    <w:rsid w:val="003C2DB8"/>
    <w:rsid w:val="003C3490"/>
    <w:rsid w:val="003C3512"/>
    <w:rsid w:val="003C3608"/>
    <w:rsid w:val="003C3A87"/>
    <w:rsid w:val="003C3AE8"/>
    <w:rsid w:val="003C3D2C"/>
    <w:rsid w:val="003C4058"/>
    <w:rsid w:val="003C4E13"/>
    <w:rsid w:val="003C58A5"/>
    <w:rsid w:val="003C6221"/>
    <w:rsid w:val="003C63D7"/>
    <w:rsid w:val="003C68CC"/>
    <w:rsid w:val="003C74CD"/>
    <w:rsid w:val="003C7E62"/>
    <w:rsid w:val="003D12B9"/>
    <w:rsid w:val="003D147D"/>
    <w:rsid w:val="003D1E7A"/>
    <w:rsid w:val="003D242B"/>
    <w:rsid w:val="003D2492"/>
    <w:rsid w:val="003D28BE"/>
    <w:rsid w:val="003D29AA"/>
    <w:rsid w:val="003D2A99"/>
    <w:rsid w:val="003D3232"/>
    <w:rsid w:val="003D3B79"/>
    <w:rsid w:val="003D4AED"/>
    <w:rsid w:val="003D5C43"/>
    <w:rsid w:val="003D5EBF"/>
    <w:rsid w:val="003D5F28"/>
    <w:rsid w:val="003D60C1"/>
    <w:rsid w:val="003D6869"/>
    <w:rsid w:val="003D6920"/>
    <w:rsid w:val="003D6982"/>
    <w:rsid w:val="003D7B43"/>
    <w:rsid w:val="003E0249"/>
    <w:rsid w:val="003E08A4"/>
    <w:rsid w:val="003E105C"/>
    <w:rsid w:val="003E1EF8"/>
    <w:rsid w:val="003E2DFB"/>
    <w:rsid w:val="003E30FB"/>
    <w:rsid w:val="003E347A"/>
    <w:rsid w:val="003E4466"/>
    <w:rsid w:val="003E4C91"/>
    <w:rsid w:val="003E502A"/>
    <w:rsid w:val="003E52D8"/>
    <w:rsid w:val="003E62F1"/>
    <w:rsid w:val="003E6451"/>
    <w:rsid w:val="003E6597"/>
    <w:rsid w:val="003E6ED5"/>
    <w:rsid w:val="003E6F84"/>
    <w:rsid w:val="003F0148"/>
    <w:rsid w:val="003F07A8"/>
    <w:rsid w:val="003F1750"/>
    <w:rsid w:val="003F1E67"/>
    <w:rsid w:val="003F3051"/>
    <w:rsid w:val="003F313C"/>
    <w:rsid w:val="003F33B1"/>
    <w:rsid w:val="003F33B9"/>
    <w:rsid w:val="003F3583"/>
    <w:rsid w:val="003F37FC"/>
    <w:rsid w:val="003F3E76"/>
    <w:rsid w:val="003F4318"/>
    <w:rsid w:val="003F4B2C"/>
    <w:rsid w:val="003F4C00"/>
    <w:rsid w:val="003F54B4"/>
    <w:rsid w:val="003F54DF"/>
    <w:rsid w:val="003F551C"/>
    <w:rsid w:val="003F626D"/>
    <w:rsid w:val="003F72ED"/>
    <w:rsid w:val="003F7447"/>
    <w:rsid w:val="003F7D23"/>
    <w:rsid w:val="00400050"/>
    <w:rsid w:val="004002C8"/>
    <w:rsid w:val="00400468"/>
    <w:rsid w:val="0040099D"/>
    <w:rsid w:val="00400A68"/>
    <w:rsid w:val="004016CB"/>
    <w:rsid w:val="00401B23"/>
    <w:rsid w:val="00402222"/>
    <w:rsid w:val="00402689"/>
    <w:rsid w:val="00402ADB"/>
    <w:rsid w:val="0040368D"/>
    <w:rsid w:val="00403926"/>
    <w:rsid w:val="00403D1D"/>
    <w:rsid w:val="00403F57"/>
    <w:rsid w:val="0040444F"/>
    <w:rsid w:val="004046BD"/>
    <w:rsid w:val="00404BAB"/>
    <w:rsid w:val="00404D5C"/>
    <w:rsid w:val="00405318"/>
    <w:rsid w:val="004059D2"/>
    <w:rsid w:val="004060C9"/>
    <w:rsid w:val="004066D0"/>
    <w:rsid w:val="00406C2E"/>
    <w:rsid w:val="00406CDA"/>
    <w:rsid w:val="00406EB0"/>
    <w:rsid w:val="00406FBE"/>
    <w:rsid w:val="00407711"/>
    <w:rsid w:val="00407911"/>
    <w:rsid w:val="00407C13"/>
    <w:rsid w:val="0041018E"/>
    <w:rsid w:val="004103F6"/>
    <w:rsid w:val="00410638"/>
    <w:rsid w:val="00411826"/>
    <w:rsid w:val="00411F34"/>
    <w:rsid w:val="0041231B"/>
    <w:rsid w:val="00412511"/>
    <w:rsid w:val="004125C2"/>
    <w:rsid w:val="00412DFA"/>
    <w:rsid w:val="00413465"/>
    <w:rsid w:val="004135BB"/>
    <w:rsid w:val="004149AC"/>
    <w:rsid w:val="0041501E"/>
    <w:rsid w:val="00415452"/>
    <w:rsid w:val="004158D3"/>
    <w:rsid w:val="004158F7"/>
    <w:rsid w:val="004159C3"/>
    <w:rsid w:val="00415A57"/>
    <w:rsid w:val="00415E0D"/>
    <w:rsid w:val="00416097"/>
    <w:rsid w:val="0041650F"/>
    <w:rsid w:val="00416566"/>
    <w:rsid w:val="00416DAC"/>
    <w:rsid w:val="00416DDF"/>
    <w:rsid w:val="00416E9B"/>
    <w:rsid w:val="00417106"/>
    <w:rsid w:val="00417256"/>
    <w:rsid w:val="0041779F"/>
    <w:rsid w:val="00417DAE"/>
    <w:rsid w:val="00417DAF"/>
    <w:rsid w:val="00420880"/>
    <w:rsid w:val="00421179"/>
    <w:rsid w:val="00421DE7"/>
    <w:rsid w:val="004225D7"/>
    <w:rsid w:val="00423623"/>
    <w:rsid w:val="0042459A"/>
    <w:rsid w:val="0042470E"/>
    <w:rsid w:val="0042507B"/>
    <w:rsid w:val="00425352"/>
    <w:rsid w:val="00425381"/>
    <w:rsid w:val="00426BB5"/>
    <w:rsid w:val="00426C99"/>
    <w:rsid w:val="00426F72"/>
    <w:rsid w:val="004272BE"/>
    <w:rsid w:val="00427538"/>
    <w:rsid w:val="004306C2"/>
    <w:rsid w:val="00430939"/>
    <w:rsid w:val="00430C96"/>
    <w:rsid w:val="004310BA"/>
    <w:rsid w:val="0043174F"/>
    <w:rsid w:val="00431BFF"/>
    <w:rsid w:val="00432199"/>
    <w:rsid w:val="004322C4"/>
    <w:rsid w:val="00432337"/>
    <w:rsid w:val="004328F8"/>
    <w:rsid w:val="00432A58"/>
    <w:rsid w:val="00432FC7"/>
    <w:rsid w:val="004331C3"/>
    <w:rsid w:val="00433C17"/>
    <w:rsid w:val="00434617"/>
    <w:rsid w:val="00434BBB"/>
    <w:rsid w:val="00434DE9"/>
    <w:rsid w:val="00435051"/>
    <w:rsid w:val="00435C69"/>
    <w:rsid w:val="004360FB"/>
    <w:rsid w:val="004364BA"/>
    <w:rsid w:val="00436764"/>
    <w:rsid w:val="00437CED"/>
    <w:rsid w:val="004407BF"/>
    <w:rsid w:val="00440900"/>
    <w:rsid w:val="00440D2A"/>
    <w:rsid w:val="0044121D"/>
    <w:rsid w:val="00441822"/>
    <w:rsid w:val="00441BF6"/>
    <w:rsid w:val="00441C64"/>
    <w:rsid w:val="00441D2B"/>
    <w:rsid w:val="00441F8B"/>
    <w:rsid w:val="00442085"/>
    <w:rsid w:val="0044227A"/>
    <w:rsid w:val="0044279E"/>
    <w:rsid w:val="0044356B"/>
    <w:rsid w:val="004441A0"/>
    <w:rsid w:val="00445861"/>
    <w:rsid w:val="00445A8E"/>
    <w:rsid w:val="00446613"/>
    <w:rsid w:val="00446D44"/>
    <w:rsid w:val="004504E7"/>
    <w:rsid w:val="0045078A"/>
    <w:rsid w:val="0045086D"/>
    <w:rsid w:val="00450DAB"/>
    <w:rsid w:val="0045125B"/>
    <w:rsid w:val="00451794"/>
    <w:rsid w:val="004519E2"/>
    <w:rsid w:val="00451E25"/>
    <w:rsid w:val="00451EF1"/>
    <w:rsid w:val="0045220F"/>
    <w:rsid w:val="00452E60"/>
    <w:rsid w:val="0045321B"/>
    <w:rsid w:val="00454871"/>
    <w:rsid w:val="004548F7"/>
    <w:rsid w:val="00454D31"/>
    <w:rsid w:val="00454E5B"/>
    <w:rsid w:val="00455833"/>
    <w:rsid w:val="00455AE3"/>
    <w:rsid w:val="00456C88"/>
    <w:rsid w:val="00456FB5"/>
    <w:rsid w:val="00456FE5"/>
    <w:rsid w:val="00457490"/>
    <w:rsid w:val="0045778B"/>
    <w:rsid w:val="0045786C"/>
    <w:rsid w:val="00457953"/>
    <w:rsid w:val="00457AC5"/>
    <w:rsid w:val="004604D8"/>
    <w:rsid w:val="00460656"/>
    <w:rsid w:val="00460964"/>
    <w:rsid w:val="00460FB3"/>
    <w:rsid w:val="00462236"/>
    <w:rsid w:val="00463091"/>
    <w:rsid w:val="00463D3C"/>
    <w:rsid w:val="00464851"/>
    <w:rsid w:val="00464BF5"/>
    <w:rsid w:val="00464F2B"/>
    <w:rsid w:val="00465432"/>
    <w:rsid w:val="00465862"/>
    <w:rsid w:val="00466595"/>
    <w:rsid w:val="00466B3E"/>
    <w:rsid w:val="0046746A"/>
    <w:rsid w:val="004675AC"/>
    <w:rsid w:val="00467B14"/>
    <w:rsid w:val="004705FC"/>
    <w:rsid w:val="004707FE"/>
    <w:rsid w:val="00470EDC"/>
    <w:rsid w:val="00472418"/>
    <w:rsid w:val="0047276D"/>
    <w:rsid w:val="00472AF6"/>
    <w:rsid w:val="00473482"/>
    <w:rsid w:val="004740A0"/>
    <w:rsid w:val="00474646"/>
    <w:rsid w:val="00474A04"/>
    <w:rsid w:val="00476240"/>
    <w:rsid w:val="00476439"/>
    <w:rsid w:val="00476450"/>
    <w:rsid w:val="004769BF"/>
    <w:rsid w:val="004769E1"/>
    <w:rsid w:val="00476AEE"/>
    <w:rsid w:val="0047735C"/>
    <w:rsid w:val="0047766A"/>
    <w:rsid w:val="004776BC"/>
    <w:rsid w:val="00477820"/>
    <w:rsid w:val="00477B96"/>
    <w:rsid w:val="00480802"/>
    <w:rsid w:val="00480BAE"/>
    <w:rsid w:val="00480CAC"/>
    <w:rsid w:val="00480D7F"/>
    <w:rsid w:val="00480E30"/>
    <w:rsid w:val="0048139F"/>
    <w:rsid w:val="004819AD"/>
    <w:rsid w:val="00481E1D"/>
    <w:rsid w:val="00481E40"/>
    <w:rsid w:val="00482405"/>
    <w:rsid w:val="004826A7"/>
    <w:rsid w:val="004828DA"/>
    <w:rsid w:val="004830BB"/>
    <w:rsid w:val="00483359"/>
    <w:rsid w:val="0048368C"/>
    <w:rsid w:val="0048372F"/>
    <w:rsid w:val="0048399F"/>
    <w:rsid w:val="004839DD"/>
    <w:rsid w:val="00483A0C"/>
    <w:rsid w:val="004841CC"/>
    <w:rsid w:val="00484ECE"/>
    <w:rsid w:val="00485775"/>
    <w:rsid w:val="00485E82"/>
    <w:rsid w:val="00485F19"/>
    <w:rsid w:val="00486132"/>
    <w:rsid w:val="0048686D"/>
    <w:rsid w:val="00486A1C"/>
    <w:rsid w:val="00486A4D"/>
    <w:rsid w:val="004878F0"/>
    <w:rsid w:val="00487DBA"/>
    <w:rsid w:val="004915CB"/>
    <w:rsid w:val="00491A2B"/>
    <w:rsid w:val="004920FA"/>
    <w:rsid w:val="004924DC"/>
    <w:rsid w:val="00492580"/>
    <w:rsid w:val="00492879"/>
    <w:rsid w:val="00493CA0"/>
    <w:rsid w:val="00493D35"/>
    <w:rsid w:val="00493E85"/>
    <w:rsid w:val="00493E8B"/>
    <w:rsid w:val="004945C1"/>
    <w:rsid w:val="00494AA4"/>
    <w:rsid w:val="0049505A"/>
    <w:rsid w:val="00495145"/>
    <w:rsid w:val="0049531F"/>
    <w:rsid w:val="00495BE3"/>
    <w:rsid w:val="00495DA8"/>
    <w:rsid w:val="00496F61"/>
    <w:rsid w:val="004970F9"/>
    <w:rsid w:val="004979A5"/>
    <w:rsid w:val="004A0144"/>
    <w:rsid w:val="004A036E"/>
    <w:rsid w:val="004A0389"/>
    <w:rsid w:val="004A0498"/>
    <w:rsid w:val="004A06B0"/>
    <w:rsid w:val="004A0A22"/>
    <w:rsid w:val="004A0D0E"/>
    <w:rsid w:val="004A14E4"/>
    <w:rsid w:val="004A204E"/>
    <w:rsid w:val="004A26A5"/>
    <w:rsid w:val="004A27F0"/>
    <w:rsid w:val="004A310A"/>
    <w:rsid w:val="004A3212"/>
    <w:rsid w:val="004A3454"/>
    <w:rsid w:val="004A376B"/>
    <w:rsid w:val="004A37CD"/>
    <w:rsid w:val="004A3BE4"/>
    <w:rsid w:val="004A40D9"/>
    <w:rsid w:val="004A48CE"/>
    <w:rsid w:val="004A49A5"/>
    <w:rsid w:val="004A4D3C"/>
    <w:rsid w:val="004A4F8A"/>
    <w:rsid w:val="004A52AB"/>
    <w:rsid w:val="004A5494"/>
    <w:rsid w:val="004A5D4E"/>
    <w:rsid w:val="004A61C5"/>
    <w:rsid w:val="004A620D"/>
    <w:rsid w:val="004A62A0"/>
    <w:rsid w:val="004A71A4"/>
    <w:rsid w:val="004A7604"/>
    <w:rsid w:val="004A77DF"/>
    <w:rsid w:val="004A7DC0"/>
    <w:rsid w:val="004B0866"/>
    <w:rsid w:val="004B09C2"/>
    <w:rsid w:val="004B1417"/>
    <w:rsid w:val="004B1627"/>
    <w:rsid w:val="004B2249"/>
    <w:rsid w:val="004B305C"/>
    <w:rsid w:val="004B31B8"/>
    <w:rsid w:val="004B339A"/>
    <w:rsid w:val="004B37F2"/>
    <w:rsid w:val="004B4C83"/>
    <w:rsid w:val="004B4DA5"/>
    <w:rsid w:val="004B51F8"/>
    <w:rsid w:val="004B55B7"/>
    <w:rsid w:val="004B591D"/>
    <w:rsid w:val="004B599A"/>
    <w:rsid w:val="004B5BFA"/>
    <w:rsid w:val="004B619E"/>
    <w:rsid w:val="004B6468"/>
    <w:rsid w:val="004B6EF8"/>
    <w:rsid w:val="004B7125"/>
    <w:rsid w:val="004B7480"/>
    <w:rsid w:val="004B74DC"/>
    <w:rsid w:val="004B756A"/>
    <w:rsid w:val="004B7FB1"/>
    <w:rsid w:val="004C0970"/>
    <w:rsid w:val="004C0B3F"/>
    <w:rsid w:val="004C0F87"/>
    <w:rsid w:val="004C2346"/>
    <w:rsid w:val="004C25F9"/>
    <w:rsid w:val="004C2735"/>
    <w:rsid w:val="004C2794"/>
    <w:rsid w:val="004C29F0"/>
    <w:rsid w:val="004C2BB6"/>
    <w:rsid w:val="004C2BE7"/>
    <w:rsid w:val="004C2C2D"/>
    <w:rsid w:val="004C3027"/>
    <w:rsid w:val="004C3119"/>
    <w:rsid w:val="004C384C"/>
    <w:rsid w:val="004C3867"/>
    <w:rsid w:val="004C3CE4"/>
    <w:rsid w:val="004C3DB0"/>
    <w:rsid w:val="004C439A"/>
    <w:rsid w:val="004C43F9"/>
    <w:rsid w:val="004C4720"/>
    <w:rsid w:val="004C4CD0"/>
    <w:rsid w:val="004C5060"/>
    <w:rsid w:val="004C515E"/>
    <w:rsid w:val="004C5165"/>
    <w:rsid w:val="004C583F"/>
    <w:rsid w:val="004C589C"/>
    <w:rsid w:val="004C5A25"/>
    <w:rsid w:val="004C5AE8"/>
    <w:rsid w:val="004C5F7F"/>
    <w:rsid w:val="004C6E0E"/>
    <w:rsid w:val="004C70DC"/>
    <w:rsid w:val="004D0211"/>
    <w:rsid w:val="004D0794"/>
    <w:rsid w:val="004D0C17"/>
    <w:rsid w:val="004D1685"/>
    <w:rsid w:val="004D17A6"/>
    <w:rsid w:val="004D1A7B"/>
    <w:rsid w:val="004D2621"/>
    <w:rsid w:val="004D270A"/>
    <w:rsid w:val="004D2D31"/>
    <w:rsid w:val="004D2E03"/>
    <w:rsid w:val="004D3296"/>
    <w:rsid w:val="004D3EB3"/>
    <w:rsid w:val="004D3EC2"/>
    <w:rsid w:val="004D4056"/>
    <w:rsid w:val="004D4452"/>
    <w:rsid w:val="004D45B5"/>
    <w:rsid w:val="004D4CB0"/>
    <w:rsid w:val="004D58C0"/>
    <w:rsid w:val="004D5B0F"/>
    <w:rsid w:val="004D63BA"/>
    <w:rsid w:val="004D6B28"/>
    <w:rsid w:val="004D75BC"/>
    <w:rsid w:val="004D7626"/>
    <w:rsid w:val="004D76A4"/>
    <w:rsid w:val="004D7804"/>
    <w:rsid w:val="004E0434"/>
    <w:rsid w:val="004E085C"/>
    <w:rsid w:val="004E086D"/>
    <w:rsid w:val="004E12DF"/>
    <w:rsid w:val="004E186A"/>
    <w:rsid w:val="004E1A40"/>
    <w:rsid w:val="004E1C97"/>
    <w:rsid w:val="004E1DB2"/>
    <w:rsid w:val="004E200A"/>
    <w:rsid w:val="004E23FC"/>
    <w:rsid w:val="004E2409"/>
    <w:rsid w:val="004E261D"/>
    <w:rsid w:val="004E28B1"/>
    <w:rsid w:val="004E3927"/>
    <w:rsid w:val="004E3B7F"/>
    <w:rsid w:val="004E5342"/>
    <w:rsid w:val="004E563C"/>
    <w:rsid w:val="004E57BF"/>
    <w:rsid w:val="004E5C94"/>
    <w:rsid w:val="004E5F41"/>
    <w:rsid w:val="004E6011"/>
    <w:rsid w:val="004E6CEE"/>
    <w:rsid w:val="004E6DE6"/>
    <w:rsid w:val="004E70DD"/>
    <w:rsid w:val="004E765E"/>
    <w:rsid w:val="004E7815"/>
    <w:rsid w:val="004E7BF7"/>
    <w:rsid w:val="004F06F5"/>
    <w:rsid w:val="004F12A4"/>
    <w:rsid w:val="004F1456"/>
    <w:rsid w:val="004F1A07"/>
    <w:rsid w:val="004F253F"/>
    <w:rsid w:val="004F296F"/>
    <w:rsid w:val="004F33A0"/>
    <w:rsid w:val="004F36FA"/>
    <w:rsid w:val="004F3873"/>
    <w:rsid w:val="004F3A15"/>
    <w:rsid w:val="004F3BD2"/>
    <w:rsid w:val="004F46ED"/>
    <w:rsid w:val="004F4995"/>
    <w:rsid w:val="004F49A3"/>
    <w:rsid w:val="004F4C99"/>
    <w:rsid w:val="004F4F69"/>
    <w:rsid w:val="004F5358"/>
    <w:rsid w:val="004F601B"/>
    <w:rsid w:val="004F61D5"/>
    <w:rsid w:val="004F63C1"/>
    <w:rsid w:val="004F6484"/>
    <w:rsid w:val="004F6539"/>
    <w:rsid w:val="004F6A3E"/>
    <w:rsid w:val="00501188"/>
    <w:rsid w:val="00502372"/>
    <w:rsid w:val="00503D54"/>
    <w:rsid w:val="0050461B"/>
    <w:rsid w:val="005046CE"/>
    <w:rsid w:val="005048E2"/>
    <w:rsid w:val="00505FC8"/>
    <w:rsid w:val="00506603"/>
    <w:rsid w:val="0050682C"/>
    <w:rsid w:val="0050689D"/>
    <w:rsid w:val="00506ACA"/>
    <w:rsid w:val="00506F41"/>
    <w:rsid w:val="0050736A"/>
    <w:rsid w:val="0050753E"/>
    <w:rsid w:val="005077F5"/>
    <w:rsid w:val="005108C0"/>
    <w:rsid w:val="0051094F"/>
    <w:rsid w:val="00510BC5"/>
    <w:rsid w:val="00511217"/>
    <w:rsid w:val="00511873"/>
    <w:rsid w:val="00511BAF"/>
    <w:rsid w:val="00511E2E"/>
    <w:rsid w:val="00512461"/>
    <w:rsid w:val="00512585"/>
    <w:rsid w:val="00512749"/>
    <w:rsid w:val="00512A2F"/>
    <w:rsid w:val="00513B7E"/>
    <w:rsid w:val="00513E9D"/>
    <w:rsid w:val="005140CB"/>
    <w:rsid w:val="0051432A"/>
    <w:rsid w:val="0051475D"/>
    <w:rsid w:val="00514B11"/>
    <w:rsid w:val="00514DED"/>
    <w:rsid w:val="00515485"/>
    <w:rsid w:val="00515BD0"/>
    <w:rsid w:val="00515BE9"/>
    <w:rsid w:val="00515C74"/>
    <w:rsid w:val="00515CEB"/>
    <w:rsid w:val="0051630F"/>
    <w:rsid w:val="0051672B"/>
    <w:rsid w:val="00517113"/>
    <w:rsid w:val="0052007E"/>
    <w:rsid w:val="00520098"/>
    <w:rsid w:val="0052032E"/>
    <w:rsid w:val="0052185B"/>
    <w:rsid w:val="0052199F"/>
    <w:rsid w:val="00521CAD"/>
    <w:rsid w:val="0052200D"/>
    <w:rsid w:val="00522425"/>
    <w:rsid w:val="00522A1B"/>
    <w:rsid w:val="00522E01"/>
    <w:rsid w:val="0052337A"/>
    <w:rsid w:val="00523F39"/>
    <w:rsid w:val="00524385"/>
    <w:rsid w:val="005246BE"/>
    <w:rsid w:val="00525137"/>
    <w:rsid w:val="005251DD"/>
    <w:rsid w:val="00525AA7"/>
    <w:rsid w:val="00527510"/>
    <w:rsid w:val="0052762C"/>
    <w:rsid w:val="0052792D"/>
    <w:rsid w:val="0053012B"/>
    <w:rsid w:val="005301A6"/>
    <w:rsid w:val="00530A68"/>
    <w:rsid w:val="00530AD4"/>
    <w:rsid w:val="0053129F"/>
    <w:rsid w:val="00531C5A"/>
    <w:rsid w:val="00532C44"/>
    <w:rsid w:val="00532CE7"/>
    <w:rsid w:val="00532D8B"/>
    <w:rsid w:val="0053324C"/>
    <w:rsid w:val="00533A8D"/>
    <w:rsid w:val="00534068"/>
    <w:rsid w:val="0053417E"/>
    <w:rsid w:val="005344D9"/>
    <w:rsid w:val="00534A28"/>
    <w:rsid w:val="00535018"/>
    <w:rsid w:val="00535782"/>
    <w:rsid w:val="0053595E"/>
    <w:rsid w:val="00537389"/>
    <w:rsid w:val="00537571"/>
    <w:rsid w:val="00540056"/>
    <w:rsid w:val="00540313"/>
    <w:rsid w:val="005410E2"/>
    <w:rsid w:val="00541508"/>
    <w:rsid w:val="00541AE3"/>
    <w:rsid w:val="00543498"/>
    <w:rsid w:val="00544011"/>
    <w:rsid w:val="00544BE5"/>
    <w:rsid w:val="00544C1D"/>
    <w:rsid w:val="00544E6E"/>
    <w:rsid w:val="005453A3"/>
    <w:rsid w:val="005455D1"/>
    <w:rsid w:val="005455F6"/>
    <w:rsid w:val="0054582F"/>
    <w:rsid w:val="0054632B"/>
    <w:rsid w:val="00546F77"/>
    <w:rsid w:val="00546FC7"/>
    <w:rsid w:val="00547F9D"/>
    <w:rsid w:val="005500F9"/>
    <w:rsid w:val="00550160"/>
    <w:rsid w:val="00550249"/>
    <w:rsid w:val="00550540"/>
    <w:rsid w:val="00550544"/>
    <w:rsid w:val="005519E2"/>
    <w:rsid w:val="00551E16"/>
    <w:rsid w:val="005523A8"/>
    <w:rsid w:val="00552F2C"/>
    <w:rsid w:val="00553007"/>
    <w:rsid w:val="005536CA"/>
    <w:rsid w:val="00553A25"/>
    <w:rsid w:val="005547EB"/>
    <w:rsid w:val="00554863"/>
    <w:rsid w:val="00555122"/>
    <w:rsid w:val="005552A2"/>
    <w:rsid w:val="005555E0"/>
    <w:rsid w:val="0055599F"/>
    <w:rsid w:val="00556D68"/>
    <w:rsid w:val="0055707B"/>
    <w:rsid w:val="005570D6"/>
    <w:rsid w:val="00557245"/>
    <w:rsid w:val="00557D13"/>
    <w:rsid w:val="00557E0E"/>
    <w:rsid w:val="00557E45"/>
    <w:rsid w:val="005605F3"/>
    <w:rsid w:val="00560C41"/>
    <w:rsid w:val="00560C68"/>
    <w:rsid w:val="00560CAC"/>
    <w:rsid w:val="005610EA"/>
    <w:rsid w:val="00561D85"/>
    <w:rsid w:val="00561F44"/>
    <w:rsid w:val="00562B4D"/>
    <w:rsid w:val="00562DB1"/>
    <w:rsid w:val="0056347A"/>
    <w:rsid w:val="00563E41"/>
    <w:rsid w:val="00563EB8"/>
    <w:rsid w:val="005647BF"/>
    <w:rsid w:val="005648F8"/>
    <w:rsid w:val="00564AF1"/>
    <w:rsid w:val="00564D10"/>
    <w:rsid w:val="00564FA3"/>
    <w:rsid w:val="00565083"/>
    <w:rsid w:val="005650BF"/>
    <w:rsid w:val="005650DC"/>
    <w:rsid w:val="005655DB"/>
    <w:rsid w:val="00565A9E"/>
    <w:rsid w:val="00565E88"/>
    <w:rsid w:val="00567339"/>
    <w:rsid w:val="005678EE"/>
    <w:rsid w:val="00567910"/>
    <w:rsid w:val="00570270"/>
    <w:rsid w:val="00570464"/>
    <w:rsid w:val="00570601"/>
    <w:rsid w:val="00570BC3"/>
    <w:rsid w:val="00571766"/>
    <w:rsid w:val="0057182A"/>
    <w:rsid w:val="00571AF0"/>
    <w:rsid w:val="00571E59"/>
    <w:rsid w:val="00572079"/>
    <w:rsid w:val="00572900"/>
    <w:rsid w:val="00572FDF"/>
    <w:rsid w:val="00573602"/>
    <w:rsid w:val="0057364B"/>
    <w:rsid w:val="00573C67"/>
    <w:rsid w:val="00574773"/>
    <w:rsid w:val="005761EC"/>
    <w:rsid w:val="00576353"/>
    <w:rsid w:val="00576B08"/>
    <w:rsid w:val="00576E34"/>
    <w:rsid w:val="00577247"/>
    <w:rsid w:val="0057789F"/>
    <w:rsid w:val="00577C07"/>
    <w:rsid w:val="00577DB1"/>
    <w:rsid w:val="00577FEC"/>
    <w:rsid w:val="00580180"/>
    <w:rsid w:val="00580AD3"/>
    <w:rsid w:val="00580DE7"/>
    <w:rsid w:val="005810E1"/>
    <w:rsid w:val="00581B64"/>
    <w:rsid w:val="00581CF3"/>
    <w:rsid w:val="005820CD"/>
    <w:rsid w:val="00582A12"/>
    <w:rsid w:val="005830BB"/>
    <w:rsid w:val="005831AA"/>
    <w:rsid w:val="005832A1"/>
    <w:rsid w:val="00583BDD"/>
    <w:rsid w:val="00583E52"/>
    <w:rsid w:val="00583FFD"/>
    <w:rsid w:val="00584132"/>
    <w:rsid w:val="00584252"/>
    <w:rsid w:val="005848DD"/>
    <w:rsid w:val="0058519A"/>
    <w:rsid w:val="005855B4"/>
    <w:rsid w:val="005856BD"/>
    <w:rsid w:val="00585983"/>
    <w:rsid w:val="00585C85"/>
    <w:rsid w:val="005865AF"/>
    <w:rsid w:val="005868C6"/>
    <w:rsid w:val="00586BCA"/>
    <w:rsid w:val="00586DC4"/>
    <w:rsid w:val="00587038"/>
    <w:rsid w:val="00587319"/>
    <w:rsid w:val="00590218"/>
    <w:rsid w:val="00590608"/>
    <w:rsid w:val="00590B28"/>
    <w:rsid w:val="005911BE"/>
    <w:rsid w:val="00591273"/>
    <w:rsid w:val="00591E9E"/>
    <w:rsid w:val="005927A4"/>
    <w:rsid w:val="00593152"/>
    <w:rsid w:val="00593389"/>
    <w:rsid w:val="00593FE6"/>
    <w:rsid w:val="00594309"/>
    <w:rsid w:val="00594538"/>
    <w:rsid w:val="00594B24"/>
    <w:rsid w:val="005956A3"/>
    <w:rsid w:val="00595958"/>
    <w:rsid w:val="00595CAB"/>
    <w:rsid w:val="0059622E"/>
    <w:rsid w:val="0059684D"/>
    <w:rsid w:val="00597671"/>
    <w:rsid w:val="00597BBF"/>
    <w:rsid w:val="005A0280"/>
    <w:rsid w:val="005A040C"/>
    <w:rsid w:val="005A0463"/>
    <w:rsid w:val="005A046F"/>
    <w:rsid w:val="005A05DF"/>
    <w:rsid w:val="005A0948"/>
    <w:rsid w:val="005A0A03"/>
    <w:rsid w:val="005A0BB3"/>
    <w:rsid w:val="005A10F2"/>
    <w:rsid w:val="005A16C0"/>
    <w:rsid w:val="005A2156"/>
    <w:rsid w:val="005A21E0"/>
    <w:rsid w:val="005A2401"/>
    <w:rsid w:val="005A28FF"/>
    <w:rsid w:val="005A2C09"/>
    <w:rsid w:val="005A3778"/>
    <w:rsid w:val="005A37B0"/>
    <w:rsid w:val="005A3B90"/>
    <w:rsid w:val="005A3DF8"/>
    <w:rsid w:val="005A53E4"/>
    <w:rsid w:val="005A5549"/>
    <w:rsid w:val="005A566A"/>
    <w:rsid w:val="005A56E0"/>
    <w:rsid w:val="005A6E21"/>
    <w:rsid w:val="005A70CA"/>
    <w:rsid w:val="005A7ABD"/>
    <w:rsid w:val="005A7CF8"/>
    <w:rsid w:val="005A7E84"/>
    <w:rsid w:val="005B00FF"/>
    <w:rsid w:val="005B0B9B"/>
    <w:rsid w:val="005B0EDA"/>
    <w:rsid w:val="005B1042"/>
    <w:rsid w:val="005B121D"/>
    <w:rsid w:val="005B16AB"/>
    <w:rsid w:val="005B1705"/>
    <w:rsid w:val="005B1A0C"/>
    <w:rsid w:val="005B26B0"/>
    <w:rsid w:val="005B362D"/>
    <w:rsid w:val="005B41C9"/>
    <w:rsid w:val="005B4277"/>
    <w:rsid w:val="005B427B"/>
    <w:rsid w:val="005B44E6"/>
    <w:rsid w:val="005B4853"/>
    <w:rsid w:val="005B521C"/>
    <w:rsid w:val="005B591B"/>
    <w:rsid w:val="005B623D"/>
    <w:rsid w:val="005B6CA1"/>
    <w:rsid w:val="005B70EB"/>
    <w:rsid w:val="005B770C"/>
    <w:rsid w:val="005C02F0"/>
    <w:rsid w:val="005C06ED"/>
    <w:rsid w:val="005C0A57"/>
    <w:rsid w:val="005C0CE1"/>
    <w:rsid w:val="005C11B8"/>
    <w:rsid w:val="005C179F"/>
    <w:rsid w:val="005C1B24"/>
    <w:rsid w:val="005C216C"/>
    <w:rsid w:val="005C2609"/>
    <w:rsid w:val="005C2B30"/>
    <w:rsid w:val="005C38FB"/>
    <w:rsid w:val="005C412B"/>
    <w:rsid w:val="005C41AF"/>
    <w:rsid w:val="005C43EC"/>
    <w:rsid w:val="005C45DD"/>
    <w:rsid w:val="005C4620"/>
    <w:rsid w:val="005C4704"/>
    <w:rsid w:val="005C4CB1"/>
    <w:rsid w:val="005C61BE"/>
    <w:rsid w:val="005C63A5"/>
    <w:rsid w:val="005C64FD"/>
    <w:rsid w:val="005C6783"/>
    <w:rsid w:val="005C70AB"/>
    <w:rsid w:val="005C7C79"/>
    <w:rsid w:val="005C7CA0"/>
    <w:rsid w:val="005D015C"/>
    <w:rsid w:val="005D1472"/>
    <w:rsid w:val="005D1A8A"/>
    <w:rsid w:val="005D33A3"/>
    <w:rsid w:val="005D3F06"/>
    <w:rsid w:val="005D4608"/>
    <w:rsid w:val="005D48E0"/>
    <w:rsid w:val="005D4B73"/>
    <w:rsid w:val="005D533D"/>
    <w:rsid w:val="005D5645"/>
    <w:rsid w:val="005D5802"/>
    <w:rsid w:val="005D5AA9"/>
    <w:rsid w:val="005D5B60"/>
    <w:rsid w:val="005D66E6"/>
    <w:rsid w:val="005D7119"/>
    <w:rsid w:val="005D76C8"/>
    <w:rsid w:val="005D7833"/>
    <w:rsid w:val="005D7890"/>
    <w:rsid w:val="005D7AAF"/>
    <w:rsid w:val="005E0A95"/>
    <w:rsid w:val="005E0E74"/>
    <w:rsid w:val="005E19C1"/>
    <w:rsid w:val="005E2194"/>
    <w:rsid w:val="005E23A3"/>
    <w:rsid w:val="005E24F0"/>
    <w:rsid w:val="005E2542"/>
    <w:rsid w:val="005E3113"/>
    <w:rsid w:val="005E34D1"/>
    <w:rsid w:val="005E36FE"/>
    <w:rsid w:val="005E3F66"/>
    <w:rsid w:val="005E490F"/>
    <w:rsid w:val="005E4B04"/>
    <w:rsid w:val="005E4BC9"/>
    <w:rsid w:val="005E5314"/>
    <w:rsid w:val="005E53DC"/>
    <w:rsid w:val="005E6C6A"/>
    <w:rsid w:val="005E764D"/>
    <w:rsid w:val="005E7724"/>
    <w:rsid w:val="005E7BB3"/>
    <w:rsid w:val="005E7C78"/>
    <w:rsid w:val="005F04A7"/>
    <w:rsid w:val="005F0B43"/>
    <w:rsid w:val="005F10B3"/>
    <w:rsid w:val="005F114F"/>
    <w:rsid w:val="005F18C5"/>
    <w:rsid w:val="005F18E4"/>
    <w:rsid w:val="005F1CCA"/>
    <w:rsid w:val="005F247B"/>
    <w:rsid w:val="005F2A08"/>
    <w:rsid w:val="005F36CC"/>
    <w:rsid w:val="005F3A6F"/>
    <w:rsid w:val="005F3B48"/>
    <w:rsid w:val="005F3EB1"/>
    <w:rsid w:val="005F413E"/>
    <w:rsid w:val="005F466B"/>
    <w:rsid w:val="005F46D8"/>
    <w:rsid w:val="005F480F"/>
    <w:rsid w:val="005F5156"/>
    <w:rsid w:val="005F51D8"/>
    <w:rsid w:val="005F5271"/>
    <w:rsid w:val="005F5469"/>
    <w:rsid w:val="005F63F3"/>
    <w:rsid w:val="005F66F0"/>
    <w:rsid w:val="005F6A64"/>
    <w:rsid w:val="005F6D7F"/>
    <w:rsid w:val="005F6DFE"/>
    <w:rsid w:val="005F7174"/>
    <w:rsid w:val="005F7B79"/>
    <w:rsid w:val="00600D6E"/>
    <w:rsid w:val="0060120D"/>
    <w:rsid w:val="006017C1"/>
    <w:rsid w:val="00601818"/>
    <w:rsid w:val="00601ADE"/>
    <w:rsid w:val="00601EEF"/>
    <w:rsid w:val="0060255A"/>
    <w:rsid w:val="006027E2"/>
    <w:rsid w:val="00602998"/>
    <w:rsid w:val="00602D7F"/>
    <w:rsid w:val="00602EB3"/>
    <w:rsid w:val="0060342F"/>
    <w:rsid w:val="006035A1"/>
    <w:rsid w:val="0060364A"/>
    <w:rsid w:val="0060393D"/>
    <w:rsid w:val="00603BA8"/>
    <w:rsid w:val="00604307"/>
    <w:rsid w:val="0060487F"/>
    <w:rsid w:val="00604EAD"/>
    <w:rsid w:val="0060513F"/>
    <w:rsid w:val="006062DA"/>
    <w:rsid w:val="006065E2"/>
    <w:rsid w:val="00606635"/>
    <w:rsid w:val="0060694B"/>
    <w:rsid w:val="00607E1D"/>
    <w:rsid w:val="006104FB"/>
    <w:rsid w:val="00611092"/>
    <w:rsid w:val="006116FF"/>
    <w:rsid w:val="0061176D"/>
    <w:rsid w:val="00611EA8"/>
    <w:rsid w:val="0061200F"/>
    <w:rsid w:val="00612756"/>
    <w:rsid w:val="00612A2F"/>
    <w:rsid w:val="00612AAE"/>
    <w:rsid w:val="00612B07"/>
    <w:rsid w:val="00612FD9"/>
    <w:rsid w:val="006139E0"/>
    <w:rsid w:val="00613E1C"/>
    <w:rsid w:val="006146C5"/>
    <w:rsid w:val="00614D35"/>
    <w:rsid w:val="006156B4"/>
    <w:rsid w:val="00615ADD"/>
    <w:rsid w:val="00615DAF"/>
    <w:rsid w:val="00615EA5"/>
    <w:rsid w:val="00616254"/>
    <w:rsid w:val="0061672A"/>
    <w:rsid w:val="00616E05"/>
    <w:rsid w:val="00617985"/>
    <w:rsid w:val="00617C0F"/>
    <w:rsid w:val="00620641"/>
    <w:rsid w:val="00620B77"/>
    <w:rsid w:val="00621190"/>
    <w:rsid w:val="0062131B"/>
    <w:rsid w:val="00621435"/>
    <w:rsid w:val="00621E26"/>
    <w:rsid w:val="006224EA"/>
    <w:rsid w:val="0062263A"/>
    <w:rsid w:val="006227DF"/>
    <w:rsid w:val="00622EFA"/>
    <w:rsid w:val="0062326B"/>
    <w:rsid w:val="006234A0"/>
    <w:rsid w:val="006236C8"/>
    <w:rsid w:val="00624093"/>
    <w:rsid w:val="0062415E"/>
    <w:rsid w:val="00625370"/>
    <w:rsid w:val="00625A84"/>
    <w:rsid w:val="00626079"/>
    <w:rsid w:val="00626B3B"/>
    <w:rsid w:val="00626B8F"/>
    <w:rsid w:val="006275B5"/>
    <w:rsid w:val="006300DB"/>
    <w:rsid w:val="006309CF"/>
    <w:rsid w:val="00631198"/>
    <w:rsid w:val="00631698"/>
    <w:rsid w:val="00631B14"/>
    <w:rsid w:val="00631E44"/>
    <w:rsid w:val="0063373E"/>
    <w:rsid w:val="00634C57"/>
    <w:rsid w:val="00634CE7"/>
    <w:rsid w:val="00634F30"/>
    <w:rsid w:val="006350D5"/>
    <w:rsid w:val="00635AA6"/>
    <w:rsid w:val="00635EBE"/>
    <w:rsid w:val="0063642C"/>
    <w:rsid w:val="006376B3"/>
    <w:rsid w:val="00637858"/>
    <w:rsid w:val="006403E6"/>
    <w:rsid w:val="006404A7"/>
    <w:rsid w:val="00640A38"/>
    <w:rsid w:val="00640E6B"/>
    <w:rsid w:val="00641242"/>
    <w:rsid w:val="00641787"/>
    <w:rsid w:val="0064179B"/>
    <w:rsid w:val="00641E2C"/>
    <w:rsid w:val="00642338"/>
    <w:rsid w:val="00642489"/>
    <w:rsid w:val="006428D3"/>
    <w:rsid w:val="0064402D"/>
    <w:rsid w:val="00644055"/>
    <w:rsid w:val="00644137"/>
    <w:rsid w:val="006445BC"/>
    <w:rsid w:val="0064478C"/>
    <w:rsid w:val="00644938"/>
    <w:rsid w:val="00645160"/>
    <w:rsid w:val="006451E4"/>
    <w:rsid w:val="0064574B"/>
    <w:rsid w:val="00645B33"/>
    <w:rsid w:val="006475A3"/>
    <w:rsid w:val="00647D47"/>
    <w:rsid w:val="00647EDF"/>
    <w:rsid w:val="00650A4F"/>
    <w:rsid w:val="00650E38"/>
    <w:rsid w:val="00650FFC"/>
    <w:rsid w:val="0065153D"/>
    <w:rsid w:val="006516CB"/>
    <w:rsid w:val="006523F5"/>
    <w:rsid w:val="00652444"/>
    <w:rsid w:val="006529A6"/>
    <w:rsid w:val="00652E30"/>
    <w:rsid w:val="00653542"/>
    <w:rsid w:val="00653BD0"/>
    <w:rsid w:val="00654110"/>
    <w:rsid w:val="006545E7"/>
    <w:rsid w:val="00654659"/>
    <w:rsid w:val="006547CD"/>
    <w:rsid w:val="00654DCC"/>
    <w:rsid w:val="00655F54"/>
    <w:rsid w:val="00656C5D"/>
    <w:rsid w:val="00656CFB"/>
    <w:rsid w:val="00656D25"/>
    <w:rsid w:val="00657964"/>
    <w:rsid w:val="00657E87"/>
    <w:rsid w:val="0066063F"/>
    <w:rsid w:val="00660D2D"/>
    <w:rsid w:val="0066110B"/>
    <w:rsid w:val="00661C41"/>
    <w:rsid w:val="00661EC9"/>
    <w:rsid w:val="00662469"/>
    <w:rsid w:val="0066411C"/>
    <w:rsid w:val="00664205"/>
    <w:rsid w:val="00664647"/>
    <w:rsid w:val="00664803"/>
    <w:rsid w:val="00664B35"/>
    <w:rsid w:val="0066502F"/>
    <w:rsid w:val="006652B9"/>
    <w:rsid w:val="006653CC"/>
    <w:rsid w:val="00665501"/>
    <w:rsid w:val="00665982"/>
    <w:rsid w:val="00665AAC"/>
    <w:rsid w:val="00665BA4"/>
    <w:rsid w:val="00666BF3"/>
    <w:rsid w:val="00667748"/>
    <w:rsid w:val="00667856"/>
    <w:rsid w:val="006679A1"/>
    <w:rsid w:val="00667AF2"/>
    <w:rsid w:val="00670489"/>
    <w:rsid w:val="006710C9"/>
    <w:rsid w:val="00671CFE"/>
    <w:rsid w:val="00671D85"/>
    <w:rsid w:val="00672586"/>
    <w:rsid w:val="006727BC"/>
    <w:rsid w:val="00673006"/>
    <w:rsid w:val="00673392"/>
    <w:rsid w:val="0067404B"/>
    <w:rsid w:val="006741CD"/>
    <w:rsid w:val="006745DF"/>
    <w:rsid w:val="00674BAC"/>
    <w:rsid w:val="00674D89"/>
    <w:rsid w:val="00674DF4"/>
    <w:rsid w:val="0067514E"/>
    <w:rsid w:val="00675A15"/>
    <w:rsid w:val="00675E37"/>
    <w:rsid w:val="0067635D"/>
    <w:rsid w:val="00676736"/>
    <w:rsid w:val="006769A4"/>
    <w:rsid w:val="006769C6"/>
    <w:rsid w:val="00676D76"/>
    <w:rsid w:val="00676F9F"/>
    <w:rsid w:val="00677519"/>
    <w:rsid w:val="00677591"/>
    <w:rsid w:val="00677594"/>
    <w:rsid w:val="00677FA3"/>
    <w:rsid w:val="0068020C"/>
    <w:rsid w:val="0068032F"/>
    <w:rsid w:val="00680D37"/>
    <w:rsid w:val="0068174E"/>
    <w:rsid w:val="00681DCE"/>
    <w:rsid w:val="00682110"/>
    <w:rsid w:val="0068260E"/>
    <w:rsid w:val="006846B3"/>
    <w:rsid w:val="006849E7"/>
    <w:rsid w:val="006849F8"/>
    <w:rsid w:val="00684B9B"/>
    <w:rsid w:val="00684D59"/>
    <w:rsid w:val="00684E25"/>
    <w:rsid w:val="006858A4"/>
    <w:rsid w:val="00685C08"/>
    <w:rsid w:val="00685C8C"/>
    <w:rsid w:val="00686718"/>
    <w:rsid w:val="00686BFA"/>
    <w:rsid w:val="00686DED"/>
    <w:rsid w:val="00686FD2"/>
    <w:rsid w:val="0068706C"/>
    <w:rsid w:val="006875A0"/>
    <w:rsid w:val="006878C6"/>
    <w:rsid w:val="00687D27"/>
    <w:rsid w:val="00687E40"/>
    <w:rsid w:val="00691943"/>
    <w:rsid w:val="00693361"/>
    <w:rsid w:val="00693550"/>
    <w:rsid w:val="00694622"/>
    <w:rsid w:val="00695065"/>
    <w:rsid w:val="00695651"/>
    <w:rsid w:val="00695BEF"/>
    <w:rsid w:val="006961FC"/>
    <w:rsid w:val="00696251"/>
    <w:rsid w:val="006966C7"/>
    <w:rsid w:val="006968C1"/>
    <w:rsid w:val="006977F6"/>
    <w:rsid w:val="00697A13"/>
    <w:rsid w:val="00697FC2"/>
    <w:rsid w:val="006A0DD4"/>
    <w:rsid w:val="006A109C"/>
    <w:rsid w:val="006A3CAF"/>
    <w:rsid w:val="006A41B9"/>
    <w:rsid w:val="006A4E6C"/>
    <w:rsid w:val="006A4E91"/>
    <w:rsid w:val="006A521C"/>
    <w:rsid w:val="006A5C69"/>
    <w:rsid w:val="006A5F27"/>
    <w:rsid w:val="006A5F4B"/>
    <w:rsid w:val="006A6114"/>
    <w:rsid w:val="006A6565"/>
    <w:rsid w:val="006A6BE3"/>
    <w:rsid w:val="006A7665"/>
    <w:rsid w:val="006A7691"/>
    <w:rsid w:val="006A7EE2"/>
    <w:rsid w:val="006B0409"/>
    <w:rsid w:val="006B0514"/>
    <w:rsid w:val="006B0F92"/>
    <w:rsid w:val="006B13F2"/>
    <w:rsid w:val="006B2785"/>
    <w:rsid w:val="006B27C7"/>
    <w:rsid w:val="006B2A1F"/>
    <w:rsid w:val="006B340F"/>
    <w:rsid w:val="006B344A"/>
    <w:rsid w:val="006B39E1"/>
    <w:rsid w:val="006B55DF"/>
    <w:rsid w:val="006B58C9"/>
    <w:rsid w:val="006B5F9A"/>
    <w:rsid w:val="006B60ED"/>
    <w:rsid w:val="006B614C"/>
    <w:rsid w:val="006B6C82"/>
    <w:rsid w:val="006B6CC5"/>
    <w:rsid w:val="006B6CF6"/>
    <w:rsid w:val="006B74AC"/>
    <w:rsid w:val="006B757B"/>
    <w:rsid w:val="006B78D8"/>
    <w:rsid w:val="006B79EA"/>
    <w:rsid w:val="006B7EA8"/>
    <w:rsid w:val="006C0C5D"/>
    <w:rsid w:val="006C113F"/>
    <w:rsid w:val="006C123E"/>
    <w:rsid w:val="006C15A1"/>
    <w:rsid w:val="006C1752"/>
    <w:rsid w:val="006C1DDC"/>
    <w:rsid w:val="006C1F77"/>
    <w:rsid w:val="006C1F94"/>
    <w:rsid w:val="006C28CA"/>
    <w:rsid w:val="006C2A0B"/>
    <w:rsid w:val="006C2B31"/>
    <w:rsid w:val="006C2BBF"/>
    <w:rsid w:val="006C2FBD"/>
    <w:rsid w:val="006C3336"/>
    <w:rsid w:val="006C3495"/>
    <w:rsid w:val="006C3742"/>
    <w:rsid w:val="006C4355"/>
    <w:rsid w:val="006C4587"/>
    <w:rsid w:val="006C469D"/>
    <w:rsid w:val="006C46B5"/>
    <w:rsid w:val="006C484F"/>
    <w:rsid w:val="006C501A"/>
    <w:rsid w:val="006C52EC"/>
    <w:rsid w:val="006C5506"/>
    <w:rsid w:val="006C56D4"/>
    <w:rsid w:val="006C5C22"/>
    <w:rsid w:val="006C65FF"/>
    <w:rsid w:val="006C6681"/>
    <w:rsid w:val="006C683C"/>
    <w:rsid w:val="006C6924"/>
    <w:rsid w:val="006C6C1E"/>
    <w:rsid w:val="006C7076"/>
    <w:rsid w:val="006C7981"/>
    <w:rsid w:val="006C7AEC"/>
    <w:rsid w:val="006C7CA6"/>
    <w:rsid w:val="006D12FB"/>
    <w:rsid w:val="006D156E"/>
    <w:rsid w:val="006D15D3"/>
    <w:rsid w:val="006D18B3"/>
    <w:rsid w:val="006D1BA2"/>
    <w:rsid w:val="006D1E89"/>
    <w:rsid w:val="006D26CE"/>
    <w:rsid w:val="006D2CE1"/>
    <w:rsid w:val="006D3045"/>
    <w:rsid w:val="006D317E"/>
    <w:rsid w:val="006D3E8A"/>
    <w:rsid w:val="006D47D9"/>
    <w:rsid w:val="006D49BA"/>
    <w:rsid w:val="006D4BA3"/>
    <w:rsid w:val="006D4F1E"/>
    <w:rsid w:val="006D5C7F"/>
    <w:rsid w:val="006D61F6"/>
    <w:rsid w:val="006D66DD"/>
    <w:rsid w:val="006D766A"/>
    <w:rsid w:val="006D7F30"/>
    <w:rsid w:val="006E1081"/>
    <w:rsid w:val="006E1332"/>
    <w:rsid w:val="006E13F6"/>
    <w:rsid w:val="006E19CB"/>
    <w:rsid w:val="006E279A"/>
    <w:rsid w:val="006E313B"/>
    <w:rsid w:val="006E34B2"/>
    <w:rsid w:val="006E3553"/>
    <w:rsid w:val="006E3A45"/>
    <w:rsid w:val="006E4078"/>
    <w:rsid w:val="006E51C4"/>
    <w:rsid w:val="006E53AD"/>
    <w:rsid w:val="006E58CB"/>
    <w:rsid w:val="006E594C"/>
    <w:rsid w:val="006E6A93"/>
    <w:rsid w:val="006E7227"/>
    <w:rsid w:val="006E725C"/>
    <w:rsid w:val="006E761A"/>
    <w:rsid w:val="006F0646"/>
    <w:rsid w:val="006F0741"/>
    <w:rsid w:val="006F1C27"/>
    <w:rsid w:val="006F2575"/>
    <w:rsid w:val="006F29CB"/>
    <w:rsid w:val="006F2A65"/>
    <w:rsid w:val="006F3DD6"/>
    <w:rsid w:val="006F40DF"/>
    <w:rsid w:val="006F42BB"/>
    <w:rsid w:val="006F438E"/>
    <w:rsid w:val="006F440B"/>
    <w:rsid w:val="006F48A3"/>
    <w:rsid w:val="006F4DA4"/>
    <w:rsid w:val="006F5416"/>
    <w:rsid w:val="006F5CB9"/>
    <w:rsid w:val="006F60EE"/>
    <w:rsid w:val="006F61FB"/>
    <w:rsid w:val="006F624B"/>
    <w:rsid w:val="006F6D87"/>
    <w:rsid w:val="006F6FF2"/>
    <w:rsid w:val="006F79FB"/>
    <w:rsid w:val="007008A9"/>
    <w:rsid w:val="00700E8A"/>
    <w:rsid w:val="007018A4"/>
    <w:rsid w:val="0070284F"/>
    <w:rsid w:val="00702D15"/>
    <w:rsid w:val="0070398A"/>
    <w:rsid w:val="007039C4"/>
    <w:rsid w:val="007045FD"/>
    <w:rsid w:val="0070494B"/>
    <w:rsid w:val="00705242"/>
    <w:rsid w:val="0070540C"/>
    <w:rsid w:val="007055E0"/>
    <w:rsid w:val="007056ED"/>
    <w:rsid w:val="00705F4E"/>
    <w:rsid w:val="0070658E"/>
    <w:rsid w:val="007065C5"/>
    <w:rsid w:val="007068E1"/>
    <w:rsid w:val="00706AA0"/>
    <w:rsid w:val="00706AD4"/>
    <w:rsid w:val="00707150"/>
    <w:rsid w:val="007079E5"/>
    <w:rsid w:val="00707CA3"/>
    <w:rsid w:val="00707FD9"/>
    <w:rsid w:val="00710CE8"/>
    <w:rsid w:val="00711A9E"/>
    <w:rsid w:val="007124D7"/>
    <w:rsid w:val="00712C20"/>
    <w:rsid w:val="00712E1F"/>
    <w:rsid w:val="007132CA"/>
    <w:rsid w:val="0071333D"/>
    <w:rsid w:val="00713549"/>
    <w:rsid w:val="0071399A"/>
    <w:rsid w:val="007140BE"/>
    <w:rsid w:val="007147AB"/>
    <w:rsid w:val="00715231"/>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1BC1"/>
    <w:rsid w:val="00721BE1"/>
    <w:rsid w:val="00722727"/>
    <w:rsid w:val="00722777"/>
    <w:rsid w:val="0072306E"/>
    <w:rsid w:val="00723401"/>
    <w:rsid w:val="00723435"/>
    <w:rsid w:val="00723436"/>
    <w:rsid w:val="0072396B"/>
    <w:rsid w:val="007240E2"/>
    <w:rsid w:val="0072454C"/>
    <w:rsid w:val="0072583E"/>
    <w:rsid w:val="0072594F"/>
    <w:rsid w:val="00725B5F"/>
    <w:rsid w:val="00725BB5"/>
    <w:rsid w:val="00726788"/>
    <w:rsid w:val="00727C02"/>
    <w:rsid w:val="00727EE2"/>
    <w:rsid w:val="0073008E"/>
    <w:rsid w:val="00730884"/>
    <w:rsid w:val="00730A8B"/>
    <w:rsid w:val="00730AE8"/>
    <w:rsid w:val="00730CB4"/>
    <w:rsid w:val="00730D59"/>
    <w:rsid w:val="00730F1B"/>
    <w:rsid w:val="0073186D"/>
    <w:rsid w:val="007324A6"/>
    <w:rsid w:val="0073261D"/>
    <w:rsid w:val="0073333D"/>
    <w:rsid w:val="007343D9"/>
    <w:rsid w:val="00734F71"/>
    <w:rsid w:val="00735448"/>
    <w:rsid w:val="00735749"/>
    <w:rsid w:val="00736F07"/>
    <w:rsid w:val="00737557"/>
    <w:rsid w:val="007377BD"/>
    <w:rsid w:val="00737DEC"/>
    <w:rsid w:val="0074004D"/>
    <w:rsid w:val="00741493"/>
    <w:rsid w:val="00741B6B"/>
    <w:rsid w:val="00741F2A"/>
    <w:rsid w:val="0074333D"/>
    <w:rsid w:val="007434E5"/>
    <w:rsid w:val="00743884"/>
    <w:rsid w:val="007446AB"/>
    <w:rsid w:val="0074499B"/>
    <w:rsid w:val="007449D6"/>
    <w:rsid w:val="00744FC1"/>
    <w:rsid w:val="0074501E"/>
    <w:rsid w:val="007450BF"/>
    <w:rsid w:val="0074518B"/>
    <w:rsid w:val="0074599A"/>
    <w:rsid w:val="00746EE5"/>
    <w:rsid w:val="00746F45"/>
    <w:rsid w:val="007471A1"/>
    <w:rsid w:val="007477BD"/>
    <w:rsid w:val="007477DA"/>
    <w:rsid w:val="007477ED"/>
    <w:rsid w:val="00747EE9"/>
    <w:rsid w:val="0075016F"/>
    <w:rsid w:val="007520B6"/>
    <w:rsid w:val="00752180"/>
    <w:rsid w:val="00752323"/>
    <w:rsid w:val="007532B7"/>
    <w:rsid w:val="00753CAB"/>
    <w:rsid w:val="00754A70"/>
    <w:rsid w:val="00754BC9"/>
    <w:rsid w:val="00754FB0"/>
    <w:rsid w:val="00755202"/>
    <w:rsid w:val="00755D3A"/>
    <w:rsid w:val="00757241"/>
    <w:rsid w:val="0075751D"/>
    <w:rsid w:val="0075763E"/>
    <w:rsid w:val="007578D3"/>
    <w:rsid w:val="00757D7C"/>
    <w:rsid w:val="007601AE"/>
    <w:rsid w:val="007601D2"/>
    <w:rsid w:val="007602CF"/>
    <w:rsid w:val="00760391"/>
    <w:rsid w:val="0076052B"/>
    <w:rsid w:val="007609C6"/>
    <w:rsid w:val="007615F3"/>
    <w:rsid w:val="00761625"/>
    <w:rsid w:val="0076175D"/>
    <w:rsid w:val="0076190A"/>
    <w:rsid w:val="00761A96"/>
    <w:rsid w:val="00761CB5"/>
    <w:rsid w:val="00761F7B"/>
    <w:rsid w:val="007629D5"/>
    <w:rsid w:val="007635F8"/>
    <w:rsid w:val="0076384E"/>
    <w:rsid w:val="00763A88"/>
    <w:rsid w:val="00763B23"/>
    <w:rsid w:val="00763B85"/>
    <w:rsid w:val="00763DAC"/>
    <w:rsid w:val="00764341"/>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5CC"/>
    <w:rsid w:val="00772DAB"/>
    <w:rsid w:val="00772FF9"/>
    <w:rsid w:val="0077348B"/>
    <w:rsid w:val="00773B76"/>
    <w:rsid w:val="00773BF4"/>
    <w:rsid w:val="00773F5D"/>
    <w:rsid w:val="00774269"/>
    <w:rsid w:val="007743DB"/>
    <w:rsid w:val="0077452E"/>
    <w:rsid w:val="00774D2C"/>
    <w:rsid w:val="00775E00"/>
    <w:rsid w:val="0077605B"/>
    <w:rsid w:val="00776169"/>
    <w:rsid w:val="00776527"/>
    <w:rsid w:val="00776783"/>
    <w:rsid w:val="00777040"/>
    <w:rsid w:val="00777CE6"/>
    <w:rsid w:val="00777D57"/>
    <w:rsid w:val="00780BF0"/>
    <w:rsid w:val="00780EF1"/>
    <w:rsid w:val="007819B2"/>
    <w:rsid w:val="00781A91"/>
    <w:rsid w:val="00781AD3"/>
    <w:rsid w:val="00781B70"/>
    <w:rsid w:val="00781F36"/>
    <w:rsid w:val="00782E4D"/>
    <w:rsid w:val="00783339"/>
    <w:rsid w:val="00783576"/>
    <w:rsid w:val="00783810"/>
    <w:rsid w:val="007838D8"/>
    <w:rsid w:val="00784276"/>
    <w:rsid w:val="0078440C"/>
    <w:rsid w:val="00784980"/>
    <w:rsid w:val="00784D45"/>
    <w:rsid w:val="007853FD"/>
    <w:rsid w:val="00785778"/>
    <w:rsid w:val="00786C87"/>
    <w:rsid w:val="00786CD1"/>
    <w:rsid w:val="007873BE"/>
    <w:rsid w:val="0078755E"/>
    <w:rsid w:val="007877C9"/>
    <w:rsid w:val="00790764"/>
    <w:rsid w:val="007907D5"/>
    <w:rsid w:val="0079085F"/>
    <w:rsid w:val="00790E96"/>
    <w:rsid w:val="00791005"/>
    <w:rsid w:val="0079139B"/>
    <w:rsid w:val="00793D78"/>
    <w:rsid w:val="007940EB"/>
    <w:rsid w:val="0079420B"/>
    <w:rsid w:val="0079453C"/>
    <w:rsid w:val="0079457A"/>
    <w:rsid w:val="00794677"/>
    <w:rsid w:val="00795367"/>
    <w:rsid w:val="00795759"/>
    <w:rsid w:val="00795788"/>
    <w:rsid w:val="00795B47"/>
    <w:rsid w:val="00797D3C"/>
    <w:rsid w:val="007A0B5E"/>
    <w:rsid w:val="007A0C93"/>
    <w:rsid w:val="007A147A"/>
    <w:rsid w:val="007A15BA"/>
    <w:rsid w:val="007A16E3"/>
    <w:rsid w:val="007A170B"/>
    <w:rsid w:val="007A20EB"/>
    <w:rsid w:val="007A236B"/>
    <w:rsid w:val="007A282C"/>
    <w:rsid w:val="007A293C"/>
    <w:rsid w:val="007A2A3A"/>
    <w:rsid w:val="007A33E2"/>
    <w:rsid w:val="007A3CAF"/>
    <w:rsid w:val="007A4551"/>
    <w:rsid w:val="007A4664"/>
    <w:rsid w:val="007A4782"/>
    <w:rsid w:val="007A516D"/>
    <w:rsid w:val="007A51C9"/>
    <w:rsid w:val="007A5E65"/>
    <w:rsid w:val="007A5FEE"/>
    <w:rsid w:val="007A65E1"/>
    <w:rsid w:val="007A6A6E"/>
    <w:rsid w:val="007A6AAA"/>
    <w:rsid w:val="007A6FF6"/>
    <w:rsid w:val="007A7033"/>
    <w:rsid w:val="007A775D"/>
    <w:rsid w:val="007B02AD"/>
    <w:rsid w:val="007B04B0"/>
    <w:rsid w:val="007B0834"/>
    <w:rsid w:val="007B0E83"/>
    <w:rsid w:val="007B112B"/>
    <w:rsid w:val="007B11FA"/>
    <w:rsid w:val="007B1396"/>
    <w:rsid w:val="007B16D6"/>
    <w:rsid w:val="007B1D1B"/>
    <w:rsid w:val="007B1E3F"/>
    <w:rsid w:val="007B2011"/>
    <w:rsid w:val="007B2221"/>
    <w:rsid w:val="007B23E7"/>
    <w:rsid w:val="007B2CFE"/>
    <w:rsid w:val="007B309B"/>
    <w:rsid w:val="007B37AB"/>
    <w:rsid w:val="007B3BB3"/>
    <w:rsid w:val="007B3D5E"/>
    <w:rsid w:val="007B3DCB"/>
    <w:rsid w:val="007B46BF"/>
    <w:rsid w:val="007B54AE"/>
    <w:rsid w:val="007B5725"/>
    <w:rsid w:val="007B5C1F"/>
    <w:rsid w:val="007B5D3E"/>
    <w:rsid w:val="007B5F59"/>
    <w:rsid w:val="007B6319"/>
    <w:rsid w:val="007B6689"/>
    <w:rsid w:val="007B6747"/>
    <w:rsid w:val="007B6F72"/>
    <w:rsid w:val="007B74AA"/>
    <w:rsid w:val="007B756F"/>
    <w:rsid w:val="007B7AD3"/>
    <w:rsid w:val="007B7D1A"/>
    <w:rsid w:val="007C0D78"/>
    <w:rsid w:val="007C10BD"/>
    <w:rsid w:val="007C162D"/>
    <w:rsid w:val="007C1A03"/>
    <w:rsid w:val="007C1A88"/>
    <w:rsid w:val="007C1DD4"/>
    <w:rsid w:val="007C1F0C"/>
    <w:rsid w:val="007C1FFB"/>
    <w:rsid w:val="007C2767"/>
    <w:rsid w:val="007C2D94"/>
    <w:rsid w:val="007C4A6B"/>
    <w:rsid w:val="007C5F92"/>
    <w:rsid w:val="007C6227"/>
    <w:rsid w:val="007C6319"/>
    <w:rsid w:val="007C634E"/>
    <w:rsid w:val="007C63DB"/>
    <w:rsid w:val="007C64F7"/>
    <w:rsid w:val="007C6970"/>
    <w:rsid w:val="007C6BBD"/>
    <w:rsid w:val="007C6D89"/>
    <w:rsid w:val="007C6F5E"/>
    <w:rsid w:val="007D0382"/>
    <w:rsid w:val="007D08F2"/>
    <w:rsid w:val="007D0F6B"/>
    <w:rsid w:val="007D14FE"/>
    <w:rsid w:val="007D1A1F"/>
    <w:rsid w:val="007D213B"/>
    <w:rsid w:val="007D2783"/>
    <w:rsid w:val="007D2E18"/>
    <w:rsid w:val="007D3A68"/>
    <w:rsid w:val="007D3EF3"/>
    <w:rsid w:val="007D40DF"/>
    <w:rsid w:val="007D42E5"/>
    <w:rsid w:val="007D4458"/>
    <w:rsid w:val="007D4FA5"/>
    <w:rsid w:val="007D579C"/>
    <w:rsid w:val="007D62F0"/>
    <w:rsid w:val="007D65C3"/>
    <w:rsid w:val="007D6AF9"/>
    <w:rsid w:val="007D7646"/>
    <w:rsid w:val="007D7763"/>
    <w:rsid w:val="007D7F4F"/>
    <w:rsid w:val="007E01E9"/>
    <w:rsid w:val="007E0535"/>
    <w:rsid w:val="007E07F2"/>
    <w:rsid w:val="007E0D4A"/>
    <w:rsid w:val="007E0E91"/>
    <w:rsid w:val="007E1788"/>
    <w:rsid w:val="007E1EE3"/>
    <w:rsid w:val="007E29B4"/>
    <w:rsid w:val="007E2C81"/>
    <w:rsid w:val="007E2DD4"/>
    <w:rsid w:val="007E2F12"/>
    <w:rsid w:val="007E32AE"/>
    <w:rsid w:val="007E354A"/>
    <w:rsid w:val="007E3627"/>
    <w:rsid w:val="007E413C"/>
    <w:rsid w:val="007E435A"/>
    <w:rsid w:val="007E445C"/>
    <w:rsid w:val="007E49F7"/>
    <w:rsid w:val="007E4C70"/>
    <w:rsid w:val="007E5149"/>
    <w:rsid w:val="007E532F"/>
    <w:rsid w:val="007E5759"/>
    <w:rsid w:val="007E585C"/>
    <w:rsid w:val="007E5B19"/>
    <w:rsid w:val="007E5B5F"/>
    <w:rsid w:val="007E69C6"/>
    <w:rsid w:val="007E78B6"/>
    <w:rsid w:val="007E7E61"/>
    <w:rsid w:val="007F0845"/>
    <w:rsid w:val="007F0873"/>
    <w:rsid w:val="007F20F3"/>
    <w:rsid w:val="007F2353"/>
    <w:rsid w:val="007F2390"/>
    <w:rsid w:val="007F2CAC"/>
    <w:rsid w:val="007F2DFD"/>
    <w:rsid w:val="007F3546"/>
    <w:rsid w:val="007F3CB6"/>
    <w:rsid w:val="007F4740"/>
    <w:rsid w:val="007F595A"/>
    <w:rsid w:val="007F5C38"/>
    <w:rsid w:val="007F708D"/>
    <w:rsid w:val="007F727E"/>
    <w:rsid w:val="007F72E3"/>
    <w:rsid w:val="007F7E3F"/>
    <w:rsid w:val="008006B3"/>
    <w:rsid w:val="00800B63"/>
    <w:rsid w:val="0080158A"/>
    <w:rsid w:val="00801BFE"/>
    <w:rsid w:val="00801E13"/>
    <w:rsid w:val="00802791"/>
    <w:rsid w:val="00802B5F"/>
    <w:rsid w:val="00803008"/>
    <w:rsid w:val="00803069"/>
    <w:rsid w:val="0080346B"/>
    <w:rsid w:val="00803E08"/>
    <w:rsid w:val="00804155"/>
    <w:rsid w:val="00804C40"/>
    <w:rsid w:val="00804C9F"/>
    <w:rsid w:val="008054A3"/>
    <w:rsid w:val="0080559E"/>
    <w:rsid w:val="00805AF3"/>
    <w:rsid w:val="0080621E"/>
    <w:rsid w:val="00806955"/>
    <w:rsid w:val="00806C9C"/>
    <w:rsid w:val="008071B1"/>
    <w:rsid w:val="0080734C"/>
    <w:rsid w:val="00807BC0"/>
    <w:rsid w:val="00807C82"/>
    <w:rsid w:val="008107EE"/>
    <w:rsid w:val="008117CC"/>
    <w:rsid w:val="00811FF8"/>
    <w:rsid w:val="0081249F"/>
    <w:rsid w:val="00812708"/>
    <w:rsid w:val="00813D58"/>
    <w:rsid w:val="00813DCA"/>
    <w:rsid w:val="008147B9"/>
    <w:rsid w:val="00814F45"/>
    <w:rsid w:val="00815B3A"/>
    <w:rsid w:val="00815EE3"/>
    <w:rsid w:val="008161A6"/>
    <w:rsid w:val="008165B8"/>
    <w:rsid w:val="00816905"/>
    <w:rsid w:val="00816D98"/>
    <w:rsid w:val="00816E42"/>
    <w:rsid w:val="00817040"/>
    <w:rsid w:val="00817A17"/>
    <w:rsid w:val="00817EC1"/>
    <w:rsid w:val="0082112D"/>
    <w:rsid w:val="00821624"/>
    <w:rsid w:val="008217C1"/>
    <w:rsid w:val="00821B4F"/>
    <w:rsid w:val="00821FF6"/>
    <w:rsid w:val="00822574"/>
    <w:rsid w:val="00822980"/>
    <w:rsid w:val="00822F08"/>
    <w:rsid w:val="00824BA6"/>
    <w:rsid w:val="00824BF4"/>
    <w:rsid w:val="00825007"/>
    <w:rsid w:val="00825120"/>
    <w:rsid w:val="0082528D"/>
    <w:rsid w:val="00825C4D"/>
    <w:rsid w:val="0082654E"/>
    <w:rsid w:val="00826A08"/>
    <w:rsid w:val="00826AC0"/>
    <w:rsid w:val="00826C77"/>
    <w:rsid w:val="00826D45"/>
    <w:rsid w:val="00827186"/>
    <w:rsid w:val="00827C8E"/>
    <w:rsid w:val="00830569"/>
    <w:rsid w:val="00830AEA"/>
    <w:rsid w:val="00830E86"/>
    <w:rsid w:val="0083143E"/>
    <w:rsid w:val="008315B8"/>
    <w:rsid w:val="008315D5"/>
    <w:rsid w:val="00831CDE"/>
    <w:rsid w:val="00831F2B"/>
    <w:rsid w:val="008320CF"/>
    <w:rsid w:val="0083245D"/>
    <w:rsid w:val="008324A3"/>
    <w:rsid w:val="00832A1C"/>
    <w:rsid w:val="00832F77"/>
    <w:rsid w:val="00834304"/>
    <w:rsid w:val="008343CE"/>
    <w:rsid w:val="0083471A"/>
    <w:rsid w:val="00834FAA"/>
    <w:rsid w:val="00835495"/>
    <w:rsid w:val="008354FB"/>
    <w:rsid w:val="008357DA"/>
    <w:rsid w:val="00835FF1"/>
    <w:rsid w:val="00836086"/>
    <w:rsid w:val="0083630F"/>
    <w:rsid w:val="00836A06"/>
    <w:rsid w:val="008374BC"/>
    <w:rsid w:val="008379D6"/>
    <w:rsid w:val="00837E48"/>
    <w:rsid w:val="00840293"/>
    <w:rsid w:val="008402AD"/>
    <w:rsid w:val="008408D4"/>
    <w:rsid w:val="00840C73"/>
    <w:rsid w:val="008414EE"/>
    <w:rsid w:val="008417B5"/>
    <w:rsid w:val="00841901"/>
    <w:rsid w:val="00842701"/>
    <w:rsid w:val="0084473C"/>
    <w:rsid w:val="00844998"/>
    <w:rsid w:val="008458A0"/>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294C"/>
    <w:rsid w:val="00852B1F"/>
    <w:rsid w:val="00853282"/>
    <w:rsid w:val="0085334C"/>
    <w:rsid w:val="00853CE7"/>
    <w:rsid w:val="00854291"/>
    <w:rsid w:val="00854806"/>
    <w:rsid w:val="00855408"/>
    <w:rsid w:val="00855D03"/>
    <w:rsid w:val="00856030"/>
    <w:rsid w:val="00856AA1"/>
    <w:rsid w:val="00856D65"/>
    <w:rsid w:val="00856FA4"/>
    <w:rsid w:val="008603CA"/>
    <w:rsid w:val="00860D79"/>
    <w:rsid w:val="00861B41"/>
    <w:rsid w:val="00861B9F"/>
    <w:rsid w:val="00861BE3"/>
    <w:rsid w:val="00861EB6"/>
    <w:rsid w:val="008620A3"/>
    <w:rsid w:val="008625D3"/>
    <w:rsid w:val="00862C0A"/>
    <w:rsid w:val="00862C86"/>
    <w:rsid w:val="00863434"/>
    <w:rsid w:val="0086344F"/>
    <w:rsid w:val="008641AC"/>
    <w:rsid w:val="0086484F"/>
    <w:rsid w:val="00865C4B"/>
    <w:rsid w:val="00865DDD"/>
    <w:rsid w:val="00865E4C"/>
    <w:rsid w:val="00865E80"/>
    <w:rsid w:val="00866074"/>
    <w:rsid w:val="00867546"/>
    <w:rsid w:val="0086796D"/>
    <w:rsid w:val="00867DAB"/>
    <w:rsid w:val="0087000B"/>
    <w:rsid w:val="008701E4"/>
    <w:rsid w:val="008704E9"/>
    <w:rsid w:val="008705FB"/>
    <w:rsid w:val="00870ECD"/>
    <w:rsid w:val="00871B86"/>
    <w:rsid w:val="0087347C"/>
    <w:rsid w:val="008734E7"/>
    <w:rsid w:val="0087368D"/>
    <w:rsid w:val="008740CC"/>
    <w:rsid w:val="0087442A"/>
    <w:rsid w:val="00874578"/>
    <w:rsid w:val="00874904"/>
    <w:rsid w:val="00874FE8"/>
    <w:rsid w:val="00875A32"/>
    <w:rsid w:val="00875CC1"/>
    <w:rsid w:val="00876086"/>
    <w:rsid w:val="00876651"/>
    <w:rsid w:val="00876E83"/>
    <w:rsid w:val="0087722C"/>
    <w:rsid w:val="008772BC"/>
    <w:rsid w:val="00877957"/>
    <w:rsid w:val="00880A0E"/>
    <w:rsid w:val="00880DD7"/>
    <w:rsid w:val="008817FE"/>
    <w:rsid w:val="008819EB"/>
    <w:rsid w:val="00881CD7"/>
    <w:rsid w:val="00881DFE"/>
    <w:rsid w:val="00882911"/>
    <w:rsid w:val="00882F6E"/>
    <w:rsid w:val="00883202"/>
    <w:rsid w:val="00884E02"/>
    <w:rsid w:val="0088502B"/>
    <w:rsid w:val="00885D40"/>
    <w:rsid w:val="0088657A"/>
    <w:rsid w:val="00886E94"/>
    <w:rsid w:val="008873D4"/>
    <w:rsid w:val="008902A5"/>
    <w:rsid w:val="00890CB1"/>
    <w:rsid w:val="00891EDF"/>
    <w:rsid w:val="00892872"/>
    <w:rsid w:val="0089296D"/>
    <w:rsid w:val="00893E85"/>
    <w:rsid w:val="00893EBE"/>
    <w:rsid w:val="00893F50"/>
    <w:rsid w:val="00894031"/>
    <w:rsid w:val="00894C5D"/>
    <w:rsid w:val="00895508"/>
    <w:rsid w:val="0089570B"/>
    <w:rsid w:val="00895797"/>
    <w:rsid w:val="008962CD"/>
    <w:rsid w:val="008967E9"/>
    <w:rsid w:val="00896A5C"/>
    <w:rsid w:val="00896DF6"/>
    <w:rsid w:val="00897155"/>
    <w:rsid w:val="008972D2"/>
    <w:rsid w:val="0089754C"/>
    <w:rsid w:val="00897CFA"/>
    <w:rsid w:val="008A0659"/>
    <w:rsid w:val="008A0ADD"/>
    <w:rsid w:val="008A0D27"/>
    <w:rsid w:val="008A1C59"/>
    <w:rsid w:val="008A2254"/>
    <w:rsid w:val="008A37E2"/>
    <w:rsid w:val="008A388E"/>
    <w:rsid w:val="008A394E"/>
    <w:rsid w:val="008A3C28"/>
    <w:rsid w:val="008A3CBA"/>
    <w:rsid w:val="008A3D90"/>
    <w:rsid w:val="008A4278"/>
    <w:rsid w:val="008A4B59"/>
    <w:rsid w:val="008A55F4"/>
    <w:rsid w:val="008A63E1"/>
    <w:rsid w:val="008A66B7"/>
    <w:rsid w:val="008A68BB"/>
    <w:rsid w:val="008A6AA5"/>
    <w:rsid w:val="008A7127"/>
    <w:rsid w:val="008B02E7"/>
    <w:rsid w:val="008B0472"/>
    <w:rsid w:val="008B0CBA"/>
    <w:rsid w:val="008B1850"/>
    <w:rsid w:val="008B1860"/>
    <w:rsid w:val="008B2639"/>
    <w:rsid w:val="008B3537"/>
    <w:rsid w:val="008B35C1"/>
    <w:rsid w:val="008B3690"/>
    <w:rsid w:val="008B3A80"/>
    <w:rsid w:val="008B3AEC"/>
    <w:rsid w:val="008B3C07"/>
    <w:rsid w:val="008B3C6E"/>
    <w:rsid w:val="008B3F7B"/>
    <w:rsid w:val="008B43CA"/>
    <w:rsid w:val="008B4575"/>
    <w:rsid w:val="008B4758"/>
    <w:rsid w:val="008B51B7"/>
    <w:rsid w:val="008B5324"/>
    <w:rsid w:val="008B5C99"/>
    <w:rsid w:val="008B6106"/>
    <w:rsid w:val="008B65A8"/>
    <w:rsid w:val="008B697D"/>
    <w:rsid w:val="008B7C02"/>
    <w:rsid w:val="008B7D2B"/>
    <w:rsid w:val="008B7EF9"/>
    <w:rsid w:val="008C0049"/>
    <w:rsid w:val="008C025A"/>
    <w:rsid w:val="008C0314"/>
    <w:rsid w:val="008C056C"/>
    <w:rsid w:val="008C0654"/>
    <w:rsid w:val="008C0680"/>
    <w:rsid w:val="008C0E88"/>
    <w:rsid w:val="008C0EBE"/>
    <w:rsid w:val="008C1717"/>
    <w:rsid w:val="008C17F0"/>
    <w:rsid w:val="008C1D26"/>
    <w:rsid w:val="008C301D"/>
    <w:rsid w:val="008C3A32"/>
    <w:rsid w:val="008C3B05"/>
    <w:rsid w:val="008C451F"/>
    <w:rsid w:val="008C471B"/>
    <w:rsid w:val="008C4B50"/>
    <w:rsid w:val="008C5A37"/>
    <w:rsid w:val="008C6CD6"/>
    <w:rsid w:val="008C7303"/>
    <w:rsid w:val="008C7569"/>
    <w:rsid w:val="008C79C3"/>
    <w:rsid w:val="008D006F"/>
    <w:rsid w:val="008D033D"/>
    <w:rsid w:val="008D06A2"/>
    <w:rsid w:val="008D0C2A"/>
    <w:rsid w:val="008D0DBD"/>
    <w:rsid w:val="008D117E"/>
    <w:rsid w:val="008D127E"/>
    <w:rsid w:val="008D1CA8"/>
    <w:rsid w:val="008D1E0A"/>
    <w:rsid w:val="008D1E6A"/>
    <w:rsid w:val="008D1FD3"/>
    <w:rsid w:val="008D2304"/>
    <w:rsid w:val="008D2407"/>
    <w:rsid w:val="008D2A16"/>
    <w:rsid w:val="008D2AAF"/>
    <w:rsid w:val="008D2ABB"/>
    <w:rsid w:val="008D2AEC"/>
    <w:rsid w:val="008D2CB5"/>
    <w:rsid w:val="008D3295"/>
    <w:rsid w:val="008D33F5"/>
    <w:rsid w:val="008D35E4"/>
    <w:rsid w:val="008D3ACD"/>
    <w:rsid w:val="008D3D21"/>
    <w:rsid w:val="008D3ECE"/>
    <w:rsid w:val="008D400B"/>
    <w:rsid w:val="008D50FA"/>
    <w:rsid w:val="008D6C3A"/>
    <w:rsid w:val="008D70E2"/>
    <w:rsid w:val="008D7F47"/>
    <w:rsid w:val="008D7FF4"/>
    <w:rsid w:val="008E0001"/>
    <w:rsid w:val="008E0243"/>
    <w:rsid w:val="008E039E"/>
    <w:rsid w:val="008E1697"/>
    <w:rsid w:val="008E18EC"/>
    <w:rsid w:val="008E292B"/>
    <w:rsid w:val="008E2C57"/>
    <w:rsid w:val="008E31FF"/>
    <w:rsid w:val="008E3287"/>
    <w:rsid w:val="008E38E4"/>
    <w:rsid w:val="008E3D0D"/>
    <w:rsid w:val="008E3DFA"/>
    <w:rsid w:val="008E419B"/>
    <w:rsid w:val="008E4566"/>
    <w:rsid w:val="008E487E"/>
    <w:rsid w:val="008E4C65"/>
    <w:rsid w:val="008E51EB"/>
    <w:rsid w:val="008E5274"/>
    <w:rsid w:val="008E5746"/>
    <w:rsid w:val="008E64D7"/>
    <w:rsid w:val="008E6DCB"/>
    <w:rsid w:val="008E6E5D"/>
    <w:rsid w:val="008E6F06"/>
    <w:rsid w:val="008E7000"/>
    <w:rsid w:val="008E7039"/>
    <w:rsid w:val="008E723E"/>
    <w:rsid w:val="008E7B8E"/>
    <w:rsid w:val="008E7FC9"/>
    <w:rsid w:val="008F0107"/>
    <w:rsid w:val="008F029B"/>
    <w:rsid w:val="008F0589"/>
    <w:rsid w:val="008F130B"/>
    <w:rsid w:val="008F26D4"/>
    <w:rsid w:val="008F2A5D"/>
    <w:rsid w:val="008F2BC7"/>
    <w:rsid w:val="008F2E83"/>
    <w:rsid w:val="008F3636"/>
    <w:rsid w:val="008F3E91"/>
    <w:rsid w:val="008F3FC9"/>
    <w:rsid w:val="008F418F"/>
    <w:rsid w:val="008F4D9C"/>
    <w:rsid w:val="008F509F"/>
    <w:rsid w:val="008F525A"/>
    <w:rsid w:val="008F5383"/>
    <w:rsid w:val="008F585B"/>
    <w:rsid w:val="008F631F"/>
    <w:rsid w:val="008F77CC"/>
    <w:rsid w:val="008F7FB0"/>
    <w:rsid w:val="009003A8"/>
    <w:rsid w:val="009005E4"/>
    <w:rsid w:val="00900977"/>
    <w:rsid w:val="0090165B"/>
    <w:rsid w:val="00901D43"/>
    <w:rsid w:val="00901F6D"/>
    <w:rsid w:val="009021DA"/>
    <w:rsid w:val="00902337"/>
    <w:rsid w:val="00902500"/>
    <w:rsid w:val="00902EFF"/>
    <w:rsid w:val="0090356D"/>
    <w:rsid w:val="00903A8E"/>
    <w:rsid w:val="0090432C"/>
    <w:rsid w:val="00904F96"/>
    <w:rsid w:val="009052A3"/>
    <w:rsid w:val="00905314"/>
    <w:rsid w:val="009056D7"/>
    <w:rsid w:val="00905B8D"/>
    <w:rsid w:val="00906401"/>
    <w:rsid w:val="009065CB"/>
    <w:rsid w:val="0090674A"/>
    <w:rsid w:val="009067EA"/>
    <w:rsid w:val="00906860"/>
    <w:rsid w:val="00906B79"/>
    <w:rsid w:val="0090786F"/>
    <w:rsid w:val="0091001E"/>
    <w:rsid w:val="009101D4"/>
    <w:rsid w:val="00910702"/>
    <w:rsid w:val="00910C18"/>
    <w:rsid w:val="009110F7"/>
    <w:rsid w:val="009112E3"/>
    <w:rsid w:val="0091155E"/>
    <w:rsid w:val="00912437"/>
    <w:rsid w:val="00912A92"/>
    <w:rsid w:val="00912AF9"/>
    <w:rsid w:val="00913237"/>
    <w:rsid w:val="00913B36"/>
    <w:rsid w:val="0091476D"/>
    <w:rsid w:val="00914DFA"/>
    <w:rsid w:val="009154EF"/>
    <w:rsid w:val="00915D07"/>
    <w:rsid w:val="009162AE"/>
    <w:rsid w:val="009165BB"/>
    <w:rsid w:val="00917154"/>
    <w:rsid w:val="00917251"/>
    <w:rsid w:val="0091728D"/>
    <w:rsid w:val="0092008B"/>
    <w:rsid w:val="0092036B"/>
    <w:rsid w:val="009203CC"/>
    <w:rsid w:val="00920EC4"/>
    <w:rsid w:val="0092180B"/>
    <w:rsid w:val="00921F14"/>
    <w:rsid w:val="0092292F"/>
    <w:rsid w:val="00922D28"/>
    <w:rsid w:val="00923322"/>
    <w:rsid w:val="009233B9"/>
    <w:rsid w:val="00923CB0"/>
    <w:rsid w:val="00923D8C"/>
    <w:rsid w:val="00924871"/>
    <w:rsid w:val="00924AC8"/>
    <w:rsid w:val="00925429"/>
    <w:rsid w:val="00925488"/>
    <w:rsid w:val="00925615"/>
    <w:rsid w:val="00925795"/>
    <w:rsid w:val="0092597A"/>
    <w:rsid w:val="00926520"/>
    <w:rsid w:val="0092691E"/>
    <w:rsid w:val="00926B2B"/>
    <w:rsid w:val="00926CF0"/>
    <w:rsid w:val="009273A9"/>
    <w:rsid w:val="00930251"/>
    <w:rsid w:val="0093033E"/>
    <w:rsid w:val="009305FC"/>
    <w:rsid w:val="00930FB1"/>
    <w:rsid w:val="0093104E"/>
    <w:rsid w:val="0093139F"/>
    <w:rsid w:val="00932117"/>
    <w:rsid w:val="00932239"/>
    <w:rsid w:val="00932443"/>
    <w:rsid w:val="00932A09"/>
    <w:rsid w:val="00932B32"/>
    <w:rsid w:val="00932E00"/>
    <w:rsid w:val="00932F66"/>
    <w:rsid w:val="0093305E"/>
    <w:rsid w:val="009332D2"/>
    <w:rsid w:val="00933959"/>
    <w:rsid w:val="00933E43"/>
    <w:rsid w:val="00933F4A"/>
    <w:rsid w:val="00933FEB"/>
    <w:rsid w:val="009341F1"/>
    <w:rsid w:val="00934897"/>
    <w:rsid w:val="00934B2A"/>
    <w:rsid w:val="00934C3C"/>
    <w:rsid w:val="00934FF2"/>
    <w:rsid w:val="00935448"/>
    <w:rsid w:val="00935524"/>
    <w:rsid w:val="009358D7"/>
    <w:rsid w:val="00935BD4"/>
    <w:rsid w:val="00935DFE"/>
    <w:rsid w:val="00935F70"/>
    <w:rsid w:val="009360FA"/>
    <w:rsid w:val="009361BA"/>
    <w:rsid w:val="0093648B"/>
    <w:rsid w:val="00937017"/>
    <w:rsid w:val="009373B2"/>
    <w:rsid w:val="00937AE2"/>
    <w:rsid w:val="00940207"/>
    <w:rsid w:val="0094061F"/>
    <w:rsid w:val="00940C37"/>
    <w:rsid w:val="00940F0F"/>
    <w:rsid w:val="00941912"/>
    <w:rsid w:val="00942A89"/>
    <w:rsid w:val="0094416B"/>
    <w:rsid w:val="0094427A"/>
    <w:rsid w:val="009449C6"/>
    <w:rsid w:val="00944C7C"/>
    <w:rsid w:val="00945245"/>
    <w:rsid w:val="0094537F"/>
    <w:rsid w:val="00945523"/>
    <w:rsid w:val="00946415"/>
    <w:rsid w:val="00946C43"/>
    <w:rsid w:val="00946FE0"/>
    <w:rsid w:val="009473BB"/>
    <w:rsid w:val="00947816"/>
    <w:rsid w:val="0094795E"/>
    <w:rsid w:val="00947C89"/>
    <w:rsid w:val="009507E6"/>
    <w:rsid w:val="00950921"/>
    <w:rsid w:val="00951D68"/>
    <w:rsid w:val="00951E5B"/>
    <w:rsid w:val="00952050"/>
    <w:rsid w:val="00952315"/>
    <w:rsid w:val="009523D9"/>
    <w:rsid w:val="00952B7B"/>
    <w:rsid w:val="00952BEF"/>
    <w:rsid w:val="0095357B"/>
    <w:rsid w:val="009538B3"/>
    <w:rsid w:val="0095408D"/>
    <w:rsid w:val="00954F39"/>
    <w:rsid w:val="00955554"/>
    <w:rsid w:val="009555FD"/>
    <w:rsid w:val="00955BAD"/>
    <w:rsid w:val="0095664B"/>
    <w:rsid w:val="009568DC"/>
    <w:rsid w:val="00956B8B"/>
    <w:rsid w:val="00956D75"/>
    <w:rsid w:val="00957140"/>
    <w:rsid w:val="00957445"/>
    <w:rsid w:val="0095759C"/>
    <w:rsid w:val="00960405"/>
    <w:rsid w:val="009618EE"/>
    <w:rsid w:val="0096195C"/>
    <w:rsid w:val="00961CB4"/>
    <w:rsid w:val="00961DDD"/>
    <w:rsid w:val="0096249D"/>
    <w:rsid w:val="009624D2"/>
    <w:rsid w:val="009628D9"/>
    <w:rsid w:val="00963171"/>
    <w:rsid w:val="009637AE"/>
    <w:rsid w:val="00963A06"/>
    <w:rsid w:val="00964068"/>
    <w:rsid w:val="009640F6"/>
    <w:rsid w:val="0096469D"/>
    <w:rsid w:val="00964776"/>
    <w:rsid w:val="00964A4E"/>
    <w:rsid w:val="00964B35"/>
    <w:rsid w:val="009651C7"/>
    <w:rsid w:val="00965797"/>
    <w:rsid w:val="00965A10"/>
    <w:rsid w:val="00965AD0"/>
    <w:rsid w:val="009664D8"/>
    <w:rsid w:val="009665AB"/>
    <w:rsid w:val="009670A3"/>
    <w:rsid w:val="009674BE"/>
    <w:rsid w:val="009678D1"/>
    <w:rsid w:val="00967E01"/>
    <w:rsid w:val="00970386"/>
    <w:rsid w:val="009709EE"/>
    <w:rsid w:val="00970FB5"/>
    <w:rsid w:val="00971195"/>
    <w:rsid w:val="00971710"/>
    <w:rsid w:val="00971B87"/>
    <w:rsid w:val="00971C77"/>
    <w:rsid w:val="0097203A"/>
    <w:rsid w:val="00972057"/>
    <w:rsid w:val="00972FCD"/>
    <w:rsid w:val="00973324"/>
    <w:rsid w:val="009736DF"/>
    <w:rsid w:val="009741AE"/>
    <w:rsid w:val="009741FC"/>
    <w:rsid w:val="00974520"/>
    <w:rsid w:val="0097452F"/>
    <w:rsid w:val="00974782"/>
    <w:rsid w:val="00974923"/>
    <w:rsid w:val="00974AA8"/>
    <w:rsid w:val="009753C9"/>
    <w:rsid w:val="009754D3"/>
    <w:rsid w:val="00975909"/>
    <w:rsid w:val="009763FC"/>
    <w:rsid w:val="0097768D"/>
    <w:rsid w:val="0097799F"/>
    <w:rsid w:val="00977C33"/>
    <w:rsid w:val="00977C3D"/>
    <w:rsid w:val="0098000C"/>
    <w:rsid w:val="00980D3D"/>
    <w:rsid w:val="00980F78"/>
    <w:rsid w:val="0098103E"/>
    <w:rsid w:val="0098157D"/>
    <w:rsid w:val="0098203B"/>
    <w:rsid w:val="009822D3"/>
    <w:rsid w:val="00983101"/>
    <w:rsid w:val="009834D2"/>
    <w:rsid w:val="0098371F"/>
    <w:rsid w:val="00983E41"/>
    <w:rsid w:val="0098417C"/>
    <w:rsid w:val="009845E1"/>
    <w:rsid w:val="00984600"/>
    <w:rsid w:val="009848D1"/>
    <w:rsid w:val="00984CE5"/>
    <w:rsid w:val="00984D1B"/>
    <w:rsid w:val="00984DF6"/>
    <w:rsid w:val="00986246"/>
    <w:rsid w:val="009864E3"/>
    <w:rsid w:val="009866EB"/>
    <w:rsid w:val="00987277"/>
    <w:rsid w:val="00987A30"/>
    <w:rsid w:val="00990197"/>
    <w:rsid w:val="00990312"/>
    <w:rsid w:val="009908AF"/>
    <w:rsid w:val="00990D4E"/>
    <w:rsid w:val="0099182E"/>
    <w:rsid w:val="00991D45"/>
    <w:rsid w:val="00992736"/>
    <w:rsid w:val="00992B49"/>
    <w:rsid w:val="00992BB3"/>
    <w:rsid w:val="00992CF3"/>
    <w:rsid w:val="00993194"/>
    <w:rsid w:val="0099321E"/>
    <w:rsid w:val="00993673"/>
    <w:rsid w:val="00993ECA"/>
    <w:rsid w:val="00994171"/>
    <w:rsid w:val="00994868"/>
    <w:rsid w:val="00994976"/>
    <w:rsid w:val="00994D28"/>
    <w:rsid w:val="00994F2C"/>
    <w:rsid w:val="00995720"/>
    <w:rsid w:val="009957CC"/>
    <w:rsid w:val="00995B3D"/>
    <w:rsid w:val="009968D6"/>
    <w:rsid w:val="00996D3F"/>
    <w:rsid w:val="009975A6"/>
    <w:rsid w:val="00997953"/>
    <w:rsid w:val="00997D55"/>
    <w:rsid w:val="009A049C"/>
    <w:rsid w:val="009A0BFF"/>
    <w:rsid w:val="009A10A0"/>
    <w:rsid w:val="009A12B7"/>
    <w:rsid w:val="009A1385"/>
    <w:rsid w:val="009A17FA"/>
    <w:rsid w:val="009A1CAB"/>
    <w:rsid w:val="009A1DA8"/>
    <w:rsid w:val="009A2188"/>
    <w:rsid w:val="009A2359"/>
    <w:rsid w:val="009A24F1"/>
    <w:rsid w:val="009A27E0"/>
    <w:rsid w:val="009A3126"/>
    <w:rsid w:val="009A3805"/>
    <w:rsid w:val="009A3E06"/>
    <w:rsid w:val="009A3E42"/>
    <w:rsid w:val="009A439F"/>
    <w:rsid w:val="009A4D57"/>
    <w:rsid w:val="009A51A5"/>
    <w:rsid w:val="009A5309"/>
    <w:rsid w:val="009A5759"/>
    <w:rsid w:val="009A5BA9"/>
    <w:rsid w:val="009A60D1"/>
    <w:rsid w:val="009A6225"/>
    <w:rsid w:val="009A64F5"/>
    <w:rsid w:val="009A6F53"/>
    <w:rsid w:val="009A7F8D"/>
    <w:rsid w:val="009B00D2"/>
    <w:rsid w:val="009B05B3"/>
    <w:rsid w:val="009B07C8"/>
    <w:rsid w:val="009B0CAF"/>
    <w:rsid w:val="009B1324"/>
    <w:rsid w:val="009B2558"/>
    <w:rsid w:val="009B284F"/>
    <w:rsid w:val="009B3742"/>
    <w:rsid w:val="009B3764"/>
    <w:rsid w:val="009B3840"/>
    <w:rsid w:val="009B39A8"/>
    <w:rsid w:val="009B4156"/>
    <w:rsid w:val="009B479C"/>
    <w:rsid w:val="009B52AC"/>
    <w:rsid w:val="009B553D"/>
    <w:rsid w:val="009B584D"/>
    <w:rsid w:val="009B59EA"/>
    <w:rsid w:val="009B5B6E"/>
    <w:rsid w:val="009B62A6"/>
    <w:rsid w:val="009B66CE"/>
    <w:rsid w:val="009B6F41"/>
    <w:rsid w:val="009B6FD3"/>
    <w:rsid w:val="009B72BE"/>
    <w:rsid w:val="009B78A4"/>
    <w:rsid w:val="009B7B0A"/>
    <w:rsid w:val="009B7DB2"/>
    <w:rsid w:val="009C0362"/>
    <w:rsid w:val="009C03DB"/>
    <w:rsid w:val="009C0832"/>
    <w:rsid w:val="009C13B7"/>
    <w:rsid w:val="009C1417"/>
    <w:rsid w:val="009C15AF"/>
    <w:rsid w:val="009C1750"/>
    <w:rsid w:val="009C175F"/>
    <w:rsid w:val="009C197C"/>
    <w:rsid w:val="009C29ED"/>
    <w:rsid w:val="009C2E29"/>
    <w:rsid w:val="009C3771"/>
    <w:rsid w:val="009C38F7"/>
    <w:rsid w:val="009C3E8F"/>
    <w:rsid w:val="009C4DBC"/>
    <w:rsid w:val="009C508E"/>
    <w:rsid w:val="009C554B"/>
    <w:rsid w:val="009C58B8"/>
    <w:rsid w:val="009C5E83"/>
    <w:rsid w:val="009C66F8"/>
    <w:rsid w:val="009C672B"/>
    <w:rsid w:val="009C67D7"/>
    <w:rsid w:val="009C7126"/>
    <w:rsid w:val="009C719E"/>
    <w:rsid w:val="009C7231"/>
    <w:rsid w:val="009C7782"/>
    <w:rsid w:val="009C7799"/>
    <w:rsid w:val="009D07A9"/>
    <w:rsid w:val="009D0AE2"/>
    <w:rsid w:val="009D0D9F"/>
    <w:rsid w:val="009D0EBB"/>
    <w:rsid w:val="009D10E7"/>
    <w:rsid w:val="009D1369"/>
    <w:rsid w:val="009D14D7"/>
    <w:rsid w:val="009D2C46"/>
    <w:rsid w:val="009D3ACD"/>
    <w:rsid w:val="009D4254"/>
    <w:rsid w:val="009D4F21"/>
    <w:rsid w:val="009D53AC"/>
    <w:rsid w:val="009D587D"/>
    <w:rsid w:val="009D6178"/>
    <w:rsid w:val="009D6EA6"/>
    <w:rsid w:val="009D7731"/>
    <w:rsid w:val="009D78C3"/>
    <w:rsid w:val="009E06B0"/>
    <w:rsid w:val="009E1120"/>
    <w:rsid w:val="009E1393"/>
    <w:rsid w:val="009E1922"/>
    <w:rsid w:val="009E1A3D"/>
    <w:rsid w:val="009E26A8"/>
    <w:rsid w:val="009E4715"/>
    <w:rsid w:val="009E4A35"/>
    <w:rsid w:val="009E4A58"/>
    <w:rsid w:val="009E5273"/>
    <w:rsid w:val="009E5685"/>
    <w:rsid w:val="009E57A8"/>
    <w:rsid w:val="009E5B85"/>
    <w:rsid w:val="009E5DDB"/>
    <w:rsid w:val="009E63CF"/>
    <w:rsid w:val="009E6FCB"/>
    <w:rsid w:val="009F032E"/>
    <w:rsid w:val="009F1CA6"/>
    <w:rsid w:val="009F1F17"/>
    <w:rsid w:val="009F2921"/>
    <w:rsid w:val="009F3063"/>
    <w:rsid w:val="009F324D"/>
    <w:rsid w:val="009F42CF"/>
    <w:rsid w:val="009F4982"/>
    <w:rsid w:val="009F4CA7"/>
    <w:rsid w:val="009F4F6A"/>
    <w:rsid w:val="009F55BA"/>
    <w:rsid w:val="009F5B8E"/>
    <w:rsid w:val="009F5F03"/>
    <w:rsid w:val="009F6AAF"/>
    <w:rsid w:val="009F6BF5"/>
    <w:rsid w:val="009F6CD1"/>
    <w:rsid w:val="009F7D36"/>
    <w:rsid w:val="009F7D61"/>
    <w:rsid w:val="00A00470"/>
    <w:rsid w:val="00A00E71"/>
    <w:rsid w:val="00A0187B"/>
    <w:rsid w:val="00A01F62"/>
    <w:rsid w:val="00A02317"/>
    <w:rsid w:val="00A02E8B"/>
    <w:rsid w:val="00A0306F"/>
    <w:rsid w:val="00A032CA"/>
    <w:rsid w:val="00A03306"/>
    <w:rsid w:val="00A03511"/>
    <w:rsid w:val="00A03B10"/>
    <w:rsid w:val="00A03E2E"/>
    <w:rsid w:val="00A04616"/>
    <w:rsid w:val="00A04717"/>
    <w:rsid w:val="00A05C51"/>
    <w:rsid w:val="00A05D8F"/>
    <w:rsid w:val="00A05EB1"/>
    <w:rsid w:val="00A05EE4"/>
    <w:rsid w:val="00A06E2D"/>
    <w:rsid w:val="00A06F99"/>
    <w:rsid w:val="00A102C3"/>
    <w:rsid w:val="00A1053B"/>
    <w:rsid w:val="00A10D66"/>
    <w:rsid w:val="00A113A4"/>
    <w:rsid w:val="00A124A0"/>
    <w:rsid w:val="00A12A8E"/>
    <w:rsid w:val="00A133F9"/>
    <w:rsid w:val="00A136B7"/>
    <w:rsid w:val="00A14114"/>
    <w:rsid w:val="00A141A7"/>
    <w:rsid w:val="00A141E8"/>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7DE"/>
    <w:rsid w:val="00A20FE1"/>
    <w:rsid w:val="00A2102F"/>
    <w:rsid w:val="00A21B4D"/>
    <w:rsid w:val="00A22073"/>
    <w:rsid w:val="00A223E0"/>
    <w:rsid w:val="00A22959"/>
    <w:rsid w:val="00A23158"/>
    <w:rsid w:val="00A232D7"/>
    <w:rsid w:val="00A23775"/>
    <w:rsid w:val="00A23847"/>
    <w:rsid w:val="00A23E43"/>
    <w:rsid w:val="00A24726"/>
    <w:rsid w:val="00A24DEB"/>
    <w:rsid w:val="00A24ED9"/>
    <w:rsid w:val="00A251DB"/>
    <w:rsid w:val="00A25216"/>
    <w:rsid w:val="00A2556A"/>
    <w:rsid w:val="00A2597D"/>
    <w:rsid w:val="00A25FC3"/>
    <w:rsid w:val="00A2628E"/>
    <w:rsid w:val="00A266BF"/>
    <w:rsid w:val="00A26777"/>
    <w:rsid w:val="00A269AB"/>
    <w:rsid w:val="00A26B56"/>
    <w:rsid w:val="00A26F8F"/>
    <w:rsid w:val="00A2731E"/>
    <w:rsid w:val="00A276E9"/>
    <w:rsid w:val="00A309AC"/>
    <w:rsid w:val="00A30EA4"/>
    <w:rsid w:val="00A30F65"/>
    <w:rsid w:val="00A3147A"/>
    <w:rsid w:val="00A315D0"/>
    <w:rsid w:val="00A3279E"/>
    <w:rsid w:val="00A336D2"/>
    <w:rsid w:val="00A33DB1"/>
    <w:rsid w:val="00A33EEB"/>
    <w:rsid w:val="00A348A1"/>
    <w:rsid w:val="00A351C8"/>
    <w:rsid w:val="00A35900"/>
    <w:rsid w:val="00A35F33"/>
    <w:rsid w:val="00A362F9"/>
    <w:rsid w:val="00A37311"/>
    <w:rsid w:val="00A401A3"/>
    <w:rsid w:val="00A40EAC"/>
    <w:rsid w:val="00A418BC"/>
    <w:rsid w:val="00A419FF"/>
    <w:rsid w:val="00A41FCF"/>
    <w:rsid w:val="00A428BA"/>
    <w:rsid w:val="00A42936"/>
    <w:rsid w:val="00A43CF8"/>
    <w:rsid w:val="00A43DF2"/>
    <w:rsid w:val="00A445A8"/>
    <w:rsid w:val="00A44B0D"/>
    <w:rsid w:val="00A44CB6"/>
    <w:rsid w:val="00A44D21"/>
    <w:rsid w:val="00A45087"/>
    <w:rsid w:val="00A45489"/>
    <w:rsid w:val="00A456C5"/>
    <w:rsid w:val="00A45731"/>
    <w:rsid w:val="00A45858"/>
    <w:rsid w:val="00A45CED"/>
    <w:rsid w:val="00A460FC"/>
    <w:rsid w:val="00A465E9"/>
    <w:rsid w:val="00A468E7"/>
    <w:rsid w:val="00A46D6E"/>
    <w:rsid w:val="00A46DE0"/>
    <w:rsid w:val="00A47240"/>
    <w:rsid w:val="00A478BA"/>
    <w:rsid w:val="00A5057A"/>
    <w:rsid w:val="00A50D73"/>
    <w:rsid w:val="00A518BB"/>
    <w:rsid w:val="00A51A9B"/>
    <w:rsid w:val="00A52A88"/>
    <w:rsid w:val="00A52CAD"/>
    <w:rsid w:val="00A53340"/>
    <w:rsid w:val="00A53FC7"/>
    <w:rsid w:val="00A55569"/>
    <w:rsid w:val="00A55C36"/>
    <w:rsid w:val="00A5661B"/>
    <w:rsid w:val="00A566A0"/>
    <w:rsid w:val="00A60005"/>
    <w:rsid w:val="00A601E7"/>
    <w:rsid w:val="00A60AC1"/>
    <w:rsid w:val="00A61944"/>
    <w:rsid w:val="00A61E5C"/>
    <w:rsid w:val="00A62162"/>
    <w:rsid w:val="00A626FF"/>
    <w:rsid w:val="00A627D7"/>
    <w:rsid w:val="00A62C71"/>
    <w:rsid w:val="00A62CE1"/>
    <w:rsid w:val="00A6428C"/>
    <w:rsid w:val="00A65469"/>
    <w:rsid w:val="00A65528"/>
    <w:rsid w:val="00A655D3"/>
    <w:rsid w:val="00A662D9"/>
    <w:rsid w:val="00A6630C"/>
    <w:rsid w:val="00A66AF5"/>
    <w:rsid w:val="00A6741E"/>
    <w:rsid w:val="00A67722"/>
    <w:rsid w:val="00A67E29"/>
    <w:rsid w:val="00A7016A"/>
    <w:rsid w:val="00A7018D"/>
    <w:rsid w:val="00A71215"/>
    <w:rsid w:val="00A716AC"/>
    <w:rsid w:val="00A7191D"/>
    <w:rsid w:val="00A722F9"/>
    <w:rsid w:val="00A723E3"/>
    <w:rsid w:val="00A72D42"/>
    <w:rsid w:val="00A73D1E"/>
    <w:rsid w:val="00A73D95"/>
    <w:rsid w:val="00A74158"/>
    <w:rsid w:val="00A746C9"/>
    <w:rsid w:val="00A74C2A"/>
    <w:rsid w:val="00A75E40"/>
    <w:rsid w:val="00A76818"/>
    <w:rsid w:val="00A77557"/>
    <w:rsid w:val="00A77B7D"/>
    <w:rsid w:val="00A77D1D"/>
    <w:rsid w:val="00A77E6B"/>
    <w:rsid w:val="00A800D7"/>
    <w:rsid w:val="00A809AD"/>
    <w:rsid w:val="00A81652"/>
    <w:rsid w:val="00A81A67"/>
    <w:rsid w:val="00A82BF0"/>
    <w:rsid w:val="00A82C91"/>
    <w:rsid w:val="00A82F4D"/>
    <w:rsid w:val="00A83150"/>
    <w:rsid w:val="00A83398"/>
    <w:rsid w:val="00A83D6E"/>
    <w:rsid w:val="00A83FA9"/>
    <w:rsid w:val="00A83FD5"/>
    <w:rsid w:val="00A84AF4"/>
    <w:rsid w:val="00A85001"/>
    <w:rsid w:val="00A8521A"/>
    <w:rsid w:val="00A852A2"/>
    <w:rsid w:val="00A85348"/>
    <w:rsid w:val="00A857C0"/>
    <w:rsid w:val="00A85ACB"/>
    <w:rsid w:val="00A85FBA"/>
    <w:rsid w:val="00A86901"/>
    <w:rsid w:val="00A8707C"/>
    <w:rsid w:val="00A87DF8"/>
    <w:rsid w:val="00A9036F"/>
    <w:rsid w:val="00A9092B"/>
    <w:rsid w:val="00A90F2C"/>
    <w:rsid w:val="00A90FED"/>
    <w:rsid w:val="00A91482"/>
    <w:rsid w:val="00A9189D"/>
    <w:rsid w:val="00A91E71"/>
    <w:rsid w:val="00A91EAD"/>
    <w:rsid w:val="00A925B1"/>
    <w:rsid w:val="00A92A3E"/>
    <w:rsid w:val="00A934F9"/>
    <w:rsid w:val="00A940E3"/>
    <w:rsid w:val="00A94983"/>
    <w:rsid w:val="00A94E67"/>
    <w:rsid w:val="00A94F63"/>
    <w:rsid w:val="00A94F87"/>
    <w:rsid w:val="00A9532C"/>
    <w:rsid w:val="00A95B8A"/>
    <w:rsid w:val="00A95F1A"/>
    <w:rsid w:val="00A96116"/>
    <w:rsid w:val="00A9614E"/>
    <w:rsid w:val="00A96422"/>
    <w:rsid w:val="00A96C0F"/>
    <w:rsid w:val="00A97075"/>
    <w:rsid w:val="00A975D7"/>
    <w:rsid w:val="00A97C59"/>
    <w:rsid w:val="00AA0E80"/>
    <w:rsid w:val="00AA16F4"/>
    <w:rsid w:val="00AA17CD"/>
    <w:rsid w:val="00AA1AAE"/>
    <w:rsid w:val="00AA1D85"/>
    <w:rsid w:val="00AA212B"/>
    <w:rsid w:val="00AA212F"/>
    <w:rsid w:val="00AA26A9"/>
    <w:rsid w:val="00AA2996"/>
    <w:rsid w:val="00AA2AF4"/>
    <w:rsid w:val="00AA314A"/>
    <w:rsid w:val="00AA4282"/>
    <w:rsid w:val="00AA43F2"/>
    <w:rsid w:val="00AA4790"/>
    <w:rsid w:val="00AA49E1"/>
    <w:rsid w:val="00AA52BF"/>
    <w:rsid w:val="00AA559A"/>
    <w:rsid w:val="00AA5667"/>
    <w:rsid w:val="00AA6C31"/>
    <w:rsid w:val="00AA6F9E"/>
    <w:rsid w:val="00AA7752"/>
    <w:rsid w:val="00AA7CE8"/>
    <w:rsid w:val="00AA7E0C"/>
    <w:rsid w:val="00AB02BD"/>
    <w:rsid w:val="00AB0596"/>
    <w:rsid w:val="00AB0680"/>
    <w:rsid w:val="00AB1457"/>
    <w:rsid w:val="00AB1ACD"/>
    <w:rsid w:val="00AB2AF1"/>
    <w:rsid w:val="00AB2D0F"/>
    <w:rsid w:val="00AB2F73"/>
    <w:rsid w:val="00AB32CB"/>
    <w:rsid w:val="00AB3AD7"/>
    <w:rsid w:val="00AB3BA7"/>
    <w:rsid w:val="00AB3EC7"/>
    <w:rsid w:val="00AB467A"/>
    <w:rsid w:val="00AB5297"/>
    <w:rsid w:val="00AB56E2"/>
    <w:rsid w:val="00AB5A64"/>
    <w:rsid w:val="00AB5CA1"/>
    <w:rsid w:val="00AB6456"/>
    <w:rsid w:val="00AB69DD"/>
    <w:rsid w:val="00AB75C5"/>
    <w:rsid w:val="00AB776E"/>
    <w:rsid w:val="00AC044E"/>
    <w:rsid w:val="00AC04B1"/>
    <w:rsid w:val="00AC1143"/>
    <w:rsid w:val="00AC1B53"/>
    <w:rsid w:val="00AC2118"/>
    <w:rsid w:val="00AC2395"/>
    <w:rsid w:val="00AC2960"/>
    <w:rsid w:val="00AC2A32"/>
    <w:rsid w:val="00AC2AC4"/>
    <w:rsid w:val="00AC3891"/>
    <w:rsid w:val="00AC4284"/>
    <w:rsid w:val="00AC45BD"/>
    <w:rsid w:val="00AC50BB"/>
    <w:rsid w:val="00AC5256"/>
    <w:rsid w:val="00AC6D17"/>
    <w:rsid w:val="00AC78F1"/>
    <w:rsid w:val="00AC7B96"/>
    <w:rsid w:val="00AD0B22"/>
    <w:rsid w:val="00AD0EE7"/>
    <w:rsid w:val="00AD146B"/>
    <w:rsid w:val="00AD14D3"/>
    <w:rsid w:val="00AD168E"/>
    <w:rsid w:val="00AD2E25"/>
    <w:rsid w:val="00AD306C"/>
    <w:rsid w:val="00AD449D"/>
    <w:rsid w:val="00AD44CD"/>
    <w:rsid w:val="00AD47A7"/>
    <w:rsid w:val="00AD47C0"/>
    <w:rsid w:val="00AD543F"/>
    <w:rsid w:val="00AD5AD2"/>
    <w:rsid w:val="00AD6462"/>
    <w:rsid w:val="00AD6634"/>
    <w:rsid w:val="00AD66C5"/>
    <w:rsid w:val="00AD68C4"/>
    <w:rsid w:val="00AD71F9"/>
    <w:rsid w:val="00AE09B3"/>
    <w:rsid w:val="00AE1579"/>
    <w:rsid w:val="00AE1A83"/>
    <w:rsid w:val="00AE2A78"/>
    <w:rsid w:val="00AE30BE"/>
    <w:rsid w:val="00AE38DD"/>
    <w:rsid w:val="00AE3E6A"/>
    <w:rsid w:val="00AE417E"/>
    <w:rsid w:val="00AE47CA"/>
    <w:rsid w:val="00AE5672"/>
    <w:rsid w:val="00AE56EE"/>
    <w:rsid w:val="00AE6414"/>
    <w:rsid w:val="00AE7269"/>
    <w:rsid w:val="00AE797C"/>
    <w:rsid w:val="00AE7CE7"/>
    <w:rsid w:val="00AE7FAB"/>
    <w:rsid w:val="00AF0DE4"/>
    <w:rsid w:val="00AF12A0"/>
    <w:rsid w:val="00AF1E87"/>
    <w:rsid w:val="00AF1F16"/>
    <w:rsid w:val="00AF2C3E"/>
    <w:rsid w:val="00AF422A"/>
    <w:rsid w:val="00AF436B"/>
    <w:rsid w:val="00AF5179"/>
    <w:rsid w:val="00AF5C91"/>
    <w:rsid w:val="00AF5CC2"/>
    <w:rsid w:val="00AF5F65"/>
    <w:rsid w:val="00AF660D"/>
    <w:rsid w:val="00AF6776"/>
    <w:rsid w:val="00AF6DB5"/>
    <w:rsid w:val="00AF6F98"/>
    <w:rsid w:val="00AF7277"/>
    <w:rsid w:val="00B00550"/>
    <w:rsid w:val="00B00913"/>
    <w:rsid w:val="00B00D4D"/>
    <w:rsid w:val="00B01593"/>
    <w:rsid w:val="00B01D0F"/>
    <w:rsid w:val="00B01FF9"/>
    <w:rsid w:val="00B0236E"/>
    <w:rsid w:val="00B023F2"/>
    <w:rsid w:val="00B026FE"/>
    <w:rsid w:val="00B0271F"/>
    <w:rsid w:val="00B02E10"/>
    <w:rsid w:val="00B0313F"/>
    <w:rsid w:val="00B03448"/>
    <w:rsid w:val="00B038CA"/>
    <w:rsid w:val="00B03A4C"/>
    <w:rsid w:val="00B04F7D"/>
    <w:rsid w:val="00B05F00"/>
    <w:rsid w:val="00B06DB4"/>
    <w:rsid w:val="00B070FA"/>
    <w:rsid w:val="00B0750D"/>
    <w:rsid w:val="00B07850"/>
    <w:rsid w:val="00B0799C"/>
    <w:rsid w:val="00B102CE"/>
    <w:rsid w:val="00B10A4D"/>
    <w:rsid w:val="00B10A5C"/>
    <w:rsid w:val="00B10ADC"/>
    <w:rsid w:val="00B10C90"/>
    <w:rsid w:val="00B11002"/>
    <w:rsid w:val="00B11117"/>
    <w:rsid w:val="00B1114F"/>
    <w:rsid w:val="00B121B2"/>
    <w:rsid w:val="00B131B1"/>
    <w:rsid w:val="00B135D1"/>
    <w:rsid w:val="00B141B6"/>
    <w:rsid w:val="00B14BC1"/>
    <w:rsid w:val="00B154DE"/>
    <w:rsid w:val="00B15591"/>
    <w:rsid w:val="00B15CAD"/>
    <w:rsid w:val="00B162C3"/>
    <w:rsid w:val="00B16960"/>
    <w:rsid w:val="00B16DD1"/>
    <w:rsid w:val="00B16EB8"/>
    <w:rsid w:val="00B1700A"/>
    <w:rsid w:val="00B176ED"/>
    <w:rsid w:val="00B17ACD"/>
    <w:rsid w:val="00B17B22"/>
    <w:rsid w:val="00B17E71"/>
    <w:rsid w:val="00B17FDE"/>
    <w:rsid w:val="00B20632"/>
    <w:rsid w:val="00B20F9F"/>
    <w:rsid w:val="00B21DE7"/>
    <w:rsid w:val="00B230DD"/>
    <w:rsid w:val="00B2379C"/>
    <w:rsid w:val="00B23D5D"/>
    <w:rsid w:val="00B23E6E"/>
    <w:rsid w:val="00B2450C"/>
    <w:rsid w:val="00B2687D"/>
    <w:rsid w:val="00B27178"/>
    <w:rsid w:val="00B27613"/>
    <w:rsid w:val="00B27CFE"/>
    <w:rsid w:val="00B27EC6"/>
    <w:rsid w:val="00B27EC7"/>
    <w:rsid w:val="00B30287"/>
    <w:rsid w:val="00B30C6B"/>
    <w:rsid w:val="00B3108D"/>
    <w:rsid w:val="00B31D2C"/>
    <w:rsid w:val="00B32DDB"/>
    <w:rsid w:val="00B32F57"/>
    <w:rsid w:val="00B3345C"/>
    <w:rsid w:val="00B33776"/>
    <w:rsid w:val="00B33D14"/>
    <w:rsid w:val="00B343C4"/>
    <w:rsid w:val="00B34528"/>
    <w:rsid w:val="00B34750"/>
    <w:rsid w:val="00B34CC8"/>
    <w:rsid w:val="00B34CC9"/>
    <w:rsid w:val="00B34CDA"/>
    <w:rsid w:val="00B35160"/>
    <w:rsid w:val="00B3563B"/>
    <w:rsid w:val="00B357C2"/>
    <w:rsid w:val="00B36AEB"/>
    <w:rsid w:val="00B36BDC"/>
    <w:rsid w:val="00B3732D"/>
    <w:rsid w:val="00B37C63"/>
    <w:rsid w:val="00B37D3A"/>
    <w:rsid w:val="00B37D96"/>
    <w:rsid w:val="00B402FC"/>
    <w:rsid w:val="00B4037D"/>
    <w:rsid w:val="00B40B4C"/>
    <w:rsid w:val="00B411B8"/>
    <w:rsid w:val="00B42271"/>
    <w:rsid w:val="00B422E2"/>
    <w:rsid w:val="00B42517"/>
    <w:rsid w:val="00B425D5"/>
    <w:rsid w:val="00B42902"/>
    <w:rsid w:val="00B42D5F"/>
    <w:rsid w:val="00B43216"/>
    <w:rsid w:val="00B439DA"/>
    <w:rsid w:val="00B43B6C"/>
    <w:rsid w:val="00B4411A"/>
    <w:rsid w:val="00B4489D"/>
    <w:rsid w:val="00B4594C"/>
    <w:rsid w:val="00B45FE4"/>
    <w:rsid w:val="00B45FE8"/>
    <w:rsid w:val="00B46604"/>
    <w:rsid w:val="00B46674"/>
    <w:rsid w:val="00B46BE1"/>
    <w:rsid w:val="00B47089"/>
    <w:rsid w:val="00B474DB"/>
    <w:rsid w:val="00B47587"/>
    <w:rsid w:val="00B47DC0"/>
    <w:rsid w:val="00B506A4"/>
    <w:rsid w:val="00B51176"/>
    <w:rsid w:val="00B5150A"/>
    <w:rsid w:val="00B52151"/>
    <w:rsid w:val="00B524CB"/>
    <w:rsid w:val="00B52673"/>
    <w:rsid w:val="00B530CD"/>
    <w:rsid w:val="00B534CE"/>
    <w:rsid w:val="00B53639"/>
    <w:rsid w:val="00B53B66"/>
    <w:rsid w:val="00B53C7D"/>
    <w:rsid w:val="00B53E56"/>
    <w:rsid w:val="00B55311"/>
    <w:rsid w:val="00B55946"/>
    <w:rsid w:val="00B55A97"/>
    <w:rsid w:val="00B55F5E"/>
    <w:rsid w:val="00B5601B"/>
    <w:rsid w:val="00B5642C"/>
    <w:rsid w:val="00B5658D"/>
    <w:rsid w:val="00B56B6F"/>
    <w:rsid w:val="00B5752E"/>
    <w:rsid w:val="00B57ED2"/>
    <w:rsid w:val="00B60AC1"/>
    <w:rsid w:val="00B60AE2"/>
    <w:rsid w:val="00B60BBF"/>
    <w:rsid w:val="00B60FA7"/>
    <w:rsid w:val="00B61FF6"/>
    <w:rsid w:val="00B62316"/>
    <w:rsid w:val="00B6274C"/>
    <w:rsid w:val="00B63A11"/>
    <w:rsid w:val="00B64425"/>
    <w:rsid w:val="00B64585"/>
    <w:rsid w:val="00B646CA"/>
    <w:rsid w:val="00B64C24"/>
    <w:rsid w:val="00B64E72"/>
    <w:rsid w:val="00B654E3"/>
    <w:rsid w:val="00B65CEF"/>
    <w:rsid w:val="00B6608F"/>
    <w:rsid w:val="00B663A1"/>
    <w:rsid w:val="00B6718D"/>
    <w:rsid w:val="00B674C7"/>
    <w:rsid w:val="00B67749"/>
    <w:rsid w:val="00B679FB"/>
    <w:rsid w:val="00B71982"/>
    <w:rsid w:val="00B71A8D"/>
    <w:rsid w:val="00B71FBF"/>
    <w:rsid w:val="00B72DD9"/>
    <w:rsid w:val="00B734A0"/>
    <w:rsid w:val="00B73A14"/>
    <w:rsid w:val="00B73FE8"/>
    <w:rsid w:val="00B7463A"/>
    <w:rsid w:val="00B748BD"/>
    <w:rsid w:val="00B74964"/>
    <w:rsid w:val="00B7497E"/>
    <w:rsid w:val="00B74F38"/>
    <w:rsid w:val="00B756C5"/>
    <w:rsid w:val="00B76100"/>
    <w:rsid w:val="00B7680F"/>
    <w:rsid w:val="00B76A49"/>
    <w:rsid w:val="00B76B48"/>
    <w:rsid w:val="00B76D1E"/>
    <w:rsid w:val="00B77543"/>
    <w:rsid w:val="00B77584"/>
    <w:rsid w:val="00B77E34"/>
    <w:rsid w:val="00B77E52"/>
    <w:rsid w:val="00B77ED4"/>
    <w:rsid w:val="00B77F8B"/>
    <w:rsid w:val="00B80D44"/>
    <w:rsid w:val="00B80D89"/>
    <w:rsid w:val="00B80EC6"/>
    <w:rsid w:val="00B8104B"/>
    <w:rsid w:val="00B81288"/>
    <w:rsid w:val="00B81D70"/>
    <w:rsid w:val="00B82A5F"/>
    <w:rsid w:val="00B82C5E"/>
    <w:rsid w:val="00B833B9"/>
    <w:rsid w:val="00B83AAF"/>
    <w:rsid w:val="00B83BF4"/>
    <w:rsid w:val="00B83E07"/>
    <w:rsid w:val="00B84CF6"/>
    <w:rsid w:val="00B85016"/>
    <w:rsid w:val="00B8561A"/>
    <w:rsid w:val="00B862C3"/>
    <w:rsid w:val="00B86628"/>
    <w:rsid w:val="00B86643"/>
    <w:rsid w:val="00B868F7"/>
    <w:rsid w:val="00B86EB1"/>
    <w:rsid w:val="00B871A7"/>
    <w:rsid w:val="00B873ED"/>
    <w:rsid w:val="00B90131"/>
    <w:rsid w:val="00B90359"/>
    <w:rsid w:val="00B92200"/>
    <w:rsid w:val="00B92951"/>
    <w:rsid w:val="00B92D1D"/>
    <w:rsid w:val="00B92D7E"/>
    <w:rsid w:val="00B930CE"/>
    <w:rsid w:val="00B938C5"/>
    <w:rsid w:val="00B939CD"/>
    <w:rsid w:val="00B93FCD"/>
    <w:rsid w:val="00B940A8"/>
    <w:rsid w:val="00B94A14"/>
    <w:rsid w:val="00B94A46"/>
    <w:rsid w:val="00B9554A"/>
    <w:rsid w:val="00B95720"/>
    <w:rsid w:val="00B95940"/>
    <w:rsid w:val="00B95ACA"/>
    <w:rsid w:val="00B95C12"/>
    <w:rsid w:val="00B96D74"/>
    <w:rsid w:val="00B96EE5"/>
    <w:rsid w:val="00B9720E"/>
    <w:rsid w:val="00B973F1"/>
    <w:rsid w:val="00B97ACC"/>
    <w:rsid w:val="00B97F3A"/>
    <w:rsid w:val="00B97FE2"/>
    <w:rsid w:val="00BA0E0B"/>
    <w:rsid w:val="00BA15D7"/>
    <w:rsid w:val="00BA201A"/>
    <w:rsid w:val="00BA21DF"/>
    <w:rsid w:val="00BA29B7"/>
    <w:rsid w:val="00BA31CC"/>
    <w:rsid w:val="00BA361D"/>
    <w:rsid w:val="00BA3787"/>
    <w:rsid w:val="00BA403A"/>
    <w:rsid w:val="00BA46E8"/>
    <w:rsid w:val="00BA49DB"/>
    <w:rsid w:val="00BA4AE9"/>
    <w:rsid w:val="00BA4E19"/>
    <w:rsid w:val="00BA5125"/>
    <w:rsid w:val="00BA6436"/>
    <w:rsid w:val="00BA64F2"/>
    <w:rsid w:val="00BA684E"/>
    <w:rsid w:val="00BA6C2B"/>
    <w:rsid w:val="00BA7B64"/>
    <w:rsid w:val="00BB02A3"/>
    <w:rsid w:val="00BB0351"/>
    <w:rsid w:val="00BB15C3"/>
    <w:rsid w:val="00BB1AF4"/>
    <w:rsid w:val="00BB2202"/>
    <w:rsid w:val="00BB25E8"/>
    <w:rsid w:val="00BB286B"/>
    <w:rsid w:val="00BB2BA1"/>
    <w:rsid w:val="00BB3340"/>
    <w:rsid w:val="00BB3AA1"/>
    <w:rsid w:val="00BB3C6B"/>
    <w:rsid w:val="00BB3FD6"/>
    <w:rsid w:val="00BB453F"/>
    <w:rsid w:val="00BB46F3"/>
    <w:rsid w:val="00BB4A71"/>
    <w:rsid w:val="00BB4CB1"/>
    <w:rsid w:val="00BB4E47"/>
    <w:rsid w:val="00BB4F98"/>
    <w:rsid w:val="00BB50C0"/>
    <w:rsid w:val="00BB5AB2"/>
    <w:rsid w:val="00BB5ABF"/>
    <w:rsid w:val="00BB5F94"/>
    <w:rsid w:val="00BB61E1"/>
    <w:rsid w:val="00BB6EA2"/>
    <w:rsid w:val="00BB6EE5"/>
    <w:rsid w:val="00BB7142"/>
    <w:rsid w:val="00BB76F3"/>
    <w:rsid w:val="00BB7B5B"/>
    <w:rsid w:val="00BB7EB1"/>
    <w:rsid w:val="00BC003F"/>
    <w:rsid w:val="00BC06AA"/>
    <w:rsid w:val="00BC0930"/>
    <w:rsid w:val="00BC0B14"/>
    <w:rsid w:val="00BC1119"/>
    <w:rsid w:val="00BC1293"/>
    <w:rsid w:val="00BC1C44"/>
    <w:rsid w:val="00BC223A"/>
    <w:rsid w:val="00BC3204"/>
    <w:rsid w:val="00BC327F"/>
    <w:rsid w:val="00BC3512"/>
    <w:rsid w:val="00BC4B35"/>
    <w:rsid w:val="00BC4C38"/>
    <w:rsid w:val="00BC4D3E"/>
    <w:rsid w:val="00BC50BE"/>
    <w:rsid w:val="00BC5332"/>
    <w:rsid w:val="00BC5715"/>
    <w:rsid w:val="00BC5AC1"/>
    <w:rsid w:val="00BC5B14"/>
    <w:rsid w:val="00BC5C12"/>
    <w:rsid w:val="00BC641B"/>
    <w:rsid w:val="00BC69EE"/>
    <w:rsid w:val="00BC7154"/>
    <w:rsid w:val="00BC731E"/>
    <w:rsid w:val="00BC7614"/>
    <w:rsid w:val="00BC7941"/>
    <w:rsid w:val="00BC7EFA"/>
    <w:rsid w:val="00BD041B"/>
    <w:rsid w:val="00BD163B"/>
    <w:rsid w:val="00BD25BB"/>
    <w:rsid w:val="00BD2AF8"/>
    <w:rsid w:val="00BD366B"/>
    <w:rsid w:val="00BD3C09"/>
    <w:rsid w:val="00BD410B"/>
    <w:rsid w:val="00BD49B1"/>
    <w:rsid w:val="00BD4A73"/>
    <w:rsid w:val="00BD4EDD"/>
    <w:rsid w:val="00BD4EF4"/>
    <w:rsid w:val="00BD505B"/>
    <w:rsid w:val="00BD6659"/>
    <w:rsid w:val="00BD6C75"/>
    <w:rsid w:val="00BD6D50"/>
    <w:rsid w:val="00BD7105"/>
    <w:rsid w:val="00BD73D2"/>
    <w:rsid w:val="00BE08AB"/>
    <w:rsid w:val="00BE0AD1"/>
    <w:rsid w:val="00BE0DDA"/>
    <w:rsid w:val="00BE0EF9"/>
    <w:rsid w:val="00BE10A1"/>
    <w:rsid w:val="00BE18B9"/>
    <w:rsid w:val="00BE190A"/>
    <w:rsid w:val="00BE23BE"/>
    <w:rsid w:val="00BE2495"/>
    <w:rsid w:val="00BE24DD"/>
    <w:rsid w:val="00BE34BB"/>
    <w:rsid w:val="00BE386D"/>
    <w:rsid w:val="00BE425E"/>
    <w:rsid w:val="00BE4DA9"/>
    <w:rsid w:val="00BE4E2F"/>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759"/>
    <w:rsid w:val="00BF5C4C"/>
    <w:rsid w:val="00BF63D6"/>
    <w:rsid w:val="00BF6E0F"/>
    <w:rsid w:val="00BF765C"/>
    <w:rsid w:val="00BF77FC"/>
    <w:rsid w:val="00BF7BA0"/>
    <w:rsid w:val="00C006D6"/>
    <w:rsid w:val="00C00BD7"/>
    <w:rsid w:val="00C01410"/>
    <w:rsid w:val="00C024BB"/>
    <w:rsid w:val="00C02B1B"/>
    <w:rsid w:val="00C02D23"/>
    <w:rsid w:val="00C03D4D"/>
    <w:rsid w:val="00C04293"/>
    <w:rsid w:val="00C044F4"/>
    <w:rsid w:val="00C04B78"/>
    <w:rsid w:val="00C04DD9"/>
    <w:rsid w:val="00C052AA"/>
    <w:rsid w:val="00C05F0A"/>
    <w:rsid w:val="00C06EE3"/>
    <w:rsid w:val="00C07279"/>
    <w:rsid w:val="00C07321"/>
    <w:rsid w:val="00C07749"/>
    <w:rsid w:val="00C07C2F"/>
    <w:rsid w:val="00C07C67"/>
    <w:rsid w:val="00C10805"/>
    <w:rsid w:val="00C10D44"/>
    <w:rsid w:val="00C11244"/>
    <w:rsid w:val="00C118A9"/>
    <w:rsid w:val="00C11D48"/>
    <w:rsid w:val="00C11DB5"/>
    <w:rsid w:val="00C12304"/>
    <w:rsid w:val="00C12316"/>
    <w:rsid w:val="00C1246C"/>
    <w:rsid w:val="00C128D4"/>
    <w:rsid w:val="00C129BB"/>
    <w:rsid w:val="00C13870"/>
    <w:rsid w:val="00C13D5D"/>
    <w:rsid w:val="00C1493E"/>
    <w:rsid w:val="00C15537"/>
    <w:rsid w:val="00C15DBD"/>
    <w:rsid w:val="00C161C5"/>
    <w:rsid w:val="00C172F7"/>
    <w:rsid w:val="00C2010D"/>
    <w:rsid w:val="00C20366"/>
    <w:rsid w:val="00C20CB5"/>
    <w:rsid w:val="00C21430"/>
    <w:rsid w:val="00C216DF"/>
    <w:rsid w:val="00C21E61"/>
    <w:rsid w:val="00C21F94"/>
    <w:rsid w:val="00C224BD"/>
    <w:rsid w:val="00C22576"/>
    <w:rsid w:val="00C2272B"/>
    <w:rsid w:val="00C234DB"/>
    <w:rsid w:val="00C23C5C"/>
    <w:rsid w:val="00C2479A"/>
    <w:rsid w:val="00C24903"/>
    <w:rsid w:val="00C25026"/>
    <w:rsid w:val="00C25099"/>
    <w:rsid w:val="00C250FA"/>
    <w:rsid w:val="00C255FB"/>
    <w:rsid w:val="00C2590D"/>
    <w:rsid w:val="00C25D9C"/>
    <w:rsid w:val="00C26086"/>
    <w:rsid w:val="00C268A9"/>
    <w:rsid w:val="00C27197"/>
    <w:rsid w:val="00C27913"/>
    <w:rsid w:val="00C27E64"/>
    <w:rsid w:val="00C27FA7"/>
    <w:rsid w:val="00C300E2"/>
    <w:rsid w:val="00C31010"/>
    <w:rsid w:val="00C313BF"/>
    <w:rsid w:val="00C31B80"/>
    <w:rsid w:val="00C31F21"/>
    <w:rsid w:val="00C32498"/>
    <w:rsid w:val="00C32631"/>
    <w:rsid w:val="00C327D8"/>
    <w:rsid w:val="00C32807"/>
    <w:rsid w:val="00C33301"/>
    <w:rsid w:val="00C33311"/>
    <w:rsid w:val="00C33B68"/>
    <w:rsid w:val="00C34AD4"/>
    <w:rsid w:val="00C34F2F"/>
    <w:rsid w:val="00C353AF"/>
    <w:rsid w:val="00C35570"/>
    <w:rsid w:val="00C3579B"/>
    <w:rsid w:val="00C35A2A"/>
    <w:rsid w:val="00C36A79"/>
    <w:rsid w:val="00C3707B"/>
    <w:rsid w:val="00C3788D"/>
    <w:rsid w:val="00C401A9"/>
    <w:rsid w:val="00C401D2"/>
    <w:rsid w:val="00C4031A"/>
    <w:rsid w:val="00C405D4"/>
    <w:rsid w:val="00C40996"/>
    <w:rsid w:val="00C419D5"/>
    <w:rsid w:val="00C41D54"/>
    <w:rsid w:val="00C42129"/>
    <w:rsid w:val="00C42766"/>
    <w:rsid w:val="00C42812"/>
    <w:rsid w:val="00C42EBB"/>
    <w:rsid w:val="00C435E8"/>
    <w:rsid w:val="00C43891"/>
    <w:rsid w:val="00C446AC"/>
    <w:rsid w:val="00C44DB6"/>
    <w:rsid w:val="00C4513B"/>
    <w:rsid w:val="00C46417"/>
    <w:rsid w:val="00C475E8"/>
    <w:rsid w:val="00C50ACF"/>
    <w:rsid w:val="00C50B94"/>
    <w:rsid w:val="00C50E79"/>
    <w:rsid w:val="00C514D1"/>
    <w:rsid w:val="00C5197D"/>
    <w:rsid w:val="00C521F5"/>
    <w:rsid w:val="00C525FB"/>
    <w:rsid w:val="00C527AD"/>
    <w:rsid w:val="00C5390B"/>
    <w:rsid w:val="00C53E3B"/>
    <w:rsid w:val="00C540D3"/>
    <w:rsid w:val="00C54257"/>
    <w:rsid w:val="00C54549"/>
    <w:rsid w:val="00C5459D"/>
    <w:rsid w:val="00C54697"/>
    <w:rsid w:val="00C550CE"/>
    <w:rsid w:val="00C553A5"/>
    <w:rsid w:val="00C55402"/>
    <w:rsid w:val="00C5603B"/>
    <w:rsid w:val="00C56423"/>
    <w:rsid w:val="00C56E94"/>
    <w:rsid w:val="00C56F92"/>
    <w:rsid w:val="00C571EE"/>
    <w:rsid w:val="00C57EC0"/>
    <w:rsid w:val="00C6020C"/>
    <w:rsid w:val="00C60AE3"/>
    <w:rsid w:val="00C617B8"/>
    <w:rsid w:val="00C61F47"/>
    <w:rsid w:val="00C6270E"/>
    <w:rsid w:val="00C62828"/>
    <w:rsid w:val="00C62B91"/>
    <w:rsid w:val="00C63132"/>
    <w:rsid w:val="00C647D0"/>
    <w:rsid w:val="00C653D5"/>
    <w:rsid w:val="00C654A5"/>
    <w:rsid w:val="00C655DA"/>
    <w:rsid w:val="00C6689D"/>
    <w:rsid w:val="00C672C1"/>
    <w:rsid w:val="00C67519"/>
    <w:rsid w:val="00C676BD"/>
    <w:rsid w:val="00C67C7F"/>
    <w:rsid w:val="00C706D2"/>
    <w:rsid w:val="00C715CC"/>
    <w:rsid w:val="00C719A3"/>
    <w:rsid w:val="00C71D2F"/>
    <w:rsid w:val="00C7245F"/>
    <w:rsid w:val="00C72984"/>
    <w:rsid w:val="00C72BC7"/>
    <w:rsid w:val="00C733B3"/>
    <w:rsid w:val="00C737F1"/>
    <w:rsid w:val="00C73885"/>
    <w:rsid w:val="00C73C93"/>
    <w:rsid w:val="00C73F7B"/>
    <w:rsid w:val="00C7435A"/>
    <w:rsid w:val="00C747B1"/>
    <w:rsid w:val="00C74F69"/>
    <w:rsid w:val="00C750B9"/>
    <w:rsid w:val="00C75510"/>
    <w:rsid w:val="00C755F9"/>
    <w:rsid w:val="00C75752"/>
    <w:rsid w:val="00C75B60"/>
    <w:rsid w:val="00C76025"/>
    <w:rsid w:val="00C761EC"/>
    <w:rsid w:val="00C76249"/>
    <w:rsid w:val="00C76323"/>
    <w:rsid w:val="00C770C9"/>
    <w:rsid w:val="00C8019E"/>
    <w:rsid w:val="00C80E36"/>
    <w:rsid w:val="00C81070"/>
    <w:rsid w:val="00C8174E"/>
    <w:rsid w:val="00C82191"/>
    <w:rsid w:val="00C82FBE"/>
    <w:rsid w:val="00C83134"/>
    <w:rsid w:val="00C831E7"/>
    <w:rsid w:val="00C83205"/>
    <w:rsid w:val="00C832F3"/>
    <w:rsid w:val="00C84307"/>
    <w:rsid w:val="00C845A4"/>
    <w:rsid w:val="00C84D26"/>
    <w:rsid w:val="00C8504C"/>
    <w:rsid w:val="00C85127"/>
    <w:rsid w:val="00C85545"/>
    <w:rsid w:val="00C855B5"/>
    <w:rsid w:val="00C85F0E"/>
    <w:rsid w:val="00C8602D"/>
    <w:rsid w:val="00C862C1"/>
    <w:rsid w:val="00C864E9"/>
    <w:rsid w:val="00C867F9"/>
    <w:rsid w:val="00C872AA"/>
    <w:rsid w:val="00C87C6B"/>
    <w:rsid w:val="00C90357"/>
    <w:rsid w:val="00C9079E"/>
    <w:rsid w:val="00C90CF4"/>
    <w:rsid w:val="00C90F18"/>
    <w:rsid w:val="00C910F8"/>
    <w:rsid w:val="00C91C20"/>
    <w:rsid w:val="00C922DE"/>
    <w:rsid w:val="00C92843"/>
    <w:rsid w:val="00C929FE"/>
    <w:rsid w:val="00C92EB6"/>
    <w:rsid w:val="00C93389"/>
    <w:rsid w:val="00C94607"/>
    <w:rsid w:val="00C948E6"/>
    <w:rsid w:val="00C94CDD"/>
    <w:rsid w:val="00C95123"/>
    <w:rsid w:val="00C97588"/>
    <w:rsid w:val="00CA0346"/>
    <w:rsid w:val="00CA0649"/>
    <w:rsid w:val="00CA0BD5"/>
    <w:rsid w:val="00CA0DA1"/>
    <w:rsid w:val="00CA10A4"/>
    <w:rsid w:val="00CA1BD6"/>
    <w:rsid w:val="00CA2D95"/>
    <w:rsid w:val="00CA37FF"/>
    <w:rsid w:val="00CA423A"/>
    <w:rsid w:val="00CA47BC"/>
    <w:rsid w:val="00CA48CF"/>
    <w:rsid w:val="00CA4D2D"/>
    <w:rsid w:val="00CA5580"/>
    <w:rsid w:val="00CA5CB3"/>
    <w:rsid w:val="00CA5EAD"/>
    <w:rsid w:val="00CA61CF"/>
    <w:rsid w:val="00CA620E"/>
    <w:rsid w:val="00CA66FE"/>
    <w:rsid w:val="00CA6AB4"/>
    <w:rsid w:val="00CA7255"/>
    <w:rsid w:val="00CA79E2"/>
    <w:rsid w:val="00CA7E12"/>
    <w:rsid w:val="00CB01F1"/>
    <w:rsid w:val="00CB0E44"/>
    <w:rsid w:val="00CB111E"/>
    <w:rsid w:val="00CB183C"/>
    <w:rsid w:val="00CB18B2"/>
    <w:rsid w:val="00CB1BEE"/>
    <w:rsid w:val="00CB2351"/>
    <w:rsid w:val="00CB2BF7"/>
    <w:rsid w:val="00CB3210"/>
    <w:rsid w:val="00CB3605"/>
    <w:rsid w:val="00CB4022"/>
    <w:rsid w:val="00CB404F"/>
    <w:rsid w:val="00CB4257"/>
    <w:rsid w:val="00CB4930"/>
    <w:rsid w:val="00CB4BA9"/>
    <w:rsid w:val="00CB4C48"/>
    <w:rsid w:val="00CB4C63"/>
    <w:rsid w:val="00CB4F93"/>
    <w:rsid w:val="00CB55F7"/>
    <w:rsid w:val="00CB5A48"/>
    <w:rsid w:val="00CB5E10"/>
    <w:rsid w:val="00CB613B"/>
    <w:rsid w:val="00CB6152"/>
    <w:rsid w:val="00CB64E1"/>
    <w:rsid w:val="00CB6C6F"/>
    <w:rsid w:val="00CB6E4D"/>
    <w:rsid w:val="00CB70E1"/>
    <w:rsid w:val="00CC009B"/>
    <w:rsid w:val="00CC0834"/>
    <w:rsid w:val="00CC0AEA"/>
    <w:rsid w:val="00CC0B00"/>
    <w:rsid w:val="00CC0E6A"/>
    <w:rsid w:val="00CC20FE"/>
    <w:rsid w:val="00CC210D"/>
    <w:rsid w:val="00CC225C"/>
    <w:rsid w:val="00CC2E7D"/>
    <w:rsid w:val="00CC4029"/>
    <w:rsid w:val="00CC425E"/>
    <w:rsid w:val="00CC44A3"/>
    <w:rsid w:val="00CC469E"/>
    <w:rsid w:val="00CC58E9"/>
    <w:rsid w:val="00CC5A69"/>
    <w:rsid w:val="00CC5BE8"/>
    <w:rsid w:val="00CC612B"/>
    <w:rsid w:val="00CC655F"/>
    <w:rsid w:val="00CC66F9"/>
    <w:rsid w:val="00CC6C2A"/>
    <w:rsid w:val="00CC6FE5"/>
    <w:rsid w:val="00CC7458"/>
    <w:rsid w:val="00CC76BD"/>
    <w:rsid w:val="00CC7866"/>
    <w:rsid w:val="00CC7A87"/>
    <w:rsid w:val="00CD0373"/>
    <w:rsid w:val="00CD08BF"/>
    <w:rsid w:val="00CD0B7E"/>
    <w:rsid w:val="00CD0D6B"/>
    <w:rsid w:val="00CD0F56"/>
    <w:rsid w:val="00CD1060"/>
    <w:rsid w:val="00CD10A5"/>
    <w:rsid w:val="00CD1129"/>
    <w:rsid w:val="00CD1A80"/>
    <w:rsid w:val="00CD1CB5"/>
    <w:rsid w:val="00CD1F87"/>
    <w:rsid w:val="00CD2076"/>
    <w:rsid w:val="00CD2197"/>
    <w:rsid w:val="00CD24CE"/>
    <w:rsid w:val="00CD255B"/>
    <w:rsid w:val="00CD284C"/>
    <w:rsid w:val="00CD29B5"/>
    <w:rsid w:val="00CD2B78"/>
    <w:rsid w:val="00CD3866"/>
    <w:rsid w:val="00CD3909"/>
    <w:rsid w:val="00CD3D33"/>
    <w:rsid w:val="00CD3FAB"/>
    <w:rsid w:val="00CD5456"/>
    <w:rsid w:val="00CD5C3E"/>
    <w:rsid w:val="00CD5C57"/>
    <w:rsid w:val="00CD5EE0"/>
    <w:rsid w:val="00CD6331"/>
    <w:rsid w:val="00CD6EB2"/>
    <w:rsid w:val="00CD7783"/>
    <w:rsid w:val="00CD7E9E"/>
    <w:rsid w:val="00CE01DC"/>
    <w:rsid w:val="00CE0CB0"/>
    <w:rsid w:val="00CE12FB"/>
    <w:rsid w:val="00CE14BE"/>
    <w:rsid w:val="00CE17A4"/>
    <w:rsid w:val="00CE1BA9"/>
    <w:rsid w:val="00CE2D8F"/>
    <w:rsid w:val="00CE2DC6"/>
    <w:rsid w:val="00CE30D0"/>
    <w:rsid w:val="00CE3532"/>
    <w:rsid w:val="00CE35A8"/>
    <w:rsid w:val="00CE3770"/>
    <w:rsid w:val="00CE3E48"/>
    <w:rsid w:val="00CE46C0"/>
    <w:rsid w:val="00CE47B8"/>
    <w:rsid w:val="00CE54FD"/>
    <w:rsid w:val="00CE5C3F"/>
    <w:rsid w:val="00CE5C92"/>
    <w:rsid w:val="00CE5E12"/>
    <w:rsid w:val="00CE6065"/>
    <w:rsid w:val="00CE60F1"/>
    <w:rsid w:val="00CE62FA"/>
    <w:rsid w:val="00CE670B"/>
    <w:rsid w:val="00CE6833"/>
    <w:rsid w:val="00CE6992"/>
    <w:rsid w:val="00CE6D92"/>
    <w:rsid w:val="00CE7562"/>
    <w:rsid w:val="00CE75F3"/>
    <w:rsid w:val="00CF020B"/>
    <w:rsid w:val="00CF0E03"/>
    <w:rsid w:val="00CF1184"/>
    <w:rsid w:val="00CF15BF"/>
    <w:rsid w:val="00CF192F"/>
    <w:rsid w:val="00CF2A1B"/>
    <w:rsid w:val="00CF2E4D"/>
    <w:rsid w:val="00CF2EFC"/>
    <w:rsid w:val="00CF3486"/>
    <w:rsid w:val="00CF34C9"/>
    <w:rsid w:val="00CF35A7"/>
    <w:rsid w:val="00CF4205"/>
    <w:rsid w:val="00CF4211"/>
    <w:rsid w:val="00CF4908"/>
    <w:rsid w:val="00CF51EC"/>
    <w:rsid w:val="00CF545D"/>
    <w:rsid w:val="00CF5873"/>
    <w:rsid w:val="00CF620C"/>
    <w:rsid w:val="00CF6AB7"/>
    <w:rsid w:val="00CF6F88"/>
    <w:rsid w:val="00CF73AE"/>
    <w:rsid w:val="00CF7777"/>
    <w:rsid w:val="00D00054"/>
    <w:rsid w:val="00D0085A"/>
    <w:rsid w:val="00D0197F"/>
    <w:rsid w:val="00D01B31"/>
    <w:rsid w:val="00D0242D"/>
    <w:rsid w:val="00D02716"/>
    <w:rsid w:val="00D0302F"/>
    <w:rsid w:val="00D033B7"/>
    <w:rsid w:val="00D037A1"/>
    <w:rsid w:val="00D03842"/>
    <w:rsid w:val="00D03A72"/>
    <w:rsid w:val="00D040DD"/>
    <w:rsid w:val="00D04134"/>
    <w:rsid w:val="00D047B9"/>
    <w:rsid w:val="00D05995"/>
    <w:rsid w:val="00D05C65"/>
    <w:rsid w:val="00D068A0"/>
    <w:rsid w:val="00D06B56"/>
    <w:rsid w:val="00D06D52"/>
    <w:rsid w:val="00D06D68"/>
    <w:rsid w:val="00D06DEF"/>
    <w:rsid w:val="00D07266"/>
    <w:rsid w:val="00D075BE"/>
    <w:rsid w:val="00D07AFF"/>
    <w:rsid w:val="00D07CC2"/>
    <w:rsid w:val="00D1007E"/>
    <w:rsid w:val="00D10C15"/>
    <w:rsid w:val="00D11011"/>
    <w:rsid w:val="00D11476"/>
    <w:rsid w:val="00D12C25"/>
    <w:rsid w:val="00D13284"/>
    <w:rsid w:val="00D133B4"/>
    <w:rsid w:val="00D13986"/>
    <w:rsid w:val="00D13F3E"/>
    <w:rsid w:val="00D14680"/>
    <w:rsid w:val="00D147C5"/>
    <w:rsid w:val="00D14B3C"/>
    <w:rsid w:val="00D14C5B"/>
    <w:rsid w:val="00D15334"/>
    <w:rsid w:val="00D1565A"/>
    <w:rsid w:val="00D15CF4"/>
    <w:rsid w:val="00D15D3A"/>
    <w:rsid w:val="00D15FED"/>
    <w:rsid w:val="00D16712"/>
    <w:rsid w:val="00D174E0"/>
    <w:rsid w:val="00D214EF"/>
    <w:rsid w:val="00D215B0"/>
    <w:rsid w:val="00D21B36"/>
    <w:rsid w:val="00D21D6D"/>
    <w:rsid w:val="00D21D83"/>
    <w:rsid w:val="00D22517"/>
    <w:rsid w:val="00D22A47"/>
    <w:rsid w:val="00D23456"/>
    <w:rsid w:val="00D235B7"/>
    <w:rsid w:val="00D23A99"/>
    <w:rsid w:val="00D23FAE"/>
    <w:rsid w:val="00D25F28"/>
    <w:rsid w:val="00D26071"/>
    <w:rsid w:val="00D260C7"/>
    <w:rsid w:val="00D26133"/>
    <w:rsid w:val="00D26758"/>
    <w:rsid w:val="00D269B9"/>
    <w:rsid w:val="00D26E6B"/>
    <w:rsid w:val="00D274B3"/>
    <w:rsid w:val="00D2780D"/>
    <w:rsid w:val="00D27973"/>
    <w:rsid w:val="00D27995"/>
    <w:rsid w:val="00D27C9D"/>
    <w:rsid w:val="00D27E3E"/>
    <w:rsid w:val="00D27F07"/>
    <w:rsid w:val="00D27F3A"/>
    <w:rsid w:val="00D30003"/>
    <w:rsid w:val="00D31537"/>
    <w:rsid w:val="00D3185C"/>
    <w:rsid w:val="00D319F6"/>
    <w:rsid w:val="00D31E1E"/>
    <w:rsid w:val="00D322A0"/>
    <w:rsid w:val="00D32824"/>
    <w:rsid w:val="00D33297"/>
    <w:rsid w:val="00D334E2"/>
    <w:rsid w:val="00D335E5"/>
    <w:rsid w:val="00D34E1C"/>
    <w:rsid w:val="00D350B1"/>
    <w:rsid w:val="00D352C1"/>
    <w:rsid w:val="00D35AD6"/>
    <w:rsid w:val="00D35BBB"/>
    <w:rsid w:val="00D35E1A"/>
    <w:rsid w:val="00D3681D"/>
    <w:rsid w:val="00D36B0A"/>
    <w:rsid w:val="00D36DFB"/>
    <w:rsid w:val="00D36E1C"/>
    <w:rsid w:val="00D373AF"/>
    <w:rsid w:val="00D37646"/>
    <w:rsid w:val="00D40556"/>
    <w:rsid w:val="00D418E9"/>
    <w:rsid w:val="00D41F74"/>
    <w:rsid w:val="00D428C8"/>
    <w:rsid w:val="00D43034"/>
    <w:rsid w:val="00D43230"/>
    <w:rsid w:val="00D43ED2"/>
    <w:rsid w:val="00D4575A"/>
    <w:rsid w:val="00D46A31"/>
    <w:rsid w:val="00D46D53"/>
    <w:rsid w:val="00D47573"/>
    <w:rsid w:val="00D47B3B"/>
    <w:rsid w:val="00D50F46"/>
    <w:rsid w:val="00D51BC9"/>
    <w:rsid w:val="00D5302A"/>
    <w:rsid w:val="00D533C4"/>
    <w:rsid w:val="00D5384E"/>
    <w:rsid w:val="00D544E7"/>
    <w:rsid w:val="00D5499F"/>
    <w:rsid w:val="00D5560A"/>
    <w:rsid w:val="00D55E68"/>
    <w:rsid w:val="00D560DC"/>
    <w:rsid w:val="00D56FBF"/>
    <w:rsid w:val="00D57677"/>
    <w:rsid w:val="00D5781F"/>
    <w:rsid w:val="00D60415"/>
    <w:rsid w:val="00D60892"/>
    <w:rsid w:val="00D60DAE"/>
    <w:rsid w:val="00D60E3C"/>
    <w:rsid w:val="00D60FA7"/>
    <w:rsid w:val="00D61917"/>
    <w:rsid w:val="00D61E7D"/>
    <w:rsid w:val="00D61FAB"/>
    <w:rsid w:val="00D62C4E"/>
    <w:rsid w:val="00D62FB5"/>
    <w:rsid w:val="00D63BE5"/>
    <w:rsid w:val="00D63FCF"/>
    <w:rsid w:val="00D6475F"/>
    <w:rsid w:val="00D652EB"/>
    <w:rsid w:val="00D65580"/>
    <w:rsid w:val="00D655D4"/>
    <w:rsid w:val="00D66223"/>
    <w:rsid w:val="00D667B8"/>
    <w:rsid w:val="00D66C85"/>
    <w:rsid w:val="00D6707B"/>
    <w:rsid w:val="00D67369"/>
    <w:rsid w:val="00D67D55"/>
    <w:rsid w:val="00D70289"/>
    <w:rsid w:val="00D7041F"/>
    <w:rsid w:val="00D70822"/>
    <w:rsid w:val="00D70C5A"/>
    <w:rsid w:val="00D72076"/>
    <w:rsid w:val="00D721B4"/>
    <w:rsid w:val="00D726A9"/>
    <w:rsid w:val="00D72DBA"/>
    <w:rsid w:val="00D73012"/>
    <w:rsid w:val="00D743E0"/>
    <w:rsid w:val="00D7469D"/>
    <w:rsid w:val="00D746BE"/>
    <w:rsid w:val="00D746CF"/>
    <w:rsid w:val="00D74794"/>
    <w:rsid w:val="00D7490C"/>
    <w:rsid w:val="00D7497E"/>
    <w:rsid w:val="00D74DBC"/>
    <w:rsid w:val="00D75AC1"/>
    <w:rsid w:val="00D75E71"/>
    <w:rsid w:val="00D75FB7"/>
    <w:rsid w:val="00D763AD"/>
    <w:rsid w:val="00D767D5"/>
    <w:rsid w:val="00D77252"/>
    <w:rsid w:val="00D8084C"/>
    <w:rsid w:val="00D81809"/>
    <w:rsid w:val="00D8188C"/>
    <w:rsid w:val="00D82EF1"/>
    <w:rsid w:val="00D839E9"/>
    <w:rsid w:val="00D84060"/>
    <w:rsid w:val="00D84CC9"/>
    <w:rsid w:val="00D84F43"/>
    <w:rsid w:val="00D85114"/>
    <w:rsid w:val="00D85821"/>
    <w:rsid w:val="00D8598C"/>
    <w:rsid w:val="00D85DD8"/>
    <w:rsid w:val="00D861A7"/>
    <w:rsid w:val="00D8710D"/>
    <w:rsid w:val="00D87C06"/>
    <w:rsid w:val="00D90E41"/>
    <w:rsid w:val="00D9113A"/>
    <w:rsid w:val="00D915EA"/>
    <w:rsid w:val="00D91819"/>
    <w:rsid w:val="00D919ED"/>
    <w:rsid w:val="00D922A1"/>
    <w:rsid w:val="00D9288A"/>
    <w:rsid w:val="00D928BE"/>
    <w:rsid w:val="00D92CD7"/>
    <w:rsid w:val="00D92FC2"/>
    <w:rsid w:val="00D92FFF"/>
    <w:rsid w:val="00D932B8"/>
    <w:rsid w:val="00D932F0"/>
    <w:rsid w:val="00D951DF"/>
    <w:rsid w:val="00D95302"/>
    <w:rsid w:val="00D95889"/>
    <w:rsid w:val="00D95C5D"/>
    <w:rsid w:val="00D95CBE"/>
    <w:rsid w:val="00D95E7F"/>
    <w:rsid w:val="00D97483"/>
    <w:rsid w:val="00D97D00"/>
    <w:rsid w:val="00DA0121"/>
    <w:rsid w:val="00DA096C"/>
    <w:rsid w:val="00DA107E"/>
    <w:rsid w:val="00DA114D"/>
    <w:rsid w:val="00DA1AB6"/>
    <w:rsid w:val="00DA214B"/>
    <w:rsid w:val="00DA2E65"/>
    <w:rsid w:val="00DA308B"/>
    <w:rsid w:val="00DA37DE"/>
    <w:rsid w:val="00DA3ADF"/>
    <w:rsid w:val="00DA4174"/>
    <w:rsid w:val="00DA544C"/>
    <w:rsid w:val="00DA5ED5"/>
    <w:rsid w:val="00DA5F8E"/>
    <w:rsid w:val="00DA6364"/>
    <w:rsid w:val="00DA6F31"/>
    <w:rsid w:val="00DA7114"/>
    <w:rsid w:val="00DA7C0C"/>
    <w:rsid w:val="00DA7E2F"/>
    <w:rsid w:val="00DA7F73"/>
    <w:rsid w:val="00DB03DD"/>
    <w:rsid w:val="00DB08A9"/>
    <w:rsid w:val="00DB0B33"/>
    <w:rsid w:val="00DB0EBF"/>
    <w:rsid w:val="00DB0FD9"/>
    <w:rsid w:val="00DB13EF"/>
    <w:rsid w:val="00DB1CD3"/>
    <w:rsid w:val="00DB1D89"/>
    <w:rsid w:val="00DB1ECC"/>
    <w:rsid w:val="00DB2495"/>
    <w:rsid w:val="00DB28CB"/>
    <w:rsid w:val="00DB2DFA"/>
    <w:rsid w:val="00DB2EC8"/>
    <w:rsid w:val="00DB321D"/>
    <w:rsid w:val="00DB459B"/>
    <w:rsid w:val="00DB47FD"/>
    <w:rsid w:val="00DB4BF1"/>
    <w:rsid w:val="00DB4FF3"/>
    <w:rsid w:val="00DB5E3A"/>
    <w:rsid w:val="00DB5E9A"/>
    <w:rsid w:val="00DB613B"/>
    <w:rsid w:val="00DB657E"/>
    <w:rsid w:val="00DB6811"/>
    <w:rsid w:val="00DB7342"/>
    <w:rsid w:val="00DB7489"/>
    <w:rsid w:val="00DB7BD5"/>
    <w:rsid w:val="00DC0B4A"/>
    <w:rsid w:val="00DC0B4D"/>
    <w:rsid w:val="00DC0CBB"/>
    <w:rsid w:val="00DC0E33"/>
    <w:rsid w:val="00DC17D0"/>
    <w:rsid w:val="00DC1E5D"/>
    <w:rsid w:val="00DC2B41"/>
    <w:rsid w:val="00DC2EA7"/>
    <w:rsid w:val="00DC3128"/>
    <w:rsid w:val="00DC31B2"/>
    <w:rsid w:val="00DC435B"/>
    <w:rsid w:val="00DC4AC4"/>
    <w:rsid w:val="00DC506E"/>
    <w:rsid w:val="00DC53D8"/>
    <w:rsid w:val="00DC56FE"/>
    <w:rsid w:val="00DC5B3B"/>
    <w:rsid w:val="00DC5F11"/>
    <w:rsid w:val="00DC6C2D"/>
    <w:rsid w:val="00DC6CFA"/>
    <w:rsid w:val="00DC7B1A"/>
    <w:rsid w:val="00DD04B0"/>
    <w:rsid w:val="00DD0771"/>
    <w:rsid w:val="00DD0B84"/>
    <w:rsid w:val="00DD129F"/>
    <w:rsid w:val="00DD13FC"/>
    <w:rsid w:val="00DD1A3F"/>
    <w:rsid w:val="00DD29B5"/>
    <w:rsid w:val="00DD32DD"/>
    <w:rsid w:val="00DD33E8"/>
    <w:rsid w:val="00DD468D"/>
    <w:rsid w:val="00DD4BB7"/>
    <w:rsid w:val="00DD5287"/>
    <w:rsid w:val="00DD5B36"/>
    <w:rsid w:val="00DD68B6"/>
    <w:rsid w:val="00DD7849"/>
    <w:rsid w:val="00DD7900"/>
    <w:rsid w:val="00DE03DE"/>
    <w:rsid w:val="00DE08BF"/>
    <w:rsid w:val="00DE0D8B"/>
    <w:rsid w:val="00DE1237"/>
    <w:rsid w:val="00DE125C"/>
    <w:rsid w:val="00DE140F"/>
    <w:rsid w:val="00DE17E9"/>
    <w:rsid w:val="00DE1CE1"/>
    <w:rsid w:val="00DE2491"/>
    <w:rsid w:val="00DE273F"/>
    <w:rsid w:val="00DE27CD"/>
    <w:rsid w:val="00DE2982"/>
    <w:rsid w:val="00DE2B97"/>
    <w:rsid w:val="00DE3231"/>
    <w:rsid w:val="00DE3E22"/>
    <w:rsid w:val="00DE3E5D"/>
    <w:rsid w:val="00DE450F"/>
    <w:rsid w:val="00DE4865"/>
    <w:rsid w:val="00DE59CA"/>
    <w:rsid w:val="00DE5BED"/>
    <w:rsid w:val="00DE5CA6"/>
    <w:rsid w:val="00DE5E55"/>
    <w:rsid w:val="00DE601B"/>
    <w:rsid w:val="00DE6209"/>
    <w:rsid w:val="00DE63AE"/>
    <w:rsid w:val="00DE7156"/>
    <w:rsid w:val="00DE761A"/>
    <w:rsid w:val="00DE794E"/>
    <w:rsid w:val="00DE7AC8"/>
    <w:rsid w:val="00DF0830"/>
    <w:rsid w:val="00DF1D57"/>
    <w:rsid w:val="00DF2C5D"/>
    <w:rsid w:val="00DF2CD3"/>
    <w:rsid w:val="00DF3509"/>
    <w:rsid w:val="00DF3643"/>
    <w:rsid w:val="00DF3F5C"/>
    <w:rsid w:val="00DF42FF"/>
    <w:rsid w:val="00DF4369"/>
    <w:rsid w:val="00DF4423"/>
    <w:rsid w:val="00DF4ADF"/>
    <w:rsid w:val="00DF4D59"/>
    <w:rsid w:val="00DF57D6"/>
    <w:rsid w:val="00DF589A"/>
    <w:rsid w:val="00DF5912"/>
    <w:rsid w:val="00DF5D1E"/>
    <w:rsid w:val="00DF6DDE"/>
    <w:rsid w:val="00DF70DA"/>
    <w:rsid w:val="00DF77E4"/>
    <w:rsid w:val="00DF7F88"/>
    <w:rsid w:val="00E00B88"/>
    <w:rsid w:val="00E01C0E"/>
    <w:rsid w:val="00E034A1"/>
    <w:rsid w:val="00E0368F"/>
    <w:rsid w:val="00E03D73"/>
    <w:rsid w:val="00E03F9A"/>
    <w:rsid w:val="00E040DA"/>
    <w:rsid w:val="00E041A3"/>
    <w:rsid w:val="00E04694"/>
    <w:rsid w:val="00E05333"/>
    <w:rsid w:val="00E059E1"/>
    <w:rsid w:val="00E06436"/>
    <w:rsid w:val="00E07458"/>
    <w:rsid w:val="00E1168B"/>
    <w:rsid w:val="00E12191"/>
    <w:rsid w:val="00E129E7"/>
    <w:rsid w:val="00E12ABE"/>
    <w:rsid w:val="00E12B1E"/>
    <w:rsid w:val="00E135EB"/>
    <w:rsid w:val="00E13995"/>
    <w:rsid w:val="00E139EC"/>
    <w:rsid w:val="00E13C59"/>
    <w:rsid w:val="00E1444C"/>
    <w:rsid w:val="00E149CC"/>
    <w:rsid w:val="00E14F1C"/>
    <w:rsid w:val="00E1509D"/>
    <w:rsid w:val="00E15863"/>
    <w:rsid w:val="00E159C6"/>
    <w:rsid w:val="00E1672D"/>
    <w:rsid w:val="00E17262"/>
    <w:rsid w:val="00E17F36"/>
    <w:rsid w:val="00E20016"/>
    <w:rsid w:val="00E2009B"/>
    <w:rsid w:val="00E20733"/>
    <w:rsid w:val="00E20918"/>
    <w:rsid w:val="00E20BB9"/>
    <w:rsid w:val="00E20BCC"/>
    <w:rsid w:val="00E2251C"/>
    <w:rsid w:val="00E2363D"/>
    <w:rsid w:val="00E23C6A"/>
    <w:rsid w:val="00E2449B"/>
    <w:rsid w:val="00E2484B"/>
    <w:rsid w:val="00E24995"/>
    <w:rsid w:val="00E25038"/>
    <w:rsid w:val="00E253A2"/>
    <w:rsid w:val="00E25A96"/>
    <w:rsid w:val="00E2602F"/>
    <w:rsid w:val="00E260F6"/>
    <w:rsid w:val="00E26F37"/>
    <w:rsid w:val="00E27127"/>
    <w:rsid w:val="00E27233"/>
    <w:rsid w:val="00E274BB"/>
    <w:rsid w:val="00E27B5F"/>
    <w:rsid w:val="00E30F15"/>
    <w:rsid w:val="00E31771"/>
    <w:rsid w:val="00E3186D"/>
    <w:rsid w:val="00E31A3E"/>
    <w:rsid w:val="00E32080"/>
    <w:rsid w:val="00E32778"/>
    <w:rsid w:val="00E3309D"/>
    <w:rsid w:val="00E34E3F"/>
    <w:rsid w:val="00E350B1"/>
    <w:rsid w:val="00E3512B"/>
    <w:rsid w:val="00E35439"/>
    <w:rsid w:val="00E3575B"/>
    <w:rsid w:val="00E35A16"/>
    <w:rsid w:val="00E35A53"/>
    <w:rsid w:val="00E3634A"/>
    <w:rsid w:val="00E3656B"/>
    <w:rsid w:val="00E36767"/>
    <w:rsid w:val="00E3712B"/>
    <w:rsid w:val="00E3724A"/>
    <w:rsid w:val="00E378B1"/>
    <w:rsid w:val="00E37BDD"/>
    <w:rsid w:val="00E40295"/>
    <w:rsid w:val="00E41131"/>
    <w:rsid w:val="00E41179"/>
    <w:rsid w:val="00E41634"/>
    <w:rsid w:val="00E417BE"/>
    <w:rsid w:val="00E41CD5"/>
    <w:rsid w:val="00E41E5D"/>
    <w:rsid w:val="00E42054"/>
    <w:rsid w:val="00E42326"/>
    <w:rsid w:val="00E428A7"/>
    <w:rsid w:val="00E4372D"/>
    <w:rsid w:val="00E43A9E"/>
    <w:rsid w:val="00E43E1A"/>
    <w:rsid w:val="00E43E2E"/>
    <w:rsid w:val="00E43E77"/>
    <w:rsid w:val="00E44243"/>
    <w:rsid w:val="00E4529D"/>
    <w:rsid w:val="00E4539A"/>
    <w:rsid w:val="00E453F9"/>
    <w:rsid w:val="00E45D7D"/>
    <w:rsid w:val="00E4623F"/>
    <w:rsid w:val="00E4665D"/>
    <w:rsid w:val="00E47394"/>
    <w:rsid w:val="00E47854"/>
    <w:rsid w:val="00E478E2"/>
    <w:rsid w:val="00E47A9B"/>
    <w:rsid w:val="00E47B61"/>
    <w:rsid w:val="00E47C5D"/>
    <w:rsid w:val="00E47EBA"/>
    <w:rsid w:val="00E50156"/>
    <w:rsid w:val="00E504EB"/>
    <w:rsid w:val="00E5076C"/>
    <w:rsid w:val="00E50D2E"/>
    <w:rsid w:val="00E50D7D"/>
    <w:rsid w:val="00E51DE0"/>
    <w:rsid w:val="00E51EF0"/>
    <w:rsid w:val="00E529B1"/>
    <w:rsid w:val="00E53470"/>
    <w:rsid w:val="00E5368D"/>
    <w:rsid w:val="00E539F6"/>
    <w:rsid w:val="00E53B5B"/>
    <w:rsid w:val="00E54698"/>
    <w:rsid w:val="00E54BE9"/>
    <w:rsid w:val="00E54D22"/>
    <w:rsid w:val="00E54FB4"/>
    <w:rsid w:val="00E5539A"/>
    <w:rsid w:val="00E55791"/>
    <w:rsid w:val="00E55E1A"/>
    <w:rsid w:val="00E56BA4"/>
    <w:rsid w:val="00E578A2"/>
    <w:rsid w:val="00E579ED"/>
    <w:rsid w:val="00E60043"/>
    <w:rsid w:val="00E61740"/>
    <w:rsid w:val="00E61CD0"/>
    <w:rsid w:val="00E61EB5"/>
    <w:rsid w:val="00E6324D"/>
    <w:rsid w:val="00E63BAE"/>
    <w:rsid w:val="00E6423D"/>
    <w:rsid w:val="00E647C1"/>
    <w:rsid w:val="00E64CDB"/>
    <w:rsid w:val="00E65084"/>
    <w:rsid w:val="00E6519D"/>
    <w:rsid w:val="00E66062"/>
    <w:rsid w:val="00E660B1"/>
    <w:rsid w:val="00E6660E"/>
    <w:rsid w:val="00E66768"/>
    <w:rsid w:val="00E67305"/>
    <w:rsid w:val="00E67696"/>
    <w:rsid w:val="00E677DB"/>
    <w:rsid w:val="00E67A58"/>
    <w:rsid w:val="00E709AF"/>
    <w:rsid w:val="00E70B51"/>
    <w:rsid w:val="00E70C5F"/>
    <w:rsid w:val="00E70C94"/>
    <w:rsid w:val="00E71A58"/>
    <w:rsid w:val="00E7263B"/>
    <w:rsid w:val="00E728D7"/>
    <w:rsid w:val="00E72A26"/>
    <w:rsid w:val="00E72A7A"/>
    <w:rsid w:val="00E730ED"/>
    <w:rsid w:val="00E7335A"/>
    <w:rsid w:val="00E73986"/>
    <w:rsid w:val="00E73BA7"/>
    <w:rsid w:val="00E7467D"/>
    <w:rsid w:val="00E747DC"/>
    <w:rsid w:val="00E749D9"/>
    <w:rsid w:val="00E74A2D"/>
    <w:rsid w:val="00E75C94"/>
    <w:rsid w:val="00E76A08"/>
    <w:rsid w:val="00E76B9B"/>
    <w:rsid w:val="00E76E61"/>
    <w:rsid w:val="00E76EE4"/>
    <w:rsid w:val="00E77CC0"/>
    <w:rsid w:val="00E80393"/>
    <w:rsid w:val="00E80735"/>
    <w:rsid w:val="00E80B3D"/>
    <w:rsid w:val="00E80CA3"/>
    <w:rsid w:val="00E81AAA"/>
    <w:rsid w:val="00E821ED"/>
    <w:rsid w:val="00E82473"/>
    <w:rsid w:val="00E82618"/>
    <w:rsid w:val="00E82A42"/>
    <w:rsid w:val="00E82AB6"/>
    <w:rsid w:val="00E82D9B"/>
    <w:rsid w:val="00E83881"/>
    <w:rsid w:val="00E84295"/>
    <w:rsid w:val="00E8431C"/>
    <w:rsid w:val="00E84E09"/>
    <w:rsid w:val="00E864A9"/>
    <w:rsid w:val="00E8755C"/>
    <w:rsid w:val="00E87CE2"/>
    <w:rsid w:val="00E87D5B"/>
    <w:rsid w:val="00E90CA8"/>
    <w:rsid w:val="00E911C6"/>
    <w:rsid w:val="00E9180C"/>
    <w:rsid w:val="00E920DE"/>
    <w:rsid w:val="00E929F7"/>
    <w:rsid w:val="00E930A1"/>
    <w:rsid w:val="00E93820"/>
    <w:rsid w:val="00E93FD5"/>
    <w:rsid w:val="00E94A86"/>
    <w:rsid w:val="00E94D29"/>
    <w:rsid w:val="00E950EC"/>
    <w:rsid w:val="00E951AB"/>
    <w:rsid w:val="00E953F6"/>
    <w:rsid w:val="00E95AD1"/>
    <w:rsid w:val="00E96143"/>
    <w:rsid w:val="00E96833"/>
    <w:rsid w:val="00E973A5"/>
    <w:rsid w:val="00E97506"/>
    <w:rsid w:val="00E97BB5"/>
    <w:rsid w:val="00E97D5B"/>
    <w:rsid w:val="00E97F14"/>
    <w:rsid w:val="00EA0B1A"/>
    <w:rsid w:val="00EA0C68"/>
    <w:rsid w:val="00EA0E39"/>
    <w:rsid w:val="00EA1C07"/>
    <w:rsid w:val="00EA1D0E"/>
    <w:rsid w:val="00EA1EBB"/>
    <w:rsid w:val="00EA2072"/>
    <w:rsid w:val="00EA2275"/>
    <w:rsid w:val="00EA242A"/>
    <w:rsid w:val="00EA2841"/>
    <w:rsid w:val="00EA32BC"/>
    <w:rsid w:val="00EA35A7"/>
    <w:rsid w:val="00EA3B32"/>
    <w:rsid w:val="00EA3CEB"/>
    <w:rsid w:val="00EA3D05"/>
    <w:rsid w:val="00EA4222"/>
    <w:rsid w:val="00EA4402"/>
    <w:rsid w:val="00EA4B8D"/>
    <w:rsid w:val="00EA513E"/>
    <w:rsid w:val="00EA5892"/>
    <w:rsid w:val="00EA5895"/>
    <w:rsid w:val="00EA7419"/>
    <w:rsid w:val="00EA74B6"/>
    <w:rsid w:val="00EA7B22"/>
    <w:rsid w:val="00EA7E4F"/>
    <w:rsid w:val="00EB0E32"/>
    <w:rsid w:val="00EB13FC"/>
    <w:rsid w:val="00EB1C78"/>
    <w:rsid w:val="00EB1CDC"/>
    <w:rsid w:val="00EB1D89"/>
    <w:rsid w:val="00EB3137"/>
    <w:rsid w:val="00EB3E60"/>
    <w:rsid w:val="00EB4511"/>
    <w:rsid w:val="00EB48D7"/>
    <w:rsid w:val="00EB49F1"/>
    <w:rsid w:val="00EB4A8E"/>
    <w:rsid w:val="00EB4BC5"/>
    <w:rsid w:val="00EB5BF7"/>
    <w:rsid w:val="00EB5E79"/>
    <w:rsid w:val="00EB62E0"/>
    <w:rsid w:val="00EB6473"/>
    <w:rsid w:val="00EB6B48"/>
    <w:rsid w:val="00EB6DA6"/>
    <w:rsid w:val="00EB6FAC"/>
    <w:rsid w:val="00EB7749"/>
    <w:rsid w:val="00EB7BAC"/>
    <w:rsid w:val="00EB7CC9"/>
    <w:rsid w:val="00EB7D07"/>
    <w:rsid w:val="00EC03D7"/>
    <w:rsid w:val="00EC05F2"/>
    <w:rsid w:val="00EC13A7"/>
    <w:rsid w:val="00EC181D"/>
    <w:rsid w:val="00EC189D"/>
    <w:rsid w:val="00EC1C50"/>
    <w:rsid w:val="00EC2EB6"/>
    <w:rsid w:val="00EC37E0"/>
    <w:rsid w:val="00EC4FFF"/>
    <w:rsid w:val="00EC5517"/>
    <w:rsid w:val="00EC5A1E"/>
    <w:rsid w:val="00EC5B0A"/>
    <w:rsid w:val="00EC6E8C"/>
    <w:rsid w:val="00EC73EF"/>
    <w:rsid w:val="00EC7BAA"/>
    <w:rsid w:val="00ED0962"/>
    <w:rsid w:val="00ED0B84"/>
    <w:rsid w:val="00ED0ED8"/>
    <w:rsid w:val="00ED0EF0"/>
    <w:rsid w:val="00ED0F73"/>
    <w:rsid w:val="00ED12B9"/>
    <w:rsid w:val="00ED16B8"/>
    <w:rsid w:val="00ED1959"/>
    <w:rsid w:val="00ED1A00"/>
    <w:rsid w:val="00ED1DF0"/>
    <w:rsid w:val="00ED2386"/>
    <w:rsid w:val="00ED2525"/>
    <w:rsid w:val="00ED2C87"/>
    <w:rsid w:val="00ED2E2F"/>
    <w:rsid w:val="00ED2EA1"/>
    <w:rsid w:val="00ED3851"/>
    <w:rsid w:val="00ED3B10"/>
    <w:rsid w:val="00ED3E51"/>
    <w:rsid w:val="00ED3F10"/>
    <w:rsid w:val="00ED3F9B"/>
    <w:rsid w:val="00ED3FB3"/>
    <w:rsid w:val="00ED4D04"/>
    <w:rsid w:val="00ED566D"/>
    <w:rsid w:val="00ED5907"/>
    <w:rsid w:val="00ED5F5B"/>
    <w:rsid w:val="00ED602C"/>
    <w:rsid w:val="00ED62C6"/>
    <w:rsid w:val="00ED64C1"/>
    <w:rsid w:val="00ED6559"/>
    <w:rsid w:val="00ED6A2D"/>
    <w:rsid w:val="00ED6DC9"/>
    <w:rsid w:val="00ED781F"/>
    <w:rsid w:val="00EE0E7E"/>
    <w:rsid w:val="00EE106A"/>
    <w:rsid w:val="00EE1291"/>
    <w:rsid w:val="00EE249F"/>
    <w:rsid w:val="00EE291D"/>
    <w:rsid w:val="00EE2EB4"/>
    <w:rsid w:val="00EE32FA"/>
    <w:rsid w:val="00EE3446"/>
    <w:rsid w:val="00EE3E78"/>
    <w:rsid w:val="00EE41FD"/>
    <w:rsid w:val="00EE460E"/>
    <w:rsid w:val="00EE4B1B"/>
    <w:rsid w:val="00EE5D5C"/>
    <w:rsid w:val="00EE5FBA"/>
    <w:rsid w:val="00EE601C"/>
    <w:rsid w:val="00EE6A09"/>
    <w:rsid w:val="00EE6E06"/>
    <w:rsid w:val="00EE7179"/>
    <w:rsid w:val="00EE7570"/>
    <w:rsid w:val="00EF041F"/>
    <w:rsid w:val="00EF068B"/>
    <w:rsid w:val="00EF0B04"/>
    <w:rsid w:val="00EF0D90"/>
    <w:rsid w:val="00EF1067"/>
    <w:rsid w:val="00EF150D"/>
    <w:rsid w:val="00EF179E"/>
    <w:rsid w:val="00EF1967"/>
    <w:rsid w:val="00EF1F5A"/>
    <w:rsid w:val="00EF23B5"/>
    <w:rsid w:val="00EF326A"/>
    <w:rsid w:val="00EF3898"/>
    <w:rsid w:val="00EF40C5"/>
    <w:rsid w:val="00EF433F"/>
    <w:rsid w:val="00EF47BF"/>
    <w:rsid w:val="00EF52F7"/>
    <w:rsid w:val="00EF54CF"/>
    <w:rsid w:val="00EF59B1"/>
    <w:rsid w:val="00EF5A13"/>
    <w:rsid w:val="00EF5E81"/>
    <w:rsid w:val="00EF5FF9"/>
    <w:rsid w:val="00EF77D4"/>
    <w:rsid w:val="00EF7CC7"/>
    <w:rsid w:val="00EF7FFC"/>
    <w:rsid w:val="00F00535"/>
    <w:rsid w:val="00F00853"/>
    <w:rsid w:val="00F00866"/>
    <w:rsid w:val="00F00EC8"/>
    <w:rsid w:val="00F013DB"/>
    <w:rsid w:val="00F0160B"/>
    <w:rsid w:val="00F0193E"/>
    <w:rsid w:val="00F01EA8"/>
    <w:rsid w:val="00F036B0"/>
    <w:rsid w:val="00F03E2F"/>
    <w:rsid w:val="00F03F50"/>
    <w:rsid w:val="00F03F8D"/>
    <w:rsid w:val="00F0408A"/>
    <w:rsid w:val="00F04811"/>
    <w:rsid w:val="00F0488C"/>
    <w:rsid w:val="00F04955"/>
    <w:rsid w:val="00F04E85"/>
    <w:rsid w:val="00F052CC"/>
    <w:rsid w:val="00F052D2"/>
    <w:rsid w:val="00F0566C"/>
    <w:rsid w:val="00F06002"/>
    <w:rsid w:val="00F067B8"/>
    <w:rsid w:val="00F0730A"/>
    <w:rsid w:val="00F073ED"/>
    <w:rsid w:val="00F07C4C"/>
    <w:rsid w:val="00F07E45"/>
    <w:rsid w:val="00F10F11"/>
    <w:rsid w:val="00F11159"/>
    <w:rsid w:val="00F1152E"/>
    <w:rsid w:val="00F115E4"/>
    <w:rsid w:val="00F11AC4"/>
    <w:rsid w:val="00F11FDC"/>
    <w:rsid w:val="00F120A5"/>
    <w:rsid w:val="00F1243F"/>
    <w:rsid w:val="00F12CFB"/>
    <w:rsid w:val="00F13E60"/>
    <w:rsid w:val="00F13FDB"/>
    <w:rsid w:val="00F14AC8"/>
    <w:rsid w:val="00F157DD"/>
    <w:rsid w:val="00F15AAA"/>
    <w:rsid w:val="00F15BEF"/>
    <w:rsid w:val="00F1770C"/>
    <w:rsid w:val="00F17898"/>
    <w:rsid w:val="00F204BF"/>
    <w:rsid w:val="00F207C2"/>
    <w:rsid w:val="00F211FC"/>
    <w:rsid w:val="00F21337"/>
    <w:rsid w:val="00F219A1"/>
    <w:rsid w:val="00F2232C"/>
    <w:rsid w:val="00F2334D"/>
    <w:rsid w:val="00F2338A"/>
    <w:rsid w:val="00F23927"/>
    <w:rsid w:val="00F23E20"/>
    <w:rsid w:val="00F24407"/>
    <w:rsid w:val="00F249CE"/>
    <w:rsid w:val="00F24FAA"/>
    <w:rsid w:val="00F25040"/>
    <w:rsid w:val="00F269D7"/>
    <w:rsid w:val="00F26B48"/>
    <w:rsid w:val="00F26FB5"/>
    <w:rsid w:val="00F27071"/>
    <w:rsid w:val="00F27331"/>
    <w:rsid w:val="00F276D3"/>
    <w:rsid w:val="00F27E47"/>
    <w:rsid w:val="00F27E57"/>
    <w:rsid w:val="00F27EE5"/>
    <w:rsid w:val="00F27FB1"/>
    <w:rsid w:val="00F27FD6"/>
    <w:rsid w:val="00F307CB"/>
    <w:rsid w:val="00F307D7"/>
    <w:rsid w:val="00F30C0C"/>
    <w:rsid w:val="00F30C65"/>
    <w:rsid w:val="00F31475"/>
    <w:rsid w:val="00F321D2"/>
    <w:rsid w:val="00F32649"/>
    <w:rsid w:val="00F3288B"/>
    <w:rsid w:val="00F32921"/>
    <w:rsid w:val="00F33523"/>
    <w:rsid w:val="00F3364D"/>
    <w:rsid w:val="00F33914"/>
    <w:rsid w:val="00F349BF"/>
    <w:rsid w:val="00F34AAD"/>
    <w:rsid w:val="00F34DDC"/>
    <w:rsid w:val="00F350EC"/>
    <w:rsid w:val="00F35EE5"/>
    <w:rsid w:val="00F36191"/>
    <w:rsid w:val="00F3629F"/>
    <w:rsid w:val="00F36DBB"/>
    <w:rsid w:val="00F36DF3"/>
    <w:rsid w:val="00F36E9A"/>
    <w:rsid w:val="00F37362"/>
    <w:rsid w:val="00F37638"/>
    <w:rsid w:val="00F37EDC"/>
    <w:rsid w:val="00F41B52"/>
    <w:rsid w:val="00F422EF"/>
    <w:rsid w:val="00F42F1C"/>
    <w:rsid w:val="00F437CC"/>
    <w:rsid w:val="00F442E7"/>
    <w:rsid w:val="00F44537"/>
    <w:rsid w:val="00F44943"/>
    <w:rsid w:val="00F450B7"/>
    <w:rsid w:val="00F4544B"/>
    <w:rsid w:val="00F46185"/>
    <w:rsid w:val="00F46423"/>
    <w:rsid w:val="00F4696A"/>
    <w:rsid w:val="00F47067"/>
    <w:rsid w:val="00F47234"/>
    <w:rsid w:val="00F4729B"/>
    <w:rsid w:val="00F51ADD"/>
    <w:rsid w:val="00F525AB"/>
    <w:rsid w:val="00F525EB"/>
    <w:rsid w:val="00F52CB5"/>
    <w:rsid w:val="00F53378"/>
    <w:rsid w:val="00F53721"/>
    <w:rsid w:val="00F537D9"/>
    <w:rsid w:val="00F53917"/>
    <w:rsid w:val="00F539B0"/>
    <w:rsid w:val="00F53A68"/>
    <w:rsid w:val="00F5402A"/>
    <w:rsid w:val="00F544A4"/>
    <w:rsid w:val="00F54934"/>
    <w:rsid w:val="00F550DA"/>
    <w:rsid w:val="00F55A92"/>
    <w:rsid w:val="00F5615B"/>
    <w:rsid w:val="00F564D1"/>
    <w:rsid w:val="00F5661A"/>
    <w:rsid w:val="00F56D87"/>
    <w:rsid w:val="00F56FFB"/>
    <w:rsid w:val="00F575D3"/>
    <w:rsid w:val="00F577D1"/>
    <w:rsid w:val="00F57983"/>
    <w:rsid w:val="00F57A76"/>
    <w:rsid w:val="00F57D57"/>
    <w:rsid w:val="00F61288"/>
    <w:rsid w:val="00F6178B"/>
    <w:rsid w:val="00F627E5"/>
    <w:rsid w:val="00F62BFF"/>
    <w:rsid w:val="00F62CCE"/>
    <w:rsid w:val="00F63092"/>
    <w:rsid w:val="00F632ED"/>
    <w:rsid w:val="00F63AAE"/>
    <w:rsid w:val="00F63DDE"/>
    <w:rsid w:val="00F63FB7"/>
    <w:rsid w:val="00F6421B"/>
    <w:rsid w:val="00F647F1"/>
    <w:rsid w:val="00F649D2"/>
    <w:rsid w:val="00F64B8F"/>
    <w:rsid w:val="00F64D5A"/>
    <w:rsid w:val="00F6556B"/>
    <w:rsid w:val="00F6602B"/>
    <w:rsid w:val="00F663B7"/>
    <w:rsid w:val="00F6799D"/>
    <w:rsid w:val="00F679DA"/>
    <w:rsid w:val="00F71047"/>
    <w:rsid w:val="00F7150B"/>
    <w:rsid w:val="00F717E4"/>
    <w:rsid w:val="00F71A42"/>
    <w:rsid w:val="00F71A9A"/>
    <w:rsid w:val="00F71DE6"/>
    <w:rsid w:val="00F72D71"/>
    <w:rsid w:val="00F7381C"/>
    <w:rsid w:val="00F73A0C"/>
    <w:rsid w:val="00F752DC"/>
    <w:rsid w:val="00F7549F"/>
    <w:rsid w:val="00F756DB"/>
    <w:rsid w:val="00F766BE"/>
    <w:rsid w:val="00F767A8"/>
    <w:rsid w:val="00F76F3A"/>
    <w:rsid w:val="00F770F5"/>
    <w:rsid w:val="00F77590"/>
    <w:rsid w:val="00F77A50"/>
    <w:rsid w:val="00F81DE1"/>
    <w:rsid w:val="00F82D02"/>
    <w:rsid w:val="00F82D14"/>
    <w:rsid w:val="00F840A3"/>
    <w:rsid w:val="00F84BBE"/>
    <w:rsid w:val="00F84E7D"/>
    <w:rsid w:val="00F85066"/>
    <w:rsid w:val="00F85894"/>
    <w:rsid w:val="00F874F8"/>
    <w:rsid w:val="00F87A4D"/>
    <w:rsid w:val="00F87ACD"/>
    <w:rsid w:val="00F90C4F"/>
    <w:rsid w:val="00F90D5C"/>
    <w:rsid w:val="00F90EEB"/>
    <w:rsid w:val="00F9135C"/>
    <w:rsid w:val="00F91B66"/>
    <w:rsid w:val="00F91C9B"/>
    <w:rsid w:val="00F9236F"/>
    <w:rsid w:val="00F9354A"/>
    <w:rsid w:val="00F93688"/>
    <w:rsid w:val="00F939F3"/>
    <w:rsid w:val="00F93C6E"/>
    <w:rsid w:val="00F93F2C"/>
    <w:rsid w:val="00F93FFB"/>
    <w:rsid w:val="00F94437"/>
    <w:rsid w:val="00F947E9"/>
    <w:rsid w:val="00F94E7B"/>
    <w:rsid w:val="00F95408"/>
    <w:rsid w:val="00F962AD"/>
    <w:rsid w:val="00F9644E"/>
    <w:rsid w:val="00F9745B"/>
    <w:rsid w:val="00F978D1"/>
    <w:rsid w:val="00FA0105"/>
    <w:rsid w:val="00FA05A0"/>
    <w:rsid w:val="00FA0AEF"/>
    <w:rsid w:val="00FA101C"/>
    <w:rsid w:val="00FA17CC"/>
    <w:rsid w:val="00FA1CFE"/>
    <w:rsid w:val="00FA1EE7"/>
    <w:rsid w:val="00FA1F01"/>
    <w:rsid w:val="00FA26DF"/>
    <w:rsid w:val="00FA2C07"/>
    <w:rsid w:val="00FA2FEC"/>
    <w:rsid w:val="00FA32BC"/>
    <w:rsid w:val="00FA3AE5"/>
    <w:rsid w:val="00FA3FA8"/>
    <w:rsid w:val="00FA4059"/>
    <w:rsid w:val="00FA4574"/>
    <w:rsid w:val="00FA48A4"/>
    <w:rsid w:val="00FA4CB7"/>
    <w:rsid w:val="00FA5112"/>
    <w:rsid w:val="00FA5526"/>
    <w:rsid w:val="00FA5D4D"/>
    <w:rsid w:val="00FA6CB6"/>
    <w:rsid w:val="00FA70D3"/>
    <w:rsid w:val="00FA71B2"/>
    <w:rsid w:val="00FA7999"/>
    <w:rsid w:val="00FA7AEC"/>
    <w:rsid w:val="00FA7BCA"/>
    <w:rsid w:val="00FB0AEA"/>
    <w:rsid w:val="00FB0EE2"/>
    <w:rsid w:val="00FB1408"/>
    <w:rsid w:val="00FB1469"/>
    <w:rsid w:val="00FB1A79"/>
    <w:rsid w:val="00FB1BA4"/>
    <w:rsid w:val="00FB208B"/>
    <w:rsid w:val="00FB2A1A"/>
    <w:rsid w:val="00FB2B2D"/>
    <w:rsid w:val="00FB4A8C"/>
    <w:rsid w:val="00FB4B0D"/>
    <w:rsid w:val="00FB542E"/>
    <w:rsid w:val="00FB5580"/>
    <w:rsid w:val="00FB564F"/>
    <w:rsid w:val="00FB5D36"/>
    <w:rsid w:val="00FB668E"/>
    <w:rsid w:val="00FB68E7"/>
    <w:rsid w:val="00FB6B4D"/>
    <w:rsid w:val="00FB7DBB"/>
    <w:rsid w:val="00FC05F8"/>
    <w:rsid w:val="00FC077B"/>
    <w:rsid w:val="00FC0E5F"/>
    <w:rsid w:val="00FC1070"/>
    <w:rsid w:val="00FC1266"/>
    <w:rsid w:val="00FC1A95"/>
    <w:rsid w:val="00FC1BFA"/>
    <w:rsid w:val="00FC1ED4"/>
    <w:rsid w:val="00FC2374"/>
    <w:rsid w:val="00FC283B"/>
    <w:rsid w:val="00FC3123"/>
    <w:rsid w:val="00FC3BEC"/>
    <w:rsid w:val="00FC42C5"/>
    <w:rsid w:val="00FC440B"/>
    <w:rsid w:val="00FC4F31"/>
    <w:rsid w:val="00FC56DE"/>
    <w:rsid w:val="00FC5F81"/>
    <w:rsid w:val="00FC60A5"/>
    <w:rsid w:val="00FC63D9"/>
    <w:rsid w:val="00FC64DE"/>
    <w:rsid w:val="00FC6785"/>
    <w:rsid w:val="00FC684B"/>
    <w:rsid w:val="00FC6D6A"/>
    <w:rsid w:val="00FC6DDC"/>
    <w:rsid w:val="00FC770C"/>
    <w:rsid w:val="00FC7945"/>
    <w:rsid w:val="00FC7D98"/>
    <w:rsid w:val="00FD1135"/>
    <w:rsid w:val="00FD2A9F"/>
    <w:rsid w:val="00FD3265"/>
    <w:rsid w:val="00FD3CF7"/>
    <w:rsid w:val="00FD40CC"/>
    <w:rsid w:val="00FD4124"/>
    <w:rsid w:val="00FD4372"/>
    <w:rsid w:val="00FD4916"/>
    <w:rsid w:val="00FD4C86"/>
    <w:rsid w:val="00FD4D12"/>
    <w:rsid w:val="00FD4F73"/>
    <w:rsid w:val="00FD5056"/>
    <w:rsid w:val="00FD595E"/>
    <w:rsid w:val="00FD5E19"/>
    <w:rsid w:val="00FD6667"/>
    <w:rsid w:val="00FD6D33"/>
    <w:rsid w:val="00FD7802"/>
    <w:rsid w:val="00FD78C3"/>
    <w:rsid w:val="00FD7D3B"/>
    <w:rsid w:val="00FD7FBE"/>
    <w:rsid w:val="00FE0712"/>
    <w:rsid w:val="00FE0C26"/>
    <w:rsid w:val="00FE0FF0"/>
    <w:rsid w:val="00FE18A8"/>
    <w:rsid w:val="00FE1DA9"/>
    <w:rsid w:val="00FE2357"/>
    <w:rsid w:val="00FE27C7"/>
    <w:rsid w:val="00FE2C7E"/>
    <w:rsid w:val="00FE2F78"/>
    <w:rsid w:val="00FE3137"/>
    <w:rsid w:val="00FE346B"/>
    <w:rsid w:val="00FE346F"/>
    <w:rsid w:val="00FE3A8C"/>
    <w:rsid w:val="00FE431E"/>
    <w:rsid w:val="00FE460E"/>
    <w:rsid w:val="00FE4879"/>
    <w:rsid w:val="00FE48E4"/>
    <w:rsid w:val="00FE4E8C"/>
    <w:rsid w:val="00FE4EBA"/>
    <w:rsid w:val="00FE5466"/>
    <w:rsid w:val="00FE634C"/>
    <w:rsid w:val="00FE635F"/>
    <w:rsid w:val="00FE6E69"/>
    <w:rsid w:val="00FE6F59"/>
    <w:rsid w:val="00FE7A6A"/>
    <w:rsid w:val="00FF01B6"/>
    <w:rsid w:val="00FF0942"/>
    <w:rsid w:val="00FF0989"/>
    <w:rsid w:val="00FF0F79"/>
    <w:rsid w:val="00FF0FB0"/>
    <w:rsid w:val="00FF1136"/>
    <w:rsid w:val="00FF1814"/>
    <w:rsid w:val="00FF27E2"/>
    <w:rsid w:val="00FF2C97"/>
    <w:rsid w:val="00FF3D76"/>
    <w:rsid w:val="00FF4667"/>
    <w:rsid w:val="00FF5053"/>
    <w:rsid w:val="00FF556A"/>
    <w:rsid w:val="00FF5B8C"/>
    <w:rsid w:val="00FF63E6"/>
    <w:rsid w:val="00FF72DC"/>
    <w:rsid w:val="00FF7B96"/>
    <w:rsid w:val="019CB78C"/>
    <w:rsid w:val="0241D284"/>
    <w:rsid w:val="04BD1937"/>
    <w:rsid w:val="0523CDF2"/>
    <w:rsid w:val="06B1A837"/>
    <w:rsid w:val="07FB41B9"/>
    <w:rsid w:val="08A648BF"/>
    <w:rsid w:val="08AB0269"/>
    <w:rsid w:val="0A844D4D"/>
    <w:rsid w:val="0BCD71E1"/>
    <w:rsid w:val="0EBE9DEC"/>
    <w:rsid w:val="0FBB85B6"/>
    <w:rsid w:val="12650F4E"/>
    <w:rsid w:val="1371242A"/>
    <w:rsid w:val="1394E51D"/>
    <w:rsid w:val="14DB2A87"/>
    <w:rsid w:val="15DD577B"/>
    <w:rsid w:val="16EC38E2"/>
    <w:rsid w:val="17178072"/>
    <w:rsid w:val="173F358F"/>
    <w:rsid w:val="17513AF8"/>
    <w:rsid w:val="1812CB49"/>
    <w:rsid w:val="1B53A8C8"/>
    <w:rsid w:val="1BEE6986"/>
    <w:rsid w:val="20D21749"/>
    <w:rsid w:val="2111A021"/>
    <w:rsid w:val="21BE069A"/>
    <w:rsid w:val="224238BC"/>
    <w:rsid w:val="224482AD"/>
    <w:rsid w:val="23E0530E"/>
    <w:rsid w:val="24FC0D77"/>
    <w:rsid w:val="2A0E9F3A"/>
    <w:rsid w:val="2A2A6298"/>
    <w:rsid w:val="2F72CB2D"/>
    <w:rsid w:val="3204B56C"/>
    <w:rsid w:val="36A6CB7D"/>
    <w:rsid w:val="37D604A5"/>
    <w:rsid w:val="38C72AFC"/>
    <w:rsid w:val="3A31F626"/>
    <w:rsid w:val="3AA0BED0"/>
    <w:rsid w:val="3C7646FC"/>
    <w:rsid w:val="3E4A9713"/>
    <w:rsid w:val="3E77F3B4"/>
    <w:rsid w:val="40C3BF09"/>
    <w:rsid w:val="47207A7B"/>
    <w:rsid w:val="48038D4B"/>
    <w:rsid w:val="49E8263C"/>
    <w:rsid w:val="4A567F3C"/>
    <w:rsid w:val="50A35788"/>
    <w:rsid w:val="52944939"/>
    <w:rsid w:val="53942896"/>
    <w:rsid w:val="5536E42E"/>
    <w:rsid w:val="55914544"/>
    <w:rsid w:val="581B14F9"/>
    <w:rsid w:val="58FD3BB8"/>
    <w:rsid w:val="5B145290"/>
    <w:rsid w:val="5CF587E8"/>
    <w:rsid w:val="5DD689BF"/>
    <w:rsid w:val="5E8D8646"/>
    <w:rsid w:val="60B2C930"/>
    <w:rsid w:val="64244C5C"/>
    <w:rsid w:val="64B5C10F"/>
    <w:rsid w:val="661E5011"/>
    <w:rsid w:val="67F8BB57"/>
    <w:rsid w:val="6AEA4E8B"/>
    <w:rsid w:val="6AEC8A78"/>
    <w:rsid w:val="6D951AA9"/>
    <w:rsid w:val="7059F910"/>
    <w:rsid w:val="74248E8F"/>
    <w:rsid w:val="74EA3077"/>
    <w:rsid w:val="754BB0AE"/>
    <w:rsid w:val="75B5B795"/>
    <w:rsid w:val="76D4E0D9"/>
    <w:rsid w:val="78058569"/>
    <w:rsid w:val="785B85D1"/>
    <w:rsid w:val="78E73CD1"/>
    <w:rsid w:val="78EC659F"/>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56910147-D8D0-4759-AD79-65565E2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link w:val="OdstavecseseznamemChar"/>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customStyle="1" w:styleId="scxw9398236">
    <w:name w:val="scxw9398236"/>
    <w:basedOn w:val="Standardnpsmoodstavce"/>
    <w:rsid w:val="000D7C6F"/>
  </w:style>
  <w:style w:type="character" w:customStyle="1" w:styleId="superscript">
    <w:name w:val="superscript"/>
    <w:basedOn w:val="Standardnpsmoodstavce"/>
    <w:rsid w:val="000D7C6F"/>
  </w:style>
  <w:style w:type="character" w:customStyle="1" w:styleId="OdstavecseseznamemChar">
    <w:name w:val="Odstavec se seznamem Char"/>
    <w:basedOn w:val="Standardnpsmoodstavce"/>
    <w:link w:val="Odstavecseseznamem"/>
    <w:uiPriority w:val="34"/>
    <w:rsid w:val="00A51A9B"/>
    <w:rPr>
      <w:rFonts w:ascii="Arial" w:eastAsia="Times New Roman" w:hAnsi="Arial"/>
      <w:szCs w:val="24"/>
      <w:lang w:eastAsia="cs-CZ"/>
    </w:rPr>
  </w:style>
  <w:style w:type="character" w:styleId="Sledovanodkaz">
    <w:name w:val="FollowedHyperlink"/>
    <w:basedOn w:val="Standardnpsmoodstavce"/>
    <w:uiPriority w:val="99"/>
    <w:semiHidden/>
    <w:unhideWhenUsed/>
    <w:rsid w:val="006D1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7683572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446">
          <w:marLeft w:val="0"/>
          <w:marRight w:val="0"/>
          <w:marTop w:val="0"/>
          <w:marBottom w:val="0"/>
          <w:divBdr>
            <w:top w:val="none" w:sz="0" w:space="0" w:color="auto"/>
            <w:left w:val="none" w:sz="0" w:space="0" w:color="auto"/>
            <w:bottom w:val="none" w:sz="0" w:space="0" w:color="auto"/>
            <w:right w:val="none" w:sz="0" w:space="0" w:color="auto"/>
          </w:divBdr>
        </w:div>
        <w:div w:id="1716659461">
          <w:marLeft w:val="0"/>
          <w:marRight w:val="0"/>
          <w:marTop w:val="0"/>
          <w:marBottom w:val="0"/>
          <w:divBdr>
            <w:top w:val="none" w:sz="0" w:space="0" w:color="auto"/>
            <w:left w:val="none" w:sz="0" w:space="0" w:color="auto"/>
            <w:bottom w:val="none" w:sz="0" w:space="0" w:color="auto"/>
            <w:right w:val="none" w:sz="0" w:space="0" w:color="auto"/>
          </w:divBdr>
          <w:divsChild>
            <w:div w:id="908930234">
              <w:marLeft w:val="-75"/>
              <w:marRight w:val="0"/>
              <w:marTop w:val="30"/>
              <w:marBottom w:val="30"/>
              <w:divBdr>
                <w:top w:val="none" w:sz="0" w:space="0" w:color="auto"/>
                <w:left w:val="none" w:sz="0" w:space="0" w:color="auto"/>
                <w:bottom w:val="none" w:sz="0" w:space="0" w:color="auto"/>
                <w:right w:val="none" w:sz="0" w:space="0" w:color="auto"/>
              </w:divBdr>
              <w:divsChild>
                <w:div w:id="189690384">
                  <w:marLeft w:val="0"/>
                  <w:marRight w:val="0"/>
                  <w:marTop w:val="0"/>
                  <w:marBottom w:val="0"/>
                  <w:divBdr>
                    <w:top w:val="none" w:sz="0" w:space="0" w:color="auto"/>
                    <w:left w:val="none" w:sz="0" w:space="0" w:color="auto"/>
                    <w:bottom w:val="none" w:sz="0" w:space="0" w:color="auto"/>
                    <w:right w:val="none" w:sz="0" w:space="0" w:color="auto"/>
                  </w:divBdr>
                  <w:divsChild>
                    <w:div w:id="345450649">
                      <w:marLeft w:val="0"/>
                      <w:marRight w:val="0"/>
                      <w:marTop w:val="0"/>
                      <w:marBottom w:val="0"/>
                      <w:divBdr>
                        <w:top w:val="none" w:sz="0" w:space="0" w:color="auto"/>
                        <w:left w:val="none" w:sz="0" w:space="0" w:color="auto"/>
                        <w:bottom w:val="none" w:sz="0" w:space="0" w:color="auto"/>
                        <w:right w:val="none" w:sz="0" w:space="0" w:color="auto"/>
                      </w:divBdr>
                    </w:div>
                  </w:divsChild>
                </w:div>
                <w:div w:id="2130083414">
                  <w:marLeft w:val="0"/>
                  <w:marRight w:val="0"/>
                  <w:marTop w:val="0"/>
                  <w:marBottom w:val="0"/>
                  <w:divBdr>
                    <w:top w:val="none" w:sz="0" w:space="0" w:color="auto"/>
                    <w:left w:val="none" w:sz="0" w:space="0" w:color="auto"/>
                    <w:bottom w:val="none" w:sz="0" w:space="0" w:color="auto"/>
                    <w:right w:val="none" w:sz="0" w:space="0" w:color="auto"/>
                  </w:divBdr>
                  <w:divsChild>
                    <w:div w:id="1847819293">
                      <w:marLeft w:val="0"/>
                      <w:marRight w:val="0"/>
                      <w:marTop w:val="0"/>
                      <w:marBottom w:val="0"/>
                      <w:divBdr>
                        <w:top w:val="none" w:sz="0" w:space="0" w:color="auto"/>
                        <w:left w:val="none" w:sz="0" w:space="0" w:color="auto"/>
                        <w:bottom w:val="none" w:sz="0" w:space="0" w:color="auto"/>
                        <w:right w:val="none" w:sz="0" w:space="0" w:color="auto"/>
                      </w:divBdr>
                    </w:div>
                  </w:divsChild>
                </w:div>
                <w:div w:id="141698433">
                  <w:marLeft w:val="0"/>
                  <w:marRight w:val="0"/>
                  <w:marTop w:val="0"/>
                  <w:marBottom w:val="0"/>
                  <w:divBdr>
                    <w:top w:val="none" w:sz="0" w:space="0" w:color="auto"/>
                    <w:left w:val="none" w:sz="0" w:space="0" w:color="auto"/>
                    <w:bottom w:val="none" w:sz="0" w:space="0" w:color="auto"/>
                    <w:right w:val="none" w:sz="0" w:space="0" w:color="auto"/>
                  </w:divBdr>
                  <w:divsChild>
                    <w:div w:id="1561865753">
                      <w:marLeft w:val="0"/>
                      <w:marRight w:val="0"/>
                      <w:marTop w:val="0"/>
                      <w:marBottom w:val="0"/>
                      <w:divBdr>
                        <w:top w:val="none" w:sz="0" w:space="0" w:color="auto"/>
                        <w:left w:val="none" w:sz="0" w:space="0" w:color="auto"/>
                        <w:bottom w:val="none" w:sz="0" w:space="0" w:color="auto"/>
                        <w:right w:val="none" w:sz="0" w:space="0" w:color="auto"/>
                      </w:divBdr>
                    </w:div>
                  </w:divsChild>
                </w:div>
                <w:div w:id="1168449760">
                  <w:marLeft w:val="0"/>
                  <w:marRight w:val="0"/>
                  <w:marTop w:val="0"/>
                  <w:marBottom w:val="0"/>
                  <w:divBdr>
                    <w:top w:val="none" w:sz="0" w:space="0" w:color="auto"/>
                    <w:left w:val="none" w:sz="0" w:space="0" w:color="auto"/>
                    <w:bottom w:val="none" w:sz="0" w:space="0" w:color="auto"/>
                    <w:right w:val="none" w:sz="0" w:space="0" w:color="auto"/>
                  </w:divBdr>
                  <w:divsChild>
                    <w:div w:id="1407143116">
                      <w:marLeft w:val="0"/>
                      <w:marRight w:val="0"/>
                      <w:marTop w:val="0"/>
                      <w:marBottom w:val="0"/>
                      <w:divBdr>
                        <w:top w:val="none" w:sz="0" w:space="0" w:color="auto"/>
                        <w:left w:val="none" w:sz="0" w:space="0" w:color="auto"/>
                        <w:bottom w:val="none" w:sz="0" w:space="0" w:color="auto"/>
                        <w:right w:val="none" w:sz="0" w:space="0" w:color="auto"/>
                      </w:divBdr>
                    </w:div>
                  </w:divsChild>
                </w:div>
                <w:div w:id="2124761785">
                  <w:marLeft w:val="0"/>
                  <w:marRight w:val="0"/>
                  <w:marTop w:val="0"/>
                  <w:marBottom w:val="0"/>
                  <w:divBdr>
                    <w:top w:val="none" w:sz="0" w:space="0" w:color="auto"/>
                    <w:left w:val="none" w:sz="0" w:space="0" w:color="auto"/>
                    <w:bottom w:val="none" w:sz="0" w:space="0" w:color="auto"/>
                    <w:right w:val="none" w:sz="0" w:space="0" w:color="auto"/>
                  </w:divBdr>
                  <w:divsChild>
                    <w:div w:id="1111317610">
                      <w:marLeft w:val="0"/>
                      <w:marRight w:val="0"/>
                      <w:marTop w:val="0"/>
                      <w:marBottom w:val="0"/>
                      <w:divBdr>
                        <w:top w:val="none" w:sz="0" w:space="0" w:color="auto"/>
                        <w:left w:val="none" w:sz="0" w:space="0" w:color="auto"/>
                        <w:bottom w:val="none" w:sz="0" w:space="0" w:color="auto"/>
                        <w:right w:val="none" w:sz="0" w:space="0" w:color="auto"/>
                      </w:divBdr>
                    </w:div>
                  </w:divsChild>
                </w:div>
                <w:div w:id="1016151455">
                  <w:marLeft w:val="0"/>
                  <w:marRight w:val="0"/>
                  <w:marTop w:val="0"/>
                  <w:marBottom w:val="0"/>
                  <w:divBdr>
                    <w:top w:val="none" w:sz="0" w:space="0" w:color="auto"/>
                    <w:left w:val="none" w:sz="0" w:space="0" w:color="auto"/>
                    <w:bottom w:val="none" w:sz="0" w:space="0" w:color="auto"/>
                    <w:right w:val="none" w:sz="0" w:space="0" w:color="auto"/>
                  </w:divBdr>
                  <w:divsChild>
                    <w:div w:id="1179079040">
                      <w:marLeft w:val="0"/>
                      <w:marRight w:val="0"/>
                      <w:marTop w:val="0"/>
                      <w:marBottom w:val="0"/>
                      <w:divBdr>
                        <w:top w:val="none" w:sz="0" w:space="0" w:color="auto"/>
                        <w:left w:val="none" w:sz="0" w:space="0" w:color="auto"/>
                        <w:bottom w:val="none" w:sz="0" w:space="0" w:color="auto"/>
                        <w:right w:val="none" w:sz="0" w:space="0" w:color="auto"/>
                      </w:divBdr>
                    </w:div>
                  </w:divsChild>
                </w:div>
                <w:div w:id="953753815">
                  <w:marLeft w:val="0"/>
                  <w:marRight w:val="0"/>
                  <w:marTop w:val="0"/>
                  <w:marBottom w:val="0"/>
                  <w:divBdr>
                    <w:top w:val="none" w:sz="0" w:space="0" w:color="auto"/>
                    <w:left w:val="none" w:sz="0" w:space="0" w:color="auto"/>
                    <w:bottom w:val="none" w:sz="0" w:space="0" w:color="auto"/>
                    <w:right w:val="none" w:sz="0" w:space="0" w:color="auto"/>
                  </w:divBdr>
                  <w:divsChild>
                    <w:div w:id="126052794">
                      <w:marLeft w:val="0"/>
                      <w:marRight w:val="0"/>
                      <w:marTop w:val="0"/>
                      <w:marBottom w:val="0"/>
                      <w:divBdr>
                        <w:top w:val="none" w:sz="0" w:space="0" w:color="auto"/>
                        <w:left w:val="none" w:sz="0" w:space="0" w:color="auto"/>
                        <w:bottom w:val="none" w:sz="0" w:space="0" w:color="auto"/>
                        <w:right w:val="none" w:sz="0" w:space="0" w:color="auto"/>
                      </w:divBdr>
                    </w:div>
                  </w:divsChild>
                </w:div>
                <w:div w:id="864711492">
                  <w:marLeft w:val="0"/>
                  <w:marRight w:val="0"/>
                  <w:marTop w:val="0"/>
                  <w:marBottom w:val="0"/>
                  <w:divBdr>
                    <w:top w:val="none" w:sz="0" w:space="0" w:color="auto"/>
                    <w:left w:val="none" w:sz="0" w:space="0" w:color="auto"/>
                    <w:bottom w:val="none" w:sz="0" w:space="0" w:color="auto"/>
                    <w:right w:val="none" w:sz="0" w:space="0" w:color="auto"/>
                  </w:divBdr>
                  <w:divsChild>
                    <w:div w:id="1959221365">
                      <w:marLeft w:val="0"/>
                      <w:marRight w:val="0"/>
                      <w:marTop w:val="0"/>
                      <w:marBottom w:val="0"/>
                      <w:divBdr>
                        <w:top w:val="none" w:sz="0" w:space="0" w:color="auto"/>
                        <w:left w:val="none" w:sz="0" w:space="0" w:color="auto"/>
                        <w:bottom w:val="none" w:sz="0" w:space="0" w:color="auto"/>
                        <w:right w:val="none" w:sz="0" w:space="0" w:color="auto"/>
                      </w:divBdr>
                    </w:div>
                  </w:divsChild>
                </w:div>
                <w:div w:id="708652465">
                  <w:marLeft w:val="0"/>
                  <w:marRight w:val="0"/>
                  <w:marTop w:val="0"/>
                  <w:marBottom w:val="0"/>
                  <w:divBdr>
                    <w:top w:val="none" w:sz="0" w:space="0" w:color="auto"/>
                    <w:left w:val="none" w:sz="0" w:space="0" w:color="auto"/>
                    <w:bottom w:val="none" w:sz="0" w:space="0" w:color="auto"/>
                    <w:right w:val="none" w:sz="0" w:space="0" w:color="auto"/>
                  </w:divBdr>
                  <w:divsChild>
                    <w:div w:id="587033635">
                      <w:marLeft w:val="0"/>
                      <w:marRight w:val="0"/>
                      <w:marTop w:val="0"/>
                      <w:marBottom w:val="0"/>
                      <w:divBdr>
                        <w:top w:val="none" w:sz="0" w:space="0" w:color="auto"/>
                        <w:left w:val="none" w:sz="0" w:space="0" w:color="auto"/>
                        <w:bottom w:val="none" w:sz="0" w:space="0" w:color="auto"/>
                        <w:right w:val="none" w:sz="0" w:space="0" w:color="auto"/>
                      </w:divBdr>
                    </w:div>
                  </w:divsChild>
                </w:div>
                <w:div w:id="970284968">
                  <w:marLeft w:val="0"/>
                  <w:marRight w:val="0"/>
                  <w:marTop w:val="0"/>
                  <w:marBottom w:val="0"/>
                  <w:divBdr>
                    <w:top w:val="none" w:sz="0" w:space="0" w:color="auto"/>
                    <w:left w:val="none" w:sz="0" w:space="0" w:color="auto"/>
                    <w:bottom w:val="none" w:sz="0" w:space="0" w:color="auto"/>
                    <w:right w:val="none" w:sz="0" w:space="0" w:color="auto"/>
                  </w:divBdr>
                  <w:divsChild>
                    <w:div w:id="1759984152">
                      <w:marLeft w:val="0"/>
                      <w:marRight w:val="0"/>
                      <w:marTop w:val="0"/>
                      <w:marBottom w:val="0"/>
                      <w:divBdr>
                        <w:top w:val="none" w:sz="0" w:space="0" w:color="auto"/>
                        <w:left w:val="none" w:sz="0" w:space="0" w:color="auto"/>
                        <w:bottom w:val="none" w:sz="0" w:space="0" w:color="auto"/>
                        <w:right w:val="none" w:sz="0" w:space="0" w:color="auto"/>
                      </w:divBdr>
                    </w:div>
                  </w:divsChild>
                </w:div>
                <w:div w:id="1041595004">
                  <w:marLeft w:val="0"/>
                  <w:marRight w:val="0"/>
                  <w:marTop w:val="0"/>
                  <w:marBottom w:val="0"/>
                  <w:divBdr>
                    <w:top w:val="none" w:sz="0" w:space="0" w:color="auto"/>
                    <w:left w:val="none" w:sz="0" w:space="0" w:color="auto"/>
                    <w:bottom w:val="none" w:sz="0" w:space="0" w:color="auto"/>
                    <w:right w:val="none" w:sz="0" w:space="0" w:color="auto"/>
                  </w:divBdr>
                  <w:divsChild>
                    <w:div w:id="1259410822">
                      <w:marLeft w:val="0"/>
                      <w:marRight w:val="0"/>
                      <w:marTop w:val="0"/>
                      <w:marBottom w:val="0"/>
                      <w:divBdr>
                        <w:top w:val="none" w:sz="0" w:space="0" w:color="auto"/>
                        <w:left w:val="none" w:sz="0" w:space="0" w:color="auto"/>
                        <w:bottom w:val="none" w:sz="0" w:space="0" w:color="auto"/>
                        <w:right w:val="none" w:sz="0" w:space="0" w:color="auto"/>
                      </w:divBdr>
                    </w:div>
                  </w:divsChild>
                </w:div>
                <w:div w:id="1384409651">
                  <w:marLeft w:val="0"/>
                  <w:marRight w:val="0"/>
                  <w:marTop w:val="0"/>
                  <w:marBottom w:val="0"/>
                  <w:divBdr>
                    <w:top w:val="none" w:sz="0" w:space="0" w:color="auto"/>
                    <w:left w:val="none" w:sz="0" w:space="0" w:color="auto"/>
                    <w:bottom w:val="none" w:sz="0" w:space="0" w:color="auto"/>
                    <w:right w:val="none" w:sz="0" w:space="0" w:color="auto"/>
                  </w:divBdr>
                  <w:divsChild>
                    <w:div w:id="73013662">
                      <w:marLeft w:val="0"/>
                      <w:marRight w:val="0"/>
                      <w:marTop w:val="0"/>
                      <w:marBottom w:val="0"/>
                      <w:divBdr>
                        <w:top w:val="none" w:sz="0" w:space="0" w:color="auto"/>
                        <w:left w:val="none" w:sz="0" w:space="0" w:color="auto"/>
                        <w:bottom w:val="none" w:sz="0" w:space="0" w:color="auto"/>
                        <w:right w:val="none" w:sz="0" w:space="0" w:color="auto"/>
                      </w:divBdr>
                    </w:div>
                  </w:divsChild>
                </w:div>
                <w:div w:id="1396856273">
                  <w:marLeft w:val="0"/>
                  <w:marRight w:val="0"/>
                  <w:marTop w:val="0"/>
                  <w:marBottom w:val="0"/>
                  <w:divBdr>
                    <w:top w:val="none" w:sz="0" w:space="0" w:color="auto"/>
                    <w:left w:val="none" w:sz="0" w:space="0" w:color="auto"/>
                    <w:bottom w:val="none" w:sz="0" w:space="0" w:color="auto"/>
                    <w:right w:val="none" w:sz="0" w:space="0" w:color="auto"/>
                  </w:divBdr>
                  <w:divsChild>
                    <w:div w:id="1129475919">
                      <w:marLeft w:val="0"/>
                      <w:marRight w:val="0"/>
                      <w:marTop w:val="0"/>
                      <w:marBottom w:val="0"/>
                      <w:divBdr>
                        <w:top w:val="none" w:sz="0" w:space="0" w:color="auto"/>
                        <w:left w:val="none" w:sz="0" w:space="0" w:color="auto"/>
                        <w:bottom w:val="none" w:sz="0" w:space="0" w:color="auto"/>
                        <w:right w:val="none" w:sz="0" w:space="0" w:color="auto"/>
                      </w:divBdr>
                    </w:div>
                  </w:divsChild>
                </w:div>
                <w:div w:id="241991679">
                  <w:marLeft w:val="0"/>
                  <w:marRight w:val="0"/>
                  <w:marTop w:val="0"/>
                  <w:marBottom w:val="0"/>
                  <w:divBdr>
                    <w:top w:val="none" w:sz="0" w:space="0" w:color="auto"/>
                    <w:left w:val="none" w:sz="0" w:space="0" w:color="auto"/>
                    <w:bottom w:val="none" w:sz="0" w:space="0" w:color="auto"/>
                    <w:right w:val="none" w:sz="0" w:space="0" w:color="auto"/>
                  </w:divBdr>
                  <w:divsChild>
                    <w:div w:id="1142037930">
                      <w:marLeft w:val="0"/>
                      <w:marRight w:val="0"/>
                      <w:marTop w:val="0"/>
                      <w:marBottom w:val="0"/>
                      <w:divBdr>
                        <w:top w:val="none" w:sz="0" w:space="0" w:color="auto"/>
                        <w:left w:val="none" w:sz="0" w:space="0" w:color="auto"/>
                        <w:bottom w:val="none" w:sz="0" w:space="0" w:color="auto"/>
                        <w:right w:val="none" w:sz="0" w:space="0" w:color="auto"/>
                      </w:divBdr>
                    </w:div>
                  </w:divsChild>
                </w:div>
                <w:div w:id="879642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
                  </w:divsChild>
                </w:div>
                <w:div w:id="368145167">
                  <w:marLeft w:val="0"/>
                  <w:marRight w:val="0"/>
                  <w:marTop w:val="0"/>
                  <w:marBottom w:val="0"/>
                  <w:divBdr>
                    <w:top w:val="none" w:sz="0" w:space="0" w:color="auto"/>
                    <w:left w:val="none" w:sz="0" w:space="0" w:color="auto"/>
                    <w:bottom w:val="none" w:sz="0" w:space="0" w:color="auto"/>
                    <w:right w:val="none" w:sz="0" w:space="0" w:color="auto"/>
                  </w:divBdr>
                  <w:divsChild>
                    <w:div w:id="1170104264">
                      <w:marLeft w:val="0"/>
                      <w:marRight w:val="0"/>
                      <w:marTop w:val="0"/>
                      <w:marBottom w:val="0"/>
                      <w:divBdr>
                        <w:top w:val="none" w:sz="0" w:space="0" w:color="auto"/>
                        <w:left w:val="none" w:sz="0" w:space="0" w:color="auto"/>
                        <w:bottom w:val="none" w:sz="0" w:space="0" w:color="auto"/>
                        <w:right w:val="none" w:sz="0" w:space="0" w:color="auto"/>
                      </w:divBdr>
                    </w:div>
                  </w:divsChild>
                </w:div>
                <w:div w:id="542448709">
                  <w:marLeft w:val="0"/>
                  <w:marRight w:val="0"/>
                  <w:marTop w:val="0"/>
                  <w:marBottom w:val="0"/>
                  <w:divBdr>
                    <w:top w:val="none" w:sz="0" w:space="0" w:color="auto"/>
                    <w:left w:val="none" w:sz="0" w:space="0" w:color="auto"/>
                    <w:bottom w:val="none" w:sz="0" w:space="0" w:color="auto"/>
                    <w:right w:val="none" w:sz="0" w:space="0" w:color="auto"/>
                  </w:divBdr>
                  <w:divsChild>
                    <w:div w:id="811479007">
                      <w:marLeft w:val="0"/>
                      <w:marRight w:val="0"/>
                      <w:marTop w:val="0"/>
                      <w:marBottom w:val="0"/>
                      <w:divBdr>
                        <w:top w:val="none" w:sz="0" w:space="0" w:color="auto"/>
                        <w:left w:val="none" w:sz="0" w:space="0" w:color="auto"/>
                        <w:bottom w:val="none" w:sz="0" w:space="0" w:color="auto"/>
                        <w:right w:val="none" w:sz="0" w:space="0" w:color="auto"/>
                      </w:divBdr>
                    </w:div>
                  </w:divsChild>
                </w:div>
                <w:div w:id="218828323">
                  <w:marLeft w:val="0"/>
                  <w:marRight w:val="0"/>
                  <w:marTop w:val="0"/>
                  <w:marBottom w:val="0"/>
                  <w:divBdr>
                    <w:top w:val="none" w:sz="0" w:space="0" w:color="auto"/>
                    <w:left w:val="none" w:sz="0" w:space="0" w:color="auto"/>
                    <w:bottom w:val="none" w:sz="0" w:space="0" w:color="auto"/>
                    <w:right w:val="none" w:sz="0" w:space="0" w:color="auto"/>
                  </w:divBdr>
                  <w:divsChild>
                    <w:div w:id="521748238">
                      <w:marLeft w:val="0"/>
                      <w:marRight w:val="0"/>
                      <w:marTop w:val="0"/>
                      <w:marBottom w:val="0"/>
                      <w:divBdr>
                        <w:top w:val="none" w:sz="0" w:space="0" w:color="auto"/>
                        <w:left w:val="none" w:sz="0" w:space="0" w:color="auto"/>
                        <w:bottom w:val="none" w:sz="0" w:space="0" w:color="auto"/>
                        <w:right w:val="none" w:sz="0" w:space="0" w:color="auto"/>
                      </w:divBdr>
                    </w:div>
                  </w:divsChild>
                </w:div>
                <w:div w:id="929586458">
                  <w:marLeft w:val="0"/>
                  <w:marRight w:val="0"/>
                  <w:marTop w:val="0"/>
                  <w:marBottom w:val="0"/>
                  <w:divBdr>
                    <w:top w:val="none" w:sz="0" w:space="0" w:color="auto"/>
                    <w:left w:val="none" w:sz="0" w:space="0" w:color="auto"/>
                    <w:bottom w:val="none" w:sz="0" w:space="0" w:color="auto"/>
                    <w:right w:val="none" w:sz="0" w:space="0" w:color="auto"/>
                  </w:divBdr>
                  <w:divsChild>
                    <w:div w:id="1428455051">
                      <w:marLeft w:val="0"/>
                      <w:marRight w:val="0"/>
                      <w:marTop w:val="0"/>
                      <w:marBottom w:val="0"/>
                      <w:divBdr>
                        <w:top w:val="none" w:sz="0" w:space="0" w:color="auto"/>
                        <w:left w:val="none" w:sz="0" w:space="0" w:color="auto"/>
                        <w:bottom w:val="none" w:sz="0" w:space="0" w:color="auto"/>
                        <w:right w:val="none" w:sz="0" w:space="0" w:color="auto"/>
                      </w:divBdr>
                    </w:div>
                  </w:divsChild>
                </w:div>
                <w:div w:id="118381659">
                  <w:marLeft w:val="0"/>
                  <w:marRight w:val="0"/>
                  <w:marTop w:val="0"/>
                  <w:marBottom w:val="0"/>
                  <w:divBdr>
                    <w:top w:val="none" w:sz="0" w:space="0" w:color="auto"/>
                    <w:left w:val="none" w:sz="0" w:space="0" w:color="auto"/>
                    <w:bottom w:val="none" w:sz="0" w:space="0" w:color="auto"/>
                    <w:right w:val="none" w:sz="0" w:space="0" w:color="auto"/>
                  </w:divBdr>
                  <w:divsChild>
                    <w:div w:id="1199583312">
                      <w:marLeft w:val="0"/>
                      <w:marRight w:val="0"/>
                      <w:marTop w:val="0"/>
                      <w:marBottom w:val="0"/>
                      <w:divBdr>
                        <w:top w:val="none" w:sz="0" w:space="0" w:color="auto"/>
                        <w:left w:val="none" w:sz="0" w:space="0" w:color="auto"/>
                        <w:bottom w:val="none" w:sz="0" w:space="0" w:color="auto"/>
                        <w:right w:val="none" w:sz="0" w:space="0" w:color="auto"/>
                      </w:divBdr>
                    </w:div>
                  </w:divsChild>
                </w:div>
                <w:div w:id="427849766">
                  <w:marLeft w:val="0"/>
                  <w:marRight w:val="0"/>
                  <w:marTop w:val="0"/>
                  <w:marBottom w:val="0"/>
                  <w:divBdr>
                    <w:top w:val="none" w:sz="0" w:space="0" w:color="auto"/>
                    <w:left w:val="none" w:sz="0" w:space="0" w:color="auto"/>
                    <w:bottom w:val="none" w:sz="0" w:space="0" w:color="auto"/>
                    <w:right w:val="none" w:sz="0" w:space="0" w:color="auto"/>
                  </w:divBdr>
                  <w:divsChild>
                    <w:div w:id="975451761">
                      <w:marLeft w:val="0"/>
                      <w:marRight w:val="0"/>
                      <w:marTop w:val="0"/>
                      <w:marBottom w:val="0"/>
                      <w:divBdr>
                        <w:top w:val="none" w:sz="0" w:space="0" w:color="auto"/>
                        <w:left w:val="none" w:sz="0" w:space="0" w:color="auto"/>
                        <w:bottom w:val="none" w:sz="0" w:space="0" w:color="auto"/>
                        <w:right w:val="none" w:sz="0" w:space="0" w:color="auto"/>
                      </w:divBdr>
                    </w:div>
                  </w:divsChild>
                </w:div>
                <w:div w:id="1316687618">
                  <w:marLeft w:val="0"/>
                  <w:marRight w:val="0"/>
                  <w:marTop w:val="0"/>
                  <w:marBottom w:val="0"/>
                  <w:divBdr>
                    <w:top w:val="none" w:sz="0" w:space="0" w:color="auto"/>
                    <w:left w:val="none" w:sz="0" w:space="0" w:color="auto"/>
                    <w:bottom w:val="none" w:sz="0" w:space="0" w:color="auto"/>
                    <w:right w:val="none" w:sz="0" w:space="0" w:color="auto"/>
                  </w:divBdr>
                  <w:divsChild>
                    <w:div w:id="1760709789">
                      <w:marLeft w:val="0"/>
                      <w:marRight w:val="0"/>
                      <w:marTop w:val="0"/>
                      <w:marBottom w:val="0"/>
                      <w:divBdr>
                        <w:top w:val="none" w:sz="0" w:space="0" w:color="auto"/>
                        <w:left w:val="none" w:sz="0" w:space="0" w:color="auto"/>
                        <w:bottom w:val="none" w:sz="0" w:space="0" w:color="auto"/>
                        <w:right w:val="none" w:sz="0" w:space="0" w:color="auto"/>
                      </w:divBdr>
                    </w:div>
                  </w:divsChild>
                </w:div>
                <w:div w:id="91436658">
                  <w:marLeft w:val="0"/>
                  <w:marRight w:val="0"/>
                  <w:marTop w:val="0"/>
                  <w:marBottom w:val="0"/>
                  <w:divBdr>
                    <w:top w:val="none" w:sz="0" w:space="0" w:color="auto"/>
                    <w:left w:val="none" w:sz="0" w:space="0" w:color="auto"/>
                    <w:bottom w:val="none" w:sz="0" w:space="0" w:color="auto"/>
                    <w:right w:val="none" w:sz="0" w:space="0" w:color="auto"/>
                  </w:divBdr>
                  <w:divsChild>
                    <w:div w:id="1271090708">
                      <w:marLeft w:val="0"/>
                      <w:marRight w:val="0"/>
                      <w:marTop w:val="0"/>
                      <w:marBottom w:val="0"/>
                      <w:divBdr>
                        <w:top w:val="none" w:sz="0" w:space="0" w:color="auto"/>
                        <w:left w:val="none" w:sz="0" w:space="0" w:color="auto"/>
                        <w:bottom w:val="none" w:sz="0" w:space="0" w:color="auto"/>
                        <w:right w:val="none" w:sz="0" w:space="0" w:color="auto"/>
                      </w:divBdr>
                    </w:div>
                  </w:divsChild>
                </w:div>
                <w:div w:id="251159376">
                  <w:marLeft w:val="0"/>
                  <w:marRight w:val="0"/>
                  <w:marTop w:val="0"/>
                  <w:marBottom w:val="0"/>
                  <w:divBdr>
                    <w:top w:val="none" w:sz="0" w:space="0" w:color="auto"/>
                    <w:left w:val="none" w:sz="0" w:space="0" w:color="auto"/>
                    <w:bottom w:val="none" w:sz="0" w:space="0" w:color="auto"/>
                    <w:right w:val="none" w:sz="0" w:space="0" w:color="auto"/>
                  </w:divBdr>
                  <w:divsChild>
                    <w:div w:id="1281374192">
                      <w:marLeft w:val="0"/>
                      <w:marRight w:val="0"/>
                      <w:marTop w:val="0"/>
                      <w:marBottom w:val="0"/>
                      <w:divBdr>
                        <w:top w:val="none" w:sz="0" w:space="0" w:color="auto"/>
                        <w:left w:val="none" w:sz="0" w:space="0" w:color="auto"/>
                        <w:bottom w:val="none" w:sz="0" w:space="0" w:color="auto"/>
                        <w:right w:val="none" w:sz="0" w:space="0" w:color="auto"/>
                      </w:divBdr>
                    </w:div>
                  </w:divsChild>
                </w:div>
                <w:div w:id="1298798031">
                  <w:marLeft w:val="0"/>
                  <w:marRight w:val="0"/>
                  <w:marTop w:val="0"/>
                  <w:marBottom w:val="0"/>
                  <w:divBdr>
                    <w:top w:val="none" w:sz="0" w:space="0" w:color="auto"/>
                    <w:left w:val="none" w:sz="0" w:space="0" w:color="auto"/>
                    <w:bottom w:val="none" w:sz="0" w:space="0" w:color="auto"/>
                    <w:right w:val="none" w:sz="0" w:space="0" w:color="auto"/>
                  </w:divBdr>
                  <w:divsChild>
                    <w:div w:id="739056931">
                      <w:marLeft w:val="0"/>
                      <w:marRight w:val="0"/>
                      <w:marTop w:val="0"/>
                      <w:marBottom w:val="0"/>
                      <w:divBdr>
                        <w:top w:val="none" w:sz="0" w:space="0" w:color="auto"/>
                        <w:left w:val="none" w:sz="0" w:space="0" w:color="auto"/>
                        <w:bottom w:val="none" w:sz="0" w:space="0" w:color="auto"/>
                        <w:right w:val="none" w:sz="0" w:space="0" w:color="auto"/>
                      </w:divBdr>
                    </w:div>
                  </w:divsChild>
                </w:div>
                <w:div w:id="1063525951">
                  <w:marLeft w:val="0"/>
                  <w:marRight w:val="0"/>
                  <w:marTop w:val="0"/>
                  <w:marBottom w:val="0"/>
                  <w:divBdr>
                    <w:top w:val="none" w:sz="0" w:space="0" w:color="auto"/>
                    <w:left w:val="none" w:sz="0" w:space="0" w:color="auto"/>
                    <w:bottom w:val="none" w:sz="0" w:space="0" w:color="auto"/>
                    <w:right w:val="none" w:sz="0" w:space="0" w:color="auto"/>
                  </w:divBdr>
                  <w:divsChild>
                    <w:div w:id="1173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59">
          <w:marLeft w:val="0"/>
          <w:marRight w:val="0"/>
          <w:marTop w:val="0"/>
          <w:marBottom w:val="0"/>
          <w:divBdr>
            <w:top w:val="none" w:sz="0" w:space="0" w:color="auto"/>
            <w:left w:val="none" w:sz="0" w:space="0" w:color="auto"/>
            <w:bottom w:val="none" w:sz="0" w:space="0" w:color="auto"/>
            <w:right w:val="none" w:sz="0" w:space="0" w:color="auto"/>
          </w:divBdr>
        </w:div>
        <w:div w:id="1058825861">
          <w:marLeft w:val="0"/>
          <w:marRight w:val="0"/>
          <w:marTop w:val="0"/>
          <w:marBottom w:val="0"/>
          <w:divBdr>
            <w:top w:val="none" w:sz="0" w:space="0" w:color="auto"/>
            <w:left w:val="none" w:sz="0" w:space="0" w:color="auto"/>
            <w:bottom w:val="none" w:sz="0" w:space="0" w:color="auto"/>
            <w:right w:val="none" w:sz="0" w:space="0" w:color="auto"/>
          </w:divBdr>
        </w:div>
        <w:div w:id="485049849">
          <w:marLeft w:val="0"/>
          <w:marRight w:val="0"/>
          <w:marTop w:val="0"/>
          <w:marBottom w:val="0"/>
          <w:divBdr>
            <w:top w:val="none" w:sz="0" w:space="0" w:color="auto"/>
            <w:left w:val="none" w:sz="0" w:space="0" w:color="auto"/>
            <w:bottom w:val="none" w:sz="0" w:space="0" w:color="auto"/>
            <w:right w:val="none" w:sz="0" w:space="0" w:color="auto"/>
          </w:divBdr>
        </w:div>
        <w:div w:id="1856000505">
          <w:marLeft w:val="0"/>
          <w:marRight w:val="0"/>
          <w:marTop w:val="0"/>
          <w:marBottom w:val="0"/>
          <w:divBdr>
            <w:top w:val="none" w:sz="0" w:space="0" w:color="auto"/>
            <w:left w:val="none" w:sz="0" w:space="0" w:color="auto"/>
            <w:bottom w:val="none" w:sz="0" w:space="0" w:color="auto"/>
            <w:right w:val="none" w:sz="0" w:space="0" w:color="auto"/>
          </w:divBdr>
        </w:div>
        <w:div w:id="1800152014">
          <w:marLeft w:val="0"/>
          <w:marRight w:val="0"/>
          <w:marTop w:val="0"/>
          <w:marBottom w:val="0"/>
          <w:divBdr>
            <w:top w:val="none" w:sz="0" w:space="0" w:color="auto"/>
            <w:left w:val="none" w:sz="0" w:space="0" w:color="auto"/>
            <w:bottom w:val="none" w:sz="0" w:space="0" w:color="auto"/>
            <w:right w:val="none" w:sz="0" w:space="0" w:color="auto"/>
          </w:divBdr>
        </w:div>
      </w:divsChild>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6517156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651344">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oter" Target="footer4.xml"/><Relationship Id="rId21" Type="http://schemas.openxmlformats.org/officeDocument/2006/relationships/chart" Target="charts/chart5.xml"/><Relationship Id="rId34" Type="http://schemas.openxmlformats.org/officeDocument/2006/relationships/chart" Target="charts/chart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cri/analyza-ctvrtletnich-sektorovych-uctu-3-ctvrtleti-2023" TargetMode="External"/><Relationship Id="rId2" Type="http://schemas.openxmlformats.org/officeDocument/2006/relationships/hyperlink" Target="https://www.czso.cz/csu/czso/methodological-note-to-consumer-price-index-imputed-rentals" TargetMode="External"/><Relationship Id="rId1" Type="http://schemas.openxmlformats.org/officeDocument/2006/relationships/hyperlink" Target="https://www.czso.cz/csu/czso/update-of-the-compilation-method-international-trade-in-goods-change-of-ownersh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eng/Makroanal&#253;za%20grafy_en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eng/Makroanal&#253;za%20grafy_e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eng/Makroanal&#253;za%20grafy_e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eng/Makroanal&#253;za%20grafy_eng.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https://czsocz-my.sharepoint.com/personal/karolina_zabojnikova_czso_cz/Documents/Dokumenty/Anal&#253;za/Q/2023Q4/eng/Makroanal&#253;za%20grafy_eng.xlsx" TargetMode="External"/><Relationship Id="rId2" Type="http://schemas.microsoft.com/office/2011/relationships/chartColorStyle" Target="colors2.xml"/><Relationship Id="rId1" Type="http://schemas.microsoft.com/office/2011/relationships/chartStyle" Target="style2.xml"/></Relationships>
</file>

<file path=word/charts/_rels/chart14.xml.rels><?xml version="1.0" encoding="UTF-8" standalone="yes"?>
<Relationships xmlns="http://schemas.openxmlformats.org/package/2006/relationships"><Relationship Id="rId1" Type="http://schemas.openxmlformats.org/officeDocument/2006/relationships/oleObject" Target="file:///E:\QMakro-2023\ENGL-celorok\ENGL-Trh%20pr&#225;ce%20celorok-rok-202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QMakro-2023\ENGL-celorok\ENGL-Trh%20pr&#225;ce%20celorok-rok-202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QMakro-2023\ENGL-celorok\ENGL-Trh%20pr&#225;ce%20celorok-rok-202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eng/Makroanal&#253;za%20grafy_eng.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QMakro-2023\ENGL-celorok\ENGL_St&#225;tn&#237;%20rozpo&#269;et-4q-202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QMakro-2023\ENGL-celorok\ENGL_St&#225;tn&#237;%20rozpo&#269;et-4q-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eng/Makroanal&#253;za%20grafy_e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celorok\ENGL_Odv&#283;tv&#237;_grafy_rok_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QMakro-2023\ENGL-celorok\ENGL_Odv&#283;tv&#237;_grafy_rok_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QMakro-2023\ENGL-celorok\ENGL_Odv&#283;tv&#237;_grafy_rok_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QMakro-2023\ENGL-celorok\ENGL_Odv&#283;tv&#237;_grafy_rok_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QMakro-2023\ENGL-celorok\ENGL_Odv&#283;tv&#237;_grafy_rok_2023.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https://czsocz-my.sharepoint.com/personal/karolina_zabojnikova_czso_cz/Documents/Dokumenty/Anal&#253;za/Q/2023Q4/eng/Makroanal&#253;za%20grafy_e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418E-2"/>
          <c:y val="2.3046636085626952E-2"/>
          <c:w val="0.93617042384329663"/>
          <c:h val="0.74192840256670856"/>
        </c:manualLayout>
      </c:layout>
      <c:barChart>
        <c:barDir val="col"/>
        <c:grouping val="clustered"/>
        <c:varyColors val="0"/>
        <c:ser>
          <c:idx val="0"/>
          <c:order val="0"/>
          <c:tx>
            <c:strRef>
              <c:f>'souhrnná výkonnost 1'!$C$4</c:f>
              <c:strCache>
                <c:ptCount val="1"/>
                <c:pt idx="0">
                  <c:v>CR year-on-year change</c:v>
                </c:pt>
              </c:strCache>
            </c:strRef>
          </c:tx>
          <c:spPr>
            <a:solidFill>
              <a:schemeClr val="bg1">
                <a:lumMod val="65000"/>
              </a:schemeClr>
            </a:solidFill>
            <a:ln>
              <a:noFill/>
            </a:ln>
          </c:spPr>
          <c:invertIfNegative val="0"/>
          <c:cat>
            <c:multiLvlStrRef>
              <c:f>'souhrnná výkonnost 1'!$A$5:$B$28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1'!$C$5:$C$28</c:f>
              <c:numCache>
                <c:formatCode>0.0</c:formatCode>
                <c:ptCount val="24"/>
                <c:pt idx="0">
                  <c:v>4.7409690869492067</c:v>
                </c:pt>
                <c:pt idx="1">
                  <c:v>2.8084745992628513</c:v>
                </c:pt>
                <c:pt idx="2">
                  <c:v>2.6946757492296172</c:v>
                </c:pt>
                <c:pt idx="3">
                  <c:v>2.6327282626460686</c:v>
                </c:pt>
                <c:pt idx="4">
                  <c:v>2.9925598229108203</c:v>
                </c:pt>
                <c:pt idx="5">
                  <c:v>3.0577797411869341</c:v>
                </c:pt>
                <c:pt idx="6">
                  <c:v>3.022282133028483</c:v>
                </c:pt>
                <c:pt idx="7">
                  <c:v>2.7919398416799623</c:v>
                </c:pt>
                <c:pt idx="8">
                  <c:v>-1.4737630559722419</c:v>
                </c:pt>
                <c:pt idx="9">
                  <c:v>-10.802828827516109</c:v>
                </c:pt>
                <c:pt idx="10">
                  <c:v>-5.2166971565464166</c:v>
                </c:pt>
                <c:pt idx="11">
                  <c:v>-4.5664791785978451</c:v>
                </c:pt>
                <c:pt idx="12">
                  <c:v>-1.9186413648622107</c:v>
                </c:pt>
                <c:pt idx="13">
                  <c:v>9.1792884100474765</c:v>
                </c:pt>
                <c:pt idx="14">
                  <c:v>3.8208995035486311</c:v>
                </c:pt>
                <c:pt idx="15">
                  <c:v>3.4133294018282072</c:v>
                </c:pt>
                <c:pt idx="16">
                  <c:v>4.6716662414814749</c:v>
                </c:pt>
                <c:pt idx="17">
                  <c:v>3.3523436073729584</c:v>
                </c:pt>
                <c:pt idx="18">
                  <c:v>1.3389936645339446</c:v>
                </c:pt>
                <c:pt idx="19">
                  <c:v>0.14557645670561215</c:v>
                </c:pt>
                <c:pt idx="20">
                  <c:v>-0.31742254829522665</c:v>
                </c:pt>
                <c:pt idx="21">
                  <c:v>-0.23214678944495404</c:v>
                </c:pt>
                <c:pt idx="22" formatCode="General">
                  <c:v>-0.80311139413963417</c:v>
                </c:pt>
                <c:pt idx="23" formatCode="General">
                  <c:v>-0.21139694650983643</c:v>
                </c:pt>
              </c:numCache>
            </c:numRef>
          </c:val>
          <c:extLst>
            <c:ext xmlns:c16="http://schemas.microsoft.com/office/drawing/2014/chart" uri="{C3380CC4-5D6E-409C-BE32-E72D297353CC}">
              <c16:uniqueId val="{00000000-B0F6-46E8-8C66-A5E5CAFB58F3}"/>
            </c:ext>
          </c:extLst>
        </c:ser>
        <c:ser>
          <c:idx val="1"/>
          <c:order val="1"/>
          <c:tx>
            <c:strRef>
              <c:f>'souhrnná výkonnost 1'!$D$4</c:f>
              <c:strCache>
                <c:ptCount val="1"/>
                <c:pt idx="0">
                  <c:v>EU28 year-on-year change</c:v>
                </c:pt>
              </c:strCache>
            </c:strRef>
          </c:tx>
          <c:spPr>
            <a:solidFill>
              <a:schemeClr val="bg1">
                <a:lumMod val="50000"/>
              </a:schemeClr>
            </a:solidFill>
            <a:ln>
              <a:noFill/>
            </a:ln>
          </c:spPr>
          <c:invertIfNegative val="0"/>
          <c:cat>
            <c:multiLvlStrRef>
              <c:f>'souhrnná výkonnost 1'!$A$5:$B$28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1'!$D$5:$D$28</c:f>
              <c:numCache>
                <c:formatCode>#\ ##0.##########</c:formatCode>
                <c:ptCount val="24"/>
                <c:pt idx="0">
                  <c:v>2.6</c:v>
                </c:pt>
                <c:pt idx="1">
                  <c:v>2.4</c:v>
                </c:pt>
                <c:pt idx="2">
                  <c:v>1.7</c:v>
                </c:pt>
                <c:pt idx="3">
                  <c:v>1.6</c:v>
                </c:pt>
                <c:pt idx="4">
                  <c:v>2.1</c:v>
                </c:pt>
                <c:pt idx="5">
                  <c:v>1.9</c:v>
                </c:pt>
                <c:pt idx="6" formatCode="#\ ##0.0">
                  <c:v>2</c:v>
                </c:pt>
                <c:pt idx="7">
                  <c:v>1.4</c:v>
                </c:pt>
                <c:pt idx="8">
                  <c:v>-2.2999999999999998</c:v>
                </c:pt>
                <c:pt idx="9">
                  <c:v>-13.3</c:v>
                </c:pt>
                <c:pt idx="10">
                  <c:v>-3.8</c:v>
                </c:pt>
                <c:pt idx="11">
                  <c:v>-3.7</c:v>
                </c:pt>
                <c:pt idx="12">
                  <c:v>-0.1</c:v>
                </c:pt>
                <c:pt idx="13">
                  <c:v>14.4</c:v>
                </c:pt>
                <c:pt idx="14">
                  <c:v>4.9000000000000004</c:v>
                </c:pt>
                <c:pt idx="15">
                  <c:v>5.5</c:v>
                </c:pt>
                <c:pt idx="16">
                  <c:v>5.6</c:v>
                </c:pt>
                <c:pt idx="17">
                  <c:v>4.2</c:v>
                </c:pt>
                <c:pt idx="18">
                  <c:v>2.6</c:v>
                </c:pt>
                <c:pt idx="19">
                  <c:v>1.7</c:v>
                </c:pt>
                <c:pt idx="20">
                  <c:v>1.2</c:v>
                </c:pt>
                <c:pt idx="21">
                  <c:v>0.6</c:v>
                </c:pt>
                <c:pt idx="22">
                  <c:v>0.1</c:v>
                </c:pt>
                <c:pt idx="23" formatCode="General">
                  <c:v>0.2</c:v>
                </c:pt>
              </c:numCache>
            </c:numRef>
          </c:val>
          <c:extLst>
            <c:ext xmlns:c16="http://schemas.microsoft.com/office/drawing/2014/chart" uri="{C3380CC4-5D6E-409C-BE32-E72D297353CC}">
              <c16:uniqueId val="{00000001-B0F6-46E8-8C66-A5E5CAFB58F3}"/>
            </c:ext>
          </c:extLst>
        </c:ser>
        <c:dLbls>
          <c:showLegendKey val="0"/>
          <c:showVal val="0"/>
          <c:showCatName val="0"/>
          <c:showSerName val="0"/>
          <c:showPercent val="0"/>
          <c:showBubbleSize val="0"/>
        </c:dLbls>
        <c:gapWidth val="100"/>
        <c:axId val="115054080"/>
        <c:axId val="115056000"/>
      </c:barChart>
      <c:lineChart>
        <c:grouping val="standard"/>
        <c:varyColors val="0"/>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'souhrnná výkonnost 1'!$A$5:$B$28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1'!$E$5:$E$28</c:f>
              <c:numCache>
                <c:formatCode>0.0</c:formatCode>
                <c:ptCount val="24"/>
                <c:pt idx="0">
                  <c:v>0.51859772519729574</c:v>
                </c:pt>
                <c:pt idx="1">
                  <c:v>0.5912374750303826</c:v>
                </c:pt>
                <c:pt idx="2">
                  <c:v>0.73257343037091971</c:v>
                </c:pt>
                <c:pt idx="3">
                  <c:v>0.76492186562109055</c:v>
                </c:pt>
                <c:pt idx="4">
                  <c:v>0.87101711877043897</c:v>
                </c:pt>
                <c:pt idx="5">
                  <c:v>0.65493675873298685</c:v>
                </c:pt>
                <c:pt idx="6">
                  <c:v>0.69787672499455766</c:v>
                </c:pt>
                <c:pt idx="7">
                  <c:v>0.53962669151388809</c:v>
                </c:pt>
                <c:pt idx="8">
                  <c:v>-3.3149705245738517</c:v>
                </c:pt>
                <c:pt idx="9">
                  <c:v>-8.8756873103285301</c:v>
                </c:pt>
                <c:pt idx="10">
                  <c:v>7.0042605595799046</c:v>
                </c:pt>
                <c:pt idx="11">
                  <c:v>1.2293333255930037</c:v>
                </c:pt>
                <c:pt idx="12">
                  <c:v>-0.63240914714887708</c:v>
                </c:pt>
                <c:pt idx="13">
                  <c:v>1.4350510102822795</c:v>
                </c:pt>
                <c:pt idx="14">
                  <c:v>1.7526194188431674</c:v>
                </c:pt>
                <c:pt idx="15">
                  <c:v>0.83193694511574279</c:v>
                </c:pt>
                <c:pt idx="16">
                  <c:v>0.57669901096760157</c:v>
                </c:pt>
                <c:pt idx="17">
                  <c:v>0.15652394087383925</c:v>
                </c:pt>
                <c:pt idx="18">
                  <c:v>-0.2295671803200463</c:v>
                </c:pt>
                <c:pt idx="19">
                  <c:v>-0.35550891651683969</c:v>
                </c:pt>
                <c:pt idx="20">
                  <c:v>0.11170681444774289</c:v>
                </c:pt>
                <c:pt idx="21">
                  <c:v>0.24220514817412209</c:v>
                </c:pt>
                <c:pt idx="22" formatCode="General">
                  <c:v>-0.80054654794142266</c:v>
                </c:pt>
                <c:pt idx="23" formatCode="General">
                  <c:v>0.23887550248531397</c:v>
                </c:pt>
              </c:numCache>
            </c:numRef>
          </c:val>
          <c:smooth val="0"/>
          <c:extLst>
            <c:ext xmlns:c16="http://schemas.microsoft.com/office/drawing/2014/chart" uri="{C3380CC4-5D6E-409C-BE32-E72D297353CC}">
              <c16:uniqueId val="{00000002-B0F6-46E8-8C66-A5E5CAFB58F3}"/>
            </c:ext>
          </c:extLst>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'souhrnná výkonnost 1'!$A$5:$B$28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1'!$F$5:$F$28</c:f>
              <c:numCache>
                <c:formatCode>#\ ##0.##########</c:formatCode>
                <c:ptCount val="24"/>
                <c:pt idx="0">
                  <c:v>0.1</c:v>
                </c:pt>
                <c:pt idx="1">
                  <c:v>0.6</c:v>
                </c:pt>
                <c:pt idx="2">
                  <c:v>0.1</c:v>
                </c:pt>
                <c:pt idx="3">
                  <c:v>0.7</c:v>
                </c:pt>
                <c:pt idx="4">
                  <c:v>0.6</c:v>
                </c:pt>
                <c:pt idx="5">
                  <c:v>0.4</c:v>
                </c:pt>
                <c:pt idx="6">
                  <c:v>0.2</c:v>
                </c:pt>
                <c:pt idx="7">
                  <c:v>0.1</c:v>
                </c:pt>
                <c:pt idx="8" formatCode="#\ ##0.0">
                  <c:v>-3</c:v>
                </c:pt>
                <c:pt idx="9">
                  <c:v>-10.9</c:v>
                </c:pt>
                <c:pt idx="10">
                  <c:v>11.3</c:v>
                </c:pt>
                <c:pt idx="11">
                  <c:v>0.1</c:v>
                </c:pt>
                <c:pt idx="12">
                  <c:v>0.5</c:v>
                </c:pt>
                <c:pt idx="13">
                  <c:v>2.1</c:v>
                </c:pt>
                <c:pt idx="14" formatCode="#\ ##0.0">
                  <c:v>2</c:v>
                </c:pt>
                <c:pt idx="15">
                  <c:v>0.7</c:v>
                </c:pt>
                <c:pt idx="16">
                  <c:v>0.7</c:v>
                </c:pt>
                <c:pt idx="17">
                  <c:v>0.7</c:v>
                </c:pt>
                <c:pt idx="18">
                  <c:v>0.4</c:v>
                </c:pt>
                <c:pt idx="19">
                  <c:v>-0.1</c:v>
                </c:pt>
                <c:pt idx="20">
                  <c:v>0.1</c:v>
                </c:pt>
                <c:pt idx="21" formatCode="#\ ##0.0">
                  <c:v>0.1</c:v>
                </c:pt>
                <c:pt idx="22" formatCode="#\ ##0.0">
                  <c:v>0</c:v>
                </c:pt>
                <c:pt idx="23" formatCode="General">
                  <c:v>0</c:v>
                </c:pt>
              </c:numCache>
            </c:numRef>
          </c:val>
          <c:smooth val="0"/>
          <c:extLst>
            <c:ext xmlns:c16="http://schemas.microsoft.com/office/drawing/2014/chart" uri="{C3380CC4-5D6E-409C-BE32-E72D297353CC}">
              <c16:uniqueId val="{00000003-B0F6-46E8-8C66-A5E5CAFB58F3}"/>
            </c:ext>
          </c:extLst>
        </c:ser>
        <c:dLbls>
          <c:showLegendKey val="0"/>
          <c:showVal val="0"/>
          <c:showCatName val="0"/>
          <c:showSerName val="0"/>
          <c:showPercent val="0"/>
          <c:showBubbleSize val="0"/>
        </c:dLbls>
        <c:marker val="1"/>
        <c:smooth val="0"/>
        <c:axId val="115054080"/>
        <c:axId val="115056000"/>
      </c:lineChart>
      <c:catAx>
        <c:axId val="11505408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5056000"/>
        <c:crosses val="autoZero"/>
        <c:auto val="1"/>
        <c:lblAlgn val="ctr"/>
        <c:lblOffset val="100"/>
        <c:noMultiLvlLbl val="0"/>
      </c:catAx>
      <c:valAx>
        <c:axId val="115056000"/>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054080"/>
        <c:crosses val="autoZero"/>
        <c:crossBetween val="between"/>
        <c:majorUnit val="3"/>
      </c:valAx>
      <c:spPr>
        <a:ln>
          <a:solidFill>
            <a:schemeClr val="tx1"/>
          </a:solidFill>
        </a:ln>
      </c:spPr>
    </c:plotArea>
    <c:legend>
      <c:legendPos val="b"/>
      <c:layout>
        <c:manualLayout>
          <c:xMode val="edge"/>
          <c:yMode val="edge"/>
          <c:x val="5.0375530939407026E-2"/>
          <c:y val="0.89437255125717996"/>
          <c:w val="0.92644083516900477"/>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334"/>
          <c:h val="0.62842367443431268"/>
        </c:manualLayout>
      </c:layout>
      <c:barChart>
        <c:barDir val="col"/>
        <c:grouping val="clustered"/>
        <c:varyColors val="0"/>
        <c:ser>
          <c:idx val="1"/>
          <c:order val="0"/>
          <c:tx>
            <c:strRef>
              <c:f>'Vnější vztahy 2'!$A$7</c:f>
              <c:strCache>
                <c:ptCount val="1"/>
                <c:pt idx="0">
                  <c:v>2022</c:v>
                </c:pt>
              </c:strCache>
            </c:strRef>
          </c:tx>
          <c:spPr>
            <a:solidFill>
              <a:schemeClr val="bg1">
                <a:lumMod val="65000"/>
              </a:schemeClr>
            </a:solidFill>
          </c:spPr>
          <c:invertIfNegative val="0"/>
          <c:cat>
            <c:strRef>
              <c:f>'Vnější vztahy 2'!$B$5:$O$5</c:f>
              <c:strCache>
                <c:ptCount val="14"/>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Machines                                        and appl. n.e.c.</c:v>
                </c:pt>
                <c:pt idx="11">
                  <c:v>Motor vehicles</c:v>
                </c:pt>
                <c:pt idx="12">
                  <c:v>Electricity, gas, steam                                                                                                            and air-conditioning</c:v>
                </c:pt>
                <c:pt idx="13">
                  <c:v>Services ass.                                                                                                with waste</c:v>
                </c:pt>
              </c:strCache>
            </c:strRef>
          </c:cat>
          <c:val>
            <c:numRef>
              <c:f>'Vnější vztahy 2'!$B$7:$O$7</c:f>
              <c:numCache>
                <c:formatCode>General</c:formatCode>
                <c:ptCount val="14"/>
                <c:pt idx="0">
                  <c:v>-330.88918875500002</c:v>
                </c:pt>
                <c:pt idx="1">
                  <c:v>-60.595386674000004</c:v>
                </c:pt>
                <c:pt idx="2">
                  <c:v>-46.208999618</c:v>
                </c:pt>
                <c:pt idx="3">
                  <c:v>-49.338081062000008</c:v>
                </c:pt>
                <c:pt idx="4">
                  <c:v>-157.77508681399999</c:v>
                </c:pt>
                <c:pt idx="5">
                  <c:v>-71.862649914000002</c:v>
                </c:pt>
                <c:pt idx="6">
                  <c:v>30.512399356000003</c:v>
                </c:pt>
                <c:pt idx="7">
                  <c:v>-184.71658844799998</c:v>
                </c:pt>
                <c:pt idx="8">
                  <c:v>75.834135231999994</c:v>
                </c:pt>
                <c:pt idx="9">
                  <c:v>-76.470979963999994</c:v>
                </c:pt>
                <c:pt idx="10">
                  <c:v>94.465779221999995</c:v>
                </c:pt>
                <c:pt idx="11">
                  <c:v>460.52346796100005</c:v>
                </c:pt>
                <c:pt idx="12">
                  <c:v>82.566028493000005</c:v>
                </c:pt>
                <c:pt idx="13">
                  <c:v>29.829011276999999</c:v>
                </c:pt>
              </c:numCache>
            </c:numRef>
          </c:val>
          <c:extLst>
            <c:ext xmlns:c16="http://schemas.microsoft.com/office/drawing/2014/chart" uri="{C3380CC4-5D6E-409C-BE32-E72D297353CC}">
              <c16:uniqueId val="{00000000-0CC4-47E6-A7AD-795C8ADA042C}"/>
            </c:ext>
          </c:extLst>
        </c:ser>
        <c:ser>
          <c:idx val="2"/>
          <c:order val="1"/>
          <c:tx>
            <c:strRef>
              <c:f>'Vnější vztahy 2'!$A$8</c:f>
              <c:strCache>
                <c:ptCount val="1"/>
                <c:pt idx="0">
                  <c:v>2023</c:v>
                </c:pt>
              </c:strCache>
            </c:strRef>
          </c:tx>
          <c:spPr>
            <a:solidFill>
              <a:srgbClr val="BD1B21"/>
            </a:solidFill>
            <a:ln>
              <a:noFill/>
            </a:ln>
          </c:spPr>
          <c:invertIfNegative val="0"/>
          <c:cat>
            <c:strRef>
              <c:f>'Vnější vztahy 2'!$B$5:$O$5</c:f>
              <c:strCache>
                <c:ptCount val="14"/>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Machines                                        and appl. n.e.c.</c:v>
                </c:pt>
                <c:pt idx="11">
                  <c:v>Motor vehicles</c:v>
                </c:pt>
                <c:pt idx="12">
                  <c:v>Electricity, gas, steam                                                                                                            and air-conditioning</c:v>
                </c:pt>
                <c:pt idx="13">
                  <c:v>Services ass.                                                                                                with waste</c:v>
                </c:pt>
              </c:strCache>
            </c:strRef>
          </c:cat>
          <c:val>
            <c:numRef>
              <c:f>'Vnější vztahy 2'!$B$8:$O$8</c:f>
              <c:numCache>
                <c:formatCode>General</c:formatCode>
                <c:ptCount val="14"/>
                <c:pt idx="0">
                  <c:v>-182.69587203700002</c:v>
                </c:pt>
                <c:pt idx="1">
                  <c:v>-53.466054400000004</c:v>
                </c:pt>
                <c:pt idx="2">
                  <c:v>-38.682484753000004</c:v>
                </c:pt>
                <c:pt idx="3">
                  <c:v>-39.517012753000003</c:v>
                </c:pt>
                <c:pt idx="4">
                  <c:v>-138.98413868200001</c:v>
                </c:pt>
                <c:pt idx="5">
                  <c:v>-63.228412164999995</c:v>
                </c:pt>
                <c:pt idx="6">
                  <c:v>29.227502944000001</c:v>
                </c:pt>
                <c:pt idx="7">
                  <c:v>-158.34045648899999</c:v>
                </c:pt>
                <c:pt idx="8">
                  <c:v>71.845255144999996</c:v>
                </c:pt>
                <c:pt idx="9">
                  <c:v>-79.761334891000004</c:v>
                </c:pt>
                <c:pt idx="10">
                  <c:v>119.12331264299998</c:v>
                </c:pt>
                <c:pt idx="11">
                  <c:v>573.14303008100001</c:v>
                </c:pt>
                <c:pt idx="12">
                  <c:v>30.638105398</c:v>
                </c:pt>
                <c:pt idx="13">
                  <c:v>25.606370879</c:v>
                </c:pt>
              </c:numCache>
            </c:numRef>
          </c:val>
          <c:extLst>
            <c:ext xmlns:c16="http://schemas.microsoft.com/office/drawing/2014/chart" uri="{C3380CC4-5D6E-409C-BE32-E72D297353CC}">
              <c16:uniqueId val="{00000001-0CC4-47E6-A7AD-795C8ADA042C}"/>
            </c:ext>
          </c:extLst>
        </c:ser>
        <c:dLbls>
          <c:showLegendKey val="0"/>
          <c:showVal val="0"/>
          <c:showCatName val="0"/>
          <c:showSerName val="0"/>
          <c:showPercent val="0"/>
          <c:showBubbleSize val="0"/>
        </c:dLbls>
        <c:gapWidth val="97"/>
        <c:axId val="130226048"/>
        <c:axId val="130227584"/>
      </c:barChart>
      <c:catAx>
        <c:axId val="13022604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30227584"/>
        <c:crosses val="autoZero"/>
        <c:auto val="1"/>
        <c:lblAlgn val="ctr"/>
        <c:lblOffset val="100"/>
        <c:noMultiLvlLbl val="0"/>
      </c:catAx>
      <c:valAx>
        <c:axId val="130227584"/>
        <c:scaling>
          <c:orientation val="minMax"/>
          <c:max val="60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30226048"/>
        <c:crosses val="autoZero"/>
        <c:crossBetween val="between"/>
      </c:valAx>
      <c:spPr>
        <a:ln>
          <a:solidFill>
            <a:schemeClr val="tx1"/>
          </a:solidFill>
        </a:ln>
      </c:spPr>
    </c:plotArea>
    <c:legend>
      <c:legendPos val="b"/>
      <c:layout>
        <c:manualLayout>
          <c:xMode val="edge"/>
          <c:yMode val="edge"/>
          <c:x val="9.1143194866599123E-2"/>
          <c:y val="8.2577176038395428E-2"/>
          <c:w val="0.22793671901384668"/>
          <c:h val="6.7923505362327427E-2"/>
        </c:manualLayout>
      </c:layout>
      <c:overlay val="1"/>
      <c:spPr>
        <a:ln w="6350">
          <a:no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49577845322527E-2"/>
          <c:y val="2.1811335019919161E-2"/>
          <c:w val="0.92237743255066085"/>
          <c:h val="0.73318107621299466"/>
        </c:manualLayout>
      </c:layout>
      <c:barChart>
        <c:barDir val="col"/>
        <c:grouping val="clustered"/>
        <c:varyColors val="0"/>
        <c:ser>
          <c:idx val="0"/>
          <c:order val="0"/>
          <c:tx>
            <c:strRef>
              <c:f>'Ceny 2'!$C$5</c:f>
              <c:strCache>
                <c:ptCount val="1"/>
                <c:pt idx="0">
                  <c:v>Total</c:v>
                </c:pt>
              </c:strCache>
            </c:strRef>
          </c:tx>
          <c:spPr>
            <a:solidFill>
              <a:schemeClr val="bg1">
                <a:lumMod val="65000"/>
              </a:schemeClr>
            </a:solidFill>
            <a:ln w="19050">
              <a:noFill/>
            </a:ln>
          </c:spPr>
          <c:invertIfNegative val="0"/>
          <c:cat>
            <c:multiLvlStrRef>
              <c:f>'Ceny 2'!$A$6:$B$29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2'!$C$6:$C$29</c:f>
              <c:numCache>
                <c:formatCode>0.0</c:formatCode>
                <c:ptCount val="24"/>
                <c:pt idx="0">
                  <c:v>1.9</c:v>
                </c:pt>
                <c:pt idx="1">
                  <c:v>2.2999999999999998</c:v>
                </c:pt>
                <c:pt idx="2">
                  <c:v>2.4</c:v>
                </c:pt>
                <c:pt idx="3">
                  <c:v>2.1</c:v>
                </c:pt>
                <c:pt idx="4">
                  <c:v>2.7</c:v>
                </c:pt>
                <c:pt idx="5">
                  <c:v>2.8</c:v>
                </c:pt>
                <c:pt idx="6">
                  <c:v>2.8</c:v>
                </c:pt>
                <c:pt idx="7">
                  <c:v>3</c:v>
                </c:pt>
                <c:pt idx="8">
                  <c:v>3.6</c:v>
                </c:pt>
                <c:pt idx="9">
                  <c:v>3.1</c:v>
                </c:pt>
                <c:pt idx="10">
                  <c:v>3.3</c:v>
                </c:pt>
                <c:pt idx="11">
                  <c:v>2.6</c:v>
                </c:pt>
                <c:pt idx="12">
                  <c:v>2.2000000000000002</c:v>
                </c:pt>
                <c:pt idx="13">
                  <c:v>2.9</c:v>
                </c:pt>
                <c:pt idx="14">
                  <c:v>4.0999999999999996</c:v>
                </c:pt>
                <c:pt idx="15">
                  <c:v>6.1</c:v>
                </c:pt>
                <c:pt idx="16">
                  <c:v>11.2</c:v>
                </c:pt>
                <c:pt idx="17">
                  <c:v>15.8</c:v>
                </c:pt>
                <c:pt idx="18">
                  <c:v>17.600000000000001</c:v>
                </c:pt>
                <c:pt idx="19">
                  <c:v>15.7</c:v>
                </c:pt>
                <c:pt idx="20">
                  <c:v>16.399999999999999</c:v>
                </c:pt>
                <c:pt idx="21">
                  <c:v>11.1</c:v>
                </c:pt>
                <c:pt idx="22">
                  <c:v>8</c:v>
                </c:pt>
                <c:pt idx="23">
                  <c:v>7.6</c:v>
                </c:pt>
              </c:numCache>
            </c:numRef>
          </c:val>
          <c:extLst>
            <c:ext xmlns:c16="http://schemas.microsoft.com/office/drawing/2014/chart" uri="{C3380CC4-5D6E-409C-BE32-E72D297353CC}">
              <c16:uniqueId val="{00000000-E269-408C-AD6E-FA2000AC9DBF}"/>
            </c:ext>
          </c:extLst>
        </c:ser>
        <c:dLbls>
          <c:showLegendKey val="0"/>
          <c:showVal val="0"/>
          <c:showCatName val="0"/>
          <c:showSerName val="0"/>
          <c:showPercent val="0"/>
          <c:showBubbleSize val="0"/>
        </c:dLbls>
        <c:gapWidth val="95"/>
        <c:axId val="130513536"/>
        <c:axId val="130531712"/>
      </c:barChart>
      <c:lineChart>
        <c:grouping val="standard"/>
        <c:varyColors val="0"/>
        <c:ser>
          <c:idx val="1"/>
          <c:order val="1"/>
          <c:tx>
            <c:strRef>
              <c:f>'Ceny 2'!$D$5</c:f>
              <c:strCache>
                <c:ptCount val="1"/>
                <c:pt idx="0">
                  <c:v>Food</c:v>
                </c:pt>
              </c:strCache>
            </c:strRef>
          </c:tx>
          <c:spPr>
            <a:ln w="19050">
              <a:solidFill>
                <a:srgbClr val="0071BC"/>
              </a:solidFill>
            </a:ln>
          </c:spPr>
          <c:marker>
            <c:symbol val="none"/>
          </c:marker>
          <c:cat>
            <c:multiLvlStrRef>
              <c:f>'Ceny 2'!$A$6:$B$29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2'!$D$6:$D$29</c:f>
              <c:numCache>
                <c:formatCode>#\ ##0.0_ ;\-#\ ##0.0\ </c:formatCode>
                <c:ptCount val="24"/>
                <c:pt idx="0" formatCode="0.0">
                  <c:v>2.9</c:v>
                </c:pt>
                <c:pt idx="1">
                  <c:v>2.2999999999999998</c:v>
                </c:pt>
                <c:pt idx="2" formatCode="0.0">
                  <c:v>0.6</c:v>
                </c:pt>
                <c:pt idx="3" formatCode="0.0">
                  <c:v>-0.5</c:v>
                </c:pt>
                <c:pt idx="4" formatCode="0.0">
                  <c:v>1</c:v>
                </c:pt>
                <c:pt idx="5" formatCode="0.0">
                  <c:v>2.5</c:v>
                </c:pt>
                <c:pt idx="6" formatCode="0.0">
                  <c:v>3.5</c:v>
                </c:pt>
                <c:pt idx="7" formatCode="0.0">
                  <c:v>4.3</c:v>
                </c:pt>
                <c:pt idx="8" formatCode="0.0">
                  <c:v>6.1</c:v>
                </c:pt>
                <c:pt idx="9" formatCode="0.0">
                  <c:v>6.5</c:v>
                </c:pt>
                <c:pt idx="10" formatCode="0.0">
                  <c:v>4</c:v>
                </c:pt>
                <c:pt idx="11" formatCode="0.0">
                  <c:v>1.7</c:v>
                </c:pt>
                <c:pt idx="12" formatCode="0.0">
                  <c:v>0.3</c:v>
                </c:pt>
                <c:pt idx="13" formatCode="0.0">
                  <c:v>-0.8</c:v>
                </c:pt>
                <c:pt idx="14" formatCode="0.0">
                  <c:v>1.4</c:v>
                </c:pt>
                <c:pt idx="15" formatCode="0.0">
                  <c:v>2.2999999999999998</c:v>
                </c:pt>
                <c:pt idx="16" formatCode="0.0">
                  <c:v>6.7</c:v>
                </c:pt>
                <c:pt idx="17" formatCode="0.0">
                  <c:v>14.6</c:v>
                </c:pt>
                <c:pt idx="18" formatCode="0.0">
                  <c:v>20</c:v>
                </c:pt>
                <c:pt idx="19" formatCode="0.0">
                  <c:v>25.5</c:v>
                </c:pt>
                <c:pt idx="20" formatCode="0.0">
                  <c:v>24.1</c:v>
                </c:pt>
                <c:pt idx="21" formatCode="0.0">
                  <c:v>14.6</c:v>
                </c:pt>
                <c:pt idx="22" formatCode="0.0">
                  <c:v>7.8</c:v>
                </c:pt>
                <c:pt idx="23" formatCode="0.0">
                  <c:v>1.6</c:v>
                </c:pt>
              </c:numCache>
            </c:numRef>
          </c:val>
          <c:smooth val="0"/>
          <c:extLst>
            <c:ext xmlns:c16="http://schemas.microsoft.com/office/drawing/2014/chart" uri="{C3380CC4-5D6E-409C-BE32-E72D297353CC}">
              <c16:uniqueId val="{00000001-E269-408C-AD6E-FA2000AC9DBF}"/>
            </c:ext>
          </c:extLst>
        </c:ser>
        <c:ser>
          <c:idx val="3"/>
          <c:order val="2"/>
          <c:tx>
            <c:strRef>
              <c:f>'Ceny 2'!$F$5</c:f>
              <c:strCache>
                <c:ptCount val="1"/>
                <c:pt idx="0">
                  <c:v>Housing and energy</c:v>
                </c:pt>
              </c:strCache>
            </c:strRef>
          </c:tx>
          <c:spPr>
            <a:ln w="19050">
              <a:solidFill>
                <a:srgbClr val="7DBB2D"/>
              </a:solidFill>
            </a:ln>
          </c:spPr>
          <c:marker>
            <c:symbol val="none"/>
          </c:marker>
          <c:cat>
            <c:multiLvlStrRef>
              <c:f>'Ceny 2'!$A$6:$B$29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2'!$F$6:$F$29</c:f>
              <c:numCache>
                <c:formatCode>0.0</c:formatCode>
                <c:ptCount val="24"/>
                <c:pt idx="0">
                  <c:v>2.2999999999999998</c:v>
                </c:pt>
                <c:pt idx="1">
                  <c:v>2.6</c:v>
                </c:pt>
                <c:pt idx="2">
                  <c:v>3.2</c:v>
                </c:pt>
                <c:pt idx="3">
                  <c:v>3.8</c:v>
                </c:pt>
                <c:pt idx="4">
                  <c:v>5.4</c:v>
                </c:pt>
                <c:pt idx="5">
                  <c:v>5.7</c:v>
                </c:pt>
                <c:pt idx="6">
                  <c:v>5.2</c:v>
                </c:pt>
                <c:pt idx="7">
                  <c:v>5</c:v>
                </c:pt>
                <c:pt idx="8">
                  <c:v>4.2</c:v>
                </c:pt>
                <c:pt idx="9">
                  <c:v>3.2</c:v>
                </c:pt>
                <c:pt idx="10">
                  <c:v>2.7</c:v>
                </c:pt>
                <c:pt idx="11">
                  <c:v>1.4</c:v>
                </c:pt>
                <c:pt idx="12">
                  <c:v>0.6</c:v>
                </c:pt>
                <c:pt idx="13">
                  <c:v>1.3</c:v>
                </c:pt>
                <c:pt idx="14">
                  <c:v>3.6</c:v>
                </c:pt>
                <c:pt idx="15">
                  <c:v>5.6</c:v>
                </c:pt>
                <c:pt idx="16">
                  <c:v>16</c:v>
                </c:pt>
                <c:pt idx="17">
                  <c:v>21.4</c:v>
                </c:pt>
                <c:pt idx="18">
                  <c:v>23.6</c:v>
                </c:pt>
                <c:pt idx="19">
                  <c:v>14.9</c:v>
                </c:pt>
                <c:pt idx="20">
                  <c:v>22.2</c:v>
                </c:pt>
                <c:pt idx="21">
                  <c:v>16</c:v>
                </c:pt>
                <c:pt idx="22">
                  <c:v>11.6</c:v>
                </c:pt>
                <c:pt idx="23">
                  <c:v>17.8</c:v>
                </c:pt>
              </c:numCache>
            </c:numRef>
          </c:val>
          <c:smooth val="0"/>
          <c:extLst>
            <c:ext xmlns:c16="http://schemas.microsoft.com/office/drawing/2014/chart" uri="{C3380CC4-5D6E-409C-BE32-E72D297353CC}">
              <c16:uniqueId val="{00000002-E269-408C-AD6E-FA2000AC9DBF}"/>
            </c:ext>
          </c:extLst>
        </c:ser>
        <c:ser>
          <c:idx val="4"/>
          <c:order val="3"/>
          <c:tx>
            <c:strRef>
              <c:f>'Ceny 2'!$G$5</c:f>
              <c:strCache>
                <c:ptCount val="1"/>
                <c:pt idx="0">
                  <c:v>Transportation</c:v>
                </c:pt>
              </c:strCache>
            </c:strRef>
          </c:tx>
          <c:spPr>
            <a:ln w="19050">
              <a:solidFill>
                <a:srgbClr val="FFC000"/>
              </a:solidFill>
            </a:ln>
          </c:spPr>
          <c:marker>
            <c:symbol val="none"/>
          </c:marker>
          <c:cat>
            <c:multiLvlStrRef>
              <c:f>'Ceny 2'!$A$6:$B$29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2'!$G$6:$G$29</c:f>
              <c:numCache>
                <c:formatCode>0.0</c:formatCode>
                <c:ptCount val="24"/>
                <c:pt idx="0">
                  <c:v>1</c:v>
                </c:pt>
                <c:pt idx="1">
                  <c:v>3</c:v>
                </c:pt>
                <c:pt idx="2">
                  <c:v>4.5</c:v>
                </c:pt>
                <c:pt idx="3">
                  <c:v>2.6</c:v>
                </c:pt>
                <c:pt idx="4">
                  <c:v>0.6</c:v>
                </c:pt>
                <c:pt idx="5">
                  <c:v>0.8</c:v>
                </c:pt>
                <c:pt idx="6">
                  <c:v>-0.2</c:v>
                </c:pt>
                <c:pt idx="7">
                  <c:v>0.5</c:v>
                </c:pt>
                <c:pt idx="8" formatCode="General">
                  <c:v>1.7</c:v>
                </c:pt>
                <c:pt idx="9">
                  <c:v>-3.4</c:v>
                </c:pt>
                <c:pt idx="10">
                  <c:v>-0.2</c:v>
                </c:pt>
                <c:pt idx="11">
                  <c:v>0.6</c:v>
                </c:pt>
                <c:pt idx="12">
                  <c:v>2.4</c:v>
                </c:pt>
                <c:pt idx="13">
                  <c:v>9.1</c:v>
                </c:pt>
                <c:pt idx="14">
                  <c:v>8.8000000000000007</c:v>
                </c:pt>
                <c:pt idx="15">
                  <c:v>13.1</c:v>
                </c:pt>
                <c:pt idx="16">
                  <c:v>17.2</c:v>
                </c:pt>
                <c:pt idx="17">
                  <c:v>22.7</c:v>
                </c:pt>
                <c:pt idx="18">
                  <c:v>19.7</c:v>
                </c:pt>
                <c:pt idx="19">
                  <c:v>13.1</c:v>
                </c:pt>
                <c:pt idx="20">
                  <c:v>4.5</c:v>
                </c:pt>
                <c:pt idx="21">
                  <c:v>-4</c:v>
                </c:pt>
                <c:pt idx="22">
                  <c:v>-2.4</c:v>
                </c:pt>
                <c:pt idx="23">
                  <c:v>-1.6</c:v>
                </c:pt>
              </c:numCache>
            </c:numRef>
          </c:val>
          <c:smooth val="0"/>
          <c:extLst>
            <c:ext xmlns:c16="http://schemas.microsoft.com/office/drawing/2014/chart" uri="{C3380CC4-5D6E-409C-BE32-E72D297353CC}">
              <c16:uniqueId val="{00000003-E269-408C-AD6E-FA2000AC9DBF}"/>
            </c:ext>
          </c:extLst>
        </c:ser>
        <c:ser>
          <c:idx val="2"/>
          <c:order val="5"/>
          <c:tx>
            <c:strRef>
              <c:f>'Ceny 2'!$H$5</c:f>
              <c:strCache>
                <c:ptCount val="1"/>
                <c:pt idx="0">
                  <c:v>Restaurants and hotels</c:v>
                </c:pt>
              </c:strCache>
              <c:extLst xmlns:c15="http://schemas.microsoft.com/office/drawing/2012/chart"/>
            </c:strRef>
          </c:tx>
          <c:spPr>
            <a:ln w="19050">
              <a:solidFill>
                <a:srgbClr val="7030A0"/>
              </a:solidFill>
            </a:ln>
          </c:spPr>
          <c:marker>
            <c:symbol val="none"/>
          </c:marker>
          <c:cat>
            <c:multiLvlStrRef>
              <c:f>'Ceny 2'!$A$6:$B$29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2'!$H$6:$H$29</c:f>
              <c:numCache>
                <c:formatCode>0.0</c:formatCode>
                <c:ptCount val="24"/>
                <c:pt idx="0">
                  <c:v>3.5</c:v>
                </c:pt>
                <c:pt idx="1">
                  <c:v>3.6</c:v>
                </c:pt>
                <c:pt idx="2">
                  <c:v>3.5</c:v>
                </c:pt>
                <c:pt idx="3">
                  <c:v>3.7</c:v>
                </c:pt>
                <c:pt idx="4">
                  <c:v>3.8</c:v>
                </c:pt>
                <c:pt idx="5">
                  <c:v>4</c:v>
                </c:pt>
                <c:pt idx="6">
                  <c:v>4.5</c:v>
                </c:pt>
                <c:pt idx="7">
                  <c:v>4.5999999999999996</c:v>
                </c:pt>
                <c:pt idx="8">
                  <c:v>5.5</c:v>
                </c:pt>
                <c:pt idx="9">
                  <c:v>5.0999999999999996</c:v>
                </c:pt>
                <c:pt idx="10">
                  <c:v>4.9000000000000004</c:v>
                </c:pt>
                <c:pt idx="11">
                  <c:v>4.3</c:v>
                </c:pt>
                <c:pt idx="12">
                  <c:v>3</c:v>
                </c:pt>
                <c:pt idx="13">
                  <c:v>2.9</c:v>
                </c:pt>
                <c:pt idx="14">
                  <c:v>4.5999999999999996</c:v>
                </c:pt>
                <c:pt idx="15">
                  <c:v>6.8</c:v>
                </c:pt>
                <c:pt idx="16">
                  <c:v>12.3</c:v>
                </c:pt>
                <c:pt idx="17">
                  <c:v>21.4</c:v>
                </c:pt>
                <c:pt idx="18">
                  <c:v>24.3</c:v>
                </c:pt>
                <c:pt idx="19">
                  <c:v>25.6</c:v>
                </c:pt>
                <c:pt idx="20">
                  <c:v>22.4</c:v>
                </c:pt>
                <c:pt idx="21">
                  <c:v>15.4</c:v>
                </c:pt>
                <c:pt idx="22">
                  <c:v>11.6</c:v>
                </c:pt>
                <c:pt idx="23">
                  <c:v>8.8000000000000007</c:v>
                </c:pt>
              </c:numCache>
            </c:numRef>
          </c:val>
          <c:smooth val="0"/>
          <c:extLst xmlns:c15="http://schemas.microsoft.com/office/drawing/2012/chart">
            <c:ext xmlns:c16="http://schemas.microsoft.com/office/drawing/2014/chart" uri="{C3380CC4-5D6E-409C-BE32-E72D297353CC}">
              <c16:uniqueId val="{00000004-E269-408C-AD6E-FA2000AC9DBF}"/>
            </c:ext>
          </c:extLst>
        </c:ser>
        <c:ser>
          <c:idx val="6"/>
          <c:order val="6"/>
          <c:tx>
            <c:strRef>
              <c:f>'Ceny 2'!$I$5</c:f>
              <c:strCache>
                <c:ptCount val="1"/>
                <c:pt idx="0">
                  <c:v>Recreation and culture</c:v>
                </c:pt>
              </c:strCache>
            </c:strRef>
          </c:tx>
          <c:spPr>
            <a:ln w="22225">
              <a:solidFill>
                <a:srgbClr val="FF0000"/>
              </a:solidFill>
            </a:ln>
          </c:spPr>
          <c:marker>
            <c:symbol val="none"/>
          </c:marker>
          <c:cat>
            <c:multiLvlStrRef>
              <c:f>'Ceny 2'!$A$6:$B$29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2'!$I$6:$I$29</c:f>
              <c:numCache>
                <c:formatCode>General</c:formatCode>
                <c:ptCount val="24"/>
                <c:pt idx="0">
                  <c:v>0.5</c:v>
                </c:pt>
                <c:pt idx="1">
                  <c:v>0.59999999999999432</c:v>
                </c:pt>
                <c:pt idx="2">
                  <c:v>2.2000000000000028</c:v>
                </c:pt>
                <c:pt idx="3">
                  <c:v>0.5</c:v>
                </c:pt>
                <c:pt idx="4">
                  <c:v>1.7000000000000028</c:v>
                </c:pt>
                <c:pt idx="5">
                  <c:v>1</c:v>
                </c:pt>
                <c:pt idx="6">
                  <c:v>1.7000000000000028</c:v>
                </c:pt>
                <c:pt idx="7">
                  <c:v>2.0999999999999943</c:v>
                </c:pt>
                <c:pt idx="8">
                  <c:v>2.0999999999999943</c:v>
                </c:pt>
                <c:pt idx="9">
                  <c:v>2</c:v>
                </c:pt>
                <c:pt idx="10">
                  <c:v>2.2000000000000028</c:v>
                </c:pt>
                <c:pt idx="11">
                  <c:v>2.5</c:v>
                </c:pt>
                <c:pt idx="12">
                  <c:v>1.4000000000000057</c:v>
                </c:pt>
                <c:pt idx="13">
                  <c:v>2</c:v>
                </c:pt>
                <c:pt idx="14">
                  <c:v>3.0999999999999943</c:v>
                </c:pt>
                <c:pt idx="15">
                  <c:v>5.2999999999999972</c:v>
                </c:pt>
                <c:pt idx="16">
                  <c:v>8.5</c:v>
                </c:pt>
                <c:pt idx="17">
                  <c:v>11.299999999999997</c:v>
                </c:pt>
                <c:pt idx="18">
                  <c:v>12.599999999999994</c:v>
                </c:pt>
                <c:pt idx="19" formatCode="0.0">
                  <c:v>13.2</c:v>
                </c:pt>
                <c:pt idx="20" formatCode="0.0">
                  <c:v>14</c:v>
                </c:pt>
                <c:pt idx="21" formatCode="0.0">
                  <c:v>11.7</c:v>
                </c:pt>
                <c:pt idx="22" formatCode="0.0">
                  <c:v>9.6999999999999993</c:v>
                </c:pt>
                <c:pt idx="23" formatCode="0.0">
                  <c:v>6.9</c:v>
                </c:pt>
              </c:numCache>
            </c:numRef>
          </c:val>
          <c:smooth val="0"/>
          <c:extLst>
            <c:ext xmlns:c16="http://schemas.microsoft.com/office/drawing/2014/chart" uri="{C3380CC4-5D6E-409C-BE32-E72D297353CC}">
              <c16:uniqueId val="{00000005-E269-408C-AD6E-FA2000AC9DBF}"/>
            </c:ext>
          </c:extLst>
        </c:ser>
        <c:dLbls>
          <c:showLegendKey val="0"/>
          <c:showVal val="0"/>
          <c:showCatName val="0"/>
          <c:showSerName val="0"/>
          <c:showPercent val="0"/>
          <c:showBubbleSize val="0"/>
        </c:dLbls>
        <c:marker val="1"/>
        <c:smooth val="0"/>
        <c:axId val="130513536"/>
        <c:axId val="130531712"/>
        <c:extLst>
          <c:ext xmlns:c15="http://schemas.microsoft.com/office/drawing/2012/chart" uri="{02D57815-91ED-43cb-92C2-25804820EDAC}">
            <c15:filteredLineSeries>
              <c15:ser>
                <c:idx val="5"/>
                <c:order val="4"/>
                <c:tx>
                  <c:strRef>
                    <c:extLst>
                      <c:ext uri="{02D57815-91ED-43cb-92C2-25804820EDAC}">
                        <c15:formulaRef>
                          <c15:sqref>'Ceny 2'!$E$5</c15:sqref>
                        </c15:formulaRef>
                      </c:ext>
                    </c:extLst>
                    <c:strCache>
                      <c:ptCount val="1"/>
                      <c:pt idx="0">
                        <c:v>Alcoholic beverages and tobacco</c:v>
                      </c:pt>
                    </c:strCache>
                  </c:strRef>
                </c:tx>
                <c:spPr>
                  <a:ln w="22225">
                    <a:solidFill>
                      <a:schemeClr val="accent2"/>
                    </a:solidFill>
                  </a:ln>
                </c:spPr>
                <c:marker>
                  <c:symbol val="none"/>
                </c:marker>
                <c:cat>
                  <c:multiLvlStrRef>
                    <c:extLst>
                      <c:ext uri="{02D57815-91ED-43cb-92C2-25804820EDAC}">
                        <c15:formulaRef>
                          <c15:sqref>'Ceny 2'!$A$6:$B$29</c15:sqref>
                        </c15:formulaRef>
                      </c:ext>
                    </c:extLst>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extLst>
                      <c:ext uri="{02D57815-91ED-43cb-92C2-25804820EDAC}">
                        <c15:formulaRef>
                          <c15:sqref>'Ceny 2'!$E$6:$E$25</c15:sqref>
                        </c15:formulaRef>
                      </c:ext>
                    </c:extLst>
                    <c:numCache>
                      <c:formatCode>0.0</c:formatCode>
                      <c:ptCount val="20"/>
                      <c:pt idx="0">
                        <c:v>2.5</c:v>
                      </c:pt>
                      <c:pt idx="1">
                        <c:v>3.6</c:v>
                      </c:pt>
                      <c:pt idx="2">
                        <c:v>2.8</c:v>
                      </c:pt>
                      <c:pt idx="3">
                        <c:v>3.1</c:v>
                      </c:pt>
                      <c:pt idx="4">
                        <c:v>3.3</c:v>
                      </c:pt>
                      <c:pt idx="5">
                        <c:v>1.7</c:v>
                      </c:pt>
                      <c:pt idx="6">
                        <c:v>1.9</c:v>
                      </c:pt>
                      <c:pt idx="7">
                        <c:v>1.8</c:v>
                      </c:pt>
                      <c:pt idx="8" formatCode="General">
                        <c:v>3.5</c:v>
                      </c:pt>
                      <c:pt idx="9">
                        <c:v>6.6</c:v>
                      </c:pt>
                      <c:pt idx="10">
                        <c:v>10.3</c:v>
                      </c:pt>
                      <c:pt idx="11">
                        <c:v>9.9</c:v>
                      </c:pt>
                      <c:pt idx="12">
                        <c:v>9.9</c:v>
                      </c:pt>
                      <c:pt idx="13">
                        <c:v>9.8000000000000007</c:v>
                      </c:pt>
                      <c:pt idx="14">
                        <c:v>6.5</c:v>
                      </c:pt>
                      <c:pt idx="15">
                        <c:v>7.7</c:v>
                      </c:pt>
                      <c:pt idx="16">
                        <c:v>7.1</c:v>
                      </c:pt>
                      <c:pt idx="17">
                        <c:v>5.6</c:v>
                      </c:pt>
                      <c:pt idx="18">
                        <c:v>6.3</c:v>
                      </c:pt>
                      <c:pt idx="19">
                        <c:v>6</c:v>
                      </c:pt>
                    </c:numCache>
                  </c:numRef>
                </c:val>
                <c:smooth val="0"/>
                <c:extLst>
                  <c:ext xmlns:c16="http://schemas.microsoft.com/office/drawing/2014/chart" uri="{C3380CC4-5D6E-409C-BE32-E72D297353CC}">
                    <c16:uniqueId val="{00000006-E269-408C-AD6E-FA2000AC9DBF}"/>
                  </c:ext>
                </c:extLst>
              </c15:ser>
            </c15:filteredLineSeries>
          </c:ext>
        </c:extLst>
      </c:lineChart>
      <c:catAx>
        <c:axId val="13051353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531712"/>
        <c:crosses val="autoZero"/>
        <c:auto val="1"/>
        <c:lblAlgn val="ctr"/>
        <c:lblOffset val="100"/>
        <c:noMultiLvlLbl val="0"/>
      </c:catAx>
      <c:valAx>
        <c:axId val="130531712"/>
        <c:scaling>
          <c:orientation val="minMax"/>
          <c:max val="28"/>
          <c:min val="-8"/>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513536"/>
        <c:crosses val="autoZero"/>
        <c:crossBetween val="between"/>
        <c:majorUnit val="4"/>
      </c:valAx>
      <c:spPr>
        <a:ln>
          <a:solidFill>
            <a:schemeClr val="tx1"/>
          </a:solidFill>
        </a:ln>
      </c:spPr>
    </c:plotArea>
    <c:legend>
      <c:legendPos val="b"/>
      <c:layout>
        <c:manualLayout>
          <c:xMode val="edge"/>
          <c:yMode val="edge"/>
          <c:x val="5.6562816616008108E-2"/>
          <c:y val="0.87970674321738151"/>
          <c:w val="0.9271700861195542"/>
          <c:h val="0.1057713243277177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'Ceny 1'!$C$5</c:f>
              <c:strCache>
                <c:ptCount val="1"/>
                <c:pt idx="0">
                  <c:v>Realised prices of older flats, the CR</c:v>
                </c:pt>
              </c:strCache>
            </c:strRef>
          </c:tx>
          <c:spPr>
            <a:solidFill>
              <a:schemeClr val="bg1">
                <a:lumMod val="65000"/>
              </a:schemeClr>
            </a:solidFill>
            <a:ln w="19050">
              <a:noFill/>
            </a:ln>
          </c:spPr>
          <c:invertIfNegative val="0"/>
          <c:cat>
            <c:multiLvlStrRef>
              <c:f>'Ceny 1'!$A$6:$B$29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1'!$C$6:$C$29</c:f>
              <c:numCache>
                <c:formatCode>General</c:formatCode>
                <c:ptCount val="24"/>
                <c:pt idx="0">
                  <c:v>9.2000000000000028</c:v>
                </c:pt>
                <c:pt idx="1">
                  <c:v>8</c:v>
                </c:pt>
                <c:pt idx="2">
                  <c:v>9.4000000000000057</c:v>
                </c:pt>
                <c:pt idx="3">
                  <c:v>11.400000000000006</c:v>
                </c:pt>
                <c:pt idx="4">
                  <c:v>11.299999999999997</c:v>
                </c:pt>
                <c:pt idx="5">
                  <c:v>10.599999999999994</c:v>
                </c:pt>
                <c:pt idx="6">
                  <c:v>9.5</c:v>
                </c:pt>
                <c:pt idx="7">
                  <c:v>9.4000000000000057</c:v>
                </c:pt>
                <c:pt idx="8">
                  <c:v>10.599999999999994</c:v>
                </c:pt>
                <c:pt idx="9">
                  <c:v>10.200000000000003</c:v>
                </c:pt>
                <c:pt idx="10">
                  <c:v>11.200000000000003</c:v>
                </c:pt>
                <c:pt idx="11">
                  <c:v>13.299999999999997</c:v>
                </c:pt>
                <c:pt idx="12">
                  <c:v>15.200000000000003</c:v>
                </c:pt>
                <c:pt idx="13">
                  <c:v>17.900000000000006</c:v>
                </c:pt>
                <c:pt idx="14">
                  <c:v>21.299999999999997</c:v>
                </c:pt>
                <c:pt idx="15">
                  <c:v>25.200000000000003</c:v>
                </c:pt>
                <c:pt idx="16">
                  <c:v>27.299999999999997</c:v>
                </c:pt>
                <c:pt idx="17">
                  <c:v>27.599999999999994</c:v>
                </c:pt>
                <c:pt idx="18">
                  <c:v>23.400000000000006</c:v>
                </c:pt>
                <c:pt idx="19">
                  <c:v>13.799999999999997</c:v>
                </c:pt>
                <c:pt idx="20">
                  <c:v>3.7000000000000028</c:v>
                </c:pt>
                <c:pt idx="21">
                  <c:v>-4.0999999999999943</c:v>
                </c:pt>
                <c:pt idx="22">
                  <c:v>-7</c:v>
                </c:pt>
                <c:pt idx="23">
                  <c:v>-5.5999999999999943</c:v>
                </c:pt>
              </c:numCache>
            </c:numRef>
          </c:val>
          <c:extLst>
            <c:ext xmlns:c16="http://schemas.microsoft.com/office/drawing/2014/chart" uri="{C3380CC4-5D6E-409C-BE32-E72D297353CC}">
              <c16:uniqueId val="{00000000-8553-4855-A387-EDE4ED74F667}"/>
            </c:ext>
          </c:extLst>
        </c:ser>
        <c:ser>
          <c:idx val="1"/>
          <c:order val="1"/>
          <c:tx>
            <c:strRef>
              <c:f>'Ceny 1'!$D$5</c:f>
              <c:strCache>
                <c:ptCount val="1"/>
                <c:pt idx="0">
                  <c:v>Realised prices of older flats, Prague</c:v>
                </c:pt>
              </c:strCache>
            </c:strRef>
          </c:tx>
          <c:spPr>
            <a:solidFill>
              <a:prstClr val="black">
                <a:lumMod val="50000"/>
                <a:lumOff val="50000"/>
              </a:prstClr>
            </a:solidFill>
            <a:ln w="19050">
              <a:noFill/>
            </a:ln>
          </c:spPr>
          <c:invertIfNegative val="0"/>
          <c:cat>
            <c:multiLvlStrRef>
              <c:f>'Ceny 1'!$A$6:$B$29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1'!$D$6:$D$29</c:f>
              <c:numCache>
                <c:formatCode>General</c:formatCode>
                <c:ptCount val="24"/>
                <c:pt idx="0">
                  <c:v>8.2999999999999972</c:v>
                </c:pt>
                <c:pt idx="1">
                  <c:v>4</c:v>
                </c:pt>
                <c:pt idx="2">
                  <c:v>6</c:v>
                </c:pt>
                <c:pt idx="3">
                  <c:v>8.7000000000000028</c:v>
                </c:pt>
                <c:pt idx="4">
                  <c:v>9.4000000000000057</c:v>
                </c:pt>
                <c:pt idx="5">
                  <c:v>8.7000000000000028</c:v>
                </c:pt>
                <c:pt idx="6">
                  <c:v>6.5</c:v>
                </c:pt>
                <c:pt idx="7">
                  <c:v>7.0999999999999943</c:v>
                </c:pt>
                <c:pt idx="8">
                  <c:v>6.2000000000000028</c:v>
                </c:pt>
                <c:pt idx="9">
                  <c:v>8</c:v>
                </c:pt>
                <c:pt idx="10">
                  <c:v>9.4000000000000057</c:v>
                </c:pt>
                <c:pt idx="11">
                  <c:v>10.599999999999994</c:v>
                </c:pt>
                <c:pt idx="12">
                  <c:v>14.299999999999997</c:v>
                </c:pt>
                <c:pt idx="13">
                  <c:v>15.799999999999997</c:v>
                </c:pt>
                <c:pt idx="14">
                  <c:v>16.599999999999994</c:v>
                </c:pt>
                <c:pt idx="15">
                  <c:v>20</c:v>
                </c:pt>
                <c:pt idx="16">
                  <c:v>19</c:v>
                </c:pt>
                <c:pt idx="17">
                  <c:v>16.700000000000003</c:v>
                </c:pt>
                <c:pt idx="18">
                  <c:v>15.599999999999994</c:v>
                </c:pt>
                <c:pt idx="19">
                  <c:v>8.4000000000000057</c:v>
                </c:pt>
                <c:pt idx="20">
                  <c:v>1.2000000000000028</c:v>
                </c:pt>
                <c:pt idx="21">
                  <c:v>-3.5999999999999943</c:v>
                </c:pt>
                <c:pt idx="22">
                  <c:v>-5.2999999999999972</c:v>
                </c:pt>
                <c:pt idx="23">
                  <c:v>-2.5999999999999943</c:v>
                </c:pt>
              </c:numCache>
            </c:numRef>
          </c:val>
          <c:extLst>
            <c:ext xmlns:c16="http://schemas.microsoft.com/office/drawing/2014/chart" uri="{C3380CC4-5D6E-409C-BE32-E72D297353CC}">
              <c16:uniqueId val="{00000001-8553-4855-A387-EDE4ED74F667}"/>
            </c:ext>
          </c:extLst>
        </c:ser>
        <c:dLbls>
          <c:showLegendKey val="0"/>
          <c:showVal val="0"/>
          <c:showCatName val="0"/>
          <c:showSerName val="0"/>
          <c:showPercent val="0"/>
          <c:showBubbleSize val="0"/>
        </c:dLbls>
        <c:gapWidth val="95"/>
        <c:axId val="130418560"/>
        <c:axId val="130420096"/>
      </c:barChart>
      <c:lineChart>
        <c:grouping val="standard"/>
        <c:varyColors val="0"/>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1'!$E$6:$E$29</c:f>
              <c:numCache>
                <c:formatCode>0.0</c:formatCode>
                <c:ptCount val="24"/>
                <c:pt idx="0">
                  <c:v>12.801932367149746</c:v>
                </c:pt>
                <c:pt idx="1">
                  <c:v>12.225705329153584</c:v>
                </c:pt>
                <c:pt idx="2">
                  <c:v>9.498878085265531</c:v>
                </c:pt>
                <c:pt idx="3">
                  <c:v>8.4609773887673185</c:v>
                </c:pt>
                <c:pt idx="4">
                  <c:v>7.4232690935046435</c:v>
                </c:pt>
                <c:pt idx="5">
                  <c:v>5.7262569832402335</c:v>
                </c:pt>
                <c:pt idx="6">
                  <c:v>5.1912568306010911</c:v>
                </c:pt>
                <c:pt idx="7">
                  <c:v>5.5144586415601964</c:v>
                </c:pt>
                <c:pt idx="8">
                  <c:v>6.0465116279069662</c:v>
                </c:pt>
                <c:pt idx="9">
                  <c:v>7.1334214002641829</c:v>
                </c:pt>
                <c:pt idx="10">
                  <c:v>7.9870129870129887</c:v>
                </c:pt>
                <c:pt idx="11">
                  <c:v>7.6481835564053569</c:v>
                </c:pt>
                <c:pt idx="12">
                  <c:v>7.6441102756892292</c:v>
                </c:pt>
                <c:pt idx="13">
                  <c:v>7.9531442663378584</c:v>
                </c:pt>
                <c:pt idx="14">
                  <c:v>9.3205051112447421</c:v>
                </c:pt>
                <c:pt idx="15">
                  <c:v>12.433392539964473</c:v>
                </c:pt>
                <c:pt idx="16">
                  <c:v>16.880093131548307</c:v>
                </c:pt>
                <c:pt idx="17">
                  <c:v>24.671616219303274</c:v>
                </c:pt>
                <c:pt idx="18">
                  <c:v>22.937293729372925</c:v>
                </c:pt>
                <c:pt idx="19">
                  <c:v>18.325434439178508</c:v>
                </c:pt>
                <c:pt idx="20">
                  <c:v>9.8107569721115624</c:v>
                </c:pt>
                <c:pt idx="21" formatCode="General">
                  <c:v>-0.73293632615667548</c:v>
                </c:pt>
                <c:pt idx="22" formatCode="General">
                  <c:v>-3.3109619686800897</c:v>
                </c:pt>
                <c:pt idx="23" formatCode="General">
                  <c:v>-4.1833555852247315</c:v>
                </c:pt>
              </c:numCache>
            </c:numRef>
          </c:val>
          <c:smooth val="0"/>
          <c:extLst>
            <c:ext xmlns:c16="http://schemas.microsoft.com/office/drawing/2014/chart" uri="{C3380CC4-5D6E-409C-BE32-E72D297353CC}">
              <c16:uniqueId val="{00000002-8553-4855-A387-EDE4ED74F667}"/>
            </c:ext>
          </c:extLst>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1'!$F$6:$F$29</c:f>
              <c:numCache>
                <c:formatCode>0.0</c:formatCode>
                <c:ptCount val="24"/>
                <c:pt idx="0">
                  <c:v>15.071428571428555</c:v>
                </c:pt>
                <c:pt idx="1">
                  <c:v>14.24638678596007</c:v>
                </c:pt>
                <c:pt idx="2">
                  <c:v>10.732984293193695</c:v>
                </c:pt>
                <c:pt idx="3">
                  <c:v>8.7531486146095574</c:v>
                </c:pt>
                <c:pt idx="4">
                  <c:v>8.3178150217256359</c:v>
                </c:pt>
                <c:pt idx="5">
                  <c:v>4.9397590361445651</c:v>
                </c:pt>
                <c:pt idx="6">
                  <c:v>3.3096926713947994</c:v>
                </c:pt>
                <c:pt idx="7">
                  <c:v>2.9530978575564575</c:v>
                </c:pt>
                <c:pt idx="8">
                  <c:v>3.5530085959885298</c:v>
                </c:pt>
                <c:pt idx="9">
                  <c:v>5.2812858783008068</c:v>
                </c:pt>
                <c:pt idx="10">
                  <c:v>6.2356979405034281</c:v>
                </c:pt>
                <c:pt idx="11">
                  <c:v>5.1743532058492718</c:v>
                </c:pt>
                <c:pt idx="12">
                  <c:v>4.759269507470961</c:v>
                </c:pt>
                <c:pt idx="13">
                  <c:v>4.5256270447110012</c:v>
                </c:pt>
                <c:pt idx="14">
                  <c:v>6.2466343564889826</c:v>
                </c:pt>
                <c:pt idx="15">
                  <c:v>9.1443850267379503</c:v>
                </c:pt>
                <c:pt idx="16">
                  <c:v>12.255678816693077</c:v>
                </c:pt>
                <c:pt idx="17">
                  <c:v>19.718309859154942</c:v>
                </c:pt>
                <c:pt idx="18">
                  <c:v>18.499746578813998</c:v>
                </c:pt>
                <c:pt idx="19">
                  <c:v>16.903478686918177</c:v>
                </c:pt>
                <c:pt idx="20">
                  <c:v>10.305882352941182</c:v>
                </c:pt>
                <c:pt idx="21" formatCode="General">
                  <c:v>0.30501089324617681</c:v>
                </c:pt>
                <c:pt idx="22" formatCode="General">
                  <c:v>-1.5825491873396089</c:v>
                </c:pt>
                <c:pt idx="23" formatCode="General">
                  <c:v>-3.5624476110645418</c:v>
                </c:pt>
              </c:numCache>
            </c:numRef>
          </c:val>
          <c:smooth val="0"/>
          <c:extLst>
            <c:ext xmlns:c16="http://schemas.microsoft.com/office/drawing/2014/chart" uri="{C3380CC4-5D6E-409C-BE32-E72D297353CC}">
              <c16:uniqueId val="{00000003-8553-4855-A387-EDE4ED74F667}"/>
            </c:ext>
          </c:extLst>
        </c:ser>
        <c:dLbls>
          <c:showLegendKey val="0"/>
          <c:showVal val="0"/>
          <c:showCatName val="0"/>
          <c:showSerName val="0"/>
          <c:showPercent val="0"/>
          <c:showBubbleSize val="0"/>
        </c:dLbls>
        <c:marker val="1"/>
        <c:smooth val="0"/>
        <c:axId val="130418560"/>
        <c:axId val="130420096"/>
      </c:lineChart>
      <c:catAx>
        <c:axId val="13041856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420096"/>
        <c:crosses val="autoZero"/>
        <c:auto val="1"/>
        <c:lblAlgn val="ctr"/>
        <c:lblOffset val="100"/>
        <c:noMultiLvlLbl val="0"/>
      </c:catAx>
      <c:valAx>
        <c:axId val="130420096"/>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418560"/>
        <c:crosses val="autoZero"/>
        <c:crossBetween val="between"/>
      </c:valAx>
      <c:spPr>
        <a:ln>
          <a:solidFill>
            <a:schemeClr val="tx1"/>
          </a:solidFill>
        </a:ln>
      </c:spPr>
    </c:plotArea>
    <c:legend>
      <c:legendPos val="b"/>
      <c:layout>
        <c:manualLayout>
          <c:xMode val="edge"/>
          <c:yMode val="edge"/>
          <c:x val="4.6528021206651497E-2"/>
          <c:y val="0.88817854328492629"/>
          <c:w val="0.9267997314289258"/>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536533717322946E-2"/>
          <c:y val="2.0784574468085106E-2"/>
          <c:w val="0.93242262856416824"/>
          <c:h val="0.66772044917257678"/>
        </c:manualLayout>
      </c:layout>
      <c:barChart>
        <c:barDir val="col"/>
        <c:grouping val="clustered"/>
        <c:varyColors val="0"/>
        <c:ser>
          <c:idx val="0"/>
          <c:order val="0"/>
          <c:tx>
            <c:strRef>
              <c:f>'Ceny 4'!$C$5</c:f>
              <c:strCache>
                <c:ptCount val="1"/>
                <c:pt idx="0">
                  <c:v>Total</c:v>
                </c:pt>
              </c:strCache>
            </c:strRef>
          </c:tx>
          <c:spPr>
            <a:solidFill>
              <a:schemeClr val="bg1">
                <a:lumMod val="65000"/>
              </a:schemeClr>
            </a:solidFill>
            <a:ln>
              <a:noFill/>
            </a:ln>
            <a:effectLst/>
          </c:spPr>
          <c:invertIfNegative val="0"/>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4'!$C$6:$C$29</c:f>
              <c:numCache>
                <c:formatCode>General</c:formatCode>
                <c:ptCount val="24"/>
                <c:pt idx="0">
                  <c:v>9.9999999999994316E-2</c:v>
                </c:pt>
                <c:pt idx="1">
                  <c:v>1.5</c:v>
                </c:pt>
                <c:pt idx="2">
                  <c:v>3.2999999999999972</c:v>
                </c:pt>
                <c:pt idx="3">
                  <c:v>3.4000000000000057</c:v>
                </c:pt>
                <c:pt idx="4">
                  <c:v>3.5</c:v>
                </c:pt>
                <c:pt idx="5">
                  <c:v>3.5</c:v>
                </c:pt>
                <c:pt idx="6">
                  <c:v>2</c:v>
                </c:pt>
                <c:pt idx="7">
                  <c:v>1.2999999999999972</c:v>
                </c:pt>
                <c:pt idx="8">
                  <c:v>1.4000000000000057</c:v>
                </c:pt>
                <c:pt idx="9">
                  <c:v>-0.59999999999999432</c:v>
                </c:pt>
                <c:pt idx="10">
                  <c:v>-0.29999999999999716</c:v>
                </c:pt>
                <c:pt idx="11">
                  <c:v>9.9999999999994316E-2</c:v>
                </c:pt>
                <c:pt idx="12">
                  <c:v>1.5</c:v>
                </c:pt>
                <c:pt idx="13">
                  <c:v>5.2999999999999972</c:v>
                </c:pt>
                <c:pt idx="14">
                  <c:v>9</c:v>
                </c:pt>
                <c:pt idx="15">
                  <c:v>12.799999999999997</c:v>
                </c:pt>
                <c:pt idx="16">
                  <c:v>21.799999999999997</c:v>
                </c:pt>
                <c:pt idx="17">
                  <c:v>27.700000000000003</c:v>
                </c:pt>
                <c:pt idx="18">
                  <c:v>25.900000000000006</c:v>
                </c:pt>
                <c:pt idx="19">
                  <c:v>21.799999999999997</c:v>
                </c:pt>
                <c:pt idx="20">
                  <c:v>15</c:v>
                </c:pt>
                <c:pt idx="21">
                  <c:v>3.9000000000000057</c:v>
                </c:pt>
                <c:pt idx="22">
                  <c:v>1.3</c:v>
                </c:pt>
                <c:pt idx="23">
                  <c:v>0.8</c:v>
                </c:pt>
              </c:numCache>
            </c:numRef>
          </c:val>
          <c:extLst>
            <c:ext xmlns:c16="http://schemas.microsoft.com/office/drawing/2014/chart" uri="{C3380CC4-5D6E-409C-BE32-E72D297353CC}">
              <c16:uniqueId val="{00000000-0083-4C61-9AD0-035390ADAD38}"/>
            </c:ext>
          </c:extLst>
        </c:ser>
        <c:dLbls>
          <c:showLegendKey val="0"/>
          <c:showVal val="0"/>
          <c:showCatName val="0"/>
          <c:showSerName val="0"/>
          <c:showPercent val="0"/>
          <c:showBubbleSize val="0"/>
        </c:dLbls>
        <c:gapWidth val="90"/>
        <c:axId val="1717494240"/>
        <c:axId val="1718275936"/>
      </c:barChart>
      <c:lineChart>
        <c:grouping val="standard"/>
        <c:varyColors val="0"/>
        <c:ser>
          <c:idx val="1"/>
          <c:order val="1"/>
          <c:tx>
            <c:strRef>
              <c:f>'Ceny 4'!$D$5</c:f>
              <c:strCache>
                <c:ptCount val="1"/>
                <c:pt idx="0">
                  <c:v>Mining and quarrying</c:v>
                </c:pt>
              </c:strCache>
            </c:strRef>
          </c:tx>
          <c:spPr>
            <a:ln w="22225" cap="rnd">
              <a:solidFill>
                <a:srgbClr val="7DBB2D"/>
              </a:solidFill>
              <a:round/>
            </a:ln>
            <a:effectLst/>
          </c:spPr>
          <c:marker>
            <c:symbol val="none"/>
          </c:marker>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4'!$D$6:$D$29</c:f>
              <c:numCache>
                <c:formatCode>General</c:formatCode>
                <c:ptCount val="24"/>
                <c:pt idx="0">
                  <c:v>5.4000000000000057</c:v>
                </c:pt>
                <c:pt idx="1">
                  <c:v>6.7000000000000028</c:v>
                </c:pt>
                <c:pt idx="2">
                  <c:v>9.4000000000000057</c:v>
                </c:pt>
                <c:pt idx="3">
                  <c:v>8.7999999999999972</c:v>
                </c:pt>
                <c:pt idx="4">
                  <c:v>7.7000000000000028</c:v>
                </c:pt>
                <c:pt idx="5">
                  <c:v>7.7000000000000028</c:v>
                </c:pt>
                <c:pt idx="6">
                  <c:v>6.7000000000000028</c:v>
                </c:pt>
                <c:pt idx="7">
                  <c:v>3.7000000000000028</c:v>
                </c:pt>
                <c:pt idx="8">
                  <c:v>-2.0999999999999943</c:v>
                </c:pt>
                <c:pt idx="9">
                  <c:v>-3.5</c:v>
                </c:pt>
                <c:pt idx="10">
                  <c:v>-3.5999999999999943</c:v>
                </c:pt>
                <c:pt idx="11">
                  <c:v>-2</c:v>
                </c:pt>
                <c:pt idx="12">
                  <c:v>-0.5</c:v>
                </c:pt>
                <c:pt idx="13">
                  <c:v>0.79999999999999716</c:v>
                </c:pt>
                <c:pt idx="14">
                  <c:v>3.2999999999999972</c:v>
                </c:pt>
                <c:pt idx="15">
                  <c:v>13.799999999999997</c:v>
                </c:pt>
                <c:pt idx="16">
                  <c:v>25.200000000000003</c:v>
                </c:pt>
                <c:pt idx="17">
                  <c:v>31.900000000000006</c:v>
                </c:pt>
                <c:pt idx="18">
                  <c:v>30.199999999999989</c:v>
                </c:pt>
                <c:pt idx="19">
                  <c:v>23.299999999999997</c:v>
                </c:pt>
                <c:pt idx="20">
                  <c:v>54</c:v>
                </c:pt>
                <c:pt idx="21">
                  <c:v>47.599999999999994</c:v>
                </c:pt>
                <c:pt idx="22">
                  <c:v>44.5</c:v>
                </c:pt>
                <c:pt idx="23">
                  <c:v>40.200000000000003</c:v>
                </c:pt>
              </c:numCache>
            </c:numRef>
          </c:val>
          <c:smooth val="0"/>
          <c:extLst>
            <c:ext xmlns:c16="http://schemas.microsoft.com/office/drawing/2014/chart" uri="{C3380CC4-5D6E-409C-BE32-E72D297353CC}">
              <c16:uniqueId val="{00000001-0083-4C61-9AD0-035390ADAD38}"/>
            </c:ext>
          </c:extLst>
        </c:ser>
        <c:ser>
          <c:idx val="2"/>
          <c:order val="2"/>
          <c:tx>
            <c:strRef>
              <c:f>'Ceny 4'!$E$5</c:f>
              <c:strCache>
                <c:ptCount val="1"/>
                <c:pt idx="0">
                  <c:v>Manufacturing</c:v>
                </c:pt>
              </c:strCache>
            </c:strRef>
          </c:tx>
          <c:spPr>
            <a:ln w="22225" cap="rnd">
              <a:solidFill>
                <a:srgbClr val="BD1B21"/>
              </a:solidFill>
              <a:round/>
            </a:ln>
            <a:effectLst/>
          </c:spPr>
          <c:marker>
            <c:symbol val="none"/>
          </c:marker>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4'!$E$6:$E$29</c:f>
              <c:numCache>
                <c:formatCode>General</c:formatCode>
                <c:ptCount val="24"/>
                <c:pt idx="0">
                  <c:v>-0.40000000000000568</c:v>
                </c:pt>
                <c:pt idx="1">
                  <c:v>1.2000000000000028</c:v>
                </c:pt>
                <c:pt idx="2">
                  <c:v>3.2000000000000028</c:v>
                </c:pt>
                <c:pt idx="3">
                  <c:v>3.2999999999999972</c:v>
                </c:pt>
                <c:pt idx="4">
                  <c:v>2.5999999999999943</c:v>
                </c:pt>
                <c:pt idx="5">
                  <c:v>2.5999999999999943</c:v>
                </c:pt>
                <c:pt idx="6">
                  <c:v>0.79999999999999716</c:v>
                </c:pt>
                <c:pt idx="7">
                  <c:v>-9.9999999999994316E-2</c:v>
                </c:pt>
                <c:pt idx="8">
                  <c:v>0</c:v>
                </c:pt>
                <c:pt idx="9">
                  <c:v>-2.2999999999999972</c:v>
                </c:pt>
                <c:pt idx="10">
                  <c:v>-1.7999999999999972</c:v>
                </c:pt>
                <c:pt idx="11">
                  <c:v>-1.2000000000000028</c:v>
                </c:pt>
                <c:pt idx="12">
                  <c:v>1.7999999999999972</c:v>
                </c:pt>
                <c:pt idx="13">
                  <c:v>6.5</c:v>
                </c:pt>
                <c:pt idx="14">
                  <c:v>11</c:v>
                </c:pt>
                <c:pt idx="15">
                  <c:v>14.5</c:v>
                </c:pt>
                <c:pt idx="16">
                  <c:v>17.5</c:v>
                </c:pt>
                <c:pt idx="17">
                  <c:v>24.200000000000003</c:v>
                </c:pt>
                <c:pt idx="18">
                  <c:v>20.5</c:v>
                </c:pt>
                <c:pt idx="19">
                  <c:v>16</c:v>
                </c:pt>
                <c:pt idx="20">
                  <c:v>10.299999999999997</c:v>
                </c:pt>
                <c:pt idx="21">
                  <c:v>-0.90000000000000568</c:v>
                </c:pt>
                <c:pt idx="22">
                  <c:v>-2.4</c:v>
                </c:pt>
                <c:pt idx="23">
                  <c:v>-2.2999999999999998</c:v>
                </c:pt>
              </c:numCache>
            </c:numRef>
          </c:val>
          <c:smooth val="0"/>
          <c:extLst>
            <c:ext xmlns:c16="http://schemas.microsoft.com/office/drawing/2014/chart" uri="{C3380CC4-5D6E-409C-BE32-E72D297353CC}">
              <c16:uniqueId val="{00000002-0083-4C61-9AD0-035390ADAD38}"/>
            </c:ext>
          </c:extLst>
        </c:ser>
        <c:ser>
          <c:idx val="3"/>
          <c:order val="3"/>
          <c:tx>
            <c:strRef>
              <c:f>'Ceny 4'!$F$5</c:f>
              <c:strCache>
                <c:ptCount val="1"/>
                <c:pt idx="0">
                  <c:v>Electricity, gas, steam and air conditioning supply</c:v>
                </c:pt>
              </c:strCache>
            </c:strRef>
          </c:tx>
          <c:spPr>
            <a:ln w="22225" cap="rnd">
              <a:solidFill>
                <a:srgbClr val="FFC000"/>
              </a:solidFill>
              <a:round/>
            </a:ln>
            <a:effectLst/>
          </c:spPr>
          <c:marker>
            <c:symbol val="none"/>
          </c:marker>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4'!$F$6:$F$29</c:f>
              <c:numCache>
                <c:formatCode>General</c:formatCode>
                <c:ptCount val="24"/>
                <c:pt idx="0">
                  <c:v>1.5</c:v>
                </c:pt>
                <c:pt idx="1">
                  <c:v>1.9000000000000057</c:v>
                </c:pt>
                <c:pt idx="2">
                  <c:v>2.5999999999999943</c:v>
                </c:pt>
                <c:pt idx="3">
                  <c:v>2.7999999999999972</c:v>
                </c:pt>
                <c:pt idx="4">
                  <c:v>7.7000000000000028</c:v>
                </c:pt>
                <c:pt idx="5">
                  <c:v>8.2999999999999972</c:v>
                </c:pt>
                <c:pt idx="6">
                  <c:v>7.7999999999999972</c:v>
                </c:pt>
                <c:pt idx="7">
                  <c:v>8.2999999999999972</c:v>
                </c:pt>
                <c:pt idx="8">
                  <c:v>8.9000000000000057</c:v>
                </c:pt>
                <c:pt idx="9">
                  <c:v>8.2000000000000028</c:v>
                </c:pt>
                <c:pt idx="10">
                  <c:v>7.7999999999999972</c:v>
                </c:pt>
                <c:pt idx="11">
                  <c:v>6.0999999999999943</c:v>
                </c:pt>
                <c:pt idx="12">
                  <c:v>0.29999999999999716</c:v>
                </c:pt>
                <c:pt idx="13">
                  <c:v>9.9999999999994316E-2</c:v>
                </c:pt>
                <c:pt idx="14">
                  <c:v>0.79999999999999716</c:v>
                </c:pt>
                <c:pt idx="15">
                  <c:v>5.5</c:v>
                </c:pt>
                <c:pt idx="16">
                  <c:v>45</c:v>
                </c:pt>
                <c:pt idx="17">
                  <c:v>47.199999999999989</c:v>
                </c:pt>
                <c:pt idx="18">
                  <c:v>56</c:v>
                </c:pt>
                <c:pt idx="19">
                  <c:v>54.300000000000011</c:v>
                </c:pt>
                <c:pt idx="20">
                  <c:v>28.400000000000006</c:v>
                </c:pt>
                <c:pt idx="21">
                  <c:v>18.400000000000006</c:v>
                </c:pt>
                <c:pt idx="22">
                  <c:v>10.5</c:v>
                </c:pt>
                <c:pt idx="23">
                  <c:v>7.1</c:v>
                </c:pt>
              </c:numCache>
            </c:numRef>
          </c:val>
          <c:smooth val="0"/>
          <c:extLst>
            <c:ext xmlns:c16="http://schemas.microsoft.com/office/drawing/2014/chart" uri="{C3380CC4-5D6E-409C-BE32-E72D297353CC}">
              <c16:uniqueId val="{00000003-0083-4C61-9AD0-035390ADAD38}"/>
            </c:ext>
          </c:extLst>
        </c:ser>
        <c:ser>
          <c:idx val="4"/>
          <c:order val="4"/>
          <c:tx>
            <c:strRef>
              <c:f>'Ceny 4'!$G$5</c:f>
              <c:strCache>
                <c:ptCount val="1"/>
                <c:pt idx="0">
                  <c:v>Water supply, sewerage</c:v>
                </c:pt>
              </c:strCache>
            </c:strRef>
          </c:tx>
          <c:spPr>
            <a:ln w="22225" cap="rnd">
              <a:solidFill>
                <a:srgbClr val="0071BC"/>
              </a:solidFill>
              <a:round/>
            </a:ln>
            <a:effectLst/>
          </c:spPr>
          <c:marker>
            <c:symbol val="none"/>
          </c:marker>
          <c:cat>
            <c:multiLvlStrRef>
              <c:f>'Ceny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'Ceny 4'!$G$6:$G$29</c:f>
              <c:numCache>
                <c:formatCode>General</c:formatCode>
                <c:ptCount val="24"/>
                <c:pt idx="0">
                  <c:v>1.9000000000000057</c:v>
                </c:pt>
                <c:pt idx="1">
                  <c:v>1.9000000000000057</c:v>
                </c:pt>
                <c:pt idx="2">
                  <c:v>1.9000000000000057</c:v>
                </c:pt>
                <c:pt idx="3">
                  <c:v>1.9000000000000057</c:v>
                </c:pt>
                <c:pt idx="4">
                  <c:v>2.9000000000000057</c:v>
                </c:pt>
                <c:pt idx="5">
                  <c:v>2.9000000000000057</c:v>
                </c:pt>
                <c:pt idx="6">
                  <c:v>2.9000000000000057</c:v>
                </c:pt>
                <c:pt idx="7">
                  <c:v>2.9000000000000057</c:v>
                </c:pt>
                <c:pt idx="8">
                  <c:v>5.4000000000000057</c:v>
                </c:pt>
                <c:pt idx="9">
                  <c:v>6.0999999999999943</c:v>
                </c:pt>
                <c:pt idx="10">
                  <c:v>6.4000000000000057</c:v>
                </c:pt>
                <c:pt idx="11">
                  <c:v>6.4000000000000057</c:v>
                </c:pt>
                <c:pt idx="12">
                  <c:v>6.9000000000000057</c:v>
                </c:pt>
                <c:pt idx="13">
                  <c:v>6.2000000000000028</c:v>
                </c:pt>
                <c:pt idx="14">
                  <c:v>5.9000000000000057</c:v>
                </c:pt>
                <c:pt idx="15">
                  <c:v>5.9000000000000057</c:v>
                </c:pt>
                <c:pt idx="16">
                  <c:v>5.2999999999999972</c:v>
                </c:pt>
                <c:pt idx="17">
                  <c:v>5.2999999999999972</c:v>
                </c:pt>
                <c:pt idx="18">
                  <c:v>5.2999999999999972</c:v>
                </c:pt>
                <c:pt idx="19">
                  <c:v>5.2999999999999972</c:v>
                </c:pt>
                <c:pt idx="20">
                  <c:v>16.299999999999997</c:v>
                </c:pt>
                <c:pt idx="21">
                  <c:v>16.299999999999997</c:v>
                </c:pt>
                <c:pt idx="22">
                  <c:v>16.3</c:v>
                </c:pt>
                <c:pt idx="23">
                  <c:v>16.3</c:v>
                </c:pt>
              </c:numCache>
            </c:numRef>
          </c:val>
          <c:smooth val="0"/>
          <c:extLst>
            <c:ext xmlns:c16="http://schemas.microsoft.com/office/drawing/2014/chart" uri="{C3380CC4-5D6E-409C-BE32-E72D297353CC}">
              <c16:uniqueId val="{00000004-0083-4C61-9AD0-035390ADAD38}"/>
            </c:ext>
          </c:extLst>
        </c:ser>
        <c:dLbls>
          <c:showLegendKey val="0"/>
          <c:showVal val="0"/>
          <c:showCatName val="0"/>
          <c:showSerName val="0"/>
          <c:showPercent val="0"/>
          <c:showBubbleSize val="0"/>
        </c:dLbls>
        <c:marker val="1"/>
        <c:smooth val="0"/>
        <c:axId val="1717494240"/>
        <c:axId val="1718275936"/>
      </c:lineChart>
      <c:catAx>
        <c:axId val="171749424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718275936"/>
        <c:crosses val="autoZero"/>
        <c:auto val="1"/>
        <c:lblAlgn val="ctr"/>
        <c:lblOffset val="100"/>
        <c:noMultiLvlLbl val="0"/>
      </c:catAx>
      <c:valAx>
        <c:axId val="1718275936"/>
        <c:scaling>
          <c:orientation val="minMax"/>
          <c:max val="60"/>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717494240"/>
        <c:crosses val="autoZero"/>
        <c:crossBetween val="between"/>
        <c:majorUnit val="5"/>
      </c:valAx>
      <c:spPr>
        <a:noFill/>
        <a:ln>
          <a:solidFill>
            <a:schemeClr val="tx1"/>
          </a:solidFill>
        </a:ln>
        <a:effectLst/>
      </c:spPr>
    </c:plotArea>
    <c:legend>
      <c:legendPos val="b"/>
      <c:layout>
        <c:manualLayout>
          <c:xMode val="edge"/>
          <c:yMode val="edge"/>
          <c:x val="5.4913125880123238E-2"/>
          <c:y val="0.80408628841607566"/>
          <c:w val="0.93175198788738656"/>
          <c:h val="0.18321187943262413"/>
        </c:manualLayout>
      </c:layout>
      <c:overlay val="0"/>
      <c:spPr>
        <a:noFill/>
        <a:ln>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4495121574960907"/>
          <c:h val="0.67557130739459548"/>
        </c:manualLayout>
      </c:layout>
      <c:barChart>
        <c:barDir val="col"/>
        <c:grouping val="stacked"/>
        <c:varyColors val="0"/>
        <c:ser>
          <c:idx val="0"/>
          <c:order val="0"/>
          <c:tx>
            <c:strRef>
              <c:f>'Trh práce 1-SNÚ'!$AC$7</c:f>
              <c:strCache>
                <c:ptCount val="1"/>
                <c:pt idx="0">
                  <c:v>Agriculture, forestry and fishing</c:v>
                </c:pt>
              </c:strCache>
            </c:strRef>
          </c:tx>
          <c:spPr>
            <a:solidFill>
              <a:srgbClr val="7DBB2D"/>
            </a:solidFill>
            <a:ln>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1-SNÚ'!$AC$28:$AC$64</c:f>
              <c:numCache>
                <c:formatCode>#\ ##0.0</c:formatCode>
                <c:ptCount val="37"/>
                <c:pt idx="0">
                  <c:v>-5.6828505791380539E-2</c:v>
                </c:pt>
                <c:pt idx="1">
                  <c:v>-5.3414002474862214E-2</c:v>
                </c:pt>
                <c:pt idx="2">
                  <c:v>-6.9742710596297441E-2</c:v>
                </c:pt>
                <c:pt idx="3">
                  <c:v>-0.13971969588081989</c:v>
                </c:pt>
                <c:pt idx="4">
                  <c:v>-0.12487960810120247</c:v>
                </c:pt>
                <c:pt idx="5">
                  <c:v>-3.2190093204688595E-2</c:v>
                </c:pt>
                <c:pt idx="6">
                  <c:v>-4.495117850766725E-2</c:v>
                </c:pt>
                <c:pt idx="7">
                  <c:v>5.8087184963969855E-2</c:v>
                </c:pt>
                <c:pt idx="8">
                  <c:v>9.846996933516737E-2</c:v>
                </c:pt>
                <c:pt idx="9">
                  <c:v>3.525689638197721E-2</c:v>
                </c:pt>
                <c:pt idx="10">
                  <c:v>1.9943614652896617E-2</c:v>
                </c:pt>
                <c:pt idx="11">
                  <c:v>-9.3018884588644837E-2</c:v>
                </c:pt>
                <c:pt idx="12">
                  <c:v>2.8401707115870683E-2</c:v>
                </c:pt>
                <c:pt idx="13">
                  <c:v>3.0424969757692683E-2</c:v>
                </c:pt>
                <c:pt idx="14">
                  <c:v>1.7213942100793991E-2</c:v>
                </c:pt>
                <c:pt idx="15">
                  <c:v>8.3528120512972523E-2</c:v>
                </c:pt>
                <c:pt idx="16">
                  <c:v>-3.1494865390982861E-2</c:v>
                </c:pt>
                <c:pt idx="17">
                  <c:v>-9.3480094872355937E-2</c:v>
                </c:pt>
                <c:pt idx="18">
                  <c:v>-0.12508397994816237</c:v>
                </c:pt>
                <c:pt idx="19">
                  <c:v>-0.13226896814548539</c:v>
                </c:pt>
                <c:pt idx="20">
                  <c:v>-7.8919822387198829E-2</c:v>
                </c:pt>
                <c:pt idx="21">
                  <c:v>-1.5977001932115302E-3</c:v>
                </c:pt>
                <c:pt idx="22">
                  <c:v>9.3748963565408835E-2</c:v>
                </c:pt>
                <c:pt idx="23">
                  <c:v>7.7721007097125969E-2</c:v>
                </c:pt>
                <c:pt idx="24">
                  <c:v>4.0304610198826883E-2</c:v>
                </c:pt>
                <c:pt idx="25">
                  <c:v>-4.2078229095876003E-2</c:v>
                </c:pt>
                <c:pt idx="26">
                  <c:v>-6.3204140368347303E-2</c:v>
                </c:pt>
                <c:pt idx="27">
                  <c:v>-1.9871976866903434E-2</c:v>
                </c:pt>
                <c:pt idx="28">
                  <c:v>-6.7858193110616694E-2</c:v>
                </c:pt>
                <c:pt idx="29">
                  <c:v>3.2150994971479774E-2</c:v>
                </c:pt>
                <c:pt idx="30">
                  <c:v>-1.5470823458751904E-2</c:v>
                </c:pt>
                <c:pt idx="31">
                  <c:v>-0.10814649725202045</c:v>
                </c:pt>
                <c:pt idx="32">
                  <c:v>4.597764327810959E-2</c:v>
                </c:pt>
                <c:pt idx="33">
                  <c:v>2.1780539937939113E-2</c:v>
                </c:pt>
                <c:pt idx="34">
                  <c:v>6.3655276774792994E-3</c:v>
                </c:pt>
                <c:pt idx="35">
                  <c:v>2.6625080127719955E-2</c:v>
                </c:pt>
              </c:numCache>
            </c:numRef>
          </c:val>
          <c:extLst>
            <c:ext xmlns:c16="http://schemas.microsoft.com/office/drawing/2014/chart" uri="{C3380CC4-5D6E-409C-BE32-E72D297353CC}">
              <c16:uniqueId val="{00000000-289B-43AE-9336-10440033326B}"/>
            </c:ext>
          </c:extLst>
        </c:ser>
        <c:ser>
          <c:idx val="1"/>
          <c:order val="1"/>
          <c:tx>
            <c:strRef>
              <c:f>'Trh práce 1-SNÚ'!$AD$7</c:f>
              <c:strCache>
                <c:ptCount val="1"/>
                <c:pt idx="0">
                  <c:v>Manufacturing </c:v>
                </c:pt>
              </c:strCache>
            </c:strRef>
          </c:tx>
          <c:spPr>
            <a:solidFill>
              <a:srgbClr val="A6CDE8"/>
            </a:solidFill>
            <a:ln>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1-SNÚ'!$AD$28:$AD$64</c:f>
              <c:numCache>
                <c:formatCode>#\ ##0.0</c:formatCode>
                <c:ptCount val="37"/>
                <c:pt idx="0">
                  <c:v>0.89949329716318915</c:v>
                </c:pt>
                <c:pt idx="1">
                  <c:v>0.93127175953417007</c:v>
                </c:pt>
                <c:pt idx="2">
                  <c:v>0.7843757558148764</c:v>
                </c:pt>
                <c:pt idx="3">
                  <c:v>0.92631003282458235</c:v>
                </c:pt>
                <c:pt idx="4">
                  <c:v>0.87287644021507171</c:v>
                </c:pt>
                <c:pt idx="5">
                  <c:v>0.63654993177204455</c:v>
                </c:pt>
                <c:pt idx="6">
                  <c:v>0.6687331481290798</c:v>
                </c:pt>
                <c:pt idx="7">
                  <c:v>0.51800010991025447</c:v>
                </c:pt>
                <c:pt idx="8">
                  <c:v>0.25448906088853906</c:v>
                </c:pt>
                <c:pt idx="9">
                  <c:v>0.40500765768385577</c:v>
                </c:pt>
                <c:pt idx="10">
                  <c:v>0.49291118462601913</c:v>
                </c:pt>
                <c:pt idx="11">
                  <c:v>0.47964454670419909</c:v>
                </c:pt>
                <c:pt idx="12">
                  <c:v>0.34488863442030765</c:v>
                </c:pt>
                <c:pt idx="13">
                  <c:v>0.2913603015219437</c:v>
                </c:pt>
                <c:pt idx="14">
                  <c:v>9.8868388234755092E-2</c:v>
                </c:pt>
                <c:pt idx="15">
                  <c:v>9.0550890680990051E-2</c:v>
                </c:pt>
                <c:pt idx="16">
                  <c:v>0.14484299401542119</c:v>
                </c:pt>
                <c:pt idx="17">
                  <c:v>-1.8858080604667548E-2</c:v>
                </c:pt>
                <c:pt idx="18">
                  <c:v>-0.16365938471305239</c:v>
                </c:pt>
                <c:pt idx="19">
                  <c:v>-0.54941077591471077</c:v>
                </c:pt>
                <c:pt idx="20">
                  <c:v>-0.82546861976528974</c:v>
                </c:pt>
                <c:pt idx="21">
                  <c:v>-1.0955999520322608</c:v>
                </c:pt>
                <c:pt idx="22">
                  <c:v>-1.0803978434790316</c:v>
                </c:pt>
                <c:pt idx="23">
                  <c:v>-0.90789746373281621</c:v>
                </c:pt>
                <c:pt idx="24">
                  <c:v>-0.49316165113626664</c:v>
                </c:pt>
                <c:pt idx="25">
                  <c:v>-7.4509620655944575E-2</c:v>
                </c:pt>
                <c:pt idx="26">
                  <c:v>0.18158292508911653</c:v>
                </c:pt>
                <c:pt idx="27">
                  <c:v>0.32233404301981006</c:v>
                </c:pt>
                <c:pt idx="28">
                  <c:v>3.8225465944550771E-2</c:v>
                </c:pt>
                <c:pt idx="29">
                  <c:v>0.35386644203937817</c:v>
                </c:pt>
                <c:pt idx="30">
                  <c:v>0.17343313749973441</c:v>
                </c:pt>
                <c:pt idx="31">
                  <c:v>8.8561203763424315E-2</c:v>
                </c:pt>
                <c:pt idx="32">
                  <c:v>4.8447363211869106E-2</c:v>
                </c:pt>
                <c:pt idx="33">
                  <c:v>-0.20013957101662944</c:v>
                </c:pt>
                <c:pt idx="34">
                  <c:v>-0.41926263708584843</c:v>
                </c:pt>
                <c:pt idx="35">
                  <c:v>-0.33991964367196675</c:v>
                </c:pt>
              </c:numCache>
            </c:numRef>
          </c:val>
          <c:extLst>
            <c:ext xmlns:c16="http://schemas.microsoft.com/office/drawing/2014/chart" uri="{C3380CC4-5D6E-409C-BE32-E72D297353CC}">
              <c16:uniqueId val="{00000001-289B-43AE-9336-10440033326B}"/>
            </c:ext>
          </c:extLst>
        </c:ser>
        <c:ser>
          <c:idx val="2"/>
          <c:order val="2"/>
          <c:tx>
            <c:strRef>
              <c:f>'Trh práce 1-SNÚ'!$AE$7</c:f>
              <c:strCache>
                <c:ptCount val="1"/>
                <c:pt idx="0">
                  <c:v>Construction</c:v>
                </c:pt>
              </c:strCache>
            </c:strRef>
          </c:tx>
          <c:spPr>
            <a:solidFill>
              <a:srgbClr val="48AEE7"/>
            </a:solidFill>
            <a:ln w="19050">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1-SNÚ'!$AE$28:$AE$64</c:f>
              <c:numCache>
                <c:formatCode>#\ ##0.0</c:formatCode>
                <c:ptCount val="37"/>
                <c:pt idx="0">
                  <c:v>-0.11446239310279102</c:v>
                </c:pt>
                <c:pt idx="1">
                  <c:v>-0.10158864467757592</c:v>
                </c:pt>
                <c:pt idx="2">
                  <c:v>-0.15723882215178694</c:v>
                </c:pt>
                <c:pt idx="3">
                  <c:v>-0.18194332296049892</c:v>
                </c:pt>
                <c:pt idx="4">
                  <c:v>-0.11325522810856531</c:v>
                </c:pt>
                <c:pt idx="5">
                  <c:v>-0.12563587006311655</c:v>
                </c:pt>
                <c:pt idx="6">
                  <c:v>-2.3912252831191503E-2</c:v>
                </c:pt>
                <c:pt idx="7">
                  <c:v>9.7996904835013655E-3</c:v>
                </c:pt>
                <c:pt idx="8">
                  <c:v>-1.3015925682695844E-2</c:v>
                </c:pt>
                <c:pt idx="9">
                  <c:v>1.663061150093265E-2</c:v>
                </c:pt>
                <c:pt idx="10">
                  <c:v>7.5842717437158272E-2</c:v>
                </c:pt>
                <c:pt idx="11">
                  <c:v>-7.0108572985760911E-2</c:v>
                </c:pt>
                <c:pt idx="12">
                  <c:v>0.10624272535850564</c:v>
                </c:pt>
                <c:pt idx="13">
                  <c:v>6.6114358543656077E-2</c:v>
                </c:pt>
                <c:pt idx="14">
                  <c:v>6.2149037714554926E-2</c:v>
                </c:pt>
                <c:pt idx="15">
                  <c:v>0.11396633392024218</c:v>
                </c:pt>
                <c:pt idx="16">
                  <c:v>4.0824616446144449E-2</c:v>
                </c:pt>
                <c:pt idx="17">
                  <c:v>7.0404728663714888E-2</c:v>
                </c:pt>
                <c:pt idx="18">
                  <c:v>9.9779252707653199E-2</c:v>
                </c:pt>
                <c:pt idx="19">
                  <c:v>0.13486608895157276</c:v>
                </c:pt>
                <c:pt idx="20">
                  <c:v>2.933986408804317E-2</c:v>
                </c:pt>
                <c:pt idx="21">
                  <c:v>-0.22182322567588592</c:v>
                </c:pt>
                <c:pt idx="22">
                  <c:v>-0.10380928866499871</c:v>
                </c:pt>
                <c:pt idx="23">
                  <c:v>-5.7292436011891865E-2</c:v>
                </c:pt>
                <c:pt idx="24">
                  <c:v>-7.0787867107824684E-2</c:v>
                </c:pt>
                <c:pt idx="25">
                  <c:v>0.1427694418966676</c:v>
                </c:pt>
                <c:pt idx="26">
                  <c:v>-1.9848613983292209E-2</c:v>
                </c:pt>
                <c:pt idx="27">
                  <c:v>5.8388099330416852E-2</c:v>
                </c:pt>
                <c:pt idx="28">
                  <c:v>0.23211676197023084</c:v>
                </c:pt>
                <c:pt idx="29">
                  <c:v>0.27758956088391512</c:v>
                </c:pt>
                <c:pt idx="30">
                  <c:v>0.27910704340849291</c:v>
                </c:pt>
                <c:pt idx="31">
                  <c:v>0.25014916598053255</c:v>
                </c:pt>
                <c:pt idx="32">
                  <c:v>0.25347125635952983</c:v>
                </c:pt>
                <c:pt idx="33">
                  <c:v>0.20527838858385097</c:v>
                </c:pt>
                <c:pt idx="34">
                  <c:v>0.15840441353035667</c:v>
                </c:pt>
                <c:pt idx="35">
                  <c:v>2.4678694959762496E-2</c:v>
                </c:pt>
              </c:numCache>
            </c:numRef>
          </c:val>
          <c:extLst>
            <c:ext xmlns:c16="http://schemas.microsoft.com/office/drawing/2014/chart" uri="{C3380CC4-5D6E-409C-BE32-E72D297353CC}">
              <c16:uniqueId val="{00000002-289B-43AE-9336-10440033326B}"/>
            </c:ext>
          </c:extLst>
        </c:ser>
        <c:ser>
          <c:idx val="3"/>
          <c:order val="3"/>
          <c:tx>
            <c:strRef>
              <c:f>'Trh práce 1-SNÚ'!$AF$7</c:f>
              <c:strCache>
                <c:ptCount val="1"/>
                <c:pt idx="0">
                  <c:v>Trade, transport, accommod., food service</c:v>
                </c:pt>
              </c:strCache>
            </c:strRef>
          </c:tx>
          <c:spPr>
            <a:solidFill>
              <a:srgbClr val="FDDEB3"/>
            </a:solidFill>
            <a:ln w="19050">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1-SNÚ'!$AF$28:$AF$64</c:f>
              <c:numCache>
                <c:formatCode>#\ ##0.0</c:formatCode>
                <c:ptCount val="37"/>
                <c:pt idx="0">
                  <c:v>0.22921943798120273</c:v>
                </c:pt>
                <c:pt idx="1">
                  <c:v>0.48955640475490908</c:v>
                </c:pt>
                <c:pt idx="2">
                  <c:v>0.32927866250413385</c:v>
                </c:pt>
                <c:pt idx="3">
                  <c:v>0.1661289386483682</c:v>
                </c:pt>
                <c:pt idx="4">
                  <c:v>8.1370659948460294E-2</c:v>
                </c:pt>
                <c:pt idx="5">
                  <c:v>0.2325054365383589</c:v>
                </c:pt>
                <c:pt idx="6">
                  <c:v>-6.9229828761272171E-3</c:v>
                </c:pt>
                <c:pt idx="7">
                  <c:v>7.0307975449277429E-2</c:v>
                </c:pt>
                <c:pt idx="8">
                  <c:v>0.16752509340503532</c:v>
                </c:pt>
                <c:pt idx="9">
                  <c:v>4.884648177988218E-3</c:v>
                </c:pt>
                <c:pt idx="10">
                  <c:v>0.35735158674247325</c:v>
                </c:pt>
                <c:pt idx="11">
                  <c:v>0.18418833710391025</c:v>
                </c:pt>
                <c:pt idx="12">
                  <c:v>0.15244258448001147</c:v>
                </c:pt>
                <c:pt idx="13">
                  <c:v>0.40230652744870238</c:v>
                </c:pt>
                <c:pt idx="14">
                  <c:v>0.21159735322599366</c:v>
                </c:pt>
                <c:pt idx="15">
                  <c:v>0.22968370337309346</c:v>
                </c:pt>
                <c:pt idx="16">
                  <c:v>0.43610558013709599</c:v>
                </c:pt>
                <c:pt idx="17">
                  <c:v>0.11493484477903337</c:v>
                </c:pt>
                <c:pt idx="18">
                  <c:v>-1.6666789714208444E-2</c:v>
                </c:pt>
                <c:pt idx="19">
                  <c:v>-4.3580055512076089E-2</c:v>
                </c:pt>
                <c:pt idx="20">
                  <c:v>-0.11338864767860295</c:v>
                </c:pt>
                <c:pt idx="21">
                  <c:v>-0.57012186779599949</c:v>
                </c:pt>
                <c:pt idx="22">
                  <c:v>-0.41759561915220639</c:v>
                </c:pt>
                <c:pt idx="23">
                  <c:v>-0.99268065558519958</c:v>
                </c:pt>
                <c:pt idx="24">
                  <c:v>-0.85371650200457683</c:v>
                </c:pt>
                <c:pt idx="25">
                  <c:v>-0.15752122069655991</c:v>
                </c:pt>
                <c:pt idx="26">
                  <c:v>0.24002189726109685</c:v>
                </c:pt>
                <c:pt idx="27">
                  <c:v>0.74079782964767293</c:v>
                </c:pt>
                <c:pt idx="28">
                  <c:v>0.53515652322371077</c:v>
                </c:pt>
                <c:pt idx="29">
                  <c:v>0.98687301589970389</c:v>
                </c:pt>
                <c:pt idx="30">
                  <c:v>0.46477551965324987</c:v>
                </c:pt>
                <c:pt idx="31">
                  <c:v>0.26165134498379722</c:v>
                </c:pt>
                <c:pt idx="32">
                  <c:v>8.5734563414794809E-2</c:v>
                </c:pt>
                <c:pt idx="33">
                  <c:v>5.1461326100218863E-2</c:v>
                </c:pt>
                <c:pt idx="34">
                  <c:v>7.1543394646020955E-2</c:v>
                </c:pt>
                <c:pt idx="35">
                  <c:v>8.3804734967526814E-2</c:v>
                </c:pt>
              </c:numCache>
            </c:numRef>
          </c:val>
          <c:extLst>
            <c:ext xmlns:c16="http://schemas.microsoft.com/office/drawing/2014/chart" uri="{C3380CC4-5D6E-409C-BE32-E72D297353CC}">
              <c16:uniqueId val="{00000003-289B-43AE-9336-10440033326B}"/>
            </c:ext>
          </c:extLst>
        </c:ser>
        <c:ser>
          <c:idx val="4"/>
          <c:order val="4"/>
          <c:tx>
            <c:strRef>
              <c:f>'Trh práce 1-SNÚ'!$AG$7</c:f>
              <c:strCache>
                <c:ptCount val="1"/>
                <c:pt idx="0">
                  <c:v>Information and communication</c:v>
                </c:pt>
              </c:strCache>
            </c:strRef>
          </c:tx>
          <c:spPr>
            <a:solidFill>
              <a:srgbClr val="F8A124"/>
            </a:solidFill>
            <a:ln w="19050">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1-SNÚ'!$AG$28:$AG$64</c:f>
              <c:numCache>
                <c:formatCode>#\ ##0.0</c:formatCode>
                <c:ptCount val="37"/>
                <c:pt idx="0">
                  <c:v>1.6421925627927457E-2</c:v>
                </c:pt>
                <c:pt idx="1">
                  <c:v>5.8810347324453359E-2</c:v>
                </c:pt>
                <c:pt idx="2">
                  <c:v>6.8432712948427551E-2</c:v>
                </c:pt>
                <c:pt idx="3">
                  <c:v>9.7009172732417576E-2</c:v>
                </c:pt>
                <c:pt idx="4">
                  <c:v>0.12024149989045076</c:v>
                </c:pt>
                <c:pt idx="5">
                  <c:v>0.11261710858129222</c:v>
                </c:pt>
                <c:pt idx="6">
                  <c:v>0.12964683530975846</c:v>
                </c:pt>
                <c:pt idx="7">
                  <c:v>0.16713276044214681</c:v>
                </c:pt>
                <c:pt idx="8">
                  <c:v>0.12903159219365584</c:v>
                </c:pt>
                <c:pt idx="9">
                  <c:v>0.13380514853321812</c:v>
                </c:pt>
                <c:pt idx="10">
                  <c:v>0.13863661271570704</c:v>
                </c:pt>
                <c:pt idx="11">
                  <c:v>0.12829019627380961</c:v>
                </c:pt>
                <c:pt idx="12">
                  <c:v>0.11921936740282588</c:v>
                </c:pt>
                <c:pt idx="13">
                  <c:v>0.14348820404813314</c:v>
                </c:pt>
                <c:pt idx="14">
                  <c:v>0.12461478215607252</c:v>
                </c:pt>
                <c:pt idx="15">
                  <c:v>0.14222506693054082</c:v>
                </c:pt>
                <c:pt idx="16">
                  <c:v>0.15100100067608449</c:v>
                </c:pt>
                <c:pt idx="17">
                  <c:v>8.7586944683397339E-2</c:v>
                </c:pt>
                <c:pt idx="18">
                  <c:v>0.13348197476539919</c:v>
                </c:pt>
                <c:pt idx="19">
                  <c:v>0.13584231166591765</c:v>
                </c:pt>
                <c:pt idx="20">
                  <c:v>0.12945571610776943</c:v>
                </c:pt>
                <c:pt idx="21">
                  <c:v>8.7230757675342163E-2</c:v>
                </c:pt>
                <c:pt idx="22">
                  <c:v>0.10732855989947061</c:v>
                </c:pt>
                <c:pt idx="23">
                  <c:v>7.3173108013897384E-2</c:v>
                </c:pt>
                <c:pt idx="24">
                  <c:v>6.8471510199846125E-2</c:v>
                </c:pt>
                <c:pt idx="25">
                  <c:v>0.13165868738071818</c:v>
                </c:pt>
                <c:pt idx="26">
                  <c:v>0.1041208011410886</c:v>
                </c:pt>
                <c:pt idx="27">
                  <c:v>3.910170353088413E-2</c:v>
                </c:pt>
                <c:pt idx="28">
                  <c:v>9.9089132084497059E-2</c:v>
                </c:pt>
                <c:pt idx="29">
                  <c:v>0.10416847644449227</c:v>
                </c:pt>
                <c:pt idx="30">
                  <c:v>0.11043415928068218</c:v>
                </c:pt>
                <c:pt idx="31">
                  <c:v>0.19349303709369228</c:v>
                </c:pt>
                <c:pt idx="32">
                  <c:v>0.16942650132046524</c:v>
                </c:pt>
                <c:pt idx="33">
                  <c:v>8.6994146502750919E-2</c:v>
                </c:pt>
                <c:pt idx="34">
                  <c:v>3.8761844330010835E-2</c:v>
                </c:pt>
                <c:pt idx="35">
                  <c:v>3.4373896551097766E-2</c:v>
                </c:pt>
              </c:numCache>
            </c:numRef>
          </c:val>
          <c:extLst>
            <c:ext xmlns:c16="http://schemas.microsoft.com/office/drawing/2014/chart" uri="{C3380CC4-5D6E-409C-BE32-E72D297353CC}">
              <c16:uniqueId val="{00000004-289B-43AE-9336-10440033326B}"/>
            </c:ext>
          </c:extLst>
        </c:ser>
        <c:ser>
          <c:idx val="5"/>
          <c:order val="5"/>
          <c:tx>
            <c:strRef>
              <c:f>'Trh práce 1-SNÚ'!$AH$7</c:f>
              <c:strCache>
                <c:ptCount val="1"/>
                <c:pt idx="0">
                  <c:v>Professional, scientific, technic.,admin. act.</c:v>
                </c:pt>
              </c:strCache>
            </c:strRef>
          </c:tx>
          <c:spPr>
            <a:solidFill>
              <a:srgbClr val="E8C0BE"/>
            </a:solidFill>
            <a:ln w="19050">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1-SNÚ'!$AH$28:$AH$64</c:f>
              <c:numCache>
                <c:formatCode>#\ ##0.0</c:formatCode>
                <c:ptCount val="37"/>
                <c:pt idx="0">
                  <c:v>0.10308883456383169</c:v>
                </c:pt>
                <c:pt idx="1">
                  <c:v>0.12282080877669456</c:v>
                </c:pt>
                <c:pt idx="2">
                  <c:v>0.25097208668743315</c:v>
                </c:pt>
                <c:pt idx="3">
                  <c:v>0.35868659590703367</c:v>
                </c:pt>
                <c:pt idx="4">
                  <c:v>0.23811542989926252</c:v>
                </c:pt>
                <c:pt idx="5">
                  <c:v>0.24004667467079344</c:v>
                </c:pt>
                <c:pt idx="6">
                  <c:v>0.25800163760363798</c:v>
                </c:pt>
                <c:pt idx="7">
                  <c:v>0.2636501041649455</c:v>
                </c:pt>
                <c:pt idx="8">
                  <c:v>0.41654784776603992</c:v>
                </c:pt>
                <c:pt idx="9">
                  <c:v>0.35593309894624653</c:v>
                </c:pt>
                <c:pt idx="10">
                  <c:v>0.30977182035627709</c:v>
                </c:pt>
                <c:pt idx="11">
                  <c:v>0.13772607419921484</c:v>
                </c:pt>
                <c:pt idx="12">
                  <c:v>0.14343992134911879</c:v>
                </c:pt>
                <c:pt idx="13">
                  <c:v>0.13539486233919026</c:v>
                </c:pt>
                <c:pt idx="14">
                  <c:v>0.10628305160717502</c:v>
                </c:pt>
                <c:pt idx="15">
                  <c:v>0.21824608829839115</c:v>
                </c:pt>
                <c:pt idx="16">
                  <c:v>-9.1442689268283577E-3</c:v>
                </c:pt>
                <c:pt idx="17">
                  <c:v>-3.3296298567616144E-2</c:v>
                </c:pt>
                <c:pt idx="18">
                  <c:v>-2.6633640706093892E-2</c:v>
                </c:pt>
                <c:pt idx="19">
                  <c:v>-0.20614876639524751</c:v>
                </c:pt>
                <c:pt idx="20">
                  <c:v>-0.13657008164791523</c:v>
                </c:pt>
                <c:pt idx="21">
                  <c:v>-0.27353729169983609</c:v>
                </c:pt>
                <c:pt idx="22">
                  <c:v>-0.43694239818987912</c:v>
                </c:pt>
                <c:pt idx="23">
                  <c:v>-0.20909243346063147</c:v>
                </c:pt>
                <c:pt idx="24">
                  <c:v>-0.17139188033514938</c:v>
                </c:pt>
                <c:pt idx="25">
                  <c:v>0.10134809862521428</c:v>
                </c:pt>
                <c:pt idx="26">
                  <c:v>0.19100069845358972</c:v>
                </c:pt>
                <c:pt idx="27">
                  <c:v>7.1176434253319529E-2</c:v>
                </c:pt>
                <c:pt idx="28">
                  <c:v>-2.0682741042304894E-3</c:v>
                </c:pt>
                <c:pt idx="29">
                  <c:v>-4.5508322923024244E-2</c:v>
                </c:pt>
                <c:pt idx="30">
                  <c:v>1.7441865870564049E-2</c:v>
                </c:pt>
                <c:pt idx="31">
                  <c:v>5.871871672102829E-2</c:v>
                </c:pt>
                <c:pt idx="32">
                  <c:v>0.17237902364729052</c:v>
                </c:pt>
                <c:pt idx="33">
                  <c:v>0.13830917174696347</c:v>
                </c:pt>
                <c:pt idx="34">
                  <c:v>0.23247934367923678</c:v>
                </c:pt>
                <c:pt idx="35">
                  <c:v>0.21869289953182391</c:v>
                </c:pt>
              </c:numCache>
            </c:numRef>
          </c:val>
          <c:extLst>
            <c:ext xmlns:c16="http://schemas.microsoft.com/office/drawing/2014/chart" uri="{C3380CC4-5D6E-409C-BE32-E72D297353CC}">
              <c16:uniqueId val="{00000005-289B-43AE-9336-10440033326B}"/>
            </c:ext>
          </c:extLst>
        </c:ser>
        <c:ser>
          <c:idx val="6"/>
          <c:order val="6"/>
          <c:tx>
            <c:strRef>
              <c:f>'Trh práce 1-SNÚ'!$AI$7</c:f>
              <c:strCache>
                <c:ptCount val="1"/>
                <c:pt idx="0">
                  <c:v>Public admin, education, health, soc.work</c:v>
                </c:pt>
              </c:strCache>
            </c:strRef>
          </c:tx>
          <c:spPr>
            <a:solidFill>
              <a:srgbClr val="D58D8B"/>
            </a:solidFill>
            <a:ln>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1-SNÚ'!$AI$28:$AI$64</c:f>
              <c:numCache>
                <c:formatCode>#\ ##0.0</c:formatCode>
                <c:ptCount val="37"/>
                <c:pt idx="0">
                  <c:v>0.2031525775646241</c:v>
                </c:pt>
                <c:pt idx="1">
                  <c:v>0.21991576992497461</c:v>
                </c:pt>
                <c:pt idx="2">
                  <c:v>0.13142991326837999</c:v>
                </c:pt>
                <c:pt idx="3">
                  <c:v>0.14149199757097244</c:v>
                </c:pt>
                <c:pt idx="4">
                  <c:v>0.325463233483336</c:v>
                </c:pt>
                <c:pt idx="5">
                  <c:v>0.34066723563476009</c:v>
                </c:pt>
                <c:pt idx="6">
                  <c:v>0.44607921975090475</c:v>
                </c:pt>
                <c:pt idx="7">
                  <c:v>0.55251039247568279</c:v>
                </c:pt>
                <c:pt idx="8">
                  <c:v>0.46255274221280779</c:v>
                </c:pt>
                <c:pt idx="9">
                  <c:v>0.49230411325389428</c:v>
                </c:pt>
                <c:pt idx="10">
                  <c:v>0.5262645058931491</c:v>
                </c:pt>
                <c:pt idx="11">
                  <c:v>0.51878456833877995</c:v>
                </c:pt>
                <c:pt idx="12">
                  <c:v>0.44244887504378921</c:v>
                </c:pt>
                <c:pt idx="13">
                  <c:v>0.45935334574437608</c:v>
                </c:pt>
                <c:pt idx="14">
                  <c:v>0.30172836175807299</c:v>
                </c:pt>
                <c:pt idx="15">
                  <c:v>0.24009677638084359</c:v>
                </c:pt>
                <c:pt idx="16">
                  <c:v>0.20061747000522417</c:v>
                </c:pt>
                <c:pt idx="17">
                  <c:v>0.13283528847799517</c:v>
                </c:pt>
                <c:pt idx="18">
                  <c:v>0.15144076368225945</c:v>
                </c:pt>
                <c:pt idx="19">
                  <c:v>0.17428338345531022</c:v>
                </c:pt>
                <c:pt idx="20">
                  <c:v>0.34198589701119492</c:v>
                </c:pt>
                <c:pt idx="21">
                  <c:v>0.27678778519636987</c:v>
                </c:pt>
                <c:pt idx="22">
                  <c:v>0.37818346642688999</c:v>
                </c:pt>
                <c:pt idx="23">
                  <c:v>0.32123696939097551</c:v>
                </c:pt>
                <c:pt idx="24">
                  <c:v>0.17763677855905954</c:v>
                </c:pt>
                <c:pt idx="25">
                  <c:v>0.30954336863438126</c:v>
                </c:pt>
                <c:pt idx="26">
                  <c:v>0.28418412534868653</c:v>
                </c:pt>
                <c:pt idx="27">
                  <c:v>0.35355873670896537</c:v>
                </c:pt>
                <c:pt idx="28">
                  <c:v>0.4401475318721047</c:v>
                </c:pt>
                <c:pt idx="29">
                  <c:v>0.41450684278163463</c:v>
                </c:pt>
                <c:pt idx="30">
                  <c:v>0.41676390165986349</c:v>
                </c:pt>
                <c:pt idx="31">
                  <c:v>0.50271397537047446</c:v>
                </c:pt>
                <c:pt idx="32">
                  <c:v>0.52222506539187241</c:v>
                </c:pt>
                <c:pt idx="33">
                  <c:v>0.41869476228305291</c:v>
                </c:pt>
                <c:pt idx="34">
                  <c:v>0.26331638121768841</c:v>
                </c:pt>
                <c:pt idx="35">
                  <c:v>0.28573301508100013</c:v>
                </c:pt>
              </c:numCache>
            </c:numRef>
          </c:val>
          <c:extLst>
            <c:ext xmlns:c16="http://schemas.microsoft.com/office/drawing/2014/chart" uri="{C3380CC4-5D6E-409C-BE32-E72D297353CC}">
              <c16:uniqueId val="{00000006-289B-43AE-9336-10440033326B}"/>
            </c:ext>
          </c:extLst>
        </c:ser>
        <c:ser>
          <c:idx val="7"/>
          <c:order val="7"/>
          <c:tx>
            <c:strRef>
              <c:f>'Trh práce 1-SNÚ'!$AJ$7</c:f>
              <c:strCache>
                <c:ptCount val="1"/>
                <c:pt idx="0">
                  <c:v>Other branches*</c:v>
                </c:pt>
              </c:strCache>
            </c:strRef>
          </c:tx>
          <c:spPr>
            <a:solidFill>
              <a:schemeClr val="bg1">
                <a:lumMod val="85000"/>
              </a:schemeClr>
            </a:solidFill>
            <a:ln>
              <a:noFill/>
            </a:ln>
          </c:spPr>
          <c:invertIfNegative val="0"/>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1-SNÚ'!$AJ$28:$AJ$64</c:f>
              <c:numCache>
                <c:formatCode>#\ ##0.0</c:formatCode>
                <c:ptCount val="37"/>
                <c:pt idx="0">
                  <c:v>-5.8105330152403607E-2</c:v>
                </c:pt>
                <c:pt idx="1">
                  <c:v>7.4822774223603811E-2</c:v>
                </c:pt>
                <c:pt idx="2">
                  <c:v>5.2908263210984269E-2</c:v>
                </c:pt>
                <c:pt idx="3">
                  <c:v>-1.0886996096651561E-2</c:v>
                </c:pt>
                <c:pt idx="4">
                  <c:v>0.13489326432190499</c:v>
                </c:pt>
                <c:pt idx="5">
                  <c:v>7.1998572758000312E-2</c:v>
                </c:pt>
                <c:pt idx="6">
                  <c:v>0.10095213191232864</c:v>
                </c:pt>
                <c:pt idx="7">
                  <c:v>0.17975706759442206</c:v>
                </c:pt>
                <c:pt idx="8">
                  <c:v>-3.4575344434650185E-2</c:v>
                </c:pt>
                <c:pt idx="9">
                  <c:v>7.1083985158272162E-3</c:v>
                </c:pt>
                <c:pt idx="10">
                  <c:v>3.3733199641470847E-2</c:v>
                </c:pt>
                <c:pt idx="11">
                  <c:v>2.2834824579480675E-2</c:v>
                </c:pt>
                <c:pt idx="12">
                  <c:v>0.20382180000527356</c:v>
                </c:pt>
                <c:pt idx="13">
                  <c:v>0.20098465243874819</c:v>
                </c:pt>
                <c:pt idx="14">
                  <c:v>1.3096754650279416E-2</c:v>
                </c:pt>
                <c:pt idx="15">
                  <c:v>1.4976942215082494E-2</c:v>
                </c:pt>
                <c:pt idx="16">
                  <c:v>-3.6076273960813698E-2</c:v>
                </c:pt>
                <c:pt idx="17">
                  <c:v>2.1528414284039416E-2</c:v>
                </c:pt>
                <c:pt idx="18">
                  <c:v>0.11899312656423239</c:v>
                </c:pt>
                <c:pt idx="19">
                  <c:v>0.11806769054624167</c:v>
                </c:pt>
                <c:pt idx="20">
                  <c:v>-0.14230569417640487</c:v>
                </c:pt>
                <c:pt idx="21">
                  <c:v>-0.35283464151923138</c:v>
                </c:pt>
                <c:pt idx="22">
                  <c:v>-0.32618669457516364</c:v>
                </c:pt>
                <c:pt idx="23">
                  <c:v>-0.43498990865563203</c:v>
                </c:pt>
                <c:pt idx="24">
                  <c:v>-0.14203900559724511</c:v>
                </c:pt>
                <c:pt idx="25">
                  <c:v>5.2288111624045716E-2</c:v>
                </c:pt>
                <c:pt idx="26">
                  <c:v>-2.6396030127119215E-2</c:v>
                </c:pt>
                <c:pt idx="27">
                  <c:v>9.1180639103177627E-2</c:v>
                </c:pt>
                <c:pt idx="28">
                  <c:v>-1.9140936710060362E-2</c:v>
                </c:pt>
                <c:pt idx="29">
                  <c:v>3.0656468767111145E-2</c:v>
                </c:pt>
                <c:pt idx="30">
                  <c:v>-8.2151560145151362E-2</c:v>
                </c:pt>
                <c:pt idx="31">
                  <c:v>-5.0394037894755918E-2</c:v>
                </c:pt>
                <c:pt idx="32">
                  <c:v>3.0267996180661803E-2</c:v>
                </c:pt>
                <c:pt idx="33">
                  <c:v>0.10467826247251343</c:v>
                </c:pt>
                <c:pt idx="34">
                  <c:v>8.9887854811667361E-2</c:v>
                </c:pt>
                <c:pt idx="35">
                  <c:v>0.10633506139284571</c:v>
                </c:pt>
              </c:numCache>
            </c:numRef>
          </c:val>
          <c:extLst>
            <c:ext xmlns:c16="http://schemas.microsoft.com/office/drawing/2014/chart" uri="{C3380CC4-5D6E-409C-BE32-E72D297353CC}">
              <c16:uniqueId val="{00000007-289B-43AE-9336-10440033326B}"/>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Total employment</c:v>
                </c:pt>
              </c:strCache>
            </c:strRef>
          </c:tx>
          <c:spPr>
            <a:ln w="19050">
              <a:solidFill>
                <a:schemeClr val="tx1">
                  <a:lumMod val="95000"/>
                  <a:lumOff val="5000"/>
                </a:schemeClr>
              </a:solidFill>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1-SNÚ'!$AK$28:$AK$64</c:f>
              <c:numCache>
                <c:formatCode>#\ ##0.0</c:formatCode>
                <c:ptCount val="37"/>
                <c:pt idx="0">
                  <c:v>1.2219798438542</c:v>
                </c:pt>
                <c:pt idx="1">
                  <c:v>1.7421952173863673</c:v>
                </c:pt>
                <c:pt idx="2">
                  <c:v>1.3904158616861508</c:v>
                </c:pt>
                <c:pt idx="3">
                  <c:v>1.3570767227454041</c:v>
                </c:pt>
                <c:pt idx="4">
                  <c:v>1.5348256915487184</c:v>
                </c:pt>
                <c:pt idx="5">
                  <c:v>1.4765589966874444</c:v>
                </c:pt>
                <c:pt idx="6">
                  <c:v>1.5276265584907236</c:v>
                </c:pt>
                <c:pt idx="7">
                  <c:v>1.8192452854842003</c:v>
                </c:pt>
                <c:pt idx="8">
                  <c:v>1.4810250356838992</c:v>
                </c:pt>
                <c:pt idx="9">
                  <c:v>1.4509305729939399</c:v>
                </c:pt>
                <c:pt idx="10">
                  <c:v>1.9544552420651513</c:v>
                </c:pt>
                <c:pt idx="11">
                  <c:v>1.3083410896249887</c:v>
                </c:pt>
                <c:pt idx="12">
                  <c:v>1.5409056151757028</c:v>
                </c:pt>
                <c:pt idx="13">
                  <c:v>1.7294272218424425</c:v>
                </c:pt>
                <c:pt idx="14">
                  <c:v>0.93555167144769769</c:v>
                </c:pt>
                <c:pt idx="15">
                  <c:v>1.1332739223121564</c:v>
                </c:pt>
                <c:pt idx="16">
                  <c:v>0.89667625300134546</c:v>
                </c:pt>
                <c:pt idx="17">
                  <c:v>0.28165574684354056</c:v>
                </c:pt>
                <c:pt idx="18">
                  <c:v>0.17165132263802718</c:v>
                </c:pt>
                <c:pt idx="19">
                  <c:v>-0.36834909134847749</c:v>
                </c:pt>
                <c:pt idx="20">
                  <c:v>-0.7958713884484041</c:v>
                </c:pt>
                <c:pt idx="21">
                  <c:v>-2.1514961360447131</c:v>
                </c:pt>
                <c:pt idx="22">
                  <c:v>-1.7856708541695099</c:v>
                </c:pt>
                <c:pt idx="23">
                  <c:v>-2.1298218129441722</c:v>
                </c:pt>
                <c:pt idx="24">
                  <c:v>-1.44468400722333</c:v>
                </c:pt>
                <c:pt idx="25">
                  <c:v>0.46349863771264666</c:v>
                </c:pt>
                <c:pt idx="26">
                  <c:v>0.89146166281481953</c:v>
                </c:pt>
                <c:pt idx="27">
                  <c:v>1.6566655087273432</c:v>
                </c:pt>
                <c:pt idx="28">
                  <c:v>1.2556680111701866</c:v>
                </c:pt>
                <c:pt idx="29">
                  <c:v>2.1543034788646906</c:v>
                </c:pt>
                <c:pt idx="30">
                  <c:v>1.3643332437686837</c:v>
                </c:pt>
                <c:pt idx="31">
                  <c:v>1.1967469087661726</c:v>
                </c:pt>
                <c:pt idx="32">
                  <c:v>1.3279294128045933</c:v>
                </c:pt>
                <c:pt idx="33">
                  <c:v>0.82705702661066027</c:v>
                </c:pt>
                <c:pt idx="34">
                  <c:v>0.44149612280661188</c:v>
                </c:pt>
                <c:pt idx="35">
                  <c:v>0.44032373893981003</c:v>
                </c:pt>
              </c:numCache>
            </c:numRef>
          </c:val>
          <c:smooth val="0"/>
          <c:extLst>
            <c:ext xmlns:c16="http://schemas.microsoft.com/office/drawing/2014/chart" uri="{C3380CC4-5D6E-409C-BE32-E72D297353CC}">
              <c16:uniqueId val="{00000008-289B-43AE-9336-10440033326B}"/>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1-SNÚ'!$AL$28:$AL$64</c:f>
              <c:numCache>
                <c:formatCode>General</c:formatCode>
                <c:ptCount val="37"/>
              </c:numCache>
            </c:numRef>
          </c:val>
          <c:smooth val="0"/>
          <c:extLst>
            <c:ext xmlns:c16="http://schemas.microsoft.com/office/drawing/2014/chart" uri="{C3380CC4-5D6E-409C-BE32-E72D297353CC}">
              <c16:uniqueId val="{00000009-289B-43AE-9336-10440033326B}"/>
            </c:ext>
          </c:extLst>
        </c:ser>
        <c:ser>
          <c:idx val="10"/>
          <c:order val="10"/>
          <c:tx>
            <c:strRef>
              <c:f>'Trh práce 1-SNÚ'!$AM$7</c:f>
              <c:strCache>
                <c:ptCount val="1"/>
                <c:pt idx="0">
                  <c:v>Employment expectations (industry)</c:v>
                </c:pt>
              </c:strCache>
            </c:strRef>
          </c:tx>
          <c:spPr>
            <a:ln w="15875">
              <a:solidFill>
                <a:schemeClr val="tx1">
                  <a:lumMod val="95000"/>
                  <a:lumOff val="5000"/>
                </a:schemeClr>
              </a:solidFill>
              <a:prstDash val="sysDot"/>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1-SNÚ'!$AM$28:$AM$64</c:f>
              <c:numCache>
                <c:formatCode>#\ ##0.0</c:formatCode>
                <c:ptCount val="37"/>
                <c:pt idx="0">
                  <c:v>-3</c:v>
                </c:pt>
                <c:pt idx="1">
                  <c:v>4.3</c:v>
                </c:pt>
                <c:pt idx="2">
                  <c:v>5.5</c:v>
                </c:pt>
                <c:pt idx="3">
                  <c:v>7.8</c:v>
                </c:pt>
                <c:pt idx="4">
                  <c:v>8.1999999999999993</c:v>
                </c:pt>
                <c:pt idx="5">
                  <c:v>9.9</c:v>
                </c:pt>
                <c:pt idx="6">
                  <c:v>3.8</c:v>
                </c:pt>
                <c:pt idx="7">
                  <c:v>9.5</c:v>
                </c:pt>
                <c:pt idx="8">
                  <c:v>11.1</c:v>
                </c:pt>
                <c:pt idx="9">
                  <c:v>5.7</c:v>
                </c:pt>
                <c:pt idx="10">
                  <c:v>8.1999999999999993</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pt idx="31">
                  <c:v>-9.9</c:v>
                </c:pt>
                <c:pt idx="32">
                  <c:v>-13.6</c:v>
                </c:pt>
                <c:pt idx="33">
                  <c:v>-5.8</c:v>
                </c:pt>
                <c:pt idx="34">
                  <c:v>-4.3</c:v>
                </c:pt>
                <c:pt idx="35">
                  <c:v>-8.3000000000000007</c:v>
                </c:pt>
                <c:pt idx="36">
                  <c:v>-6</c:v>
                </c:pt>
              </c:numCache>
            </c:numRef>
          </c:val>
          <c:smooth val="0"/>
          <c:extLst>
            <c:ext xmlns:c16="http://schemas.microsoft.com/office/drawing/2014/chart" uri="{C3380CC4-5D6E-409C-BE32-E72D297353CC}">
              <c16:uniqueId val="{0000000A-289B-43AE-9336-10440033326B}"/>
            </c:ext>
          </c:extLst>
        </c:ser>
        <c:ser>
          <c:idx val="11"/>
          <c:order val="11"/>
          <c:tx>
            <c:strRef>
              <c:f>'Trh práce 1-SNÚ'!$AN$7</c:f>
              <c:strCache>
                <c:ptCount val="1"/>
                <c:pt idx="0">
                  <c:v>Employment expectations (construction)</c:v>
                </c:pt>
              </c:strCache>
            </c:strRef>
          </c:tx>
          <c:spPr>
            <a:ln w="15875">
              <a:solidFill>
                <a:srgbClr val="00B0F0"/>
              </a:solidFill>
              <a:prstDash val="sysDot"/>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1-SNÚ'!$AN$28:$AN$64</c:f>
              <c:numCache>
                <c:formatCode>#\ ##0.0</c:formatCode>
                <c:ptCount val="37"/>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5.7</c:v>
                </c:pt>
                <c:pt idx="21">
                  <c:v>-4.2</c:v>
                </c:pt>
                <c:pt idx="22">
                  <c:v>1.5</c:v>
                </c:pt>
                <c:pt idx="23">
                  <c:v>-1.5</c:v>
                </c:pt>
                <c:pt idx="24">
                  <c:v>3.9</c:v>
                </c:pt>
                <c:pt idx="25">
                  <c:v>4.4000000000000004</c:v>
                </c:pt>
                <c:pt idx="26">
                  <c:v>4.0999999999999996</c:v>
                </c:pt>
                <c:pt idx="27">
                  <c:v>8.3000000000000007</c:v>
                </c:pt>
                <c:pt idx="28">
                  <c:v>9.6999999999999993</c:v>
                </c:pt>
                <c:pt idx="29">
                  <c:v>8</c:v>
                </c:pt>
                <c:pt idx="30">
                  <c:v>1.3</c:v>
                </c:pt>
                <c:pt idx="31">
                  <c:v>-1.5</c:v>
                </c:pt>
                <c:pt idx="32">
                  <c:v>-12.1</c:v>
                </c:pt>
                <c:pt idx="33">
                  <c:v>-13.4</c:v>
                </c:pt>
                <c:pt idx="34">
                  <c:v>-8.4</c:v>
                </c:pt>
                <c:pt idx="35">
                  <c:v>0.1</c:v>
                </c:pt>
                <c:pt idx="36">
                  <c:v>0.3</c:v>
                </c:pt>
              </c:numCache>
            </c:numRef>
          </c:val>
          <c:smooth val="0"/>
          <c:extLst>
            <c:ext xmlns:c16="http://schemas.microsoft.com/office/drawing/2014/chart" uri="{C3380CC4-5D6E-409C-BE32-E72D297353CC}">
              <c16:uniqueId val="{0000000B-289B-43AE-9336-10440033326B}"/>
            </c:ext>
          </c:extLst>
        </c:ser>
        <c:ser>
          <c:idx val="12"/>
          <c:order val="12"/>
          <c:tx>
            <c:strRef>
              <c:f>'Trh práce 1-SNÚ'!$AO$7</c:f>
              <c:strCache>
                <c:ptCount val="1"/>
                <c:pt idx="0">
                  <c:v>Employment expectations (trade)</c:v>
                </c:pt>
              </c:strCache>
            </c:strRef>
          </c:tx>
          <c:spPr>
            <a:ln w="15875">
              <a:solidFill>
                <a:schemeClr val="accent6">
                  <a:lumMod val="75000"/>
                </a:schemeClr>
              </a:solidFill>
              <a:prstDash val="sysDot"/>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1-SNÚ'!$AO$28:$AO$64</c:f>
              <c:numCache>
                <c:formatCode>#\ ##0.0</c:formatCode>
                <c:ptCount val="37"/>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c:v>
                </c:pt>
                <c:pt idx="24">
                  <c:v>5.3</c:v>
                </c:pt>
                <c:pt idx="25">
                  <c:v>13.1</c:v>
                </c:pt>
                <c:pt idx="26">
                  <c:v>10.8</c:v>
                </c:pt>
                <c:pt idx="27">
                  <c:v>8.5</c:v>
                </c:pt>
                <c:pt idx="28">
                  <c:v>10.3</c:v>
                </c:pt>
                <c:pt idx="29">
                  <c:v>3.3</c:v>
                </c:pt>
                <c:pt idx="30">
                  <c:v>5.2</c:v>
                </c:pt>
                <c:pt idx="31">
                  <c:v>12.6</c:v>
                </c:pt>
                <c:pt idx="32">
                  <c:v>11</c:v>
                </c:pt>
                <c:pt idx="33">
                  <c:v>9.4</c:v>
                </c:pt>
                <c:pt idx="34">
                  <c:v>10.8</c:v>
                </c:pt>
                <c:pt idx="35">
                  <c:v>10.4</c:v>
                </c:pt>
                <c:pt idx="36">
                  <c:v>5.9</c:v>
                </c:pt>
              </c:numCache>
            </c:numRef>
          </c:val>
          <c:smooth val="0"/>
          <c:extLst>
            <c:ext xmlns:c16="http://schemas.microsoft.com/office/drawing/2014/chart" uri="{C3380CC4-5D6E-409C-BE32-E72D297353CC}">
              <c16:uniqueId val="{0000000C-289B-43AE-9336-10440033326B}"/>
            </c:ext>
          </c:extLst>
        </c:ser>
        <c:ser>
          <c:idx val="13"/>
          <c:order val="13"/>
          <c:tx>
            <c:strRef>
              <c:f>'Trh práce 1-SNÚ'!$AP$7</c:f>
              <c:strCache>
                <c:ptCount val="1"/>
                <c:pt idx="0">
                  <c:v>Employment expectations (services)</c:v>
                </c:pt>
              </c:strCache>
            </c:strRef>
          </c:tx>
          <c:spPr>
            <a:ln w="15875">
              <a:solidFill>
                <a:srgbClr val="C00000"/>
              </a:solidFill>
              <a:prstDash val="sysDot"/>
            </a:ln>
          </c:spPr>
          <c:marker>
            <c:symbol val="none"/>
          </c:marker>
          <c:cat>
            <c:multiLvlStrRef>
              <c:f>'Trh práce 1-SNÚ'!$AA$28:$AB$64</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 1-SNÚ'!$AP$28:$AP$64</c:f>
              <c:numCache>
                <c:formatCode>#\ ##0.0</c:formatCode>
                <c:ptCount val="37"/>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-32.299999999999997</c:v>
                </c:pt>
                <c:pt idx="22">
                  <c:v>-28.6</c:v>
                </c:pt>
                <c:pt idx="23">
                  <c:v>-30.1</c:v>
                </c:pt>
                <c:pt idx="24">
                  <c:v>-27</c:v>
                </c:pt>
                <c:pt idx="25">
                  <c:v>-27.7</c:v>
                </c:pt>
                <c:pt idx="26">
                  <c:v>-12.1</c:v>
                </c:pt>
                <c:pt idx="27">
                  <c:v>-15.8</c:v>
                </c:pt>
                <c:pt idx="28">
                  <c:v>-6.8</c:v>
                </c:pt>
                <c:pt idx="29">
                  <c:v>-3.5</c:v>
                </c:pt>
                <c:pt idx="30">
                  <c:v>-6.1</c:v>
                </c:pt>
                <c:pt idx="31">
                  <c:v>-6.4</c:v>
                </c:pt>
                <c:pt idx="32">
                  <c:v>-10.7</c:v>
                </c:pt>
                <c:pt idx="33">
                  <c:v>-16.7</c:v>
                </c:pt>
                <c:pt idx="34">
                  <c:v>-14.5</c:v>
                </c:pt>
                <c:pt idx="35">
                  <c:v>-15.2</c:v>
                </c:pt>
                <c:pt idx="36">
                  <c:v>-23.7</c:v>
                </c:pt>
              </c:numCache>
            </c:numRef>
          </c:val>
          <c:smooth val="0"/>
          <c:extLst>
            <c:ext xmlns:c16="http://schemas.microsoft.com/office/drawing/2014/chart" uri="{C3380CC4-5D6E-409C-BE32-E72D297353CC}">
              <c16:uniqueId val="{0000000D-289B-43AE-9336-10440033326B}"/>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employment growth</a:t>
                </a:r>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Expectations of the employment</a:t>
                </a:r>
              </a:p>
            </c:rich>
          </c:tx>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1.5472457016488398E-2"/>
          <c:y val="0.78659148075240592"/>
          <c:w val="0.96005692595618608"/>
          <c:h val="0.20847386264216972"/>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5413005601973626"/>
        </c:manualLayout>
      </c:layout>
      <c:barChart>
        <c:barDir val="col"/>
        <c:grouping val="clustered"/>
        <c:varyColors val="0"/>
        <c:ser>
          <c:idx val="0"/>
          <c:order val="0"/>
          <c:tx>
            <c:strRef>
              <c:f>'Trh práce-2b'!$A$32</c:f>
              <c:strCache>
                <c:ptCount val="1"/>
                <c:pt idx="0">
                  <c:v>Male unemployment rate</c:v>
                </c:pt>
              </c:strCache>
            </c:strRef>
          </c:tx>
          <c:spPr>
            <a:solidFill>
              <a:srgbClr val="BCBCBC"/>
            </a:solidFill>
          </c:spPr>
          <c:invertIfNegative val="0"/>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práce-2b'!$B$32:$AL$32</c:f>
              <c:numCache>
                <c:formatCode>0.0</c:formatCode>
                <c:ptCount val="37"/>
                <c:pt idx="0">
                  <c:v>5.0127229973802683</c:v>
                </c:pt>
                <c:pt idx="1">
                  <c:v>4.344971267998706</c:v>
                </c:pt>
                <c:pt idx="2">
                  <c:v>4.0803742397692675</c:v>
                </c:pt>
                <c:pt idx="3">
                  <c:v>3.7770713466951258</c:v>
                </c:pt>
                <c:pt idx="4">
                  <c:v>3.6396891932459652</c:v>
                </c:pt>
                <c:pt idx="5">
                  <c:v>3.5687537265192675</c:v>
                </c:pt>
                <c:pt idx="6">
                  <c:v>3.3812772041673056</c:v>
                </c:pt>
                <c:pt idx="7">
                  <c:v>3.162515737162618</c:v>
                </c:pt>
                <c:pt idx="8">
                  <c:v>2.701416750357458</c:v>
                </c:pt>
                <c:pt idx="9">
                  <c:v>2.4643306568437211</c:v>
                </c:pt>
                <c:pt idx="10">
                  <c:v>2.2569671166364302</c:v>
                </c:pt>
                <c:pt idx="11">
                  <c:v>2.0563239983816275</c:v>
                </c:pt>
                <c:pt idx="12">
                  <c:v>1.8927077663033771</c:v>
                </c:pt>
                <c:pt idx="13">
                  <c:v>1.846305371558125</c:v>
                </c:pt>
                <c:pt idx="14">
                  <c:v>1.8898307203424392</c:v>
                </c:pt>
                <c:pt idx="15">
                  <c:v>1.6641409010523789</c:v>
                </c:pt>
                <c:pt idx="16">
                  <c:v>1.7975241549029839</c:v>
                </c:pt>
                <c:pt idx="17">
                  <c:v>1.6823584231173765</c:v>
                </c:pt>
                <c:pt idx="18">
                  <c:v>1.7680442309984998</c:v>
                </c:pt>
                <c:pt idx="19">
                  <c:v>1.8679911964312019</c:v>
                </c:pt>
                <c:pt idx="20">
                  <c:v>1.8315503817523053</c:v>
                </c:pt>
                <c:pt idx="21">
                  <c:v>2.2594744346943325</c:v>
                </c:pt>
                <c:pt idx="22">
                  <c:v>2.5262882214451419</c:v>
                </c:pt>
                <c:pt idx="23">
                  <c:v>2.5384491116047556</c:v>
                </c:pt>
                <c:pt idx="24">
                  <c:v>2.6633194438949488</c:v>
                </c:pt>
                <c:pt idx="25">
                  <c:v>2.5638539854623321</c:v>
                </c:pt>
                <c:pt idx="26">
                  <c:v>2.2766311388265756</c:v>
                </c:pt>
                <c:pt idx="27">
                  <c:v>1.9716311648762754</c:v>
                </c:pt>
                <c:pt idx="28">
                  <c:v>1.9655013551372782</c:v>
                </c:pt>
                <c:pt idx="29">
                  <c:v>1.9037308023713286</c:v>
                </c:pt>
                <c:pt idx="30">
                  <c:v>1.9272683524829173</c:v>
                </c:pt>
                <c:pt idx="31">
                  <c:v>2.0966113896413234</c:v>
                </c:pt>
                <c:pt idx="32">
                  <c:v>2.150428096435927</c:v>
                </c:pt>
                <c:pt idx="33">
                  <c:v>2.2448007049381857</c:v>
                </c:pt>
                <c:pt idx="34">
                  <c:v>2.3365957082373865</c:v>
                </c:pt>
                <c:pt idx="35">
                  <c:v>2.3173129275841213</c:v>
                </c:pt>
              </c:numCache>
            </c:numRef>
          </c:val>
          <c:extLst>
            <c:ext xmlns:c16="http://schemas.microsoft.com/office/drawing/2014/chart" uri="{C3380CC4-5D6E-409C-BE32-E72D297353CC}">
              <c16:uniqueId val="{00000000-DA13-42A0-A13F-A03279CE7EF6}"/>
            </c:ext>
          </c:extLst>
        </c:ser>
        <c:ser>
          <c:idx val="1"/>
          <c:order val="1"/>
          <c:tx>
            <c:strRef>
              <c:f>'Trh práce-2b'!$A$33</c:f>
              <c:strCache>
                <c:ptCount val="1"/>
                <c:pt idx="0">
                  <c:v>Female unemployment rate</c:v>
                </c:pt>
              </c:strCache>
            </c:strRef>
          </c:tx>
          <c:spPr>
            <a:solidFill>
              <a:schemeClr val="bg1">
                <a:lumMod val="95000"/>
              </a:schemeClr>
            </a:solidFill>
            <a:ln>
              <a:solidFill>
                <a:schemeClr val="bg1">
                  <a:lumMod val="65000"/>
                </a:schemeClr>
              </a:solidFill>
            </a:ln>
          </c:spPr>
          <c:invertIfNegative val="0"/>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práce-2b'!$B$33:$AL$33</c:f>
              <c:numCache>
                <c:formatCode>0.0</c:formatCode>
                <c:ptCount val="37"/>
                <c:pt idx="0">
                  <c:v>6.9232538003884407</c:v>
                </c:pt>
                <c:pt idx="1">
                  <c:v>6.1565512197823367</c:v>
                </c:pt>
                <c:pt idx="2">
                  <c:v>5.9883618216515044</c:v>
                </c:pt>
                <c:pt idx="3">
                  <c:v>5.6659771181246086</c:v>
                </c:pt>
                <c:pt idx="4">
                  <c:v>5.076161923772319</c:v>
                </c:pt>
                <c:pt idx="5">
                  <c:v>4.7824572088299755</c:v>
                </c:pt>
                <c:pt idx="6">
                  <c:v>4.8045499820344828</c:v>
                </c:pt>
                <c:pt idx="7">
                  <c:v>4.3778507209520425</c:v>
                </c:pt>
                <c:pt idx="8">
                  <c:v>4.2638953600644607</c:v>
                </c:pt>
                <c:pt idx="9">
                  <c:v>3.8950252684812661</c:v>
                </c:pt>
                <c:pt idx="10">
                  <c:v>3.4034762456862673</c:v>
                </c:pt>
                <c:pt idx="11">
                  <c:v>3.0200874915235345</c:v>
                </c:pt>
                <c:pt idx="12">
                  <c:v>2.9271977359410841</c:v>
                </c:pt>
                <c:pt idx="13">
                  <c:v>2.906735705669913</c:v>
                </c:pt>
                <c:pt idx="14">
                  <c:v>2.8715238120039879</c:v>
                </c:pt>
                <c:pt idx="15">
                  <c:v>2.6892823668724888</c:v>
                </c:pt>
                <c:pt idx="16">
                  <c:v>2.2239907801424086</c:v>
                </c:pt>
                <c:pt idx="17">
                  <c:v>2.4709749606754192</c:v>
                </c:pt>
                <c:pt idx="18">
                  <c:v>2.5681225207938794</c:v>
                </c:pt>
                <c:pt idx="19">
                  <c:v>2.4481064001613309</c:v>
                </c:pt>
                <c:pt idx="20">
                  <c:v>2.0492954589307941</c:v>
                </c:pt>
                <c:pt idx="21">
                  <c:v>2.7867626963401624</c:v>
                </c:pt>
                <c:pt idx="22">
                  <c:v>3.3740053396289817</c:v>
                </c:pt>
                <c:pt idx="23">
                  <c:v>3.8993777572129495</c:v>
                </c:pt>
                <c:pt idx="24">
                  <c:v>4.1612954196326095</c:v>
                </c:pt>
                <c:pt idx="25">
                  <c:v>3.8820940785423232</c:v>
                </c:pt>
                <c:pt idx="26">
                  <c:v>3.2720463783764466</c:v>
                </c:pt>
                <c:pt idx="27">
                  <c:v>2.7383712703829701</c:v>
                </c:pt>
                <c:pt idx="28">
                  <c:v>2.9938877769399794</c:v>
                </c:pt>
                <c:pt idx="29">
                  <c:v>3.2165836219864166</c:v>
                </c:pt>
                <c:pt idx="30">
                  <c:v>2.8917438518121927</c:v>
                </c:pt>
                <c:pt idx="31">
                  <c:v>2.8050708800737651</c:v>
                </c:pt>
                <c:pt idx="32">
                  <c:v>3.0293697792496812</c:v>
                </c:pt>
                <c:pt idx="33">
                  <c:v>3.1814107786807013</c:v>
                </c:pt>
                <c:pt idx="34">
                  <c:v>3.1932795686856212</c:v>
                </c:pt>
                <c:pt idx="35">
                  <c:v>3.3158533508605719</c:v>
                </c:pt>
              </c:numCache>
            </c:numRef>
          </c:val>
          <c:extLst>
            <c:ext xmlns:c16="http://schemas.microsoft.com/office/drawing/2014/chart" uri="{C3380CC4-5D6E-409C-BE32-E72D297353CC}">
              <c16:uniqueId val="{00000001-DA13-42A0-A13F-A03279CE7EF6}"/>
            </c:ext>
          </c:extLst>
        </c:ser>
        <c:dLbls>
          <c:showLegendKey val="0"/>
          <c:showVal val="0"/>
          <c:showCatName val="0"/>
          <c:showSerName val="0"/>
          <c:showPercent val="0"/>
          <c:showBubbleSize val="0"/>
        </c:dLbls>
        <c:gapWidth val="68"/>
        <c:axId val="100654464"/>
        <c:axId val="101647488"/>
      </c:barChart>
      <c:lineChart>
        <c:grouping val="standard"/>
        <c:varyColors val="0"/>
        <c:ser>
          <c:idx val="4"/>
          <c:order val="2"/>
          <c:tx>
            <c:strRef>
              <c:f>'Trh práce-2b'!$A$36</c:f>
              <c:strCache>
                <c:ptCount val="1"/>
                <c:pt idx="0">
                  <c:v>Economically inactive seeking empl. </c:v>
                </c:pt>
              </c:strCache>
            </c:strRef>
          </c:tx>
          <c:spPr>
            <a:ln w="19050">
              <a:solidFill>
                <a:schemeClr val="bg2">
                  <a:lumMod val="75000"/>
                </a:schemeClr>
              </a:solidFill>
              <a:prstDash val="sysDash"/>
            </a:ln>
          </c:spPr>
          <c:marker>
            <c:symbol val="none"/>
          </c:marker>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práce-2b'!$B$36:$AL$36</c:f>
              <c:numCache>
                <c:formatCode>0.0</c:formatCode>
                <c:ptCount val="37"/>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113.7</c:v>
                </c:pt>
                <c:pt idx="26">
                  <c:v>64.599999999999994</c:v>
                </c:pt>
                <c:pt idx="27">
                  <c:v>63.3</c:v>
                </c:pt>
                <c:pt idx="28">
                  <c:v>67</c:v>
                </c:pt>
                <c:pt idx="29">
                  <c:v>54.1</c:v>
                </c:pt>
                <c:pt idx="30">
                  <c:v>53.9</c:v>
                </c:pt>
                <c:pt idx="31">
                  <c:v>46.8</c:v>
                </c:pt>
                <c:pt idx="32">
                  <c:v>74</c:v>
                </c:pt>
                <c:pt idx="33">
                  <c:v>87.4</c:v>
                </c:pt>
                <c:pt idx="34">
                  <c:v>79.400000000000006</c:v>
                </c:pt>
                <c:pt idx="35">
                  <c:v>81.099999999999994</c:v>
                </c:pt>
              </c:numCache>
            </c:numRef>
          </c:val>
          <c:smooth val="0"/>
          <c:extLst>
            <c:ext xmlns:c16="http://schemas.microsoft.com/office/drawing/2014/chart" uri="{C3380CC4-5D6E-409C-BE32-E72D297353CC}">
              <c16:uniqueId val="{00000002-DA13-42A0-A13F-A03279CE7EF6}"/>
            </c:ext>
          </c:extLst>
        </c:ser>
        <c:ser>
          <c:idx val="5"/>
          <c:order val="3"/>
          <c:tx>
            <c:strRef>
              <c:f>'Trh práce-2b'!$A$37</c:f>
              <c:strCache>
                <c:ptCount val="1"/>
                <c:pt idx="0">
                  <c:v>Unemployment expectations</c:v>
                </c:pt>
              </c:strCache>
            </c:strRef>
          </c:tx>
          <c:spPr>
            <a:ln w="19050">
              <a:solidFill>
                <a:schemeClr val="accent6">
                  <a:lumMod val="75000"/>
                </a:schemeClr>
              </a:solidFill>
              <a:prstDash val="dash"/>
            </a:ln>
          </c:spPr>
          <c:marker>
            <c:symbol val="none"/>
          </c:marker>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práce-2b'!$B$37:$AL$37</c:f>
              <c:numCache>
                <c:formatCode>0.0</c:formatCode>
                <c:ptCount val="37"/>
                <c:pt idx="0">
                  <c:v>6</c:v>
                </c:pt>
                <c:pt idx="1">
                  <c:v>9</c:v>
                </c:pt>
                <c:pt idx="2">
                  <c:v>10</c:v>
                </c:pt>
                <c:pt idx="3">
                  <c:v>4</c:v>
                </c:pt>
                <c:pt idx="4">
                  <c:v>2</c:v>
                </c:pt>
                <c:pt idx="5">
                  <c:v>10</c:v>
                </c:pt>
                <c:pt idx="6">
                  <c:v>5</c:v>
                </c:pt>
                <c:pt idx="7">
                  <c:v>4</c:v>
                </c:pt>
                <c:pt idx="8">
                  <c:v>1</c:v>
                </c:pt>
                <c:pt idx="9">
                  <c:v>-3</c:v>
                </c:pt>
                <c:pt idx="10">
                  <c:v>0</c:v>
                </c:pt>
                <c:pt idx="11">
                  <c:v>-1</c:v>
                </c:pt>
                <c:pt idx="12">
                  <c:v>-1</c:v>
                </c:pt>
                <c:pt idx="13">
                  <c:v>-2</c:v>
                </c:pt>
                <c:pt idx="14">
                  <c:v>-2</c:v>
                </c:pt>
                <c:pt idx="15">
                  <c:v>4</c:v>
                </c:pt>
                <c:pt idx="16">
                  <c:v>8</c:v>
                </c:pt>
                <c:pt idx="17">
                  <c:v>8</c:v>
                </c:pt>
                <c:pt idx="18">
                  <c:v>11</c:v>
                </c:pt>
                <c:pt idx="19">
                  <c:v>12</c:v>
                </c:pt>
                <c:pt idx="20">
                  <c:v>18</c:v>
                </c:pt>
                <c:pt idx="21">
                  <c:v>49</c:v>
                </c:pt>
                <c:pt idx="22">
                  <c:v>46</c:v>
                </c:pt>
                <c:pt idx="23">
                  <c:v>60</c:v>
                </c:pt>
                <c:pt idx="24">
                  <c:v>57</c:v>
                </c:pt>
                <c:pt idx="25">
                  <c:v>24</c:v>
                </c:pt>
                <c:pt idx="26">
                  <c:v>16</c:v>
                </c:pt>
                <c:pt idx="27">
                  <c:v>20</c:v>
                </c:pt>
                <c:pt idx="28">
                  <c:v>14</c:v>
                </c:pt>
                <c:pt idx="29">
                  <c:v>20</c:v>
                </c:pt>
                <c:pt idx="30">
                  <c:v>26</c:v>
                </c:pt>
                <c:pt idx="31">
                  <c:v>40</c:v>
                </c:pt>
                <c:pt idx="32">
                  <c:v>35</c:v>
                </c:pt>
                <c:pt idx="33">
                  <c:v>29</c:v>
                </c:pt>
                <c:pt idx="34">
                  <c:v>25</c:v>
                </c:pt>
                <c:pt idx="35">
                  <c:v>17</c:v>
                </c:pt>
                <c:pt idx="36">
                  <c:v>25</c:v>
                </c:pt>
              </c:numCache>
            </c:numRef>
          </c:val>
          <c:smooth val="0"/>
          <c:extLst>
            <c:ext xmlns:c16="http://schemas.microsoft.com/office/drawing/2014/chart" uri="{C3380CC4-5D6E-409C-BE32-E72D297353CC}">
              <c16:uniqueId val="{00000003-DA13-42A0-A13F-A03279CE7EF6}"/>
            </c:ext>
          </c:extLst>
        </c:ser>
        <c:ser>
          <c:idx val="6"/>
          <c:order val="4"/>
          <c:tx>
            <c:strRef>
              <c:f>'Trh práce-2b'!$A$38</c:f>
              <c:strCache>
                <c:ptCount val="1"/>
                <c:pt idx="0">
                  <c:v>Vacancies for lower qualifications</c:v>
                </c:pt>
              </c:strCache>
            </c:strRef>
          </c:tx>
          <c:spPr>
            <a:ln>
              <a:noFill/>
            </a:ln>
          </c:spPr>
          <c:marker>
            <c:symbol val="circle"/>
            <c:size val="4"/>
            <c:spPr>
              <a:solidFill>
                <a:srgbClr val="8EB149"/>
              </a:solidFill>
              <a:ln>
                <a:noFill/>
              </a:ln>
            </c:spPr>
          </c:marker>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práce-2b'!$B$38:$AL$38</c:f>
              <c:numCache>
                <c:formatCode>0.0</c:formatCode>
                <c:ptCount val="37"/>
                <c:pt idx="0">
                  <c:v>31.7</c:v>
                </c:pt>
                <c:pt idx="1">
                  <c:v>39.700000000000003</c:v>
                </c:pt>
                <c:pt idx="2">
                  <c:v>44.4</c:v>
                </c:pt>
                <c:pt idx="3">
                  <c:v>41.2</c:v>
                </c:pt>
                <c:pt idx="4">
                  <c:v>45.3</c:v>
                </c:pt>
                <c:pt idx="5">
                  <c:v>51.4</c:v>
                </c:pt>
                <c:pt idx="6">
                  <c:v>52.8</c:v>
                </c:pt>
                <c:pt idx="7">
                  <c:v>47.2</c:v>
                </c:pt>
                <c:pt idx="8">
                  <c:v>51.5</c:v>
                </c:pt>
                <c:pt idx="9">
                  <c:v>59.1</c:v>
                </c:pt>
                <c:pt idx="10">
                  <c:v>63.1</c:v>
                </c:pt>
                <c:pt idx="11">
                  <c:v>60.9</c:v>
                </c:pt>
                <c:pt idx="12">
                  <c:v>65.3</c:v>
                </c:pt>
                <c:pt idx="13">
                  <c:v>73.3</c:v>
                </c:pt>
                <c:pt idx="14">
                  <c:v>74.2</c:v>
                </c:pt>
                <c:pt idx="15">
                  <c:v>70.400000000000006</c:v>
                </c:pt>
                <c:pt idx="16">
                  <c:v>70.2</c:v>
                </c:pt>
                <c:pt idx="17">
                  <c:v>68</c:v>
                </c:pt>
                <c:pt idx="18">
                  <c:v>65.8</c:v>
                </c:pt>
                <c:pt idx="19">
                  <c:v>59.1</c:v>
                </c:pt>
                <c:pt idx="20">
                  <c:v>57.7</c:v>
                </c:pt>
                <c:pt idx="21">
                  <c:v>54.3</c:v>
                </c:pt>
                <c:pt idx="22">
                  <c:v>49.1</c:v>
                </c:pt>
                <c:pt idx="23">
                  <c:v>46.6</c:v>
                </c:pt>
                <c:pt idx="24">
                  <c:v>47.9</c:v>
                </c:pt>
                <c:pt idx="25">
                  <c:v>53.9</c:v>
                </c:pt>
                <c:pt idx="26">
                  <c:v>55.5</c:v>
                </c:pt>
                <c:pt idx="27">
                  <c:v>48.9</c:v>
                </c:pt>
                <c:pt idx="28">
                  <c:v>53.7</c:v>
                </c:pt>
                <c:pt idx="29">
                  <c:v>51.3</c:v>
                </c:pt>
                <c:pt idx="30">
                  <c:v>48.2</c:v>
                </c:pt>
                <c:pt idx="31">
                  <c:v>43.887</c:v>
                </c:pt>
                <c:pt idx="32">
                  <c:v>43.122</c:v>
                </c:pt>
                <c:pt idx="33">
                  <c:v>42.853999999999999</c:v>
                </c:pt>
                <c:pt idx="34">
                  <c:v>41.186</c:v>
                </c:pt>
                <c:pt idx="35">
                  <c:v>38.177999999999997</c:v>
                </c:pt>
              </c:numCache>
            </c:numRef>
          </c:val>
          <c:smooth val="0"/>
          <c:extLst>
            <c:ext xmlns:c16="http://schemas.microsoft.com/office/drawing/2014/chart" uri="{C3380CC4-5D6E-409C-BE32-E72D297353CC}">
              <c16:uniqueId val="{00000004-DA13-42A0-A13F-A03279CE7EF6}"/>
            </c:ext>
          </c:extLst>
        </c:ser>
        <c:ser>
          <c:idx val="7"/>
          <c:order val="5"/>
          <c:tx>
            <c:strRef>
              <c:f>'Trh práce-2b'!$A$39</c:f>
              <c:strCache>
                <c:ptCount val="1"/>
                <c:pt idx="0">
                  <c:v>Vacancies for higher qualifications </c:v>
                </c:pt>
              </c:strCache>
            </c:strRef>
          </c:tx>
          <c:spPr>
            <a:ln>
              <a:noFill/>
            </a:ln>
          </c:spPr>
          <c:marker>
            <c:symbol val="diamond"/>
            <c:size val="5"/>
            <c:spPr>
              <a:solidFill>
                <a:srgbClr val="00B050"/>
              </a:solidFill>
              <a:ln>
                <a:noFill/>
              </a:ln>
            </c:spPr>
          </c:marker>
          <c:cat>
            <c:multiLvlStrRef>
              <c:f>'Trh práce-2b'!$B$30:$AL$31</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'Trh práce-2b'!$B$39:$AL$39</c:f>
              <c:numCache>
                <c:formatCode>0.0</c:formatCode>
                <c:ptCount val="37"/>
                <c:pt idx="0">
                  <c:v>16.600000000000001</c:v>
                </c:pt>
                <c:pt idx="1">
                  <c:v>19.3</c:v>
                </c:pt>
                <c:pt idx="2">
                  <c:v>20</c:v>
                </c:pt>
                <c:pt idx="3">
                  <c:v>19.600000000000001</c:v>
                </c:pt>
                <c:pt idx="4">
                  <c:v>23.4</c:v>
                </c:pt>
                <c:pt idx="5">
                  <c:v>24.8</c:v>
                </c:pt>
                <c:pt idx="6">
                  <c:v>25.2</c:v>
                </c:pt>
                <c:pt idx="7">
                  <c:v>23.5</c:v>
                </c:pt>
                <c:pt idx="8">
                  <c:v>25.9</c:v>
                </c:pt>
                <c:pt idx="9">
                  <c:v>30.3</c:v>
                </c:pt>
                <c:pt idx="10">
                  <c:v>31.4</c:v>
                </c:pt>
                <c:pt idx="11">
                  <c:v>31.8</c:v>
                </c:pt>
                <c:pt idx="12">
                  <c:v>34.299999999999997</c:v>
                </c:pt>
                <c:pt idx="13">
                  <c:v>38</c:v>
                </c:pt>
                <c:pt idx="14">
                  <c:v>37.200000000000003</c:v>
                </c:pt>
                <c:pt idx="15">
                  <c:v>36.6</c:v>
                </c:pt>
                <c:pt idx="16">
                  <c:v>37.299999999999997</c:v>
                </c:pt>
                <c:pt idx="17">
                  <c:v>38.299999999999997</c:v>
                </c:pt>
                <c:pt idx="18">
                  <c:v>38.6</c:v>
                </c:pt>
                <c:pt idx="19">
                  <c:v>36.299999999999997</c:v>
                </c:pt>
                <c:pt idx="20">
                  <c:v>37.700000000000003</c:v>
                </c:pt>
                <c:pt idx="21">
                  <c:v>38.1</c:v>
                </c:pt>
                <c:pt idx="22">
                  <c:v>34.4</c:v>
                </c:pt>
                <c:pt idx="23">
                  <c:v>34.1</c:v>
                </c:pt>
                <c:pt idx="24">
                  <c:v>36.299999999999997</c:v>
                </c:pt>
                <c:pt idx="25">
                  <c:v>39.6</c:v>
                </c:pt>
                <c:pt idx="26">
                  <c:v>40.299999999999997</c:v>
                </c:pt>
                <c:pt idx="27">
                  <c:v>39.200000000000003</c:v>
                </c:pt>
                <c:pt idx="28">
                  <c:v>42.5</c:v>
                </c:pt>
                <c:pt idx="29">
                  <c:v>41</c:v>
                </c:pt>
                <c:pt idx="30">
                  <c:v>38.5</c:v>
                </c:pt>
                <c:pt idx="31">
                  <c:v>36.56</c:v>
                </c:pt>
                <c:pt idx="32">
                  <c:v>37.613</c:v>
                </c:pt>
                <c:pt idx="33">
                  <c:v>38.130000000000003</c:v>
                </c:pt>
                <c:pt idx="34">
                  <c:v>36.289000000000001</c:v>
                </c:pt>
                <c:pt idx="35">
                  <c:v>34.274000000000001</c:v>
                </c:pt>
              </c:numCache>
            </c:numRef>
          </c:val>
          <c:smooth val="0"/>
          <c:extLst>
            <c:ext xmlns:c16="http://schemas.microsoft.com/office/drawing/2014/chart" uri="{C3380CC4-5D6E-409C-BE32-E72D297353CC}">
              <c16:uniqueId val="{00000005-DA13-42A0-A13F-A03279CE7EF6}"/>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Unemployment rate</a:t>
                </a:r>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a:t>Rate of ec. activity, Ec. inactive, Unemployment expectations</a:t>
                </a:r>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7.7707750087519942E-2"/>
          <c:y val="0.86344941601778169"/>
          <c:w val="0.87725909810586777"/>
          <c:h val="0.12604380165618712"/>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32E-2"/>
          <c:y val="2.0203894786331125E-2"/>
          <c:w val="0.94100987714831696"/>
          <c:h val="0.77070550409280203"/>
        </c:manualLayout>
      </c:layout>
      <c:barChart>
        <c:barDir val="col"/>
        <c:grouping val="clustered"/>
        <c:varyColors val="0"/>
        <c:ser>
          <c:idx val="4"/>
          <c:order val="1"/>
          <c:tx>
            <c:strRef>
              <c:f>'Trh práce 3'!$D$68</c:f>
              <c:strCache>
                <c:ptCount val="1"/>
                <c:pt idx="0">
                  <c:v>Total average wage (real)</c:v>
                </c:pt>
              </c:strCache>
            </c:strRef>
          </c:tx>
          <c:spPr>
            <a:solidFill>
              <a:srgbClr val="DBDBDB"/>
            </a:solidFill>
            <a:ln w="19050">
              <a:noFill/>
            </a:ln>
          </c:spPr>
          <c:invertIfNegative val="0"/>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3'!$D$69:$D$87</c:f>
              <c:numCache>
                <c:formatCode>#\ ##0.0</c:formatCode>
                <c:ptCount val="19"/>
                <c:pt idx="0">
                  <c:v>3</c:v>
                </c:pt>
                <c:pt idx="1">
                  <c:v>4</c:v>
                </c:pt>
                <c:pt idx="2">
                  <c:v>4.2999999999999972</c:v>
                </c:pt>
                <c:pt idx="3">
                  <c:v>1.4000000000000057</c:v>
                </c:pt>
                <c:pt idx="4">
                  <c:v>2.2999999999999972</c:v>
                </c:pt>
                <c:pt idx="5">
                  <c:v>0.70000000000000284</c:v>
                </c:pt>
                <c:pt idx="6">
                  <c:v>0.59999999999999432</c:v>
                </c:pt>
                <c:pt idx="7">
                  <c:v>-0.79999999999999716</c:v>
                </c:pt>
                <c:pt idx="8">
                  <c:v>-1.5</c:v>
                </c:pt>
                <c:pt idx="9">
                  <c:v>2.5</c:v>
                </c:pt>
                <c:pt idx="10">
                  <c:v>2.9000000000000057</c:v>
                </c:pt>
                <c:pt idx="11">
                  <c:v>3.7000000000000028</c:v>
                </c:pt>
                <c:pt idx="12">
                  <c:v>4.2000000000000028</c:v>
                </c:pt>
                <c:pt idx="13">
                  <c:v>5.9000000000000057</c:v>
                </c:pt>
                <c:pt idx="14">
                  <c:v>5</c:v>
                </c:pt>
                <c:pt idx="15">
                  <c:v>1.4000000000000057</c:v>
                </c:pt>
                <c:pt idx="16">
                  <c:v>1.9000000000000057</c:v>
                </c:pt>
                <c:pt idx="17">
                  <c:v>-8.5</c:v>
                </c:pt>
                <c:pt idx="18">
                  <c:v>-2.9000000000000057</c:v>
                </c:pt>
              </c:numCache>
            </c:numRef>
          </c:val>
          <c:extLst>
            <c:ext xmlns:c16="http://schemas.microsoft.com/office/drawing/2014/chart" uri="{C3380CC4-5D6E-409C-BE32-E72D297353CC}">
              <c16:uniqueId val="{00000000-CFF5-4625-A20D-C906BA4F79FD}"/>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3'!$C$68</c:f>
              <c:strCache>
                <c:ptCount val="1"/>
                <c:pt idx="0">
                  <c:v>Total average wage (nominal)</c:v>
                </c:pt>
              </c:strCache>
            </c:strRef>
          </c:tx>
          <c:spPr>
            <a:ln w="19050">
              <a:solidFill>
                <a:schemeClr val="tx1">
                  <a:lumMod val="95000"/>
                  <a:lumOff val="5000"/>
                </a:schemeClr>
              </a:solidFill>
              <a:prstDash val="sysDash"/>
            </a:ln>
          </c:spPr>
          <c:marker>
            <c:symbol val="none"/>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3'!$C$69:$C$87</c:f>
              <c:numCache>
                <c:formatCode>General</c:formatCode>
                <c:ptCount val="19"/>
                <c:pt idx="0" formatCode="0.0">
                  <c:v>5</c:v>
                </c:pt>
                <c:pt idx="1">
                  <c:v>6.5999999999999943</c:v>
                </c:pt>
                <c:pt idx="2">
                  <c:v>7.2000000000000028</c:v>
                </c:pt>
                <c:pt idx="3">
                  <c:v>7.7999999999999972</c:v>
                </c:pt>
                <c:pt idx="4" formatCode="#\ ##0.0">
                  <c:v>3.2999999999999972</c:v>
                </c:pt>
                <c:pt idx="5" formatCode="#\ ##0.0">
                  <c:v>2.2000000000000028</c:v>
                </c:pt>
                <c:pt idx="6" formatCode="#\ ##0.0">
                  <c:v>2.5</c:v>
                </c:pt>
                <c:pt idx="7" formatCode="#\ ##0.0">
                  <c:v>2.5</c:v>
                </c:pt>
                <c:pt idx="8" formatCode="#\ ##0.0">
                  <c:v>-9.9999999999994316E-2</c:v>
                </c:pt>
                <c:pt idx="9" formatCode="#\ ##0.0">
                  <c:v>2.9000000000000057</c:v>
                </c:pt>
                <c:pt idx="10" formatCode="#\ ##0.0">
                  <c:v>3.2000000000000028</c:v>
                </c:pt>
                <c:pt idx="11" formatCode="#\ ##0.0">
                  <c:v>4.4000000000000057</c:v>
                </c:pt>
                <c:pt idx="12" formatCode="#\ ##0.0">
                  <c:v>6.7999999999999972</c:v>
                </c:pt>
                <c:pt idx="13" formatCode="#\ ##0.0">
                  <c:v>8.0999999999999943</c:v>
                </c:pt>
                <c:pt idx="14" formatCode="#\ ##0.0">
                  <c:v>7.9000000000000057</c:v>
                </c:pt>
                <c:pt idx="15" formatCode="#\ ##0.0">
                  <c:v>4.5999999999999943</c:v>
                </c:pt>
                <c:pt idx="16" formatCode="#\ ##0.0">
                  <c:v>5.7999999999999972</c:v>
                </c:pt>
                <c:pt idx="17" formatCode="#\ ##0.0">
                  <c:v>5.2999999999999972</c:v>
                </c:pt>
                <c:pt idx="18" formatCode="#\ ##0.0">
                  <c:v>7.5</c:v>
                </c:pt>
              </c:numCache>
            </c:numRef>
          </c:val>
          <c:smooth val="0"/>
          <c:extLst>
            <c:ext xmlns:c16="http://schemas.microsoft.com/office/drawing/2014/chart" uri="{C3380CC4-5D6E-409C-BE32-E72D297353CC}">
              <c16:uniqueId val="{00000001-CFF5-4625-A20D-C906BA4F79FD}"/>
            </c:ext>
          </c:extLst>
        </c:ser>
        <c:ser>
          <c:idx val="5"/>
          <c:order val="2"/>
          <c:tx>
            <c:strRef>
              <c:f>'Trh práce 3'!$E$68</c:f>
              <c:strCache>
                <c:ptCount val="1"/>
                <c:pt idx="0">
                  <c:v>Wage in industry (nominal)</c:v>
                </c:pt>
              </c:strCache>
            </c:strRef>
          </c:tx>
          <c:spPr>
            <a:ln w="9525">
              <a:solidFill>
                <a:srgbClr val="C00000"/>
              </a:solidFill>
              <a:prstDash val="solid"/>
            </a:ln>
          </c:spPr>
          <c:marker>
            <c:symbol val="none"/>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3'!$E$69:$E$87</c:f>
              <c:numCache>
                <c:formatCode>0.0</c:formatCode>
                <c:ptCount val="19"/>
                <c:pt idx="0">
                  <c:v>4.7940779037659382</c:v>
                </c:pt>
                <c:pt idx="1">
                  <c:v>6.3912092840724455</c:v>
                </c:pt>
                <c:pt idx="2">
                  <c:v>7.0295621014912797</c:v>
                </c:pt>
                <c:pt idx="3">
                  <c:v>8.8966569839003427</c:v>
                </c:pt>
                <c:pt idx="4">
                  <c:v>2.2922506555746338</c:v>
                </c:pt>
                <c:pt idx="5">
                  <c:v>4.4817679558011037</c:v>
                </c:pt>
                <c:pt idx="6">
                  <c:v>3.1854139345996089</c:v>
                </c:pt>
                <c:pt idx="7">
                  <c:v>3.0337815677271323</c:v>
                </c:pt>
                <c:pt idx="8">
                  <c:v>0.81171414929173125</c:v>
                </c:pt>
                <c:pt idx="9">
                  <c:v>3.3154404799494728</c:v>
                </c:pt>
                <c:pt idx="10">
                  <c:v>2.6016198044009684</c:v>
                </c:pt>
                <c:pt idx="11">
                  <c:v>4.2558737014558545</c:v>
                </c:pt>
                <c:pt idx="12">
                  <c:v>6.8214285714285836</c:v>
                </c:pt>
                <c:pt idx="13">
                  <c:v>7.7465730524908025</c:v>
                </c:pt>
                <c:pt idx="14">
                  <c:v>6.6310857355633459</c:v>
                </c:pt>
                <c:pt idx="15">
                  <c:v>2.0282854149691616</c:v>
                </c:pt>
                <c:pt idx="16">
                  <c:v>5.1110920966315803</c:v>
                </c:pt>
                <c:pt idx="17">
                  <c:v>6.7511464466936104</c:v>
                </c:pt>
                <c:pt idx="18">
                  <c:v>8.8838616201926754</c:v>
                </c:pt>
              </c:numCache>
            </c:numRef>
          </c:val>
          <c:smooth val="0"/>
          <c:extLst>
            <c:ext xmlns:c16="http://schemas.microsoft.com/office/drawing/2014/chart" uri="{C3380CC4-5D6E-409C-BE32-E72D297353CC}">
              <c16:uniqueId val="{00000002-CFF5-4625-A20D-C906BA4F79FD}"/>
            </c:ext>
          </c:extLst>
        </c:ser>
        <c:ser>
          <c:idx val="1"/>
          <c:order val="3"/>
          <c:tx>
            <c:strRef>
              <c:f>'Trh práce 3'!$F$68</c:f>
              <c:strCache>
                <c:ptCount val="1"/>
                <c:pt idx="0">
                  <c:v>Wage in trade (nominal)</c:v>
                </c:pt>
              </c:strCache>
            </c:strRef>
          </c:tx>
          <c:spPr>
            <a:ln w="9525">
              <a:solidFill>
                <a:srgbClr val="0070C0"/>
              </a:solidFill>
              <a:prstDash val="solid"/>
            </a:ln>
          </c:spPr>
          <c:marker>
            <c:symbol val="none"/>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3'!$F$69:$F$87</c:f>
              <c:numCache>
                <c:formatCode>0.0</c:formatCode>
                <c:ptCount val="19"/>
                <c:pt idx="0">
                  <c:v>4.6374677953625394</c:v>
                </c:pt>
                <c:pt idx="1">
                  <c:v>6.9175753312228778</c:v>
                </c:pt>
                <c:pt idx="2">
                  <c:v>8.6796797894505886</c:v>
                </c:pt>
                <c:pt idx="3">
                  <c:v>7.6686342767771549</c:v>
                </c:pt>
                <c:pt idx="4">
                  <c:v>7.9658872592673902E-2</c:v>
                </c:pt>
                <c:pt idx="5">
                  <c:v>3.193182882292362</c:v>
                </c:pt>
                <c:pt idx="6">
                  <c:v>3.5117967332123357</c:v>
                </c:pt>
                <c:pt idx="7">
                  <c:v>2.25738581572719</c:v>
                </c:pt>
                <c:pt idx="8">
                  <c:v>-0.84015602897680708</c:v>
                </c:pt>
                <c:pt idx="9">
                  <c:v>3.3156097350105966</c:v>
                </c:pt>
                <c:pt idx="10">
                  <c:v>4.2301255230125605</c:v>
                </c:pt>
                <c:pt idx="11">
                  <c:v>4.7609489783629613</c:v>
                </c:pt>
                <c:pt idx="12">
                  <c:v>7.4453002260796382</c:v>
                </c:pt>
                <c:pt idx="13">
                  <c:v>6.9400855920113997</c:v>
                </c:pt>
                <c:pt idx="14">
                  <c:v>7.7869672513839703</c:v>
                </c:pt>
                <c:pt idx="15">
                  <c:v>3.5920918288419301</c:v>
                </c:pt>
                <c:pt idx="16">
                  <c:v>6.8723493220237657</c:v>
                </c:pt>
                <c:pt idx="17">
                  <c:v>5.7345666936813586</c:v>
                </c:pt>
                <c:pt idx="18">
                  <c:v>7.4216994846042041</c:v>
                </c:pt>
              </c:numCache>
            </c:numRef>
          </c:val>
          <c:smooth val="0"/>
          <c:extLst>
            <c:ext xmlns:c16="http://schemas.microsoft.com/office/drawing/2014/chart" uri="{C3380CC4-5D6E-409C-BE32-E72D297353CC}">
              <c16:uniqueId val="{00000003-CFF5-4625-A20D-C906BA4F79FD}"/>
            </c:ext>
          </c:extLst>
        </c:ser>
        <c:ser>
          <c:idx val="2"/>
          <c:order val="4"/>
          <c:tx>
            <c:strRef>
              <c:f>'Trh práce 3'!$G$68</c:f>
              <c:strCache>
                <c:ptCount val="1"/>
                <c:pt idx="0">
                  <c:v>Wage in public services (nominal)*</c:v>
                </c:pt>
              </c:strCache>
            </c:strRef>
          </c:tx>
          <c:spPr>
            <a:ln w="9525">
              <a:solidFill>
                <a:srgbClr val="00B050"/>
              </a:solidFill>
              <a:prstDash val="solid"/>
            </a:ln>
          </c:spPr>
          <c:marker>
            <c:symbol val="none"/>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3'!$G$69:$G$87</c:f>
              <c:numCache>
                <c:formatCode>0.0</c:formatCode>
                <c:ptCount val="19"/>
                <c:pt idx="0">
                  <c:v>5.7448429075864311</c:v>
                </c:pt>
                <c:pt idx="1">
                  <c:v>6.2139886096904462</c:v>
                </c:pt>
                <c:pt idx="2">
                  <c:v>6.5213266053676193</c:v>
                </c:pt>
                <c:pt idx="3">
                  <c:v>4.5033471199856336</c:v>
                </c:pt>
                <c:pt idx="4">
                  <c:v>5.6068124661603491</c:v>
                </c:pt>
                <c:pt idx="5">
                  <c:v>9.2548488337286017E-2</c:v>
                </c:pt>
                <c:pt idx="6">
                  <c:v>1.3745128342853405</c:v>
                </c:pt>
                <c:pt idx="7">
                  <c:v>1.9623700739873584</c:v>
                </c:pt>
                <c:pt idx="8">
                  <c:v>0.61373585270925446</c:v>
                </c:pt>
                <c:pt idx="9">
                  <c:v>2.5772633649077363</c:v>
                </c:pt>
                <c:pt idx="10">
                  <c:v>3.7559457553514335</c:v>
                </c:pt>
                <c:pt idx="11">
                  <c:v>4.9014309200953221</c:v>
                </c:pt>
                <c:pt idx="12">
                  <c:v>7.9550010446935602</c:v>
                </c:pt>
                <c:pt idx="13">
                  <c:v>10.160948468455345</c:v>
                </c:pt>
                <c:pt idx="14">
                  <c:v>9.5948437653510865</c:v>
                </c:pt>
                <c:pt idx="15">
                  <c:v>8.4588710877466298</c:v>
                </c:pt>
                <c:pt idx="16">
                  <c:v>6.4793472347561334</c:v>
                </c:pt>
                <c:pt idx="17">
                  <c:v>-0.32840483061907833</c:v>
                </c:pt>
                <c:pt idx="18">
                  <c:v>6.0570150780564092</c:v>
                </c:pt>
              </c:numCache>
            </c:numRef>
          </c:val>
          <c:smooth val="0"/>
          <c:extLst>
            <c:ext xmlns:c16="http://schemas.microsoft.com/office/drawing/2014/chart" uri="{C3380CC4-5D6E-409C-BE32-E72D297353CC}">
              <c16:uniqueId val="{00000004-CFF5-4625-A20D-C906BA4F79FD}"/>
            </c:ext>
          </c:extLst>
        </c:ser>
        <c:ser>
          <c:idx val="3"/>
          <c:order val="5"/>
          <c:tx>
            <c:strRef>
              <c:f>'Trh práce 3'!$H$68</c:f>
              <c:strCache>
                <c:ptCount val="1"/>
                <c:pt idx="0">
                  <c:v>Labour productivity (real) **</c:v>
                </c:pt>
              </c:strCache>
            </c:strRef>
          </c:tx>
          <c:spPr>
            <a:ln w="19050">
              <a:noFill/>
            </a:ln>
          </c:spPr>
          <c:marker>
            <c:symbol val="circle"/>
            <c:size val="5"/>
            <c:spPr>
              <a:solidFill>
                <a:srgbClr val="FFFF00"/>
              </a:solidFill>
              <a:ln w="6350">
                <a:solidFill>
                  <a:schemeClr val="bg1">
                    <a:lumMod val="50000"/>
                  </a:schemeClr>
                </a:solidFill>
              </a:ln>
            </c:spPr>
          </c:marker>
          <c:cat>
            <c:numRef>
              <c:f>'Trh práce 3'!$B$69:$B$87</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'Trh práce 3'!$H$69:$H$87</c:f>
              <c:numCache>
                <c:formatCode>0.0</c:formatCode>
                <c:ptCount val="19"/>
                <c:pt idx="0">
                  <c:v>4.5713394575752204</c:v>
                </c:pt>
                <c:pt idx="1">
                  <c:v>5.3472833196163378</c:v>
                </c:pt>
                <c:pt idx="2">
                  <c:v>3.4111927449918653</c:v>
                </c:pt>
                <c:pt idx="3">
                  <c:v>0.49743292194131072</c:v>
                </c:pt>
                <c:pt idx="4">
                  <c:v>-2.9038999100711038</c:v>
                </c:pt>
                <c:pt idx="5">
                  <c:v>3.5055662806927188</c:v>
                </c:pt>
                <c:pt idx="6">
                  <c:v>2.038859775320816</c:v>
                </c:pt>
                <c:pt idx="7">
                  <c:v>-1.2000143962854111</c:v>
                </c:pt>
                <c:pt idx="8">
                  <c:v>-0.36670152921877275</c:v>
                </c:pt>
                <c:pt idx="9">
                  <c:v>1.7009087106776519</c:v>
                </c:pt>
                <c:pt idx="10">
                  <c:v>3.9048243159536753</c:v>
                </c:pt>
                <c:pt idx="11">
                  <c:v>0.93254311265880574</c:v>
                </c:pt>
                <c:pt idx="12">
                  <c:v>3.5651110425764188</c:v>
                </c:pt>
                <c:pt idx="13">
                  <c:v>1.8615815228856292</c:v>
                </c:pt>
                <c:pt idx="14">
                  <c:v>2.7787900741788434</c:v>
                </c:pt>
                <c:pt idx="15">
                  <c:v>-3.8538742203680414</c:v>
                </c:pt>
                <c:pt idx="16">
                  <c:v>3.1570357041249366</c:v>
                </c:pt>
                <c:pt idx="17">
                  <c:v>0.84579134466034134</c:v>
                </c:pt>
                <c:pt idx="18">
                  <c:v>-1.0610779422296872</c:v>
                </c:pt>
              </c:numCache>
            </c:numRef>
          </c:val>
          <c:smooth val="0"/>
          <c:extLst>
            <c:ext xmlns:c16="http://schemas.microsoft.com/office/drawing/2014/chart" uri="{C3380CC4-5D6E-409C-BE32-E72D297353CC}">
              <c16:uniqueId val="{00000005-CFF5-4625-A20D-C906BA4F79FD}"/>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2400000" vert="horz"/>
          <a:lstStyle/>
          <a:p>
            <a:pPr>
              <a:defRPr/>
            </a:pPr>
            <a:endParaRPr lang="cs-CZ"/>
          </a:p>
        </c:txPr>
        <c:crossAx val="100690560"/>
        <c:crosses val="autoZero"/>
        <c:auto val="1"/>
        <c:lblAlgn val="ctr"/>
        <c:lblOffset val="0"/>
        <c:tickMarkSkip val="4"/>
        <c:noMultiLvlLbl val="0"/>
      </c:catAx>
      <c:valAx>
        <c:axId val="100690560"/>
        <c:scaling>
          <c:orientation val="minMax"/>
          <c:max val="11"/>
          <c:min val="-9"/>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9.1291858669558714E-3"/>
          <c:y val="0.8622457286029126"/>
          <c:w val="0.9774444484255399"/>
          <c:h val="0.12695497303572756"/>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'Měnové podmínky 1'!$C$5</c:f>
              <c:strCache>
                <c:ptCount val="1"/>
                <c:pt idx="0">
                  <c:v>2W repo rate</c:v>
                </c:pt>
              </c:strCache>
            </c:strRef>
          </c:tx>
          <c:spPr>
            <a:solidFill>
              <a:schemeClr val="bg1">
                <a:lumMod val="65000"/>
              </a:schemeClr>
            </a:solidFill>
          </c:spPr>
          <c:invertIfNegative val="0"/>
          <c:cat>
            <c:multiLvlStrRef>
              <c:f>'Měnové podmínky 1'!$A$6:$B$77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1'!$C$6:$C$77</c:f>
              <c:numCache>
                <c:formatCode>General</c:formatCode>
                <c:ptCount val="72"/>
                <c:pt idx="0">
                  <c:v>0.5</c:v>
                </c:pt>
                <c:pt idx="1">
                  <c:v>0.75</c:v>
                </c:pt>
                <c:pt idx="2">
                  <c:v>0.75</c:v>
                </c:pt>
                <c:pt idx="3">
                  <c:v>0.75</c:v>
                </c:pt>
                <c:pt idx="4">
                  <c:v>0.75</c:v>
                </c:pt>
                <c:pt idx="5">
                  <c:v>1</c:v>
                </c:pt>
                <c:pt idx="6">
                  <c:v>1</c:v>
                </c:pt>
                <c:pt idx="7">
                  <c:v>1.25</c:v>
                </c:pt>
                <c:pt idx="8">
                  <c:v>1.5</c:v>
                </c:pt>
                <c:pt idx="9">
                  <c:v>1.5</c:v>
                </c:pt>
                <c:pt idx="10">
                  <c:v>1.75</c:v>
                </c:pt>
                <c:pt idx="11">
                  <c:v>1.75</c:v>
                </c:pt>
                <c:pt idx="12">
                  <c:v>1.75</c:v>
                </c:pt>
                <c:pt idx="13">
                  <c:v>1.75</c:v>
                </c:pt>
                <c:pt idx="14">
                  <c:v>1.75</c:v>
                </c:pt>
                <c:pt idx="15">
                  <c:v>1.75</c:v>
                </c:pt>
                <c:pt idx="16">
                  <c:v>2</c:v>
                </c:pt>
                <c:pt idx="17">
                  <c:v>2</c:v>
                </c:pt>
                <c:pt idx="18">
                  <c:v>2</c:v>
                </c:pt>
                <c:pt idx="19">
                  <c:v>2</c:v>
                </c:pt>
                <c:pt idx="20">
                  <c:v>2</c:v>
                </c:pt>
                <c:pt idx="21">
                  <c:v>2</c:v>
                </c:pt>
                <c:pt idx="22">
                  <c:v>2</c:v>
                </c:pt>
                <c:pt idx="23">
                  <c:v>2</c:v>
                </c:pt>
                <c:pt idx="24">
                  <c:v>2</c:v>
                </c:pt>
                <c:pt idx="25">
                  <c:v>2.25</c:v>
                </c:pt>
                <c:pt idx="26">
                  <c:v>1</c:v>
                </c:pt>
                <c:pt idx="27">
                  <c:v>1</c:v>
                </c:pt>
                <c:pt idx="28">
                  <c:v>0.25</c:v>
                </c:pt>
                <c:pt idx="29">
                  <c:v>0.25</c:v>
                </c:pt>
                <c:pt idx="30">
                  <c:v>0.25</c:v>
                </c:pt>
                <c:pt idx="31">
                  <c:v>0.25</c:v>
                </c:pt>
                <c:pt idx="32">
                  <c:v>0.25</c:v>
                </c:pt>
                <c:pt idx="33">
                  <c:v>0.25</c:v>
                </c:pt>
                <c:pt idx="34">
                  <c:v>0.25</c:v>
                </c:pt>
                <c:pt idx="35">
                  <c:v>0.25</c:v>
                </c:pt>
                <c:pt idx="36">
                  <c:v>0.25</c:v>
                </c:pt>
                <c:pt idx="37">
                  <c:v>0.25</c:v>
                </c:pt>
                <c:pt idx="38">
                  <c:v>0.25</c:v>
                </c:pt>
                <c:pt idx="39">
                  <c:v>0.25</c:v>
                </c:pt>
                <c:pt idx="40">
                  <c:v>0.25</c:v>
                </c:pt>
                <c:pt idx="41">
                  <c:v>0.5</c:v>
                </c:pt>
                <c:pt idx="42">
                  <c:v>0.5</c:v>
                </c:pt>
                <c:pt idx="43">
                  <c:v>0.75</c:v>
                </c:pt>
                <c:pt idx="44">
                  <c:v>0.75</c:v>
                </c:pt>
                <c:pt idx="45">
                  <c:v>1.5</c:v>
                </c:pt>
                <c:pt idx="46">
                  <c:v>2.75</c:v>
                </c:pt>
                <c:pt idx="47">
                  <c:v>3.75</c:v>
                </c:pt>
                <c:pt idx="48">
                  <c:v>3.75</c:v>
                </c:pt>
                <c:pt idx="49">
                  <c:v>4.5</c:v>
                </c:pt>
                <c:pt idx="50">
                  <c:v>4.5</c:v>
                </c:pt>
                <c:pt idx="51">
                  <c:v>5</c:v>
                </c:pt>
                <c:pt idx="52">
                  <c:v>5.75</c:v>
                </c:pt>
                <c:pt idx="53">
                  <c:v>7</c:v>
                </c:pt>
                <c:pt idx="54">
                  <c:v>7</c:v>
                </c:pt>
                <c:pt idx="55">
                  <c:v>7</c:v>
                </c:pt>
                <c:pt idx="56">
                  <c:v>7</c:v>
                </c:pt>
                <c:pt idx="57">
                  <c:v>7</c:v>
                </c:pt>
                <c:pt idx="58">
                  <c:v>7</c:v>
                </c:pt>
                <c:pt idx="59">
                  <c:v>7</c:v>
                </c:pt>
                <c:pt idx="60">
                  <c:v>7</c:v>
                </c:pt>
                <c:pt idx="61">
                  <c:v>7</c:v>
                </c:pt>
                <c:pt idx="62">
                  <c:v>7</c:v>
                </c:pt>
                <c:pt idx="63" formatCode="###\ ###\ ###\ ###\ ##0.00;\-###\ ###\ ###\ ###\ ##0.00">
                  <c:v>7</c:v>
                </c:pt>
                <c:pt idx="64" formatCode="###\ ###\ ###\ ###\ ##0.00;\-###\ ###\ ###\ ###\ ##0.00">
                  <c:v>7</c:v>
                </c:pt>
                <c:pt idx="65" formatCode="###\ ###\ ###\ ###\ ##0.00;\-###\ ###\ ###\ ###\ ##0.00">
                  <c:v>7</c:v>
                </c:pt>
                <c:pt idx="66" formatCode="###\ ###\ ###\ ###\ ##0.00;\-###\ ###\ ###\ ###\ ##0.00">
                  <c:v>7</c:v>
                </c:pt>
                <c:pt idx="67" formatCode="###\ ###\ ###\ ###\ ##0.00;\-###\ ###\ ###\ ###\ ##0.00">
                  <c:v>7</c:v>
                </c:pt>
                <c:pt idx="68" formatCode="###\ ###\ ###\ ###\ ##0.00;\-###\ ###\ ###\ ###\ ##0.00">
                  <c:v>7</c:v>
                </c:pt>
                <c:pt idx="69" formatCode="###\ ###\ ###\ ###\ ##0.00;\-###\ ###\ ###\ ###\ ##0.00">
                  <c:v>7</c:v>
                </c:pt>
                <c:pt idx="70" formatCode="###\ ###\ ###\ ###\ ##0.00;\-###\ ###\ ###\ ###\ ##0.00">
                  <c:v>7</c:v>
                </c:pt>
                <c:pt idx="71" formatCode="###\ ###\ ###\ ###\ ##0.00;\-###\ ###\ ###\ ###\ ##0.00">
                  <c:v>6.75</c:v>
                </c:pt>
              </c:numCache>
            </c:numRef>
          </c:val>
          <c:extLst>
            <c:ext xmlns:c16="http://schemas.microsoft.com/office/drawing/2014/chart" uri="{C3380CC4-5D6E-409C-BE32-E72D297353CC}">
              <c16:uniqueId val="{00000000-E9FB-4A0C-B6C0-7B43472D3665}"/>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1'!$A$6:$B$77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1'!$F$6:$F$77</c:f>
              <c:numCache>
                <c:formatCode>General</c:formatCode>
                <c:ptCount val="72"/>
                <c:pt idx="0">
                  <c:v>0.46</c:v>
                </c:pt>
                <c:pt idx="1">
                  <c:v>0.55000000000000004</c:v>
                </c:pt>
                <c:pt idx="2">
                  <c:v>0.62</c:v>
                </c:pt>
                <c:pt idx="3">
                  <c:v>0.6</c:v>
                </c:pt>
                <c:pt idx="4">
                  <c:v>0.7</c:v>
                </c:pt>
                <c:pt idx="5">
                  <c:v>0.89</c:v>
                </c:pt>
                <c:pt idx="6">
                  <c:v>1.0900000000000001</c:v>
                </c:pt>
                <c:pt idx="7">
                  <c:v>1.26</c:v>
                </c:pt>
                <c:pt idx="8">
                  <c:v>1.34</c:v>
                </c:pt>
                <c:pt idx="9">
                  <c:v>1.44</c:v>
                </c:pt>
                <c:pt idx="10">
                  <c:v>1.49</c:v>
                </c:pt>
                <c:pt idx="11">
                  <c:v>1.52</c:v>
                </c:pt>
                <c:pt idx="12">
                  <c:v>1.66</c:v>
                </c:pt>
                <c:pt idx="13">
                  <c:v>1.74</c:v>
                </c:pt>
                <c:pt idx="14">
                  <c:v>1.71</c:v>
                </c:pt>
                <c:pt idx="15">
                  <c:v>1.63</c:v>
                </c:pt>
                <c:pt idx="16">
                  <c:v>1.62</c:v>
                </c:pt>
                <c:pt idx="17">
                  <c:v>1.52</c:v>
                </c:pt>
                <c:pt idx="18">
                  <c:v>1.35</c:v>
                </c:pt>
                <c:pt idx="19">
                  <c:v>0.85</c:v>
                </c:pt>
                <c:pt idx="20">
                  <c:v>1.07</c:v>
                </c:pt>
                <c:pt idx="21">
                  <c:v>1.17</c:v>
                </c:pt>
                <c:pt idx="22">
                  <c:v>1.33</c:v>
                </c:pt>
                <c:pt idx="23">
                  <c:v>1.36</c:v>
                </c:pt>
                <c:pt idx="24">
                  <c:v>1.55</c:v>
                </c:pt>
                <c:pt idx="25">
                  <c:v>1.57</c:v>
                </c:pt>
                <c:pt idx="26">
                  <c:v>1.27</c:v>
                </c:pt>
                <c:pt idx="27">
                  <c:v>0.71</c:v>
                </c:pt>
                <c:pt idx="28">
                  <c:v>0.13</c:v>
                </c:pt>
                <c:pt idx="29">
                  <c:v>0.08</c:v>
                </c:pt>
                <c:pt idx="30">
                  <c:v>0.02</c:v>
                </c:pt>
                <c:pt idx="31">
                  <c:v>0.04</c:v>
                </c:pt>
                <c:pt idx="32">
                  <c:v>0.05</c:v>
                </c:pt>
                <c:pt idx="33">
                  <c:v>0</c:v>
                </c:pt>
                <c:pt idx="34">
                  <c:v>0.06</c:v>
                </c:pt>
                <c:pt idx="35">
                  <c:v>0.16</c:v>
                </c:pt>
                <c:pt idx="36">
                  <c:v>0.26</c:v>
                </c:pt>
                <c:pt idx="37">
                  <c:v>0.45</c:v>
                </c:pt>
                <c:pt idx="38">
                  <c:v>0.75</c:v>
                </c:pt>
                <c:pt idx="39">
                  <c:v>0.76</c:v>
                </c:pt>
                <c:pt idx="40">
                  <c:v>0.76</c:v>
                </c:pt>
                <c:pt idx="41">
                  <c:v>0.69</c:v>
                </c:pt>
                <c:pt idx="42">
                  <c:v>0.84</c:v>
                </c:pt>
                <c:pt idx="43">
                  <c:v>1.24</c:v>
                </c:pt>
                <c:pt idx="44">
                  <c:v>1.6</c:v>
                </c:pt>
                <c:pt idx="45">
                  <c:v>2.29</c:v>
                </c:pt>
                <c:pt idx="46">
                  <c:v>3</c:v>
                </c:pt>
                <c:pt idx="47">
                  <c:v>3.07</c:v>
                </c:pt>
                <c:pt idx="48">
                  <c:v>3.81</c:v>
                </c:pt>
                <c:pt idx="49">
                  <c:v>3.77</c:v>
                </c:pt>
                <c:pt idx="50">
                  <c:v>4.54</c:v>
                </c:pt>
                <c:pt idx="51">
                  <c:v>5.13</c:v>
                </c:pt>
                <c:pt idx="52">
                  <c:v>5.65</c:v>
                </c:pt>
                <c:pt idx="53">
                  <c:v>6.26</c:v>
                </c:pt>
                <c:pt idx="54">
                  <c:v>6.38</c:v>
                </c:pt>
                <c:pt idx="55">
                  <c:v>5.86</c:v>
                </c:pt>
                <c:pt idx="56">
                  <c:v>5.9</c:v>
                </c:pt>
                <c:pt idx="57">
                  <c:v>6.18</c:v>
                </c:pt>
                <c:pt idx="58">
                  <c:v>5.68</c:v>
                </c:pt>
                <c:pt idx="59">
                  <c:v>5.19</c:v>
                </c:pt>
                <c:pt idx="60" formatCode="###\ ###\ ###\ ###\ ##0.00;\-###\ ###\ ###\ ###\ ##0.00">
                  <c:v>5.3820143358172814</c:v>
                </c:pt>
                <c:pt idx="61" formatCode="###\ ###\ ###\ ###\ ##0.00;\-###\ ###\ ###\ ###\ ##0.00">
                  <c:v>5.5102623550618501</c:v>
                </c:pt>
                <c:pt idx="62" formatCode="###\ ###\ ###\ ###\ ##0.00;\-###\ ###\ ###\ ###\ ##0.00">
                  <c:v>5.2897725027111999</c:v>
                </c:pt>
                <c:pt idx="63" formatCode="###\ ###\ ###\ ###\ ##0.00;\-###\ ###\ ###\ ###\ ##0.00">
                  <c:v>5.4232360381175866</c:v>
                </c:pt>
                <c:pt idx="64" formatCode="###\ ###\ ###\ ###\ ##0.00;\-###\ ###\ ###\ ###\ ##0.00">
                  <c:v>5.4162815888395777</c:v>
                </c:pt>
                <c:pt idx="65" formatCode="###\ ###\ ###\ ###\ ##0.00;\-###\ ###\ ###\ ###\ ##0.00">
                  <c:v>5.3664752553650841</c:v>
                </c:pt>
                <c:pt idx="66" formatCode="###\ ###\ ###\ ###\ ##0.00;\-###\ ###\ ###\ ###\ ##0.00">
                  <c:v>5.2428078558777935</c:v>
                </c:pt>
                <c:pt idx="67" formatCode="###\ ###\ ###\ ###\ ##0.00;\-###\ ###\ ###\ ###\ ##0.00">
                  <c:v>5.1353490658602521</c:v>
                </c:pt>
                <c:pt idx="68" formatCode="###\ ###\ ###\ ###\ ##0.00;\-###\ ###\ ###\ ###\ ##0.00">
                  <c:v>5.0416686003519704</c:v>
                </c:pt>
                <c:pt idx="69" formatCode="###\ ###\ ###\ ###\ ##0.00;\-###\ ###\ ###\ ###\ ##0.00">
                  <c:v>5.0079198294298592</c:v>
                </c:pt>
                <c:pt idx="70" formatCode="###\ ###\ ###\ ###\ ##0.00;\-###\ ###\ ###\ ###\ ##0.00">
                  <c:v>4.8554647740100689</c:v>
                </c:pt>
                <c:pt idx="71" formatCode="###\ ###\ ###\ ###\ ##0.00;\-###\ ###\ ###\ ###\ ##0.00">
                  <c:v>4.6053753410259048</c:v>
                </c:pt>
              </c:numCache>
            </c:numRef>
          </c:val>
          <c:smooth val="0"/>
          <c:extLst>
            <c:ext xmlns:c16="http://schemas.microsoft.com/office/drawing/2014/chart" uri="{C3380CC4-5D6E-409C-BE32-E72D297353CC}">
              <c16:uniqueId val="{00000001-E9FB-4A0C-B6C0-7B43472D3665}"/>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1'!$A$6:$B$77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1'!$D$6:$D$77</c:f>
              <c:numCache>
                <c:formatCode>General</c:formatCode>
                <c:ptCount val="72"/>
                <c:pt idx="0">
                  <c:v>0.77</c:v>
                </c:pt>
                <c:pt idx="1">
                  <c:v>0.9</c:v>
                </c:pt>
                <c:pt idx="2">
                  <c:v>0.9</c:v>
                </c:pt>
                <c:pt idx="3">
                  <c:v>0.9</c:v>
                </c:pt>
                <c:pt idx="4">
                  <c:v>0.9</c:v>
                </c:pt>
                <c:pt idx="5">
                  <c:v>0.93</c:v>
                </c:pt>
                <c:pt idx="6">
                  <c:v>1.18</c:v>
                </c:pt>
                <c:pt idx="7">
                  <c:v>1.45</c:v>
                </c:pt>
                <c:pt idx="8">
                  <c:v>1.54</c:v>
                </c:pt>
                <c:pt idx="9">
                  <c:v>1.76</c:v>
                </c:pt>
                <c:pt idx="10">
                  <c:v>1.99</c:v>
                </c:pt>
                <c:pt idx="11">
                  <c:v>2.0099999999999998</c:v>
                </c:pt>
                <c:pt idx="12">
                  <c:v>2.0099999999999998</c:v>
                </c:pt>
                <c:pt idx="13">
                  <c:v>2.0099999999999998</c:v>
                </c:pt>
                <c:pt idx="14">
                  <c:v>2.0299999999999998</c:v>
                </c:pt>
                <c:pt idx="15">
                  <c:v>2.02</c:v>
                </c:pt>
                <c:pt idx="16">
                  <c:v>2.19</c:v>
                </c:pt>
                <c:pt idx="17">
                  <c:v>2.17</c:v>
                </c:pt>
                <c:pt idx="18">
                  <c:v>2.16</c:v>
                </c:pt>
                <c:pt idx="19">
                  <c:v>2.14</c:v>
                </c:pt>
                <c:pt idx="20">
                  <c:v>2.14</c:v>
                </c:pt>
                <c:pt idx="21">
                  <c:v>2.17</c:v>
                </c:pt>
                <c:pt idx="22">
                  <c:v>2.1800000000000002</c:v>
                </c:pt>
                <c:pt idx="23">
                  <c:v>2.1800000000000002</c:v>
                </c:pt>
                <c:pt idx="24">
                  <c:v>2.17</c:v>
                </c:pt>
                <c:pt idx="25">
                  <c:v>2.34</c:v>
                </c:pt>
                <c:pt idx="26">
                  <c:v>2</c:v>
                </c:pt>
                <c:pt idx="27">
                  <c:v>0.97</c:v>
                </c:pt>
                <c:pt idx="28">
                  <c:v>0.46</c:v>
                </c:pt>
                <c:pt idx="29">
                  <c:v>0.34</c:v>
                </c:pt>
                <c:pt idx="30">
                  <c:v>0.34</c:v>
                </c:pt>
                <c:pt idx="31">
                  <c:v>0.34</c:v>
                </c:pt>
                <c:pt idx="32">
                  <c:v>0.34</c:v>
                </c:pt>
                <c:pt idx="33">
                  <c:v>0.35</c:v>
                </c:pt>
                <c:pt idx="34">
                  <c:v>0.35</c:v>
                </c:pt>
                <c:pt idx="35">
                  <c:v>0.35</c:v>
                </c:pt>
                <c:pt idx="36">
                  <c:v>0.36</c:v>
                </c:pt>
                <c:pt idx="37">
                  <c:v>0.36</c:v>
                </c:pt>
                <c:pt idx="38">
                  <c:v>0.36</c:v>
                </c:pt>
                <c:pt idx="39">
                  <c:v>0.36</c:v>
                </c:pt>
                <c:pt idx="40">
                  <c:v>0.37</c:v>
                </c:pt>
                <c:pt idx="41">
                  <c:v>0.48</c:v>
                </c:pt>
                <c:pt idx="42">
                  <c:v>0.69</c:v>
                </c:pt>
                <c:pt idx="43">
                  <c:v>0.94</c:v>
                </c:pt>
                <c:pt idx="44">
                  <c:v>1.1100000000000001</c:v>
                </c:pt>
                <c:pt idx="45">
                  <c:v>2.02</c:v>
                </c:pt>
                <c:pt idx="46">
                  <c:v>2.97</c:v>
                </c:pt>
                <c:pt idx="47">
                  <c:v>3.5</c:v>
                </c:pt>
                <c:pt idx="48">
                  <c:v>4.21</c:v>
                </c:pt>
                <c:pt idx="49">
                  <c:v>4.6900000000000004</c:v>
                </c:pt>
                <c:pt idx="50">
                  <c:v>4.8600000000000003</c:v>
                </c:pt>
                <c:pt idx="51">
                  <c:v>5.36</c:v>
                </c:pt>
                <c:pt idx="52">
                  <c:v>5.97</c:v>
                </c:pt>
                <c:pt idx="53">
                  <c:v>6.64</c:v>
                </c:pt>
                <c:pt idx="54">
                  <c:v>7.3</c:v>
                </c:pt>
                <c:pt idx="55">
                  <c:v>7.27</c:v>
                </c:pt>
                <c:pt idx="56">
                  <c:v>7.25</c:v>
                </c:pt>
                <c:pt idx="57">
                  <c:v>7.28</c:v>
                </c:pt>
                <c:pt idx="58">
                  <c:v>7.27</c:v>
                </c:pt>
                <c:pt idx="59">
                  <c:v>7.26</c:v>
                </c:pt>
                <c:pt idx="60" formatCode="###\ ###\ ###\ ###\ ##0.00;\-###\ ###\ ###\ ###\ ##0.00">
                  <c:v>7.2161904761904765</c:v>
                </c:pt>
                <c:pt idx="61" formatCode="###\ ###\ ###\ ###\ ##0.00;\-###\ ###\ ###\ ###\ ##0.00">
                  <c:v>7.2010526315789471</c:v>
                </c:pt>
                <c:pt idx="62" formatCode="###\ ###\ ###\ ###\ ##0.00;\-###\ ###\ ###\ ###\ ##0.00">
                  <c:v>7.1931818181818183</c:v>
                </c:pt>
                <c:pt idx="63" formatCode="###\ ###\ ###\ ###\ ##0.00;\-###\ ###\ ###\ ###\ ##0.00">
                  <c:v>7.1788888888888893</c:v>
                </c:pt>
                <c:pt idx="64" formatCode="###\ ###\ ###\ ###\ ##0.00;\-###\ ###\ ###\ ###\ ##0.00">
                  <c:v>7.1790476190476191</c:v>
                </c:pt>
                <c:pt idx="65" formatCode="###\ ###\ ###\ ###\ ##0.00;\-###\ ###\ ###\ ###\ ##0.00">
                  <c:v>7.1472727272727274</c:v>
                </c:pt>
                <c:pt idx="66" formatCode="###\ ###\ ###\ ###\ ##0.00;\-###\ ###\ ###\ ###\ ##0.00">
                  <c:v>7.1121052631578952</c:v>
                </c:pt>
                <c:pt idx="67" formatCode="###\ ###\ ###\ ###\ ##0.00;\-###\ ###\ ###\ ###\ ##0.00">
                  <c:v>7.1030434782608696</c:v>
                </c:pt>
                <c:pt idx="68" formatCode="###\ ###\ ###\ ###\ ##0.00;\-###\ ###\ ###\ ###\ ##0.00">
                  <c:v>7.0895000000000001</c:v>
                </c:pt>
                <c:pt idx="69" formatCode="###\ ###\ ###\ ###\ ##0.00;\-###\ ###\ ###\ ###\ ##0.00">
                  <c:v>7.0472727272727269</c:v>
                </c:pt>
                <c:pt idx="70" formatCode="###\ ###\ ###\ ###\ ##0.00;\-###\ ###\ ###\ ###\ ##0.00">
                  <c:v>7.062380952380952</c:v>
                </c:pt>
                <c:pt idx="71" formatCode="###\ ###\ ###\ ###\ ##0.00;\-###\ ###\ ###\ ###\ ##0.00">
                  <c:v>6.9663157894736845</c:v>
                </c:pt>
              </c:numCache>
            </c:numRef>
          </c:val>
          <c:smooth val="0"/>
          <c:extLst>
            <c:ext xmlns:c16="http://schemas.microsoft.com/office/drawing/2014/chart" uri="{C3380CC4-5D6E-409C-BE32-E72D297353CC}">
              <c16:uniqueId val="{00000002-E9FB-4A0C-B6C0-7B43472D3665}"/>
            </c:ext>
          </c:extLst>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1'!$A$6:$B$77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1'!$G$6:$G$77</c:f>
              <c:numCache>
                <c:formatCode>General</c:formatCode>
                <c:ptCount val="72"/>
                <c:pt idx="0">
                  <c:v>0.99</c:v>
                </c:pt>
                <c:pt idx="1">
                  <c:v>1.07</c:v>
                </c:pt>
                <c:pt idx="2">
                  <c:v>1.0900000000000001</c:v>
                </c:pt>
                <c:pt idx="3">
                  <c:v>1.05</c:v>
                </c:pt>
                <c:pt idx="4">
                  <c:v>1.21</c:v>
                </c:pt>
                <c:pt idx="5">
                  <c:v>1.41</c:v>
                </c:pt>
                <c:pt idx="6">
                  <c:v>1.44</c:v>
                </c:pt>
                <c:pt idx="7">
                  <c:v>1.55</c:v>
                </c:pt>
                <c:pt idx="8">
                  <c:v>1.7</c:v>
                </c:pt>
                <c:pt idx="9">
                  <c:v>1.81</c:v>
                </c:pt>
                <c:pt idx="10">
                  <c:v>1.79</c:v>
                </c:pt>
                <c:pt idx="11">
                  <c:v>1.71</c:v>
                </c:pt>
                <c:pt idx="12">
                  <c:v>1.6</c:v>
                </c:pt>
                <c:pt idx="13">
                  <c:v>1.61</c:v>
                </c:pt>
                <c:pt idx="14">
                  <c:v>1.7</c:v>
                </c:pt>
                <c:pt idx="15">
                  <c:v>1.63</c:v>
                </c:pt>
                <c:pt idx="16">
                  <c:v>1.57</c:v>
                </c:pt>
                <c:pt idx="17">
                  <c:v>1.43</c:v>
                </c:pt>
                <c:pt idx="18">
                  <c:v>1.31</c:v>
                </c:pt>
                <c:pt idx="19">
                  <c:v>0.89</c:v>
                </c:pt>
                <c:pt idx="20">
                  <c:v>1.1299999999999999</c:v>
                </c:pt>
                <c:pt idx="21">
                  <c:v>1.23</c:v>
                </c:pt>
                <c:pt idx="22">
                  <c:v>1.32</c:v>
                </c:pt>
                <c:pt idx="23">
                  <c:v>1.31</c:v>
                </c:pt>
                <c:pt idx="24">
                  <c:v>1.51</c:v>
                </c:pt>
                <c:pt idx="25">
                  <c:v>1.52</c:v>
                </c:pt>
                <c:pt idx="26">
                  <c:v>1.23</c:v>
                </c:pt>
                <c:pt idx="27">
                  <c:v>1.06</c:v>
                </c:pt>
                <c:pt idx="28">
                  <c:v>0.56999999999999995</c:v>
                </c:pt>
                <c:pt idx="29">
                  <c:v>0.52</c:v>
                </c:pt>
                <c:pt idx="30">
                  <c:v>0.52</c:v>
                </c:pt>
                <c:pt idx="31">
                  <c:v>0.57999999999999996</c:v>
                </c:pt>
                <c:pt idx="32">
                  <c:v>0.57999999999999996</c:v>
                </c:pt>
                <c:pt idx="33">
                  <c:v>0.54</c:v>
                </c:pt>
                <c:pt idx="34">
                  <c:v>0.66</c:v>
                </c:pt>
                <c:pt idx="35">
                  <c:v>0.8</c:v>
                </c:pt>
                <c:pt idx="36">
                  <c:v>0.82</c:v>
                </c:pt>
                <c:pt idx="37">
                  <c:v>1.06</c:v>
                </c:pt>
                <c:pt idx="38">
                  <c:v>1.4</c:v>
                </c:pt>
                <c:pt idx="39">
                  <c:v>1.43</c:v>
                </c:pt>
                <c:pt idx="40">
                  <c:v>1.47</c:v>
                </c:pt>
                <c:pt idx="41">
                  <c:v>1.55</c:v>
                </c:pt>
                <c:pt idx="42">
                  <c:v>1.63</c:v>
                </c:pt>
                <c:pt idx="43">
                  <c:v>1.68</c:v>
                </c:pt>
                <c:pt idx="44">
                  <c:v>1.87</c:v>
                </c:pt>
                <c:pt idx="45">
                  <c:v>2.37</c:v>
                </c:pt>
                <c:pt idx="46">
                  <c:v>2.84</c:v>
                </c:pt>
                <c:pt idx="47">
                  <c:v>2.84</c:v>
                </c:pt>
                <c:pt idx="48">
                  <c:v>3.36</c:v>
                </c:pt>
                <c:pt idx="49">
                  <c:v>3.2</c:v>
                </c:pt>
                <c:pt idx="50">
                  <c:v>3.85</c:v>
                </c:pt>
                <c:pt idx="51">
                  <c:v>4.54</c:v>
                </c:pt>
                <c:pt idx="52">
                  <c:v>4.99</c:v>
                </c:pt>
                <c:pt idx="53">
                  <c:v>5.49</c:v>
                </c:pt>
                <c:pt idx="54">
                  <c:v>5.12</c:v>
                </c:pt>
                <c:pt idx="55">
                  <c:v>4.67</c:v>
                </c:pt>
                <c:pt idx="56">
                  <c:v>5.0599999999999996</c:v>
                </c:pt>
                <c:pt idx="57">
                  <c:v>5.69</c:v>
                </c:pt>
                <c:pt idx="58">
                  <c:v>5.31</c:v>
                </c:pt>
                <c:pt idx="59">
                  <c:v>4.9000000000000004</c:v>
                </c:pt>
                <c:pt idx="60" formatCode="###\ ###\ ###\ ###\ ##0.00;\-###\ ###\ ###\ ###\ ##0.00">
                  <c:v>4.7307064721228871</c:v>
                </c:pt>
                <c:pt idx="61" formatCode="###\ ###\ ###\ ###\ ##0.00;\-###\ ###\ ###\ ###\ ##0.00">
                  <c:v>4.869274267276765</c:v>
                </c:pt>
                <c:pt idx="62" formatCode="###\ ###\ ###\ ###\ ##0.00;\-###\ ###\ ###\ ###\ ##0.00">
                  <c:v>4.8901662581800389</c:v>
                </c:pt>
                <c:pt idx="63" formatCode="###\ ###\ ###\ ###\ ##0.00;\-###\ ###\ ###\ ###\ ##0.00">
                  <c:v>4.9165403661897455</c:v>
                </c:pt>
                <c:pt idx="64" formatCode="###\ ###\ ###\ ###\ ##0.00;\-###\ ###\ ###\ ###\ ##0.00">
                  <c:v>4.8278684891401031</c:v>
                </c:pt>
                <c:pt idx="65" formatCode="###\ ###\ ###\ ###\ ##0.00;\-###\ ###\ ###\ ###\ ##0.00">
                  <c:v>4.641252073600076</c:v>
                </c:pt>
                <c:pt idx="66" formatCode="###\ ###\ ###\ ###\ ##0.00;\-###\ ###\ ###\ ###\ ##0.00">
                  <c:v>4.3712476122939803</c:v>
                </c:pt>
                <c:pt idx="67" formatCode="###\ ###\ ###\ ###\ ##0.00;\-###\ ###\ ###\ ###\ ##0.00">
                  <c:v>4.4394883944569479</c:v>
                </c:pt>
                <c:pt idx="68" formatCode="###\ ###\ ###\ ###\ ##0.00;\-###\ ###\ ###\ ###\ ##0.00">
                  <c:v>4.5697569170379646</c:v>
                </c:pt>
                <c:pt idx="69" formatCode="###\ ###\ ###\ ###\ ##0.00;\-###\ ###\ ###\ ###\ ##0.00">
                  <c:v>4.6213398432367514</c:v>
                </c:pt>
                <c:pt idx="70" formatCode="###\ ###\ ###\ ###\ ##0.00;\-###\ ###\ ###\ ###\ ##0.00">
                  <c:v>4.3189525391351618</c:v>
                </c:pt>
                <c:pt idx="71" formatCode="###\ ###\ ###\ ###\ ##0.00;\-###\ ###\ ###\ ###\ ##0.00">
                  <c:v>3.9581509254616192</c:v>
                </c:pt>
              </c:numCache>
            </c:numRef>
          </c:val>
          <c:smooth val="0"/>
          <c:extLst>
            <c:ext xmlns:c16="http://schemas.microsoft.com/office/drawing/2014/chart" uri="{C3380CC4-5D6E-409C-BE32-E72D297353CC}">
              <c16:uniqueId val="{00000003-E9FB-4A0C-B6C0-7B43472D3665}"/>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1'!$A$6:$B$77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1'!$E$6:$E$77</c:f>
              <c:numCache>
                <c:formatCode>General</c:formatCode>
                <c:ptCount val="72"/>
                <c:pt idx="0">
                  <c:v>0.98</c:v>
                </c:pt>
                <c:pt idx="1">
                  <c:v>1.1100000000000001</c:v>
                </c:pt>
                <c:pt idx="2">
                  <c:v>1.1200000000000001</c:v>
                </c:pt>
                <c:pt idx="3">
                  <c:v>1.1200000000000001</c:v>
                </c:pt>
                <c:pt idx="4">
                  <c:v>1.1200000000000001</c:v>
                </c:pt>
                <c:pt idx="5">
                  <c:v>1.1499999999999999</c:v>
                </c:pt>
                <c:pt idx="6">
                  <c:v>1.39</c:v>
                </c:pt>
                <c:pt idx="7">
                  <c:v>1.67</c:v>
                </c:pt>
                <c:pt idx="8">
                  <c:v>1.79</c:v>
                </c:pt>
                <c:pt idx="9">
                  <c:v>1.95</c:v>
                </c:pt>
                <c:pt idx="10">
                  <c:v>2.1800000000000002</c:v>
                </c:pt>
                <c:pt idx="11">
                  <c:v>2.21</c:v>
                </c:pt>
                <c:pt idx="12">
                  <c:v>2.21</c:v>
                </c:pt>
                <c:pt idx="13">
                  <c:v>2.2000000000000002</c:v>
                </c:pt>
                <c:pt idx="14">
                  <c:v>2.2000000000000002</c:v>
                </c:pt>
                <c:pt idx="15">
                  <c:v>2.21</c:v>
                </c:pt>
                <c:pt idx="16">
                  <c:v>2.3199999999999998</c:v>
                </c:pt>
                <c:pt idx="17">
                  <c:v>2.29</c:v>
                </c:pt>
                <c:pt idx="18">
                  <c:v>2.2799999999999998</c:v>
                </c:pt>
                <c:pt idx="19">
                  <c:v>2.2200000000000002</c:v>
                </c:pt>
                <c:pt idx="20">
                  <c:v>2.2000000000000002</c:v>
                </c:pt>
                <c:pt idx="21">
                  <c:v>2.2799999999999998</c:v>
                </c:pt>
                <c:pt idx="22">
                  <c:v>2.2799999999999998</c:v>
                </c:pt>
                <c:pt idx="23">
                  <c:v>2.27</c:v>
                </c:pt>
                <c:pt idx="24">
                  <c:v>2.27</c:v>
                </c:pt>
                <c:pt idx="25">
                  <c:v>2.42</c:v>
                </c:pt>
                <c:pt idx="26">
                  <c:v>2.0099999999999998</c:v>
                </c:pt>
                <c:pt idx="27">
                  <c:v>0.92</c:v>
                </c:pt>
                <c:pt idx="28">
                  <c:v>0.51</c:v>
                </c:pt>
                <c:pt idx="29">
                  <c:v>0.43</c:v>
                </c:pt>
                <c:pt idx="30">
                  <c:v>0.43</c:v>
                </c:pt>
                <c:pt idx="31">
                  <c:v>0.43</c:v>
                </c:pt>
                <c:pt idx="32">
                  <c:v>0.44</c:v>
                </c:pt>
                <c:pt idx="33">
                  <c:v>0.43</c:v>
                </c:pt>
                <c:pt idx="34">
                  <c:v>0.44</c:v>
                </c:pt>
                <c:pt idx="35">
                  <c:v>0.49</c:v>
                </c:pt>
                <c:pt idx="36">
                  <c:v>0.49</c:v>
                </c:pt>
                <c:pt idx="37">
                  <c:v>0.54</c:v>
                </c:pt>
                <c:pt idx="38">
                  <c:v>0.56000000000000005</c:v>
                </c:pt>
                <c:pt idx="39">
                  <c:v>0.56000000000000005</c:v>
                </c:pt>
                <c:pt idx="40">
                  <c:v>0.67</c:v>
                </c:pt>
                <c:pt idx="41">
                  <c:v>0.78</c:v>
                </c:pt>
                <c:pt idx="42">
                  <c:v>1</c:v>
                </c:pt>
                <c:pt idx="43">
                  <c:v>1.3</c:v>
                </c:pt>
                <c:pt idx="44">
                  <c:v>1.52</c:v>
                </c:pt>
                <c:pt idx="45">
                  <c:v>2.44</c:v>
                </c:pt>
                <c:pt idx="46">
                  <c:v>3.5</c:v>
                </c:pt>
                <c:pt idx="47">
                  <c:v>3.96</c:v>
                </c:pt>
                <c:pt idx="48">
                  <c:v>4.55</c:v>
                </c:pt>
                <c:pt idx="49">
                  <c:v>4.87</c:v>
                </c:pt>
                <c:pt idx="50">
                  <c:v>5.12</c:v>
                </c:pt>
                <c:pt idx="51">
                  <c:v>5.74</c:v>
                </c:pt>
                <c:pt idx="52">
                  <c:v>6.33</c:v>
                </c:pt>
                <c:pt idx="53">
                  <c:v>7.02</c:v>
                </c:pt>
                <c:pt idx="54">
                  <c:v>7.55</c:v>
                </c:pt>
                <c:pt idx="55">
                  <c:v>7.48</c:v>
                </c:pt>
                <c:pt idx="56">
                  <c:v>7.44</c:v>
                </c:pt>
                <c:pt idx="57">
                  <c:v>7.45</c:v>
                </c:pt>
                <c:pt idx="58">
                  <c:v>7.39</c:v>
                </c:pt>
                <c:pt idx="59">
                  <c:v>7.28</c:v>
                </c:pt>
                <c:pt idx="60" formatCode="###\ ###\ ###\ ###\ ##0.00;\-###\ ###\ ###\ ###\ ##0.00">
                  <c:v>7.2480952380952379</c:v>
                </c:pt>
                <c:pt idx="61" formatCode="###\ ###\ ###\ ###\ ##0.00;\-###\ ###\ ###\ ###\ ##0.00">
                  <c:v>7.2326315789473687</c:v>
                </c:pt>
                <c:pt idx="62" formatCode="###\ ###\ ###\ ###\ ##0.00;\-###\ ###\ ###\ ###\ ##0.00">
                  <c:v>7.2263636363636365</c:v>
                </c:pt>
                <c:pt idx="63" formatCode="###\ ###\ ###\ ###\ ##0.00;\-###\ ###\ ###\ ###\ ##0.00">
                  <c:v>7.2088888888888887</c:v>
                </c:pt>
                <c:pt idx="64" formatCode="###\ ###\ ###\ ###\ ##0.00;\-###\ ###\ ###\ ###\ ##0.00">
                  <c:v>7.196190476190476</c:v>
                </c:pt>
                <c:pt idx="65" formatCode="###\ ###\ ###\ ###\ ##0.00;\-###\ ###\ ###\ ###\ ##0.00">
                  <c:v>7.1377272727272727</c:v>
                </c:pt>
                <c:pt idx="66" formatCode="###\ ###\ ###\ ###\ ##0.00;\-###\ ###\ ###\ ###\ ##0.00">
                  <c:v>7.0289473684210524</c:v>
                </c:pt>
                <c:pt idx="67" formatCode="###\ ###\ ###\ ###\ ##0.00;\-###\ ###\ ###\ ###\ ##0.00">
                  <c:v>6.9473913043478257</c:v>
                </c:pt>
                <c:pt idx="68" formatCode="###\ ###\ ###\ ###\ ##0.00;\-###\ ###\ ###\ ###\ ##0.00">
                  <c:v>6.8470000000000004</c:v>
                </c:pt>
                <c:pt idx="69" formatCode="###\ ###\ ###\ ###\ ##0.00;\-###\ ###\ ###\ ###\ ##0.00">
                  <c:v>6.6090909090909093</c:v>
                </c:pt>
                <c:pt idx="70" formatCode="###\ ###\ ###\ ###\ ##0.00;\-###\ ###\ ###\ ###\ ##0.00">
                  <c:v>6.4771428571428569</c:v>
                </c:pt>
                <c:pt idx="71" formatCode="###\ ###\ ###\ ###\ ##0.00;\-###\ ###\ ###\ ###\ ##0.00">
                  <c:v>6.1873684210526312</c:v>
                </c:pt>
              </c:numCache>
            </c:numRef>
          </c:val>
          <c:smooth val="0"/>
          <c:extLst>
            <c:ext xmlns:c16="http://schemas.microsoft.com/office/drawing/2014/chart" uri="{C3380CC4-5D6E-409C-BE32-E72D297353CC}">
              <c16:uniqueId val="{00000004-E9FB-4A0C-B6C0-7B43472D3665}"/>
            </c:ext>
          </c:extLst>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1'!$A$6:$B$77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1'!$H$6:$H$77</c:f>
              <c:numCache>
                <c:formatCode>General</c:formatCode>
                <c:ptCount val="72"/>
                <c:pt idx="0">
                  <c:v>1.77</c:v>
                </c:pt>
                <c:pt idx="1">
                  <c:v>1.82</c:v>
                </c:pt>
                <c:pt idx="2">
                  <c:v>1.81</c:v>
                </c:pt>
                <c:pt idx="3">
                  <c:v>1.74</c:v>
                </c:pt>
                <c:pt idx="4">
                  <c:v>1.89</c:v>
                </c:pt>
                <c:pt idx="5">
                  <c:v>2.14</c:v>
                </c:pt>
                <c:pt idx="6">
                  <c:v>2.11</c:v>
                </c:pt>
                <c:pt idx="7">
                  <c:v>2.14</c:v>
                </c:pt>
                <c:pt idx="8">
                  <c:v>2.14</c:v>
                </c:pt>
                <c:pt idx="9">
                  <c:v>2.14</c:v>
                </c:pt>
                <c:pt idx="10">
                  <c:v>2.0699999999999998</c:v>
                </c:pt>
                <c:pt idx="11">
                  <c:v>2.0099999999999998</c:v>
                </c:pt>
                <c:pt idx="12">
                  <c:v>1.85</c:v>
                </c:pt>
                <c:pt idx="13">
                  <c:v>1.76</c:v>
                </c:pt>
                <c:pt idx="14">
                  <c:v>1.82</c:v>
                </c:pt>
                <c:pt idx="15">
                  <c:v>1.82</c:v>
                </c:pt>
                <c:pt idx="16">
                  <c:v>1.86</c:v>
                </c:pt>
                <c:pt idx="17">
                  <c:v>1.58</c:v>
                </c:pt>
                <c:pt idx="18">
                  <c:v>1.36</c:v>
                </c:pt>
                <c:pt idx="19">
                  <c:v>0.99</c:v>
                </c:pt>
                <c:pt idx="20">
                  <c:v>1.24</c:v>
                </c:pt>
                <c:pt idx="21">
                  <c:v>1.32</c:v>
                </c:pt>
                <c:pt idx="22">
                  <c:v>1.47</c:v>
                </c:pt>
                <c:pt idx="23">
                  <c:v>1.51</c:v>
                </c:pt>
                <c:pt idx="24">
                  <c:v>1.62</c:v>
                </c:pt>
                <c:pt idx="25">
                  <c:v>1.47</c:v>
                </c:pt>
                <c:pt idx="26">
                  <c:v>1.28</c:v>
                </c:pt>
                <c:pt idx="27">
                  <c:v>1.28</c:v>
                </c:pt>
                <c:pt idx="28">
                  <c:v>0.92</c:v>
                </c:pt>
                <c:pt idx="29">
                  <c:v>0.86</c:v>
                </c:pt>
                <c:pt idx="30">
                  <c:v>0.86</c:v>
                </c:pt>
                <c:pt idx="31">
                  <c:v>0.95</c:v>
                </c:pt>
                <c:pt idx="32">
                  <c:v>0.98</c:v>
                </c:pt>
                <c:pt idx="33">
                  <c:v>0.94</c:v>
                </c:pt>
                <c:pt idx="34">
                  <c:v>1.1200000000000001</c:v>
                </c:pt>
                <c:pt idx="35">
                  <c:v>1.26</c:v>
                </c:pt>
                <c:pt idx="36">
                  <c:v>1.28</c:v>
                </c:pt>
                <c:pt idx="37">
                  <c:v>1.49</c:v>
                </c:pt>
                <c:pt idx="38">
                  <c:v>1.87</c:v>
                </c:pt>
                <c:pt idx="39">
                  <c:v>1.86</c:v>
                </c:pt>
                <c:pt idx="40">
                  <c:v>1.74</c:v>
                </c:pt>
                <c:pt idx="41">
                  <c:v>1.67</c:v>
                </c:pt>
                <c:pt idx="42">
                  <c:v>1.72</c:v>
                </c:pt>
                <c:pt idx="43">
                  <c:v>1.74</c:v>
                </c:pt>
                <c:pt idx="44">
                  <c:v>1.9</c:v>
                </c:pt>
                <c:pt idx="45">
                  <c:v>2.34</c:v>
                </c:pt>
                <c:pt idx="46">
                  <c:v>2.62</c:v>
                </c:pt>
                <c:pt idx="47">
                  <c:v>2.62</c:v>
                </c:pt>
                <c:pt idx="48">
                  <c:v>3.12</c:v>
                </c:pt>
                <c:pt idx="49">
                  <c:v>3.03</c:v>
                </c:pt>
                <c:pt idx="50">
                  <c:v>3.53</c:v>
                </c:pt>
                <c:pt idx="51">
                  <c:v>4.01</c:v>
                </c:pt>
                <c:pt idx="52">
                  <c:v>4.6100000000000003</c:v>
                </c:pt>
                <c:pt idx="53">
                  <c:v>5.12</c:v>
                </c:pt>
                <c:pt idx="54">
                  <c:v>4.4000000000000004</c:v>
                </c:pt>
                <c:pt idx="55">
                  <c:v>4.1100000000000003</c:v>
                </c:pt>
                <c:pt idx="56">
                  <c:v>4.72</c:v>
                </c:pt>
                <c:pt idx="57">
                  <c:v>5.52</c:v>
                </c:pt>
                <c:pt idx="58">
                  <c:v>5.1100000000000003</c:v>
                </c:pt>
                <c:pt idx="59">
                  <c:v>4.71</c:v>
                </c:pt>
                <c:pt idx="60" formatCode="###\ ###\ ###\ ###\ ##0.00;\-###\ ###\ ###\ ###\ ##0.00">
                  <c:v>4.4683071740930735</c:v>
                </c:pt>
                <c:pt idx="61" formatCode="###\ ###\ ###\ ###\ ##0.00;\-###\ ###\ ###\ ###\ ##0.00">
                  <c:v>4.6124456250457779</c:v>
                </c:pt>
                <c:pt idx="62" formatCode="###\ ###\ ###\ ###\ ##0.00;\-###\ ###\ ###\ ###\ ##0.00">
                  <c:v>4.6664316498532505</c:v>
                </c:pt>
                <c:pt idx="63" formatCode="###\ ###\ ###\ ###\ ##0.00;\-###\ ###\ ###\ ###\ ##0.00">
                  <c:v>4.6464031535593682</c:v>
                </c:pt>
                <c:pt idx="64" formatCode="###\ ###\ ###\ ###\ ##0.00;\-###\ ###\ ###\ ###\ ##0.00">
                  <c:v>4.4999821517871696</c:v>
                </c:pt>
                <c:pt idx="65" formatCode="###\ ###\ ###\ ###\ ##0.00;\-###\ ###\ ###\ ###\ ##0.00">
                  <c:v>4.3475817201909166</c:v>
                </c:pt>
                <c:pt idx="66" formatCode="###\ ###\ ###\ ###\ ##0.00;\-###\ ###\ ###\ ###\ ##0.00">
                  <c:v>4.1488922058727873</c:v>
                </c:pt>
                <c:pt idx="67" formatCode="###\ ###\ ###\ ###\ ##0.00;\-###\ ###\ ###\ ###\ ##0.00">
                  <c:v>4.2612326220421171</c:v>
                </c:pt>
                <c:pt idx="68" formatCode="###\ ###\ ###\ ###\ ##0.00;\-###\ ###\ ###\ ###\ ##0.00">
                  <c:v>4.4941452526073471</c:v>
                </c:pt>
                <c:pt idx="69" formatCode="###\ ###\ ###\ ###\ ##0.00;\-###\ ###\ ###\ ###\ ##0.00">
                  <c:v>4.7196492538174732</c:v>
                </c:pt>
                <c:pt idx="70" formatCode="###\ ###\ ###\ ###\ ##0.00;\-###\ ###\ ###\ ###\ ##0.00">
                  <c:v>4.4238011822001155</c:v>
                </c:pt>
                <c:pt idx="71" formatCode="###\ ###\ ###\ ###\ ##0.00;\-###\ ###\ ###\ ###\ ##0.00">
                  <c:v>3.9723129766524465</c:v>
                </c:pt>
              </c:numCache>
            </c:numRef>
          </c:val>
          <c:smooth val="0"/>
          <c:extLst>
            <c:ext xmlns:c16="http://schemas.microsoft.com/office/drawing/2014/chart" uri="{C3380CC4-5D6E-409C-BE32-E72D297353CC}">
              <c16:uniqueId val="{00000005-E9FB-4A0C-B6C0-7B43472D3665}"/>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47146084085555E-2"/>
          <c:y val="1.7107287133586922E-2"/>
          <c:w val="0.83160735306748312"/>
          <c:h val="0.75194595942833931"/>
        </c:manualLayout>
      </c:layout>
      <c:barChart>
        <c:barDir val="col"/>
        <c:grouping val="stacked"/>
        <c:varyColors val="0"/>
        <c:ser>
          <c:idx val="1"/>
          <c:order val="1"/>
          <c:tx>
            <c:strRef>
              <c:f>'G1-SR-příjmy-příspěvky'!$A$35</c:f>
              <c:strCache>
                <c:ptCount val="1"/>
                <c:pt idx="0">
                  <c:v>Other taxes and fees</c:v>
                </c:pt>
              </c:strCache>
            </c:strRef>
          </c:tx>
          <c:spPr>
            <a:solidFill>
              <a:schemeClr val="bg1">
                <a:lumMod val="75000"/>
              </a:schemeClr>
            </a:solidFill>
            <a:ln w="12700">
              <a:noFill/>
              <a:prstDash val="solid"/>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'G1-SR-příjmy-příspěvky'!$E$35:$T$35</c:f>
              <c:numCache>
                <c:formatCode>0.0</c:formatCode>
                <c:ptCount val="16"/>
                <c:pt idx="0">
                  <c:v>0.1343620572631733</c:v>
                </c:pt>
                <c:pt idx="1">
                  <c:v>-0.43783892347861697</c:v>
                </c:pt>
                <c:pt idx="2">
                  <c:v>0.39966089378709002</c:v>
                </c:pt>
                <c:pt idx="3">
                  <c:v>0.45359346851715454</c:v>
                </c:pt>
                <c:pt idx="4">
                  <c:v>0.36091954456633163</c:v>
                </c:pt>
                <c:pt idx="5">
                  <c:v>-0.19669432258787528</c:v>
                </c:pt>
                <c:pt idx="6">
                  <c:v>-3.3756193936022506E-2</c:v>
                </c:pt>
                <c:pt idx="7">
                  <c:v>-0.21161967177130611</c:v>
                </c:pt>
                <c:pt idx="8">
                  <c:v>0.99101056462652215</c:v>
                </c:pt>
                <c:pt idx="9">
                  <c:v>0.24244696058614967</c:v>
                </c:pt>
                <c:pt idx="10">
                  <c:v>0.15610407782378988</c:v>
                </c:pt>
                <c:pt idx="11">
                  <c:v>0.45615292592707912</c:v>
                </c:pt>
                <c:pt idx="12">
                  <c:v>-0.24507318270758649</c:v>
                </c:pt>
                <c:pt idx="13">
                  <c:v>0.38912595873892392</c:v>
                </c:pt>
                <c:pt idx="14">
                  <c:v>0.49625884514210122</c:v>
                </c:pt>
                <c:pt idx="15">
                  <c:v>4.8454264222480514</c:v>
                </c:pt>
              </c:numCache>
            </c:numRef>
          </c:val>
          <c:extLst>
            <c:ext xmlns:c16="http://schemas.microsoft.com/office/drawing/2014/chart" uri="{C3380CC4-5D6E-409C-BE32-E72D297353CC}">
              <c16:uniqueId val="{00000000-2DEC-4398-8816-1C41EBADF00B}"/>
            </c:ext>
          </c:extLst>
        </c:ser>
        <c:ser>
          <c:idx val="3"/>
          <c:order val="2"/>
          <c:tx>
            <c:strRef>
              <c:f>'G1-SR-příjmy-příspěvky'!$A$36</c:f>
              <c:strCache>
                <c:ptCount val="1"/>
                <c:pt idx="0">
                  <c:v>Income tax of natural pers., paid by payers</c:v>
                </c:pt>
              </c:strCache>
            </c:strRef>
          </c:tx>
          <c:spPr>
            <a:solidFill>
              <a:srgbClr val="EA6C75"/>
            </a:solidFill>
            <a:ln w="19050">
              <a:noFill/>
              <a:prstDash val="sysDot"/>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'G1-SR-příjmy-příspěvky'!$E$36:$T$36</c:f>
              <c:numCache>
                <c:formatCode>0.0</c:formatCode>
                <c:ptCount val="16"/>
                <c:pt idx="0">
                  <c:v>-1.5527821256908552</c:v>
                </c:pt>
                <c:pt idx="1">
                  <c:v>-0.55432817834906578</c:v>
                </c:pt>
                <c:pt idx="2">
                  <c:v>0.12110936175366319</c:v>
                </c:pt>
                <c:pt idx="3">
                  <c:v>1.0852176920748904</c:v>
                </c:pt>
                <c:pt idx="4">
                  <c:v>5.9256972671682138E-2</c:v>
                </c:pt>
                <c:pt idx="5">
                  <c:v>0.87185461004427145</c:v>
                </c:pt>
                <c:pt idx="6">
                  <c:v>0.63141477746024122</c:v>
                </c:pt>
                <c:pt idx="7">
                  <c:v>0.67342941472377771</c:v>
                </c:pt>
                <c:pt idx="8">
                  <c:v>1.620759484993294</c:v>
                </c:pt>
                <c:pt idx="9">
                  <c:v>2.236075815759023</c:v>
                </c:pt>
                <c:pt idx="10">
                  <c:v>2.5650495208593473</c:v>
                </c:pt>
                <c:pt idx="11">
                  <c:v>2.2145487595779794</c:v>
                </c:pt>
                <c:pt idx="12">
                  <c:v>-1.0526560208410929</c:v>
                </c:pt>
                <c:pt idx="13">
                  <c:v>-6.4557034146693049</c:v>
                </c:pt>
                <c:pt idx="14">
                  <c:v>1.0630342864068225</c:v>
                </c:pt>
                <c:pt idx="15">
                  <c:v>2.2839349884944489</c:v>
                </c:pt>
              </c:numCache>
            </c:numRef>
          </c:val>
          <c:extLst>
            <c:ext xmlns:c16="http://schemas.microsoft.com/office/drawing/2014/chart" uri="{C3380CC4-5D6E-409C-BE32-E72D297353CC}">
              <c16:uniqueId val="{00000001-2DEC-4398-8816-1C41EBADF00B}"/>
            </c:ext>
          </c:extLst>
        </c:ser>
        <c:ser>
          <c:idx val="4"/>
          <c:order val="3"/>
          <c:tx>
            <c:strRef>
              <c:f>'G1-SR-příjmy-příspěvky'!$A$37</c:f>
              <c:strCache>
                <c:ptCount val="1"/>
                <c:pt idx="0">
                  <c:v>Income tax of natural persons, other</c:v>
                </c:pt>
              </c:strCache>
            </c:strRef>
          </c:tx>
          <c:spPr>
            <a:solidFill>
              <a:srgbClr val="FFD757"/>
            </a:solidFill>
            <a:ln w="19050">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'G1-SR-příjmy-příspěvky'!$E$37:$T$37</c:f>
              <c:numCache>
                <c:formatCode>0.0</c:formatCode>
                <c:ptCount val="16"/>
                <c:pt idx="0">
                  <c:v>0.35321984125884731</c:v>
                </c:pt>
                <c:pt idx="1">
                  <c:v>-1.6643234919997321</c:v>
                </c:pt>
                <c:pt idx="2">
                  <c:v>0.37392515441443624</c:v>
                </c:pt>
                <c:pt idx="3">
                  <c:v>-0.60097712828051519</c:v>
                </c:pt>
                <c:pt idx="4">
                  <c:v>0.35272007542667594</c:v>
                </c:pt>
                <c:pt idx="5">
                  <c:v>-0.13614133500691258</c:v>
                </c:pt>
                <c:pt idx="6">
                  <c:v>5.5948144838251238E-2</c:v>
                </c:pt>
                <c:pt idx="7">
                  <c:v>0.29502621978374804</c:v>
                </c:pt>
                <c:pt idx="8">
                  <c:v>0.58137265625984325</c:v>
                </c:pt>
                <c:pt idx="9">
                  <c:v>6.7589193423445826E-2</c:v>
                </c:pt>
                <c:pt idx="10">
                  <c:v>0.27497666712976387</c:v>
                </c:pt>
                <c:pt idx="11">
                  <c:v>0.40549455394307277</c:v>
                </c:pt>
                <c:pt idx="12">
                  <c:v>-0.32978914864881037</c:v>
                </c:pt>
                <c:pt idx="13">
                  <c:v>0.714735210075371</c:v>
                </c:pt>
                <c:pt idx="14">
                  <c:v>1.1235494742441323</c:v>
                </c:pt>
                <c:pt idx="15">
                  <c:v>1.0754046813056031</c:v>
                </c:pt>
              </c:numCache>
            </c:numRef>
          </c:val>
          <c:extLst>
            <c:ext xmlns:c16="http://schemas.microsoft.com/office/drawing/2014/chart" uri="{C3380CC4-5D6E-409C-BE32-E72D297353CC}">
              <c16:uniqueId val="{00000002-2DEC-4398-8816-1C41EBADF00B}"/>
            </c:ext>
          </c:extLst>
        </c:ser>
        <c:ser>
          <c:idx val="2"/>
          <c:order val="4"/>
          <c:tx>
            <c:strRef>
              <c:f>'G1-SR-příjmy-příspěvky'!$A$38</c:f>
              <c:strCache>
                <c:ptCount val="1"/>
                <c:pt idx="0">
                  <c:v>Income tax of legal persons (corporate tax)</c:v>
                </c:pt>
              </c:strCache>
            </c:strRef>
          </c:tx>
          <c:spPr>
            <a:solidFill>
              <a:srgbClr val="F9B073"/>
            </a:solidFill>
            <a:ln>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'G1-SR-příjmy-příspěvky'!$E$38:$T$38</c:f>
              <c:numCache>
                <c:formatCode>0.0</c:formatCode>
                <c:ptCount val="16"/>
                <c:pt idx="0">
                  <c:v>2.7315667724017554</c:v>
                </c:pt>
                <c:pt idx="1">
                  <c:v>-8.4233781883912382</c:v>
                </c:pt>
                <c:pt idx="2">
                  <c:v>0.64490735133825949</c:v>
                </c:pt>
                <c:pt idx="3">
                  <c:v>-0.8286854886362045</c:v>
                </c:pt>
                <c:pt idx="4">
                  <c:v>1.3953606183879379</c:v>
                </c:pt>
                <c:pt idx="5">
                  <c:v>-1.0011201200508371</c:v>
                </c:pt>
                <c:pt idx="6">
                  <c:v>1.5558912659779764</c:v>
                </c:pt>
                <c:pt idx="7">
                  <c:v>1.9381939917097657</c:v>
                </c:pt>
                <c:pt idx="8">
                  <c:v>2.1019797088722414</c:v>
                </c:pt>
                <c:pt idx="9">
                  <c:v>0.66800652833506335</c:v>
                </c:pt>
                <c:pt idx="10">
                  <c:v>0.35264183265496607</c:v>
                </c:pt>
                <c:pt idx="11">
                  <c:v>0.87073588998886708</c:v>
                </c:pt>
                <c:pt idx="12">
                  <c:v>-2.0708537130072977</c:v>
                </c:pt>
                <c:pt idx="13">
                  <c:v>3.8866812074729893</c:v>
                </c:pt>
                <c:pt idx="14">
                  <c:v>3.3224740440006921</c:v>
                </c:pt>
                <c:pt idx="15">
                  <c:v>6.5729866214661037</c:v>
                </c:pt>
              </c:numCache>
            </c:numRef>
          </c:val>
          <c:extLst>
            <c:ext xmlns:c16="http://schemas.microsoft.com/office/drawing/2014/chart" uri="{C3380CC4-5D6E-409C-BE32-E72D297353CC}">
              <c16:uniqueId val="{00000003-2DEC-4398-8816-1C41EBADF00B}"/>
            </c:ext>
          </c:extLst>
        </c:ser>
        <c:ser>
          <c:idx val="5"/>
          <c:order val="5"/>
          <c:tx>
            <c:strRef>
              <c:f>'G1-SR-příjmy-příspěvky'!$A$39</c:f>
              <c:strCache>
                <c:ptCount val="1"/>
                <c:pt idx="0">
                  <c:v>Consumption tax</c:v>
                </c:pt>
              </c:strCache>
            </c:strRef>
          </c:tx>
          <c:spPr>
            <a:solidFill>
              <a:srgbClr val="00B050"/>
            </a:solidFill>
            <a:ln>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'G1-SR-příjmy-příspěvky'!$E$39:$T$39</c:f>
              <c:numCache>
                <c:formatCode>0.0</c:formatCode>
                <c:ptCount val="16"/>
                <c:pt idx="0">
                  <c:v>-0.82002410205975451</c:v>
                </c:pt>
                <c:pt idx="1">
                  <c:v>-0.26243556269666019</c:v>
                </c:pt>
                <c:pt idx="2">
                  <c:v>1.0899842557829751</c:v>
                </c:pt>
                <c:pt idx="3">
                  <c:v>1.1976306800985845</c:v>
                </c:pt>
                <c:pt idx="4">
                  <c:v>2.821760603413263E-2</c:v>
                </c:pt>
                <c:pt idx="5">
                  <c:v>-0.4620554400234651</c:v>
                </c:pt>
                <c:pt idx="6">
                  <c:v>-0.28107282287786861</c:v>
                </c:pt>
                <c:pt idx="7">
                  <c:v>1.1788221564402885</c:v>
                </c:pt>
                <c:pt idx="8">
                  <c:v>0.94411988085894216</c:v>
                </c:pt>
                <c:pt idx="9">
                  <c:v>0.51818381624642551</c:v>
                </c:pt>
                <c:pt idx="10">
                  <c:v>0.48698157842828721</c:v>
                </c:pt>
                <c:pt idx="11">
                  <c:v>-3.2322029662130096E-2</c:v>
                </c:pt>
                <c:pt idx="12">
                  <c:v>-0.43076419151862821</c:v>
                </c:pt>
                <c:pt idx="13">
                  <c:v>-0.47146544798768414</c:v>
                </c:pt>
                <c:pt idx="14">
                  <c:v>0.28868970114686049</c:v>
                </c:pt>
                <c:pt idx="15">
                  <c:v>-0.42596944785138119</c:v>
                </c:pt>
              </c:numCache>
            </c:numRef>
          </c:val>
          <c:extLst>
            <c:ext xmlns:c16="http://schemas.microsoft.com/office/drawing/2014/chart" uri="{C3380CC4-5D6E-409C-BE32-E72D297353CC}">
              <c16:uniqueId val="{00000004-2DEC-4398-8816-1C41EBADF00B}"/>
            </c:ext>
          </c:extLst>
        </c:ser>
        <c:ser>
          <c:idx val="6"/>
          <c:order val="6"/>
          <c:tx>
            <c:strRef>
              <c:f>'G1-SR-příjmy-příspěvky'!$A$40</c:f>
              <c:strCache>
                <c:ptCount val="1"/>
                <c:pt idx="0">
                  <c:v>Value added tax</c:v>
                </c:pt>
              </c:strCache>
            </c:strRef>
          </c:tx>
          <c:spPr>
            <a:solidFill>
              <a:schemeClr val="accent5">
                <a:lumMod val="60000"/>
                <a:lumOff val="40000"/>
              </a:schemeClr>
            </a:solidFill>
            <a:ln w="19050">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'G1-SR-příjmy-příspěvky'!$E$40:$T$40</c:f>
              <c:numCache>
                <c:formatCode>0.0</c:formatCode>
                <c:ptCount val="16"/>
                <c:pt idx="0">
                  <c:v>2.6055157702270297</c:v>
                </c:pt>
                <c:pt idx="1">
                  <c:v>-0.21155519850036597</c:v>
                </c:pt>
                <c:pt idx="2">
                  <c:v>2.4131040329417468</c:v>
                </c:pt>
                <c:pt idx="3">
                  <c:v>0.84165621802355006</c:v>
                </c:pt>
                <c:pt idx="4">
                  <c:v>0.40069000568471064</c:v>
                </c:pt>
                <c:pt idx="5">
                  <c:v>4.1571237952110938</c:v>
                </c:pt>
                <c:pt idx="6">
                  <c:v>1.9208863061132218</c:v>
                </c:pt>
                <c:pt idx="7">
                  <c:v>1.1493195344619112</c:v>
                </c:pt>
                <c:pt idx="8">
                  <c:v>2.1838115743541993</c:v>
                </c:pt>
                <c:pt idx="9">
                  <c:v>3.6002510363555791</c:v>
                </c:pt>
                <c:pt idx="10">
                  <c:v>3.3186115323065706</c:v>
                </c:pt>
                <c:pt idx="11">
                  <c:v>1.7904445521930754</c:v>
                </c:pt>
                <c:pt idx="12">
                  <c:v>-0.47516406466208921</c:v>
                </c:pt>
                <c:pt idx="13">
                  <c:v>3.6157405564344214</c:v>
                </c:pt>
                <c:pt idx="14">
                  <c:v>6.9272296081153648</c:v>
                </c:pt>
                <c:pt idx="15">
                  <c:v>2.6134043336641875</c:v>
                </c:pt>
              </c:numCache>
            </c:numRef>
          </c:val>
          <c:extLst>
            <c:ext xmlns:c16="http://schemas.microsoft.com/office/drawing/2014/chart" uri="{C3380CC4-5D6E-409C-BE32-E72D297353CC}">
              <c16:uniqueId val="{00000005-2DEC-4398-8816-1C41EBADF00B}"/>
            </c:ext>
          </c:extLst>
        </c:ser>
        <c:dLbls>
          <c:showLegendKey val="0"/>
          <c:showVal val="0"/>
          <c:showCatName val="0"/>
          <c:showSerName val="0"/>
          <c:showPercent val="0"/>
          <c:showBubbleSize val="0"/>
        </c:dLbls>
        <c:gapWidth val="49"/>
        <c:overlap val="100"/>
        <c:axId val="194467712"/>
        <c:axId val="194473984"/>
      </c:barChart>
      <c:lineChart>
        <c:grouping val="standard"/>
        <c:varyColors val="0"/>
        <c:ser>
          <c:idx val="0"/>
          <c:order val="0"/>
          <c:tx>
            <c:strRef>
              <c:f>'G1-SR-příjmy-příspěvky'!$A$34</c:f>
              <c:strCache>
                <c:ptCount val="1"/>
                <c:pt idx="0">
                  <c:v>Total tax income (without SS insurance)</c:v>
                </c:pt>
              </c:strCache>
            </c:strRef>
          </c:tx>
          <c:spPr>
            <a:ln w="19050">
              <a:noFill/>
            </a:ln>
          </c:spPr>
          <c:marker>
            <c:symbol val="circle"/>
            <c:size val="7"/>
            <c:spPr>
              <a:solidFill>
                <a:schemeClr val="bg1"/>
              </a:solidFill>
              <a:ln>
                <a:solidFill>
                  <a:schemeClr val="tx1">
                    <a:lumMod val="95000"/>
                    <a:lumOff val="5000"/>
                  </a:schemeClr>
                </a:solidFill>
              </a:ln>
            </c:spPr>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'G1-SR-příjmy-příspěvky'!$E$34:$T$34</c:f>
              <c:numCache>
                <c:formatCode>0.0</c:formatCode>
                <c:ptCount val="16"/>
                <c:pt idx="0">
                  <c:v>3.4518582134002003</c:v>
                </c:pt>
                <c:pt idx="1">
                  <c:v>-11.553859543415683</c:v>
                </c:pt>
                <c:pt idx="2">
                  <c:v>5.0426910500181776</c:v>
                </c:pt>
                <c:pt idx="3">
                  <c:v>2.14843544179746</c:v>
                </c:pt>
                <c:pt idx="4">
                  <c:v>2.597164822771461</c:v>
                </c:pt>
                <c:pt idx="5">
                  <c:v>3.2329671875862829</c:v>
                </c:pt>
                <c:pt idx="6">
                  <c:v>3.8493114775757959</c:v>
                </c:pt>
                <c:pt idx="7">
                  <c:v>5.0231716453481852</c:v>
                </c:pt>
                <c:pt idx="8">
                  <c:v>8.4230538699650452</c:v>
                </c:pt>
                <c:pt idx="9">
                  <c:v>7.3325533507056804</c:v>
                </c:pt>
                <c:pt idx="10">
                  <c:v>7.1543652092027372</c:v>
                </c:pt>
                <c:pt idx="11">
                  <c:v>5.7050546519679273</c:v>
                </c:pt>
                <c:pt idx="12">
                  <c:v>-4.6043003213854945</c:v>
                </c:pt>
                <c:pt idx="13">
                  <c:v>1.6791140700647134</c:v>
                </c:pt>
                <c:pt idx="14">
                  <c:v>13.221235959055974</c:v>
                </c:pt>
                <c:pt idx="15">
                  <c:v>16.96518759932701</c:v>
                </c:pt>
              </c:numCache>
            </c:numRef>
          </c:val>
          <c:smooth val="0"/>
          <c:extLst>
            <c:ext xmlns:c16="http://schemas.microsoft.com/office/drawing/2014/chart" uri="{C3380CC4-5D6E-409C-BE32-E72D297353CC}">
              <c16:uniqueId val="{00000006-2DEC-4398-8816-1C41EBADF00B}"/>
            </c:ext>
          </c:extLst>
        </c:ser>
        <c:ser>
          <c:idx val="7"/>
          <c:order val="7"/>
          <c:tx>
            <c:strRef>
              <c:f>'G1-SR-příjmy-příspěvky'!$A$41</c:f>
              <c:strCache>
                <c:ptCount val="1"/>
                <c:pt idx="0">
                  <c:v>Social security insurance revenues (SS)*</c:v>
                </c:pt>
              </c:strCache>
            </c:strRef>
          </c:tx>
          <c:spPr>
            <a:ln w="6350">
              <a:noFill/>
              <a:prstDash val="dash"/>
            </a:ln>
          </c:spPr>
          <c:marker>
            <c:symbol val="triangle"/>
            <c:size val="5"/>
            <c:spPr>
              <a:solidFill>
                <a:schemeClr val="bg1"/>
              </a:solidFill>
              <a:ln>
                <a:solidFill>
                  <a:schemeClr val="tx1">
                    <a:lumMod val="95000"/>
                    <a:lumOff val="5000"/>
                  </a:schemeClr>
                </a:solidFill>
              </a:ln>
            </c:spPr>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'G1-SR-příjmy-příspěvky'!$E$41:$T$41</c:f>
              <c:numCache>
                <c:formatCode>0.0</c:formatCode>
                <c:ptCount val="16"/>
                <c:pt idx="0">
                  <c:v>4.963380435078534</c:v>
                </c:pt>
                <c:pt idx="1">
                  <c:v>-9.7530608009960531</c:v>
                </c:pt>
                <c:pt idx="2">
                  <c:v>2.2763853759484789</c:v>
                </c:pt>
                <c:pt idx="3">
                  <c:v>3.0856564748201549</c:v>
                </c:pt>
                <c:pt idx="4">
                  <c:v>1.2752902432500832</c:v>
                </c:pt>
                <c:pt idx="5">
                  <c:v>0.18597279569168279</c:v>
                </c:pt>
                <c:pt idx="6">
                  <c:v>2.8854393544132932</c:v>
                </c:pt>
                <c:pt idx="7">
                  <c:v>5.7035679195659696</c:v>
                </c:pt>
                <c:pt idx="8">
                  <c:v>5.8559128258724513</c:v>
                </c:pt>
                <c:pt idx="9">
                  <c:v>8.8183903383047806</c:v>
                </c:pt>
                <c:pt idx="10">
                  <c:v>10.091138884587679</c:v>
                </c:pt>
                <c:pt idx="11">
                  <c:v>7.4816515195790458</c:v>
                </c:pt>
                <c:pt idx="12">
                  <c:v>-2.0277306648235509</c:v>
                </c:pt>
                <c:pt idx="13">
                  <c:v>10.169913745206131</c:v>
                </c:pt>
                <c:pt idx="14">
                  <c:v>7.0843896490699052</c:v>
                </c:pt>
                <c:pt idx="15">
                  <c:v>8.0913834543681276</c:v>
                </c:pt>
              </c:numCache>
            </c:numRef>
          </c:val>
          <c:smooth val="0"/>
          <c:extLst>
            <c:ext xmlns:c16="http://schemas.microsoft.com/office/drawing/2014/chart" uri="{C3380CC4-5D6E-409C-BE32-E72D297353CC}">
              <c16:uniqueId val="{00000007-2DEC-4398-8816-1C41EBADF00B}"/>
            </c:ext>
          </c:extLst>
        </c:ser>
        <c:dLbls>
          <c:showLegendKey val="0"/>
          <c:showVal val="0"/>
          <c:showCatName val="0"/>
          <c:showSerName val="0"/>
          <c:showPercent val="0"/>
          <c:showBubbleSize val="0"/>
        </c:dLbls>
        <c:marker val="1"/>
        <c:smooth val="0"/>
        <c:axId val="194467712"/>
        <c:axId val="194473984"/>
      </c:lineChart>
      <c:lineChart>
        <c:grouping val="standard"/>
        <c:varyColors val="0"/>
        <c:ser>
          <c:idx val="8"/>
          <c:order val="8"/>
          <c:tx>
            <c:strRef>
              <c:f>'G1-SR-příjmy-příspěvky'!$A$42</c:f>
              <c:strCache>
                <c:ptCount val="1"/>
                <c:pt idx="0">
                  <c:v>State budget balance (right axis)</c:v>
                </c:pt>
              </c:strCache>
            </c:strRef>
          </c:tx>
          <c:spPr>
            <a:ln w="19050">
              <a:solidFill>
                <a:schemeClr val="bg2">
                  <a:lumMod val="50000"/>
                </a:schemeClr>
              </a:solidFill>
            </a:ln>
          </c:spPr>
          <c:marker>
            <c:symbol val="none"/>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'G1-SR-příjmy-příspěvky'!$E$42:$T$42</c:f>
              <c:numCache>
                <c:formatCode>#\ ##0.0</c:formatCode>
                <c:ptCount val="16"/>
                <c:pt idx="0">
                  <c:v>-20.003</c:v>
                </c:pt>
                <c:pt idx="1">
                  <c:v>-192.39400000000001</c:v>
                </c:pt>
                <c:pt idx="2">
                  <c:v>-156.416</c:v>
                </c:pt>
                <c:pt idx="3">
                  <c:v>-142.77099999999999</c:v>
                </c:pt>
                <c:pt idx="4">
                  <c:v>-101</c:v>
                </c:pt>
                <c:pt idx="5">
                  <c:v>-81.263999999999996</c:v>
                </c:pt>
                <c:pt idx="6">
                  <c:v>-77.78</c:v>
                </c:pt>
                <c:pt idx="7">
                  <c:v>-62.8</c:v>
                </c:pt>
                <c:pt idx="8">
                  <c:v>61.77</c:v>
                </c:pt>
                <c:pt idx="9">
                  <c:v>-6.15</c:v>
                </c:pt>
                <c:pt idx="10">
                  <c:v>2.94</c:v>
                </c:pt>
                <c:pt idx="11">
                  <c:v>-28.52</c:v>
                </c:pt>
                <c:pt idx="12">
                  <c:v>-367.44914888590029</c:v>
                </c:pt>
                <c:pt idx="13">
                  <c:v>-419.6878585549</c:v>
                </c:pt>
                <c:pt idx="14">
                  <c:v>-360.40186851624935</c:v>
                </c:pt>
                <c:pt idx="15">
                  <c:v>-288.51503705804953</c:v>
                </c:pt>
              </c:numCache>
            </c:numRef>
          </c:val>
          <c:smooth val="0"/>
          <c:extLst>
            <c:ext xmlns:c16="http://schemas.microsoft.com/office/drawing/2014/chart" uri="{C3380CC4-5D6E-409C-BE32-E72D297353CC}">
              <c16:uniqueId val="{00000008-2DEC-4398-8816-1C41EBADF00B}"/>
            </c:ext>
          </c:extLst>
        </c:ser>
        <c:ser>
          <c:idx val="9"/>
          <c:order val="9"/>
          <c:tx>
            <c:strRef>
              <c:f>'G1-SR-příjmy-příspěvky'!$A$43</c:f>
              <c:strCache>
                <c:ptCount val="1"/>
                <c:pt idx="0">
                  <c:v>SB balance adjust.for EU+FM effect** (right ax.)</c:v>
                </c:pt>
              </c:strCache>
            </c:strRef>
          </c:tx>
          <c:spPr>
            <a:ln w="19050">
              <a:solidFill>
                <a:schemeClr val="bg2">
                  <a:lumMod val="50000"/>
                </a:schemeClr>
              </a:solidFill>
              <a:prstDash val="sysDash"/>
            </a:ln>
          </c:spPr>
          <c:marker>
            <c:symbol val="none"/>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'G1-SR-příjmy-příspěvky'!$E$43:$T$43</c:f>
              <c:numCache>
                <c:formatCode>General</c:formatCode>
                <c:ptCount val="16"/>
                <c:pt idx="2" formatCode="#\ ##0.0">
                  <c:v>-139.30000000000001</c:v>
                </c:pt>
                <c:pt idx="3" formatCode="#\ ##0.0">
                  <c:v>-117.5</c:v>
                </c:pt>
                <c:pt idx="4" formatCode="#\ ##0.0">
                  <c:v>-70.599999999999994</c:v>
                </c:pt>
                <c:pt idx="5" formatCode="#\ ##0.0">
                  <c:v>-81.73296260617991</c:v>
                </c:pt>
                <c:pt idx="6" formatCode="#\ ##0.0">
                  <c:v>-64.099999999999994</c:v>
                </c:pt>
                <c:pt idx="7" formatCode="#\ ##0.0">
                  <c:v>-41.7</c:v>
                </c:pt>
                <c:pt idx="8" formatCode="#\ ##0.0">
                  <c:v>-13.6</c:v>
                </c:pt>
                <c:pt idx="9" formatCode="#\ ##0.0">
                  <c:v>-1.3</c:v>
                </c:pt>
                <c:pt idx="10" formatCode="#\ ##0.0">
                  <c:v>-3.5</c:v>
                </c:pt>
                <c:pt idx="11" formatCode="#\ ##0.0">
                  <c:v>-29.2</c:v>
                </c:pt>
                <c:pt idx="12" formatCode="#\ ##0.0">
                  <c:v>-364.9</c:v>
                </c:pt>
                <c:pt idx="13" formatCode="#\ ##0.0">
                  <c:v>-408.62534300788002</c:v>
                </c:pt>
                <c:pt idx="14" formatCode="#\ ##0.0">
                  <c:v>-316.78614650160944</c:v>
                </c:pt>
                <c:pt idx="15" formatCode="#\ ##0.0">
                  <c:v>-299.44697195211938</c:v>
                </c:pt>
              </c:numCache>
            </c:numRef>
          </c:val>
          <c:smooth val="0"/>
          <c:extLst>
            <c:ext xmlns:c16="http://schemas.microsoft.com/office/drawing/2014/chart" uri="{C3380CC4-5D6E-409C-BE32-E72D297353CC}">
              <c16:uniqueId val="{00000009-2DEC-4398-8816-1C41EBADF00B}"/>
            </c:ext>
          </c:extLst>
        </c:ser>
        <c:dLbls>
          <c:showLegendKey val="0"/>
          <c:showVal val="0"/>
          <c:showCatName val="0"/>
          <c:showSerName val="0"/>
          <c:showPercent val="0"/>
          <c:showBubbleSize val="0"/>
        </c:dLbls>
        <c:marker val="1"/>
        <c:smooth val="0"/>
        <c:axId val="539204576"/>
        <c:axId val="556140592"/>
      </c:lineChart>
      <c:catAx>
        <c:axId val="194467712"/>
        <c:scaling>
          <c:orientation val="minMax"/>
        </c:scaling>
        <c:delete val="0"/>
        <c:axPos val="b"/>
        <c:numFmt formatCode="General" sourceLinked="1"/>
        <c:majorTickMark val="out"/>
        <c:minorTickMark val="none"/>
        <c:tickLblPos val="low"/>
        <c:spPr>
          <a:ln w="6350">
            <a:solidFill>
              <a:schemeClr val="tx1"/>
            </a:solidFill>
          </a:ln>
        </c:spPr>
        <c:txPr>
          <a:bodyPr rot="-2220000"/>
          <a:lstStyle/>
          <a:p>
            <a:pPr>
              <a:defRPr sz="800" b="0" i="0"/>
            </a:pPr>
            <a:endParaRPr lang="cs-CZ"/>
          </a:p>
        </c:txPr>
        <c:crossAx val="194473984"/>
        <c:crosses val="autoZero"/>
        <c:auto val="1"/>
        <c:lblAlgn val="ctr"/>
        <c:lblOffset val="0"/>
        <c:noMultiLvlLbl val="0"/>
      </c:catAx>
      <c:valAx>
        <c:axId val="194473984"/>
        <c:scaling>
          <c:orientation val="minMax"/>
          <c:max val="20"/>
          <c:min val="-35"/>
        </c:scaling>
        <c:delete val="0"/>
        <c:axPos val="l"/>
        <c:majorGridlines>
          <c:spPr>
            <a:ln w="6350">
              <a:solidFill>
                <a:schemeClr val="bg1">
                  <a:lumMod val="75000"/>
                </a:schemeClr>
              </a:solidFill>
            </a:ln>
          </c:spPr>
        </c:majorGridlines>
        <c:title>
          <c:tx>
            <c:rich>
              <a:bodyPr/>
              <a:lstStyle/>
              <a:p>
                <a:pPr>
                  <a:defRPr b="0"/>
                </a:pPr>
                <a:r>
                  <a:rPr lang="cs-CZ" b="0"/>
                  <a:t>Insurance revenues growth, contribution to growth of tax income</a:t>
                </a:r>
              </a:p>
            </c:rich>
          </c:tx>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194467712"/>
        <c:crosses val="autoZero"/>
        <c:crossBetween val="between"/>
        <c:majorUnit val="5"/>
      </c:valAx>
      <c:valAx>
        <c:axId val="556140592"/>
        <c:scaling>
          <c:orientation val="minMax"/>
          <c:max val="240"/>
          <c:min val="-420"/>
        </c:scaling>
        <c:delete val="0"/>
        <c:axPos val="r"/>
        <c:title>
          <c:tx>
            <c:rich>
              <a:bodyPr/>
              <a:lstStyle/>
              <a:p>
                <a:pPr>
                  <a:defRPr b="0"/>
                </a:pPr>
                <a:r>
                  <a:rPr lang="cs-CZ" b="0"/>
                  <a:t>State budget balance</a:t>
                </a:r>
              </a:p>
            </c:rich>
          </c:tx>
          <c:layout>
            <c:manualLayout>
              <c:xMode val="edge"/>
              <c:yMode val="edge"/>
              <c:x val="0.97036646544776606"/>
              <c:y val="0.20963215506367217"/>
            </c:manualLayout>
          </c:layout>
          <c:overlay val="0"/>
        </c:title>
        <c:numFmt formatCode="#,##0" sourceLinked="0"/>
        <c:majorTickMark val="out"/>
        <c:minorTickMark val="none"/>
        <c:tickLblPos val="nextTo"/>
        <c:txPr>
          <a:bodyPr/>
          <a:lstStyle/>
          <a:p>
            <a:pPr>
              <a:defRPr sz="800" b="0" i="0"/>
            </a:pPr>
            <a:endParaRPr lang="cs-CZ"/>
          </a:p>
        </c:txPr>
        <c:crossAx val="539204576"/>
        <c:crosses val="max"/>
        <c:crossBetween val="between"/>
        <c:majorUnit val="60"/>
      </c:valAx>
      <c:catAx>
        <c:axId val="539204576"/>
        <c:scaling>
          <c:orientation val="minMax"/>
        </c:scaling>
        <c:delete val="1"/>
        <c:axPos val="b"/>
        <c:numFmt formatCode="General" sourceLinked="1"/>
        <c:majorTickMark val="out"/>
        <c:minorTickMark val="none"/>
        <c:tickLblPos val="nextTo"/>
        <c:crossAx val="556140592"/>
        <c:crosses val="autoZero"/>
        <c:auto val="1"/>
        <c:lblAlgn val="ctr"/>
        <c:lblOffset val="100"/>
        <c:noMultiLvlLbl val="0"/>
      </c:catAx>
      <c:spPr>
        <a:ln w="6350">
          <a:solidFill>
            <a:schemeClr val="tx1"/>
          </a:solidFill>
        </a:ln>
      </c:spPr>
    </c:plotArea>
    <c:legend>
      <c:legendPos val="b"/>
      <c:layout>
        <c:manualLayout>
          <c:xMode val="edge"/>
          <c:yMode val="edge"/>
          <c:x val="1.3404713427069706E-2"/>
          <c:y val="0.84262968908968383"/>
          <c:w val="0.97057855178488128"/>
          <c:h val="0.15368252151393277"/>
        </c:manualLayout>
      </c:layout>
      <c:overlay val="0"/>
      <c:spPr>
        <a:ln w="6350">
          <a:solidFill>
            <a:schemeClr val="tx1"/>
          </a:solidFill>
        </a:ln>
      </c:spPr>
      <c:txPr>
        <a:bodyPr/>
        <a:lstStyle/>
        <a:p>
          <a:pPr>
            <a:defRPr sz="70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49333313906573E-2"/>
          <c:y val="2.1433051007174339E-2"/>
          <c:w val="0.82973125407935444"/>
          <c:h val="0.70569386992454597"/>
        </c:manualLayout>
      </c:layout>
      <c:barChart>
        <c:barDir val="col"/>
        <c:grouping val="clustered"/>
        <c:varyColors val="0"/>
        <c:ser>
          <c:idx val="0"/>
          <c:order val="0"/>
          <c:tx>
            <c:strRef>
              <c:f>'G2-St.rozpočet-výdaje'!$B$31</c:f>
              <c:strCache>
                <c:ptCount val="1"/>
                <c:pt idx="0">
                  <c:v>Total current expenditures (right axis)</c:v>
                </c:pt>
              </c:strCache>
            </c:strRef>
          </c:tx>
          <c:spPr>
            <a:solidFill>
              <a:schemeClr val="bg1">
                <a:lumMod val="9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'G2-St.rozpočet-výdaje'!$B$35:$B$50</c:f>
              <c:numCache>
                <c:formatCode>0.0</c:formatCode>
                <c:ptCount val="16"/>
                <c:pt idx="0">
                  <c:v>975.86</c:v>
                </c:pt>
                <c:pt idx="1">
                  <c:v>1032.78</c:v>
                </c:pt>
                <c:pt idx="2">
                  <c:v>1021.89</c:v>
                </c:pt>
                <c:pt idx="3">
                  <c:v>1031.83</c:v>
                </c:pt>
                <c:pt idx="4">
                  <c:v>1038.76</c:v>
                </c:pt>
                <c:pt idx="5">
                  <c:v>1070.8130000000001</c:v>
                </c:pt>
                <c:pt idx="6">
                  <c:v>1100.1020000000001</c:v>
                </c:pt>
                <c:pt idx="7">
                  <c:v>1121.6600000000001</c:v>
                </c:pt>
                <c:pt idx="8">
                  <c:v>1135.57</c:v>
                </c:pt>
                <c:pt idx="9">
                  <c:v>1198.05</c:v>
                </c:pt>
                <c:pt idx="10">
                  <c:v>1284.5</c:v>
                </c:pt>
                <c:pt idx="11">
                  <c:v>1412.5989294339895</c:v>
                </c:pt>
                <c:pt idx="12">
                  <c:v>1670.3085864663701</c:v>
                </c:pt>
                <c:pt idx="13">
                  <c:v>1729.78958897348</c:v>
                </c:pt>
                <c:pt idx="14">
                  <c:v>1798.8098500209101</c:v>
                </c:pt>
                <c:pt idx="15">
                  <c:v>1991.2519146137097</c:v>
                </c:pt>
              </c:numCache>
            </c:numRef>
          </c:val>
          <c:extLst>
            <c:ext xmlns:c16="http://schemas.microsoft.com/office/drawing/2014/chart" uri="{C3380CC4-5D6E-409C-BE32-E72D297353CC}">
              <c16:uniqueId val="{00000000-2371-4109-89E0-3378552A714E}"/>
            </c:ext>
          </c:extLst>
        </c:ser>
        <c:ser>
          <c:idx val="1"/>
          <c:order val="1"/>
          <c:tx>
            <c:strRef>
              <c:f>'G2-St.rozpočet-výdaje'!$C$31</c:f>
              <c:strCache>
                <c:ptCount val="1"/>
                <c:pt idx="0">
                  <c:v>In that expend. on pensions (right axis)</c:v>
                </c:pt>
              </c:strCache>
            </c:strRef>
          </c:tx>
          <c:spPr>
            <a:solidFill>
              <a:schemeClr val="bg1">
                <a:lumMod val="7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'G2-St.rozpočet-výdaje'!$C$35:$C$50</c:f>
              <c:numCache>
                <c:formatCode>#\ ##0.0</c:formatCode>
                <c:ptCount val="16"/>
                <c:pt idx="0">
                  <c:v>312.53199999999998</c:v>
                </c:pt>
                <c:pt idx="1">
                  <c:v>339.78800000000001</c:v>
                </c:pt>
                <c:pt idx="2">
                  <c:v>346.21300000000002</c:v>
                </c:pt>
                <c:pt idx="3">
                  <c:v>368.06900000000002</c:v>
                </c:pt>
                <c:pt idx="4">
                  <c:v>382.03100000000001</c:v>
                </c:pt>
                <c:pt idx="5">
                  <c:v>382.77300000000002</c:v>
                </c:pt>
                <c:pt idx="6">
                  <c:v>385.84</c:v>
                </c:pt>
                <c:pt idx="7">
                  <c:v>395.22</c:v>
                </c:pt>
                <c:pt idx="8">
                  <c:v>398.97</c:v>
                </c:pt>
                <c:pt idx="9">
                  <c:v>414.39</c:v>
                </c:pt>
                <c:pt idx="10">
                  <c:v>433.84</c:v>
                </c:pt>
                <c:pt idx="11">
                  <c:v>471.58934759291003</c:v>
                </c:pt>
                <c:pt idx="12">
                  <c:v>519.56821115258003</c:v>
                </c:pt>
                <c:pt idx="13">
                  <c:v>530.49962626152001</c:v>
                </c:pt>
                <c:pt idx="14">
                  <c:v>588.08604572466004</c:v>
                </c:pt>
                <c:pt idx="15">
                  <c:v>685.21298320429992</c:v>
                </c:pt>
              </c:numCache>
            </c:numRef>
          </c:val>
          <c:extLst>
            <c:ext xmlns:c16="http://schemas.microsoft.com/office/drawing/2014/chart" uri="{C3380CC4-5D6E-409C-BE32-E72D297353CC}">
              <c16:uniqueId val="{00000001-2371-4109-89E0-3378552A714E}"/>
            </c:ext>
          </c:extLst>
        </c:ser>
        <c:dLbls>
          <c:showLegendKey val="0"/>
          <c:showVal val="0"/>
          <c:showCatName val="0"/>
          <c:showSerName val="0"/>
          <c:showPercent val="0"/>
          <c:showBubbleSize val="0"/>
        </c:dLbls>
        <c:gapWidth val="82"/>
        <c:overlap val="100"/>
        <c:axId val="72836608"/>
        <c:axId val="72835072"/>
      </c:barChart>
      <c:lineChart>
        <c:grouping val="standard"/>
        <c:varyColors val="0"/>
        <c:ser>
          <c:idx val="6"/>
          <c:order val="2"/>
          <c:tx>
            <c:strRef>
              <c:f>'G2-St.rozpočet-výdaje'!$D$31</c:f>
              <c:strCache>
                <c:ptCount val="1"/>
                <c:pt idx="0">
                  <c:v>Wages of employees in publ. admin.*</c:v>
                </c:pt>
              </c:strCache>
            </c:strRef>
          </c:tx>
          <c:spPr>
            <a:ln w="15875">
              <a:solidFill>
                <a:srgbClr val="D5D00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'G2-St.rozpočet-výdaje'!$D$35:$D$50</c:f>
              <c:numCache>
                <c:formatCode>0.0</c:formatCode>
                <c:ptCount val="16"/>
                <c:pt idx="0">
                  <c:v>97.33</c:v>
                </c:pt>
                <c:pt idx="1">
                  <c:v>100.19</c:v>
                </c:pt>
                <c:pt idx="2">
                  <c:v>97.67</c:v>
                </c:pt>
                <c:pt idx="3">
                  <c:v>89.6</c:v>
                </c:pt>
                <c:pt idx="4">
                  <c:v>90.45</c:v>
                </c:pt>
                <c:pt idx="5">
                  <c:v>92.375</c:v>
                </c:pt>
                <c:pt idx="6">
                  <c:v>96.582999999999998</c:v>
                </c:pt>
                <c:pt idx="7">
                  <c:v>104.19</c:v>
                </c:pt>
                <c:pt idx="8">
                  <c:v>109.86</c:v>
                </c:pt>
                <c:pt idx="9">
                  <c:v>120.08</c:v>
                </c:pt>
                <c:pt idx="10">
                  <c:v>133.9</c:v>
                </c:pt>
                <c:pt idx="11">
                  <c:v>143.72754730148006</c:v>
                </c:pt>
                <c:pt idx="12">
                  <c:v>150.49796216553</c:v>
                </c:pt>
                <c:pt idx="13">
                  <c:v>152.83601356255002</c:v>
                </c:pt>
                <c:pt idx="14">
                  <c:v>154.26261187671003</c:v>
                </c:pt>
                <c:pt idx="15">
                  <c:v>165.62244310157999</c:v>
                </c:pt>
              </c:numCache>
            </c:numRef>
          </c:val>
          <c:smooth val="0"/>
          <c:extLst>
            <c:ext xmlns:c16="http://schemas.microsoft.com/office/drawing/2014/chart" uri="{C3380CC4-5D6E-409C-BE32-E72D297353CC}">
              <c16:uniqueId val="{00000002-2371-4109-89E0-3378552A714E}"/>
            </c:ext>
          </c:extLst>
        </c:ser>
        <c:ser>
          <c:idx val="7"/>
          <c:order val="3"/>
          <c:tx>
            <c:strRef>
              <c:f>'G2-St.rozpočet-výdaje'!$E$31</c:f>
              <c:strCache>
                <c:ptCount val="1"/>
                <c:pt idx="0">
                  <c:v>Unemployment benefits</c:v>
                </c:pt>
              </c:strCache>
            </c:strRef>
          </c:tx>
          <c:spPr>
            <a:ln w="15875">
              <a:solidFill>
                <a:srgbClr val="996633"/>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'G2-St.rozpočet-výdaje'!$E$35:$E$50</c:f>
              <c:numCache>
                <c:formatCode>0.0</c:formatCode>
                <c:ptCount val="16"/>
                <c:pt idx="0">
                  <c:v>7.11</c:v>
                </c:pt>
                <c:pt idx="1">
                  <c:v>15.077999999999999</c:v>
                </c:pt>
                <c:pt idx="2">
                  <c:v>13.355</c:v>
                </c:pt>
                <c:pt idx="3">
                  <c:v>10.349</c:v>
                </c:pt>
                <c:pt idx="4">
                  <c:v>8.76</c:v>
                </c:pt>
                <c:pt idx="5">
                  <c:v>9.65</c:v>
                </c:pt>
                <c:pt idx="6">
                  <c:v>9.2620000000000005</c:v>
                </c:pt>
                <c:pt idx="7">
                  <c:v>8.2759999999999998</c:v>
                </c:pt>
                <c:pt idx="8">
                  <c:v>8.2200000000000006</c:v>
                </c:pt>
                <c:pt idx="9">
                  <c:v>7.82</c:v>
                </c:pt>
                <c:pt idx="10">
                  <c:v>7.51</c:v>
                </c:pt>
                <c:pt idx="11">
                  <c:v>8.1136251569399995</c:v>
                </c:pt>
                <c:pt idx="12">
                  <c:v>10.524849742540001</c:v>
                </c:pt>
                <c:pt idx="13">
                  <c:v>9.9694941281400009</c:v>
                </c:pt>
                <c:pt idx="14">
                  <c:v>9.8463264355100009</c:v>
                </c:pt>
                <c:pt idx="15">
                  <c:v>10.45997211533</c:v>
                </c:pt>
              </c:numCache>
            </c:numRef>
          </c:val>
          <c:smooth val="0"/>
          <c:extLst>
            <c:ext xmlns:c16="http://schemas.microsoft.com/office/drawing/2014/chart" uri="{C3380CC4-5D6E-409C-BE32-E72D297353CC}">
              <c16:uniqueId val="{00000003-2371-4109-89E0-3378552A714E}"/>
            </c:ext>
          </c:extLst>
        </c:ser>
        <c:ser>
          <c:idx val="2"/>
          <c:order val="4"/>
          <c:tx>
            <c:strRef>
              <c:f>'G2-St.rozpočet-výdaje'!$F$31</c:f>
              <c:strCache>
                <c:ptCount val="1"/>
                <c:pt idx="0">
                  <c:v>State social support**</c:v>
                </c:pt>
              </c:strCache>
            </c:strRef>
          </c:tx>
          <c:spPr>
            <a:ln w="15875">
              <a:solidFill>
                <a:schemeClr val="accent6">
                  <a:lumMod val="75000"/>
                </a:schemeClr>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'G2-St.rozpočet-výdaje'!$F$35:$F$50</c:f>
              <c:numCache>
                <c:formatCode>0.0</c:formatCode>
                <c:ptCount val="16"/>
                <c:pt idx="0">
                  <c:v>41.97</c:v>
                </c:pt>
                <c:pt idx="1">
                  <c:v>41.167999999999999</c:v>
                </c:pt>
                <c:pt idx="2">
                  <c:v>40.881</c:v>
                </c:pt>
                <c:pt idx="3">
                  <c:v>36.094000000000001</c:v>
                </c:pt>
                <c:pt idx="4">
                  <c:v>35.554000000000002</c:v>
                </c:pt>
                <c:pt idx="5">
                  <c:v>37.423000000000002</c:v>
                </c:pt>
                <c:pt idx="6">
                  <c:v>37.543999999999997</c:v>
                </c:pt>
                <c:pt idx="7">
                  <c:v>37.65</c:v>
                </c:pt>
                <c:pt idx="8">
                  <c:v>37.78</c:v>
                </c:pt>
                <c:pt idx="9">
                  <c:v>37.22</c:v>
                </c:pt>
                <c:pt idx="10">
                  <c:v>39.22</c:v>
                </c:pt>
                <c:pt idx="11">
                  <c:v>37.87859106618</c:v>
                </c:pt>
                <c:pt idx="12">
                  <c:v>51.685289497479999</c:v>
                </c:pt>
                <c:pt idx="13">
                  <c:v>48.771589956349999</c:v>
                </c:pt>
                <c:pt idx="14">
                  <c:v>56.34439888851</c:v>
                </c:pt>
                <c:pt idx="15">
                  <c:v>59.955940890070003</c:v>
                </c:pt>
              </c:numCache>
            </c:numRef>
          </c:val>
          <c:smooth val="0"/>
          <c:extLst>
            <c:ext xmlns:c16="http://schemas.microsoft.com/office/drawing/2014/chart" uri="{C3380CC4-5D6E-409C-BE32-E72D297353CC}">
              <c16:uniqueId val="{00000004-2371-4109-89E0-3378552A714E}"/>
            </c:ext>
          </c:extLst>
        </c:ser>
        <c:ser>
          <c:idx val="3"/>
          <c:order val="5"/>
          <c:tx>
            <c:strRef>
              <c:f>'G2-St.rozpočet-výdaje'!$G$31</c:f>
              <c:strCache>
                <c:ptCount val="1"/>
                <c:pt idx="0">
                  <c:v>Sickness benefits</c:v>
                </c:pt>
              </c:strCache>
            </c:strRef>
          </c:tx>
          <c:spPr>
            <a:ln w="15875">
              <a:solidFill>
                <a:srgbClr val="00B0F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'G2-St.rozpočet-výdaje'!$G$35:$G$50</c:f>
              <c:numCache>
                <c:formatCode>0.0</c:formatCode>
                <c:ptCount val="16"/>
                <c:pt idx="0">
                  <c:v>31.882000000000001</c:v>
                </c:pt>
                <c:pt idx="1">
                  <c:v>26.233000000000001</c:v>
                </c:pt>
                <c:pt idx="2">
                  <c:v>22.995999999999999</c:v>
                </c:pt>
                <c:pt idx="3">
                  <c:v>21.734000000000002</c:v>
                </c:pt>
                <c:pt idx="4">
                  <c:v>19.602</c:v>
                </c:pt>
                <c:pt idx="5">
                  <c:v>20.350000000000001</c:v>
                </c:pt>
                <c:pt idx="6">
                  <c:v>22.283000000000001</c:v>
                </c:pt>
                <c:pt idx="7">
                  <c:v>24.31</c:v>
                </c:pt>
                <c:pt idx="8">
                  <c:v>26.5</c:v>
                </c:pt>
                <c:pt idx="9">
                  <c:v>28.57</c:v>
                </c:pt>
                <c:pt idx="10">
                  <c:v>34.299999999999997</c:v>
                </c:pt>
                <c:pt idx="11">
                  <c:v>39.200000000000003</c:v>
                </c:pt>
                <c:pt idx="12">
                  <c:v>55.6</c:v>
                </c:pt>
                <c:pt idx="13">
                  <c:v>51.9</c:v>
                </c:pt>
                <c:pt idx="14">
                  <c:v>48.1</c:v>
                </c:pt>
                <c:pt idx="15">
                  <c:v>45.9</c:v>
                </c:pt>
              </c:numCache>
            </c:numRef>
          </c:val>
          <c:smooth val="0"/>
          <c:extLst>
            <c:ext xmlns:c16="http://schemas.microsoft.com/office/drawing/2014/chart" uri="{C3380CC4-5D6E-409C-BE32-E72D297353CC}">
              <c16:uniqueId val="{00000005-2371-4109-89E0-3378552A714E}"/>
            </c:ext>
          </c:extLst>
        </c:ser>
        <c:ser>
          <c:idx val="4"/>
          <c:order val="6"/>
          <c:tx>
            <c:strRef>
              <c:f>'G2-St.rozpočet-výdaje'!$H$31</c:f>
              <c:strCache>
                <c:ptCount val="1"/>
                <c:pt idx="0">
                  <c:v>Social care benefits***</c:v>
                </c:pt>
              </c:strCache>
            </c:strRef>
          </c:tx>
          <c:spPr>
            <a:ln w="15875">
              <a:solidFill>
                <a:srgbClr val="00B050"/>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'G2-St.rozpočet-výdaje'!$H$35:$H$50</c:f>
              <c:numCache>
                <c:formatCode>0.0</c:formatCode>
                <c:ptCount val="16"/>
                <c:pt idx="0">
                  <c:v>23.542000000000002</c:v>
                </c:pt>
                <c:pt idx="1">
                  <c:v>24.256</c:v>
                </c:pt>
                <c:pt idx="2">
                  <c:v>25.292000000000002</c:v>
                </c:pt>
                <c:pt idx="3">
                  <c:v>24.966999999999999</c:v>
                </c:pt>
                <c:pt idx="4">
                  <c:v>27.695499999999999</c:v>
                </c:pt>
                <c:pt idx="5">
                  <c:v>31.978999999999999</c:v>
                </c:pt>
                <c:pt idx="6">
                  <c:v>33.622</c:v>
                </c:pt>
                <c:pt idx="7">
                  <c:v>33.621000000000002</c:v>
                </c:pt>
                <c:pt idx="8">
                  <c:v>34.295000000000002</c:v>
                </c:pt>
                <c:pt idx="9">
                  <c:v>34.439</c:v>
                </c:pt>
                <c:pt idx="10">
                  <c:v>33.990400000000001</c:v>
                </c:pt>
                <c:pt idx="11">
                  <c:v>36.831099999999999</c:v>
                </c:pt>
                <c:pt idx="12">
                  <c:v>40.510199999999998</c:v>
                </c:pt>
                <c:pt idx="13">
                  <c:v>40.74</c:v>
                </c:pt>
                <c:pt idx="14">
                  <c:v>53.6</c:v>
                </c:pt>
                <c:pt idx="15">
                  <c:v>54</c:v>
                </c:pt>
              </c:numCache>
            </c:numRef>
          </c:val>
          <c:smooth val="0"/>
          <c:extLst>
            <c:ext xmlns:c16="http://schemas.microsoft.com/office/drawing/2014/chart" uri="{C3380CC4-5D6E-409C-BE32-E72D297353CC}">
              <c16:uniqueId val="{00000006-2371-4109-89E0-3378552A714E}"/>
            </c:ext>
          </c:extLst>
        </c:ser>
        <c:ser>
          <c:idx val="11"/>
          <c:order val="7"/>
          <c:tx>
            <c:strRef>
              <c:f>'G2-St.rozpočet-výdaje'!$M$31</c:f>
              <c:strCache>
                <c:ptCount val="1"/>
                <c:pt idx="0">
                  <c:v>Build. society accounts, pension insurance</c:v>
                </c:pt>
              </c:strCache>
            </c:strRef>
          </c:tx>
          <c:spPr>
            <a:ln w="15875">
              <a:solidFill>
                <a:srgbClr val="0070C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'G2-St.rozpočet-výdaje'!$M$35:$M$50</c:f>
              <c:numCache>
                <c:formatCode>0.0</c:formatCode>
                <c:ptCount val="16"/>
                <c:pt idx="0">
                  <c:v>19.21</c:v>
                </c:pt>
                <c:pt idx="1">
                  <c:v>18.559999999999999</c:v>
                </c:pt>
                <c:pt idx="2">
                  <c:v>17.21</c:v>
                </c:pt>
                <c:pt idx="3">
                  <c:v>16.32</c:v>
                </c:pt>
                <c:pt idx="4">
                  <c:v>11.030000000000001</c:v>
                </c:pt>
                <c:pt idx="5">
                  <c:v>11.64</c:v>
                </c:pt>
                <c:pt idx="6">
                  <c:v>11.649999999999999</c:v>
                </c:pt>
                <c:pt idx="7">
                  <c:v>11.379999999999999</c:v>
                </c:pt>
                <c:pt idx="8">
                  <c:v>11.09</c:v>
                </c:pt>
                <c:pt idx="9">
                  <c:v>10.83</c:v>
                </c:pt>
                <c:pt idx="10">
                  <c:v>10.91</c:v>
                </c:pt>
                <c:pt idx="11">
                  <c:v>11.17778915189</c:v>
                </c:pt>
                <c:pt idx="12">
                  <c:v>11.47836191851</c:v>
                </c:pt>
                <c:pt idx="13">
                  <c:v>11.740370910780001</c:v>
                </c:pt>
                <c:pt idx="14">
                  <c:v>11.9619944797</c:v>
                </c:pt>
                <c:pt idx="15">
                  <c:v>11.74050024079</c:v>
                </c:pt>
              </c:numCache>
            </c:numRef>
          </c:val>
          <c:smooth val="0"/>
          <c:extLst>
            <c:ext xmlns:c16="http://schemas.microsoft.com/office/drawing/2014/chart" uri="{C3380CC4-5D6E-409C-BE32-E72D297353CC}">
              <c16:uniqueId val="{00000007-2371-4109-89E0-3378552A714E}"/>
            </c:ext>
          </c:extLst>
        </c:ser>
        <c:ser>
          <c:idx val="5"/>
          <c:order val="8"/>
          <c:tx>
            <c:strRef>
              <c:f>'G2-St.rozpočet-výdaje'!$I$31</c:f>
              <c:strCache>
                <c:ptCount val="1"/>
                <c:pt idx="0">
                  <c:v>Non-investment purchases****</c:v>
                </c:pt>
              </c:strCache>
            </c:strRef>
          </c:tx>
          <c:spPr>
            <a:ln w="15875">
              <a:solidFill>
                <a:srgbClr val="F0949B"/>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'G2-St.rozpočet-výdaje'!$I$35:$I$50</c:f>
              <c:numCache>
                <c:formatCode>0.0</c:formatCode>
                <c:ptCount val="16"/>
                <c:pt idx="0">
                  <c:v>71.581999999999994</c:v>
                </c:pt>
                <c:pt idx="1">
                  <c:v>69.73</c:v>
                </c:pt>
                <c:pt idx="2">
                  <c:v>65.116</c:v>
                </c:pt>
                <c:pt idx="3">
                  <c:v>57.98</c:v>
                </c:pt>
                <c:pt idx="4">
                  <c:v>53.174999999999997</c:v>
                </c:pt>
                <c:pt idx="5">
                  <c:v>54.192999999999998</c:v>
                </c:pt>
                <c:pt idx="6">
                  <c:v>54.751000000000005</c:v>
                </c:pt>
                <c:pt idx="7">
                  <c:v>62.36</c:v>
                </c:pt>
                <c:pt idx="8">
                  <c:v>57.560000000000009</c:v>
                </c:pt>
                <c:pt idx="9">
                  <c:v>62.76</c:v>
                </c:pt>
                <c:pt idx="10">
                  <c:v>68.41</c:v>
                </c:pt>
                <c:pt idx="11">
                  <c:v>66.430000000000007</c:v>
                </c:pt>
                <c:pt idx="12">
                  <c:v>77.884951001920001</c:v>
                </c:pt>
                <c:pt idx="13">
                  <c:v>78.966372350420002</c:v>
                </c:pt>
                <c:pt idx="14">
                  <c:v>91.193704519299956</c:v>
                </c:pt>
                <c:pt idx="15">
                  <c:v>81.628682751309995</c:v>
                </c:pt>
              </c:numCache>
            </c:numRef>
          </c:val>
          <c:smooth val="0"/>
          <c:extLst>
            <c:ext xmlns:c16="http://schemas.microsoft.com/office/drawing/2014/chart" uri="{C3380CC4-5D6E-409C-BE32-E72D297353CC}">
              <c16:uniqueId val="{00000008-2371-4109-89E0-3378552A714E}"/>
            </c:ext>
          </c:extLst>
        </c:ser>
        <c:ser>
          <c:idx val="9"/>
          <c:order val="9"/>
          <c:tx>
            <c:strRef>
              <c:f>'G2-St.rozpočet-výdaje'!$J$31</c:f>
              <c:strCache>
                <c:ptCount val="1"/>
                <c:pt idx="0">
                  <c:v>State debt (net expenditures) *****</c:v>
                </c:pt>
              </c:strCache>
            </c:strRef>
          </c:tx>
          <c:spPr>
            <a:ln w="3175">
              <a:solidFill>
                <a:srgbClr val="7030A0"/>
              </a:solidFill>
              <a:prstDash val="dash"/>
            </a:ln>
          </c:spPr>
          <c:marker>
            <c:symbol val="square"/>
            <c:size val="5"/>
            <c:spPr>
              <a:solidFill>
                <a:schemeClr val="bg1"/>
              </a:solidFill>
              <a:ln>
                <a:solidFill>
                  <a:srgbClr val="7030A0"/>
                </a:solid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'G2-St.rozpočet-výdaje'!$J$35:$J$50</c:f>
              <c:numCache>
                <c:formatCode>0.0</c:formatCode>
                <c:ptCount val="16"/>
                <c:pt idx="0">
                  <c:v>37.659999999999997</c:v>
                </c:pt>
                <c:pt idx="1">
                  <c:v>44.47</c:v>
                </c:pt>
                <c:pt idx="2">
                  <c:v>35.840000000000003</c:v>
                </c:pt>
                <c:pt idx="3">
                  <c:v>45.13</c:v>
                </c:pt>
                <c:pt idx="4">
                  <c:v>41.400000000000006</c:v>
                </c:pt>
                <c:pt idx="5">
                  <c:v>50.89</c:v>
                </c:pt>
                <c:pt idx="6">
                  <c:v>48.49</c:v>
                </c:pt>
                <c:pt idx="7">
                  <c:v>45.28</c:v>
                </c:pt>
                <c:pt idx="8">
                  <c:v>40.65</c:v>
                </c:pt>
                <c:pt idx="9">
                  <c:v>39.769999999999996</c:v>
                </c:pt>
                <c:pt idx="10">
                  <c:v>40.729999999999997</c:v>
                </c:pt>
                <c:pt idx="11">
                  <c:v>39.550577993799998</c:v>
                </c:pt>
                <c:pt idx="12">
                  <c:v>40.145474011320005</c:v>
                </c:pt>
                <c:pt idx="13">
                  <c:v>42.233847726199997</c:v>
                </c:pt>
                <c:pt idx="14">
                  <c:v>49.705483243530004</c:v>
                </c:pt>
                <c:pt idx="15">
                  <c:v>68.31769375044</c:v>
                </c:pt>
              </c:numCache>
            </c:numRef>
          </c:val>
          <c:smooth val="0"/>
          <c:extLst>
            <c:ext xmlns:c16="http://schemas.microsoft.com/office/drawing/2014/chart" uri="{C3380CC4-5D6E-409C-BE32-E72D297353CC}">
              <c16:uniqueId val="{00000009-2371-4109-89E0-3378552A714E}"/>
            </c:ext>
          </c:extLst>
        </c:ser>
        <c:ser>
          <c:idx val="8"/>
          <c:order val="10"/>
          <c:tx>
            <c:strRef>
              <c:f>'G2-St.rozpočet-výdaje'!$K$31</c:f>
              <c:strCache>
                <c:ptCount val="1"/>
                <c:pt idx="0">
                  <c:v>Noninvest. transfers to commercial entities</c:v>
                </c:pt>
              </c:strCache>
            </c:strRef>
          </c:tx>
          <c:spPr>
            <a:ln w="6350">
              <a:solidFill>
                <a:schemeClr val="accent6">
                  <a:lumMod val="75000"/>
                </a:schemeClr>
              </a:solidFill>
              <a:prstDash val="sysDot"/>
            </a:ln>
          </c:spPr>
          <c:marker>
            <c:symbol val="circle"/>
            <c:size val="4"/>
            <c:spPr>
              <a:solidFill>
                <a:schemeClr val="accent6">
                  <a:lumMod val="75000"/>
                </a:schemeClr>
              </a:solidFill>
              <a:ln>
                <a:no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'G2-St.rozpočet-výdaje'!$K$35:$K$50</c:f>
              <c:numCache>
                <c:formatCode>0.00</c:formatCode>
                <c:ptCount val="16"/>
                <c:pt idx="0">
                  <c:v>26.108000000000001</c:v>
                </c:pt>
                <c:pt idx="1">
                  <c:v>28.491</c:v>
                </c:pt>
                <c:pt idx="2">
                  <c:v>28.100999999999999</c:v>
                </c:pt>
                <c:pt idx="3">
                  <c:v>33.262999999999998</c:v>
                </c:pt>
                <c:pt idx="4">
                  <c:v>35.61</c:v>
                </c:pt>
                <c:pt idx="5">
                  <c:v>35.03</c:v>
                </c:pt>
                <c:pt idx="6">
                  <c:v>41.23</c:v>
                </c:pt>
                <c:pt idx="7">
                  <c:v>39.14</c:v>
                </c:pt>
                <c:pt idx="8">
                  <c:v>44.23</c:v>
                </c:pt>
                <c:pt idx="9">
                  <c:v>48.3</c:v>
                </c:pt>
                <c:pt idx="10">
                  <c:v>57.32</c:v>
                </c:pt>
                <c:pt idx="11">
                  <c:v>57.932912725290002</c:v>
                </c:pt>
                <c:pt idx="12">
                  <c:v>106.75302514385</c:v>
                </c:pt>
                <c:pt idx="13">
                  <c:v>125.41352918255001</c:v>
                </c:pt>
                <c:pt idx="14">
                  <c:v>89.127821109149991</c:v>
                </c:pt>
                <c:pt idx="15">
                  <c:v>137.81610345563999</c:v>
                </c:pt>
              </c:numCache>
            </c:numRef>
          </c:val>
          <c:smooth val="0"/>
          <c:extLst>
            <c:ext xmlns:c16="http://schemas.microsoft.com/office/drawing/2014/chart" uri="{C3380CC4-5D6E-409C-BE32-E72D297353CC}">
              <c16:uniqueId val="{0000000A-2371-4109-89E0-3378552A714E}"/>
            </c:ext>
          </c:extLst>
        </c:ser>
        <c:ser>
          <c:idx val="10"/>
          <c:order val="11"/>
          <c:tx>
            <c:strRef>
              <c:f>'G2-St.rozpočet-výdaje'!$L$31</c:f>
              <c:strCache>
                <c:ptCount val="1"/>
                <c:pt idx="0">
                  <c:v>Capital expenditures</c:v>
                </c:pt>
              </c:strCache>
            </c:strRef>
          </c:tx>
          <c:spPr>
            <a:ln w="15875">
              <a:solidFill>
                <a:srgbClr val="706840"/>
              </a:solidFill>
              <a:prstDash val="sysDash"/>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'G2-St.rozpočet-výdaje'!$L$35:$L$50</c:f>
              <c:numCache>
                <c:formatCode>0.0</c:formatCode>
                <c:ptCount val="16"/>
                <c:pt idx="0">
                  <c:v>108.08</c:v>
                </c:pt>
                <c:pt idx="1">
                  <c:v>134.22999999999999</c:v>
                </c:pt>
                <c:pt idx="2">
                  <c:v>134.91</c:v>
                </c:pt>
                <c:pt idx="3">
                  <c:v>123.69</c:v>
                </c:pt>
                <c:pt idx="4">
                  <c:v>113.62</c:v>
                </c:pt>
                <c:pt idx="5">
                  <c:v>102.315</c:v>
                </c:pt>
                <c:pt idx="6">
                  <c:v>111.50700000000001</c:v>
                </c:pt>
                <c:pt idx="7">
                  <c:v>175.66</c:v>
                </c:pt>
                <c:pt idx="8">
                  <c:v>84.27</c:v>
                </c:pt>
                <c:pt idx="9">
                  <c:v>81.75</c:v>
                </c:pt>
                <c:pt idx="10">
                  <c:v>116.46</c:v>
                </c:pt>
                <c:pt idx="11">
                  <c:v>139.13928546782003</c:v>
                </c:pt>
                <c:pt idx="12">
                  <c:v>172.62079654905</c:v>
                </c:pt>
                <c:pt idx="13">
                  <c:v>177.13556603782001</c:v>
                </c:pt>
                <c:pt idx="14">
                  <c:v>185.99907287821003</c:v>
                </c:pt>
                <c:pt idx="15">
                  <c:v>211.37968431811001</c:v>
                </c:pt>
              </c:numCache>
            </c:numRef>
          </c:val>
          <c:smooth val="0"/>
          <c:extLst>
            <c:ext xmlns:c16="http://schemas.microsoft.com/office/drawing/2014/chart" uri="{C3380CC4-5D6E-409C-BE32-E72D297353CC}">
              <c16:uniqueId val="{0000000B-2371-4109-89E0-3378552A714E}"/>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txPr>
          <a:bodyPr rot="-2220000"/>
          <a:lstStyle/>
          <a:p>
            <a:pPr>
              <a:defRPr/>
            </a:pPr>
            <a:endParaRPr lang="cs-CZ"/>
          </a:p>
        </c:txPr>
        <c:crossAx val="72829184"/>
        <c:crosses val="autoZero"/>
        <c:auto val="1"/>
        <c:lblAlgn val="ctr"/>
        <c:lblOffset val="0"/>
        <c:noMultiLvlLbl val="0"/>
      </c:catAx>
      <c:valAx>
        <c:axId val="72829184"/>
        <c:scaling>
          <c:orientation val="minMax"/>
          <c:max val="220"/>
          <c:min val="0"/>
        </c:scaling>
        <c:delete val="0"/>
        <c:axPos val="l"/>
        <c:majorGridlines>
          <c:spPr>
            <a:ln w="6350">
              <a:solidFill>
                <a:schemeClr val="bg1">
                  <a:lumMod val="75000"/>
                </a:schemeClr>
              </a:solidFill>
            </a:ln>
          </c:spPr>
        </c:majorGridlines>
        <c:title>
          <c:tx>
            <c:rich>
              <a:bodyPr/>
              <a:lstStyle/>
              <a:p>
                <a:pPr>
                  <a:defRPr sz="700" b="0" i="1"/>
                </a:pPr>
                <a:r>
                  <a:rPr lang="cs-CZ" sz="700" b="0" i="1"/>
                  <a:t>Selected expenditures</a:t>
                </a: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20"/>
      </c:valAx>
      <c:valAx>
        <c:axId val="72835072"/>
        <c:scaling>
          <c:orientation val="minMax"/>
          <c:max val="2200"/>
          <c:min val="0"/>
        </c:scaling>
        <c:delete val="0"/>
        <c:axPos val="r"/>
        <c:title>
          <c:tx>
            <c:rich>
              <a:bodyPr/>
              <a:lstStyle/>
              <a:p>
                <a:pPr>
                  <a:defRPr sz="700" b="0" i="1"/>
                </a:pPr>
                <a:r>
                  <a:rPr lang="cs-CZ" sz="700" b="0" i="1"/>
                  <a:t>Total current expenditures, pensions</a:t>
                </a:r>
              </a:p>
            </c:rich>
          </c:tx>
          <c:layout>
            <c:manualLayout>
              <c:xMode val="edge"/>
              <c:yMode val="edge"/>
              <c:x val="0.96904912397940679"/>
              <c:y val="0.14455136975103725"/>
            </c:manualLayout>
          </c:layout>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20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2.8258891545233356E-2"/>
          <c:y val="0.79708357381578987"/>
          <c:w val="0.95831696719062298"/>
          <c:h val="0.19918239394980933"/>
        </c:manualLayout>
      </c:layout>
      <c:overlay val="0"/>
      <c:spPr>
        <a:ln w="6350">
          <a:solidFill>
            <a:schemeClr val="tx1"/>
          </a:solidFill>
        </a:ln>
      </c:spPr>
      <c:txPr>
        <a:bodyPr/>
        <a:lstStyle/>
        <a:p>
          <a:pPr>
            <a:defRPr sz="70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67"/>
          <c:h val="0.6497469886299676"/>
        </c:manualLayout>
      </c:layout>
      <c:barChart>
        <c:barDir val="col"/>
        <c:grouping val="stacked"/>
        <c:varyColors val="0"/>
        <c:ser>
          <c:idx val="1"/>
          <c:order val="0"/>
          <c:tx>
            <c:strRef>
              <c:f>'souhrnná výkonnost 3'!$F$5</c:f>
              <c:strCache>
                <c:ptCount val="1"/>
                <c:pt idx="0">
                  <c:v>Foreign trade balance</c:v>
                </c:pt>
              </c:strCache>
            </c:strRef>
          </c:tx>
          <c:spPr>
            <a:solidFill>
              <a:srgbClr val="7DBB2D"/>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3'!$F$6:$F$29</c:f>
              <c:numCache>
                <c:formatCode>#\ ##0.0</c:formatCode>
                <c:ptCount val="24"/>
                <c:pt idx="0">
                  <c:v>-0.45416719953824236</c:v>
                </c:pt>
                <c:pt idx="1">
                  <c:v>-0.74378891592524266</c:v>
                </c:pt>
                <c:pt idx="2">
                  <c:v>-1.1266373010786319</c:v>
                </c:pt>
                <c:pt idx="3">
                  <c:v>0.26399371013949136</c:v>
                </c:pt>
                <c:pt idx="4">
                  <c:v>-0.10063574701283917</c:v>
                </c:pt>
                <c:pt idx="5">
                  <c:v>1.3529610725744319</c:v>
                </c:pt>
                <c:pt idx="6">
                  <c:v>1.4268251487477541</c:v>
                </c:pt>
                <c:pt idx="7">
                  <c:v>-1.1473798908006601</c:v>
                </c:pt>
                <c:pt idx="8">
                  <c:v>-2.0624772509655713</c:v>
                </c:pt>
                <c:pt idx="9">
                  <c:v>-9.0642749602481363</c:v>
                </c:pt>
                <c:pt idx="10">
                  <c:v>-1.0204260219992571</c:v>
                </c:pt>
                <c:pt idx="11">
                  <c:v>2.0095740720498343</c:v>
                </c:pt>
                <c:pt idx="12">
                  <c:v>-0.28507028363562315</c:v>
                </c:pt>
                <c:pt idx="13">
                  <c:v>4.4273326570028857</c:v>
                </c:pt>
                <c:pt idx="14">
                  <c:v>-5.8942461279131582</c:v>
                </c:pt>
                <c:pt idx="15">
                  <c:v>-6.4422946124320752</c:v>
                </c:pt>
                <c:pt idx="16">
                  <c:v>-1.8223902794079425</c:v>
                </c:pt>
                <c:pt idx="17">
                  <c:v>0.41945594502810524</c:v>
                </c:pt>
                <c:pt idx="18">
                  <c:v>4.1644433977782347</c:v>
                </c:pt>
                <c:pt idx="19">
                  <c:v>2.8946322892501071</c:v>
                </c:pt>
                <c:pt idx="20">
                  <c:v>2.9791398368073936</c:v>
                </c:pt>
                <c:pt idx="21">
                  <c:v>2.3889917211540079</c:v>
                </c:pt>
                <c:pt idx="22">
                  <c:v>0.26756439074575267</c:v>
                </c:pt>
                <c:pt idx="23" formatCode="General">
                  <c:v>3.2571788461106363</c:v>
                </c:pt>
              </c:numCache>
            </c:numRef>
          </c:val>
          <c:extLst>
            <c:ext xmlns:c16="http://schemas.microsoft.com/office/drawing/2014/chart" uri="{C3380CC4-5D6E-409C-BE32-E72D297353CC}">
              <c16:uniqueId val="{00000000-6B64-4629-BB04-C1CF71B5A8EC}"/>
            </c:ext>
          </c:extLst>
        </c:ser>
        <c:ser>
          <c:idx val="2"/>
          <c:order val="1"/>
          <c:tx>
            <c:strRef>
              <c:f>'souhrnná výkonnost 3'!$H$5</c:f>
              <c:strCache>
                <c:ptCount val="1"/>
                <c:pt idx="0">
                  <c:v>Change in inventories</c:v>
                </c:pt>
              </c:strCache>
            </c:strRef>
          </c:tx>
          <c:spPr>
            <a:solidFill>
              <a:srgbClr val="E8AFB2"/>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3'!$H$6:$H$29</c:f>
              <c:numCache>
                <c:formatCode>#\ ##0.0</c:formatCode>
                <c:ptCount val="24"/>
                <c:pt idx="0">
                  <c:v>1.0524813582033086</c:v>
                </c:pt>
                <c:pt idx="1">
                  <c:v>-0.477776065152271</c:v>
                </c:pt>
                <c:pt idx="2">
                  <c:v>-0.35555734821242624</c:v>
                </c:pt>
                <c:pt idx="3">
                  <c:v>-1.4481535119733118</c:v>
                </c:pt>
                <c:pt idx="4">
                  <c:v>2.9922981882277922E-2</c:v>
                </c:pt>
                <c:pt idx="5">
                  <c:v>-1.2537553229299498</c:v>
                </c:pt>
                <c:pt idx="6">
                  <c:v>-0.57463433558824872</c:v>
                </c:pt>
                <c:pt idx="7">
                  <c:v>1.8085807340728093</c:v>
                </c:pt>
                <c:pt idx="8">
                  <c:v>0.91584880445412875</c:v>
                </c:pt>
                <c:pt idx="9">
                  <c:v>0.66860369572466505</c:v>
                </c:pt>
                <c:pt idx="10">
                  <c:v>-1.5736478906912497</c:v>
                </c:pt>
                <c:pt idx="11">
                  <c:v>-2.0771500306216089</c:v>
                </c:pt>
                <c:pt idx="12">
                  <c:v>2.4159623458993353</c:v>
                </c:pt>
                <c:pt idx="13">
                  <c:v>4.4035123965182708</c:v>
                </c:pt>
                <c:pt idx="14">
                  <c:v>6.5480200971506584</c:v>
                </c:pt>
                <c:pt idx="15">
                  <c:v>5.6378094597142576</c:v>
                </c:pt>
                <c:pt idx="16">
                  <c:v>1.66367360988091</c:v>
                </c:pt>
                <c:pt idx="17">
                  <c:v>1.6515628174459906</c:v>
                </c:pt>
                <c:pt idx="18">
                  <c:v>-5.5502917501831062E-2</c:v>
                </c:pt>
                <c:pt idx="19">
                  <c:v>6.5762458860385592E-2</c:v>
                </c:pt>
                <c:pt idx="20">
                  <c:v>-1.1910787418086073</c:v>
                </c:pt>
                <c:pt idx="21">
                  <c:v>-2.7456046373375251</c:v>
                </c:pt>
                <c:pt idx="22">
                  <c:v>-2.5844585559091171</c:v>
                </c:pt>
                <c:pt idx="23" formatCode="General">
                  <c:v>-6.0262131805352563</c:v>
                </c:pt>
              </c:numCache>
            </c:numRef>
          </c:val>
          <c:extLst>
            <c:ext xmlns:c16="http://schemas.microsoft.com/office/drawing/2014/chart" uri="{C3380CC4-5D6E-409C-BE32-E72D297353CC}">
              <c16:uniqueId val="{00000001-6B64-4629-BB04-C1CF71B5A8EC}"/>
            </c:ext>
          </c:extLst>
        </c:ser>
        <c:ser>
          <c:idx val="3"/>
          <c:order val="2"/>
          <c:tx>
            <c:strRef>
              <c:f>'souhrnná výkonnost 3'!$G$5</c:f>
              <c:strCache>
                <c:ptCount val="1"/>
                <c:pt idx="0">
                  <c:v>Gross fixed capital formation</c:v>
                </c:pt>
              </c:strCache>
            </c:strRef>
          </c:tx>
          <c:spPr>
            <a:solidFill>
              <a:srgbClr val="BD1B21"/>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3'!$G$6:$G$29</c:f>
              <c:numCache>
                <c:formatCode>#\ ##0.0</c:formatCode>
                <c:ptCount val="24"/>
                <c:pt idx="0">
                  <c:v>1.8848546995699593</c:v>
                </c:pt>
                <c:pt idx="1">
                  <c:v>2.053547364624257</c:v>
                </c:pt>
                <c:pt idx="2">
                  <c:v>2.2324390876929536</c:v>
                </c:pt>
                <c:pt idx="3">
                  <c:v>1.9592291913679716</c:v>
                </c:pt>
                <c:pt idx="4">
                  <c:v>1.6664742572861317</c:v>
                </c:pt>
                <c:pt idx="5">
                  <c:v>1.1031620490038367</c:v>
                </c:pt>
                <c:pt idx="6">
                  <c:v>0.60351051109238796</c:v>
                </c:pt>
                <c:pt idx="7">
                  <c:v>0.61015699901503462</c:v>
                </c:pt>
                <c:pt idx="8">
                  <c:v>-0.18505385313730383</c:v>
                </c:pt>
                <c:pt idx="9">
                  <c:v>0.26545371936590545</c:v>
                </c:pt>
                <c:pt idx="10">
                  <c:v>-1.1365453004257853</c:v>
                </c:pt>
                <c:pt idx="11">
                  <c:v>-1.5484962788918575</c:v>
                </c:pt>
                <c:pt idx="12">
                  <c:v>-1.1386301164844839</c:v>
                </c:pt>
                <c:pt idx="13">
                  <c:v>-1.6478950671691959</c:v>
                </c:pt>
                <c:pt idx="14">
                  <c:v>0.35561087195381563</c:v>
                </c:pt>
                <c:pt idx="15">
                  <c:v>0.78646457641002898</c:v>
                </c:pt>
                <c:pt idx="16">
                  <c:v>1.2338325442745059</c:v>
                </c:pt>
                <c:pt idx="17">
                  <c:v>0.96635851731017108</c:v>
                </c:pt>
                <c:pt idx="18">
                  <c:v>8.5689625638113137E-2</c:v>
                </c:pt>
                <c:pt idx="19">
                  <c:v>5.5976859249671725E-2</c:v>
                </c:pt>
                <c:pt idx="20">
                  <c:v>-4.8316401269760022E-2</c:v>
                </c:pt>
                <c:pt idx="21">
                  <c:v>1.1862547304765798</c:v>
                </c:pt>
                <c:pt idx="22">
                  <c:v>1.4676525069754345</c:v>
                </c:pt>
                <c:pt idx="23" formatCode="General">
                  <c:v>1.7741359074582286</c:v>
                </c:pt>
              </c:numCache>
            </c:numRef>
          </c:val>
          <c:extLst>
            <c:ext xmlns:c16="http://schemas.microsoft.com/office/drawing/2014/chart" uri="{C3380CC4-5D6E-409C-BE32-E72D297353CC}">
              <c16:uniqueId val="{00000002-6B64-4629-BB04-C1CF71B5A8EC}"/>
            </c:ext>
          </c:extLst>
        </c:ser>
        <c:ser>
          <c:idx val="5"/>
          <c:order val="4"/>
          <c:tx>
            <c:strRef>
              <c:f>'souhrnná výkonnost 3'!$D$5</c:f>
              <c:strCache>
                <c:ptCount val="1"/>
                <c:pt idx="0">
                  <c:v>Final consumption expenditure of households (inc. non-profit inst.)</c:v>
                </c:pt>
              </c:strCache>
            </c:strRef>
          </c:tx>
          <c:spPr>
            <a:solidFill>
              <a:srgbClr val="0071BC"/>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3'!$D$6:$D$29</c:f>
              <c:numCache>
                <c:formatCode>#\ ##0.0</c:formatCode>
                <c:ptCount val="24"/>
                <c:pt idx="0">
                  <c:v>1.540080312662943</c:v>
                </c:pt>
                <c:pt idx="1">
                  <c:v>1.2364606818393475</c:v>
                </c:pt>
                <c:pt idx="2">
                  <c:v>0.93963380194395907</c:v>
                </c:pt>
                <c:pt idx="3">
                  <c:v>0.9479187361797875</c:v>
                </c:pt>
                <c:pt idx="4">
                  <c:v>0.89975778114159266</c:v>
                </c:pt>
                <c:pt idx="5">
                  <c:v>1.2410325032352092</c:v>
                </c:pt>
                <c:pt idx="6">
                  <c:v>0.94788645941574889</c:v>
                </c:pt>
                <c:pt idx="7">
                  <c:v>1.3125840520821437</c:v>
                </c:pt>
                <c:pt idx="8">
                  <c:v>-1.0446704916645397</c:v>
                </c:pt>
                <c:pt idx="9">
                  <c:v>-3.3401453756905828</c:v>
                </c:pt>
                <c:pt idx="10">
                  <c:v>-1.8238505965980329</c:v>
                </c:pt>
                <c:pt idx="11">
                  <c:v>-4.3451439574225992</c:v>
                </c:pt>
                <c:pt idx="12">
                  <c:v>-2.8838668819945754</c:v>
                </c:pt>
                <c:pt idx="13">
                  <c:v>1.9930858902923905</c:v>
                </c:pt>
                <c:pt idx="14">
                  <c:v>1.7335129439561134</c:v>
                </c:pt>
                <c:pt idx="15">
                  <c:v>3.2860285615183655</c:v>
                </c:pt>
                <c:pt idx="16">
                  <c:v>3.1431953453358576</c:v>
                </c:pt>
                <c:pt idx="17">
                  <c:v>-0.17331027307381178</c:v>
                </c:pt>
                <c:pt idx="18">
                  <c:v>-2.5959848207229479</c:v>
                </c:pt>
                <c:pt idx="19">
                  <c:v>-2.8794774139667463</c:v>
                </c:pt>
                <c:pt idx="20">
                  <c:v>-2.6465481494204957</c:v>
                </c:pt>
                <c:pt idx="21">
                  <c:v>-1.7383037878570804</c:v>
                </c:pt>
                <c:pt idx="22">
                  <c:v>-0.68758235748240304</c:v>
                </c:pt>
                <c:pt idx="23" formatCode="General">
                  <c:v>0.35524375304012096</c:v>
                </c:pt>
              </c:numCache>
            </c:numRef>
          </c:val>
          <c:extLst>
            <c:ext xmlns:c16="http://schemas.microsoft.com/office/drawing/2014/chart" uri="{C3380CC4-5D6E-409C-BE32-E72D297353CC}">
              <c16:uniqueId val="{00000003-6B64-4629-BB04-C1CF71B5A8EC}"/>
            </c:ext>
          </c:extLst>
        </c:ser>
        <c:ser>
          <c:idx val="4"/>
          <c:order val="5"/>
          <c:tx>
            <c:strRef>
              <c:f>'souhrnná výkonnost 3'!$E$5</c:f>
              <c:strCache>
                <c:ptCount val="1"/>
                <c:pt idx="0">
                  <c:v>Final consumption expenditure of government institutions</c:v>
                </c:pt>
              </c:strCache>
            </c:strRef>
          </c:tx>
          <c:spPr>
            <a:solidFill>
              <a:srgbClr val="A6CDE8"/>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3'!$E$6:$E$29</c:f>
              <c:numCache>
                <c:formatCode>#\ ##0.0</c:formatCode>
                <c:ptCount val="24"/>
                <c:pt idx="0">
                  <c:v>0.59778499254771711</c:v>
                </c:pt>
                <c:pt idx="1">
                  <c:v>0.60746684411638396</c:v>
                </c:pt>
                <c:pt idx="2">
                  <c:v>0.87114555902277002</c:v>
                </c:pt>
                <c:pt idx="3">
                  <c:v>0.78687144586984825</c:v>
                </c:pt>
                <c:pt idx="4">
                  <c:v>0.42281243223978293</c:v>
                </c:pt>
                <c:pt idx="5">
                  <c:v>0.54406400829840962</c:v>
                </c:pt>
                <c:pt idx="6">
                  <c:v>0.56781285164264705</c:v>
                </c:pt>
                <c:pt idx="7">
                  <c:v>0.1803919620253871</c:v>
                </c:pt>
                <c:pt idx="8">
                  <c:v>0.86345208967516862</c:v>
                </c:pt>
                <c:pt idx="9">
                  <c:v>0.6351806117242722</c:v>
                </c:pt>
                <c:pt idx="10">
                  <c:v>0.3094590878382506</c:v>
                </c:pt>
                <c:pt idx="11">
                  <c:v>1.3407546216216208</c:v>
                </c:pt>
                <c:pt idx="12">
                  <c:v>-8.5095004004240429E-2</c:v>
                </c:pt>
                <c:pt idx="13">
                  <c:v>-5.328072108904397E-2</c:v>
                </c:pt>
                <c:pt idx="14">
                  <c:v>0.99915273207784439</c:v>
                </c:pt>
                <c:pt idx="15">
                  <c:v>6.8585362783250697E-2</c:v>
                </c:pt>
                <c:pt idx="16">
                  <c:v>0.33474456586805557</c:v>
                </c:pt>
                <c:pt idx="17">
                  <c:v>0.33166297678408857</c:v>
                </c:pt>
                <c:pt idx="18">
                  <c:v>-0.39641144969663539</c:v>
                </c:pt>
                <c:pt idx="19">
                  <c:v>-0.10453692828037311</c:v>
                </c:pt>
                <c:pt idx="20">
                  <c:v>0.57275590302009649</c:v>
                </c:pt>
                <c:pt idx="21">
                  <c:v>0.70015282474112506</c:v>
                </c:pt>
                <c:pt idx="22">
                  <c:v>0.76409093068949752</c:v>
                </c:pt>
                <c:pt idx="23" formatCode="General">
                  <c:v>0.40579761524153968</c:v>
                </c:pt>
              </c:numCache>
            </c:numRef>
          </c:val>
          <c:extLst>
            <c:ext xmlns:c16="http://schemas.microsoft.com/office/drawing/2014/chart" uri="{C3380CC4-5D6E-409C-BE32-E72D297353CC}">
              <c16:uniqueId val="{00000004-6B64-4629-BB04-C1CF71B5A8EC}"/>
            </c:ext>
          </c:extLst>
        </c:ser>
        <c:dLbls>
          <c:showLegendKey val="0"/>
          <c:showVal val="0"/>
          <c:showCatName val="0"/>
          <c:showSerName val="0"/>
          <c:showPercent val="0"/>
          <c:showBubbleSize val="0"/>
        </c:dLbls>
        <c:gapWidth val="90"/>
        <c:overlap val="100"/>
        <c:axId val="115206784"/>
        <c:axId val="115286400"/>
      </c:barChart>
      <c:lineChart>
        <c:grouping val="standard"/>
        <c:varyColors val="0"/>
        <c:ser>
          <c:idx val="0"/>
          <c:order val="3"/>
          <c:tx>
            <c:strRef>
              <c:f>'souhrnná výkonnost 3'!$C$5</c:f>
              <c:strCache>
                <c:ptCount val="1"/>
                <c:pt idx="0">
                  <c:v>GDP</c:v>
                </c:pt>
              </c:strCache>
            </c:strRef>
          </c:tx>
          <c:spPr>
            <a:ln>
              <a:solidFill>
                <a:prstClr val="black"/>
              </a:solidFill>
            </a:ln>
          </c:spPr>
          <c:marker>
            <c:symbol val="none"/>
          </c:marker>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3'!$C$6:$C$29</c:f>
              <c:numCache>
                <c:formatCode>#\ ##0.0</c:formatCode>
                <c:ptCount val="24"/>
                <c:pt idx="0">
                  <c:v>4.7410158709829062</c:v>
                </c:pt>
                <c:pt idx="1">
                  <c:v>2.8085121382809888</c:v>
                </c:pt>
                <c:pt idx="2">
                  <c:v>2.6946747602240038</c:v>
                </c:pt>
                <c:pt idx="3">
                  <c:v>2.632738011287671</c:v>
                </c:pt>
                <c:pt idx="4">
                  <c:v>2.9925808638806188</c:v>
                </c:pt>
                <c:pt idx="5">
                  <c:v>3.0577465249692608</c:v>
                </c:pt>
                <c:pt idx="6">
                  <c:v>3.0222812889930282</c:v>
                </c:pt>
                <c:pt idx="7">
                  <c:v>2.7919056462255583</c:v>
                </c:pt>
                <c:pt idx="8">
                  <c:v>-1.4738194413261567</c:v>
                </c:pt>
                <c:pt idx="9">
                  <c:v>-10.802865399708736</c:v>
                </c:pt>
                <c:pt idx="10">
                  <c:v>-5.2167494638705847</c:v>
                </c:pt>
                <c:pt idx="11">
                  <c:v>-4.5664750245340713</c:v>
                </c:pt>
                <c:pt idx="12">
                  <c:v>-1.9186323159540564</c:v>
                </c:pt>
                <c:pt idx="13">
                  <c:v>9.1792931219514742</c:v>
                </c:pt>
                <c:pt idx="14">
                  <c:v>3.8209037046074172</c:v>
                </c:pt>
                <c:pt idx="15">
                  <c:v>3.4133373401856772</c:v>
                </c:pt>
                <c:pt idx="16">
                  <c:v>4.6717018578752914</c:v>
                </c:pt>
                <c:pt idx="17">
                  <c:v>3.3523790889560274</c:v>
                </c:pt>
                <c:pt idx="18">
                  <c:v>1.3390063821799458</c:v>
                </c:pt>
                <c:pt idx="19">
                  <c:v>0.14560017314614981</c:v>
                </c:pt>
                <c:pt idx="20">
                  <c:v>-0.31744526909487547</c:v>
                </c:pt>
                <c:pt idx="21">
                  <c:v>-0.23213394955256206</c:v>
                </c:pt>
                <c:pt idx="22">
                  <c:v>-0.80311910800017472</c:v>
                </c:pt>
                <c:pt idx="23" formatCode="General">
                  <c:v>-0.21143294560552306</c:v>
                </c:pt>
              </c:numCache>
            </c:numRef>
          </c:val>
          <c:smooth val="0"/>
          <c:extLst>
            <c:ext xmlns:c16="http://schemas.microsoft.com/office/drawing/2014/chart" uri="{C3380CC4-5D6E-409C-BE32-E72D297353CC}">
              <c16:uniqueId val="{00000005-6B64-4629-BB04-C1CF71B5A8EC}"/>
            </c:ext>
          </c:extLst>
        </c:ser>
        <c:dLbls>
          <c:showLegendKey val="0"/>
          <c:showVal val="0"/>
          <c:showCatName val="0"/>
          <c:showSerName val="0"/>
          <c:showPercent val="0"/>
          <c:showBubbleSize val="0"/>
        </c:dLbls>
        <c:marker val="1"/>
        <c:smooth val="0"/>
        <c:axId val="115206784"/>
        <c:axId val="115286400"/>
      </c:lineChart>
      <c:catAx>
        <c:axId val="115206784"/>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15286400"/>
        <c:crosses val="autoZero"/>
        <c:auto val="1"/>
        <c:lblAlgn val="ctr"/>
        <c:lblOffset val="100"/>
        <c:noMultiLvlLbl val="0"/>
      </c:catAx>
      <c:valAx>
        <c:axId val="115286400"/>
        <c:scaling>
          <c:orientation val="minMax"/>
          <c:max val="12"/>
          <c:min val="-1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206784"/>
        <c:crosses val="autoZero"/>
        <c:crossBetween val="between"/>
        <c:majorUnit val="2"/>
      </c:valAx>
      <c:spPr>
        <a:ln>
          <a:solidFill>
            <a:schemeClr val="tx1"/>
          </a:solidFill>
        </a:ln>
      </c:spPr>
    </c:plotArea>
    <c:legend>
      <c:legendPos val="b"/>
      <c:layout>
        <c:manualLayout>
          <c:xMode val="edge"/>
          <c:yMode val="edge"/>
          <c:x val="5.2922564529558701E-2"/>
          <c:y val="0.79687874638673362"/>
          <c:w val="0.93952929520758033"/>
          <c:h val="0.20312125361326638"/>
        </c:manualLayout>
      </c:layout>
      <c:overlay val="0"/>
      <c:spPr>
        <a:ln w="6350">
          <a:no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8687E-2"/>
          <c:y val="3.7154479717354444E-2"/>
          <c:w val="0.93674937195830332"/>
          <c:h val="0.63445260610154264"/>
        </c:manualLayout>
      </c:layout>
      <c:barChart>
        <c:barDir val="col"/>
        <c:grouping val="stacked"/>
        <c:varyColors val="0"/>
        <c:ser>
          <c:idx val="4"/>
          <c:order val="0"/>
          <c:tx>
            <c:strRef>
              <c:f>'souhrnná výkonnost 4'!$C$5</c:f>
              <c:strCache>
                <c:ptCount val="1"/>
                <c:pt idx="0">
                  <c:v>Agriculture, forestry and fishing</c:v>
                </c:pt>
              </c:strCache>
            </c:strRef>
          </c:tx>
          <c:spPr>
            <a:solidFill>
              <a:srgbClr val="7DBB2D"/>
            </a:solidFill>
            <a:ln>
              <a:noFill/>
            </a:ln>
          </c:spPr>
          <c:invertIfNegative val="0"/>
          <c:cat>
            <c:multiLvlStrRef>
              <c:f>'souhrnná výkonnost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4'!$C$6:$C$29</c:f>
              <c:numCache>
                <c:formatCode>#\ ##0.0</c:formatCode>
                <c:ptCount val="24"/>
                <c:pt idx="0">
                  <c:v>3.2678809349882987E-2</c:v>
                </c:pt>
                <c:pt idx="1">
                  <c:v>7.1043352951455641E-2</c:v>
                </c:pt>
                <c:pt idx="2">
                  <c:v>0.13147416955081714</c:v>
                </c:pt>
                <c:pt idx="3">
                  <c:v>0.13557508385890887</c:v>
                </c:pt>
                <c:pt idx="4">
                  <c:v>7.3815312527439711E-2</c:v>
                </c:pt>
                <c:pt idx="5">
                  <c:v>8.6198359198018493E-2</c:v>
                </c:pt>
                <c:pt idx="6">
                  <c:v>0.109327705348608</c:v>
                </c:pt>
                <c:pt idx="7">
                  <c:v>0.13255154938774674</c:v>
                </c:pt>
                <c:pt idx="8">
                  <c:v>0.21545052259669253</c:v>
                </c:pt>
                <c:pt idx="9">
                  <c:v>0.2361993862853973</c:v>
                </c:pt>
                <c:pt idx="10">
                  <c:v>0.24181149955858286</c:v>
                </c:pt>
                <c:pt idx="11">
                  <c:v>0.21681429221385648</c:v>
                </c:pt>
                <c:pt idx="12">
                  <c:v>-0.19657363835640351</c:v>
                </c:pt>
                <c:pt idx="13">
                  <c:v>-0.34178536991297287</c:v>
                </c:pt>
                <c:pt idx="14">
                  <c:v>-0.37570182006417729</c:v>
                </c:pt>
                <c:pt idx="15">
                  <c:v>-0.37221295215760819</c:v>
                </c:pt>
                <c:pt idx="16">
                  <c:v>-0.16024994199083398</c:v>
                </c:pt>
                <c:pt idx="17">
                  <c:v>-0.13488950074865155</c:v>
                </c:pt>
                <c:pt idx="18">
                  <c:v>-0.14283428657456565</c:v>
                </c:pt>
                <c:pt idx="19">
                  <c:v>-0.2320169144567657</c:v>
                </c:pt>
                <c:pt idx="20">
                  <c:v>-4.7535272447193494E-2</c:v>
                </c:pt>
                <c:pt idx="21">
                  <c:v>2.6736410503076973E-3</c:v>
                </c:pt>
                <c:pt idx="22">
                  <c:v>4.766673056405552E-3</c:v>
                </c:pt>
                <c:pt idx="23">
                  <c:v>6.1068438580424433E-2</c:v>
                </c:pt>
              </c:numCache>
            </c:numRef>
          </c:val>
          <c:extLst>
            <c:ext xmlns:c16="http://schemas.microsoft.com/office/drawing/2014/chart" uri="{C3380CC4-5D6E-409C-BE32-E72D297353CC}">
              <c16:uniqueId val="{00000000-692C-4032-A385-C77A72855C7B}"/>
            </c:ext>
          </c:extLst>
        </c:ser>
        <c:ser>
          <c:idx val="1"/>
          <c:order val="1"/>
          <c:tx>
            <c:strRef>
              <c:f>'souhrnná výkonnost 4'!$F$5</c:f>
              <c:strCache>
                <c:ptCount val="1"/>
                <c:pt idx="0">
                  <c:v>Construction</c:v>
                </c:pt>
              </c:strCache>
            </c:strRef>
          </c:tx>
          <c:spPr>
            <a:solidFill>
              <a:srgbClr val="7030A0"/>
            </a:solidFill>
            <a:ln>
              <a:noFill/>
            </a:ln>
          </c:spPr>
          <c:invertIfNegative val="0"/>
          <c:cat>
            <c:multiLvlStrRef>
              <c:f>'souhrnná výkonnost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4'!$F$6:$F$29</c:f>
              <c:numCache>
                <c:formatCode>#\ ##0.0</c:formatCode>
                <c:ptCount val="24"/>
                <c:pt idx="0">
                  <c:v>0.12203771789133691</c:v>
                </c:pt>
                <c:pt idx="1">
                  <c:v>2.721405326342801E-3</c:v>
                </c:pt>
                <c:pt idx="2">
                  <c:v>-1.6093365386526861E-2</c:v>
                </c:pt>
                <c:pt idx="3">
                  <c:v>-0.11938213609361673</c:v>
                </c:pt>
                <c:pt idx="4">
                  <c:v>-0.15414075128507621</c:v>
                </c:pt>
                <c:pt idx="5">
                  <c:v>-4.3532590886408484E-2</c:v>
                </c:pt>
                <c:pt idx="6">
                  <c:v>-0.10941238277351638</c:v>
                </c:pt>
                <c:pt idx="7">
                  <c:v>-9.85982071809543E-2</c:v>
                </c:pt>
                <c:pt idx="8">
                  <c:v>-0.33875372028708339</c:v>
                </c:pt>
                <c:pt idx="9">
                  <c:v>-0.70304287917967079</c:v>
                </c:pt>
                <c:pt idx="10">
                  <c:v>-0.63194153032185696</c:v>
                </c:pt>
                <c:pt idx="11">
                  <c:v>-0.61557506939559159</c:v>
                </c:pt>
                <c:pt idx="12">
                  <c:v>-0.50618553672420052</c:v>
                </c:pt>
                <c:pt idx="13">
                  <c:v>-8.0324212744330617E-2</c:v>
                </c:pt>
                <c:pt idx="14">
                  <c:v>-5.5314929764280841E-3</c:v>
                </c:pt>
                <c:pt idx="15">
                  <c:v>-4.514788295389504E-2</c:v>
                </c:pt>
                <c:pt idx="16">
                  <c:v>-7.8468253982660843E-2</c:v>
                </c:pt>
                <c:pt idx="17">
                  <c:v>-0.27249270071163328</c:v>
                </c:pt>
                <c:pt idx="18">
                  <c:v>-0.49796681118305852</c:v>
                </c:pt>
                <c:pt idx="19">
                  <c:v>-0.50184742807966842</c:v>
                </c:pt>
                <c:pt idx="20">
                  <c:v>-0.1996610584499125</c:v>
                </c:pt>
                <c:pt idx="21">
                  <c:v>-8.2050273610213525E-2</c:v>
                </c:pt>
                <c:pt idx="22">
                  <c:v>4.8713560031534153E-2</c:v>
                </c:pt>
                <c:pt idx="23">
                  <c:v>-3.7533850928960229E-2</c:v>
                </c:pt>
              </c:numCache>
            </c:numRef>
          </c:val>
          <c:extLst>
            <c:ext xmlns:c16="http://schemas.microsoft.com/office/drawing/2014/chart" uri="{C3380CC4-5D6E-409C-BE32-E72D297353CC}">
              <c16:uniqueId val="{00000001-692C-4032-A385-C77A72855C7B}"/>
            </c:ext>
          </c:extLst>
        </c:ser>
        <c:ser>
          <c:idx val="2"/>
          <c:order val="2"/>
          <c:tx>
            <c:strRef>
              <c:f>'souhrnná výkonnost 4'!$E$5</c:f>
              <c:strCache>
                <c:ptCount val="1"/>
                <c:pt idx="0">
                  <c:v>Other industrial branches (CZ-NACE B,D,E)</c:v>
                </c:pt>
              </c:strCache>
            </c:strRef>
          </c:tx>
          <c:spPr>
            <a:solidFill>
              <a:srgbClr val="A6CDE8"/>
            </a:solidFill>
            <a:ln>
              <a:noFill/>
            </a:ln>
          </c:spPr>
          <c:invertIfNegative val="0"/>
          <c:cat>
            <c:multiLvlStrRef>
              <c:f>'souhrnná výkonnost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4'!$E$6:$E$29</c:f>
              <c:numCache>
                <c:formatCode>#\ ##0.0</c:formatCode>
                <c:ptCount val="24"/>
                <c:pt idx="0">
                  <c:v>-8.4827402194146195E-2</c:v>
                </c:pt>
                <c:pt idx="1">
                  <c:v>-2.6313910996506873E-3</c:v>
                </c:pt>
                <c:pt idx="2" formatCode="General">
                  <c:v>9.1594113054016615E-2</c:v>
                </c:pt>
                <c:pt idx="3" formatCode="General">
                  <c:v>-2.353224484028299E-2</c:v>
                </c:pt>
                <c:pt idx="4" formatCode="General">
                  <c:v>-0.22319978862492373</c:v>
                </c:pt>
                <c:pt idx="5" formatCode="General">
                  <c:v>-0.42608130827198054</c:v>
                </c:pt>
                <c:pt idx="6" formatCode="General">
                  <c:v>-0.63322416622310096</c:v>
                </c:pt>
                <c:pt idx="7" formatCode="General">
                  <c:v>-0.47005936665406045</c:v>
                </c:pt>
                <c:pt idx="8" formatCode="General">
                  <c:v>-0.39879519059346102</c:v>
                </c:pt>
                <c:pt idx="9" formatCode="General">
                  <c:v>-0.29594961815162701</c:v>
                </c:pt>
                <c:pt idx="10" formatCode="General">
                  <c:v>3.655842710272017E-2</c:v>
                </c:pt>
                <c:pt idx="11" formatCode="General">
                  <c:v>0.49474509851361503</c:v>
                </c:pt>
                <c:pt idx="12" formatCode="General">
                  <c:v>0.10268524637411161</c:v>
                </c:pt>
                <c:pt idx="13" formatCode="General">
                  <c:v>0.15208374901925303</c:v>
                </c:pt>
                <c:pt idx="14" formatCode="General">
                  <c:v>-8.3157118283756201E-2</c:v>
                </c:pt>
                <c:pt idx="15" formatCode="General">
                  <c:v>-0.23038326613496624</c:v>
                </c:pt>
                <c:pt idx="16" formatCode="General">
                  <c:v>-1.0092291186249671</c:v>
                </c:pt>
                <c:pt idx="17" formatCode="General">
                  <c:v>-1.0706066690469216</c:v>
                </c:pt>
                <c:pt idx="18" formatCode="General">
                  <c:v>-1.1188599277095888</c:v>
                </c:pt>
                <c:pt idx="19" formatCode="General">
                  <c:v>-1.7296091090525771</c:v>
                </c:pt>
                <c:pt idx="20" formatCode="General">
                  <c:v>-0.44312109974277392</c:v>
                </c:pt>
                <c:pt idx="21" formatCode="General">
                  <c:v>-0.48372943512078975</c:v>
                </c:pt>
                <c:pt idx="22" formatCode="General">
                  <c:v>-0.31616125985508281</c:v>
                </c:pt>
                <c:pt idx="23" formatCode="General">
                  <c:v>-0.24766280159442744</c:v>
                </c:pt>
              </c:numCache>
            </c:numRef>
          </c:val>
          <c:extLst>
            <c:ext xmlns:c16="http://schemas.microsoft.com/office/drawing/2014/chart" uri="{C3380CC4-5D6E-409C-BE32-E72D297353CC}">
              <c16:uniqueId val="{00000002-692C-4032-A385-C77A72855C7B}"/>
            </c:ext>
          </c:extLst>
        </c:ser>
        <c:ser>
          <c:idx val="3"/>
          <c:order val="3"/>
          <c:tx>
            <c:strRef>
              <c:f>'souhrnná výkonnost 4'!$D$5</c:f>
              <c:strCache>
                <c:ptCount val="1"/>
                <c:pt idx="0">
                  <c:v>Manufacturing (CZ-NACE C)</c:v>
                </c:pt>
              </c:strCache>
            </c:strRef>
          </c:tx>
          <c:spPr>
            <a:solidFill>
              <a:srgbClr val="0071BC"/>
            </a:solidFill>
            <a:ln>
              <a:noFill/>
            </a:ln>
          </c:spPr>
          <c:invertIfNegative val="0"/>
          <c:cat>
            <c:multiLvlStrRef>
              <c:f>'souhrnná výkonnost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4'!$D$6:$D$29</c:f>
              <c:numCache>
                <c:formatCode>#\ ##0.0</c:formatCode>
                <c:ptCount val="24"/>
                <c:pt idx="0">
                  <c:v>1.4910459148201696</c:v>
                </c:pt>
                <c:pt idx="1">
                  <c:v>0.13833830178262252</c:v>
                </c:pt>
                <c:pt idx="2">
                  <c:v>1.1371114606629321E-2</c:v>
                </c:pt>
                <c:pt idx="3">
                  <c:v>0.33553515446267096</c:v>
                </c:pt>
                <c:pt idx="4">
                  <c:v>0.79394406110374971</c:v>
                </c:pt>
                <c:pt idx="5">
                  <c:v>1.3559231668786855</c:v>
                </c:pt>
                <c:pt idx="6">
                  <c:v>1.3631060989469754</c:v>
                </c:pt>
                <c:pt idx="7">
                  <c:v>0.99560862159706953</c:v>
                </c:pt>
                <c:pt idx="8">
                  <c:v>-1.1680575231725137</c:v>
                </c:pt>
                <c:pt idx="9">
                  <c:v>-5.889668293777361</c:v>
                </c:pt>
                <c:pt idx="10">
                  <c:v>-2.5137505183360016</c:v>
                </c:pt>
                <c:pt idx="11">
                  <c:v>-1.8978845716379917</c:v>
                </c:pt>
                <c:pt idx="12">
                  <c:v>0.17537901886028953</c:v>
                </c:pt>
                <c:pt idx="13">
                  <c:v>4.9740222929440279</c:v>
                </c:pt>
                <c:pt idx="14">
                  <c:v>0.20509799209873469</c:v>
                </c:pt>
                <c:pt idx="15">
                  <c:v>-0.48173040936348782</c:v>
                </c:pt>
                <c:pt idx="16">
                  <c:v>0.85159758765533644</c:v>
                </c:pt>
                <c:pt idx="17">
                  <c:v>1.2307885998185144</c:v>
                </c:pt>
                <c:pt idx="18">
                  <c:v>2.146115045836114</c:v>
                </c:pt>
                <c:pt idx="19">
                  <c:v>2.7410411788756215</c:v>
                </c:pt>
                <c:pt idx="20">
                  <c:v>0.9854665195773491</c:v>
                </c:pt>
                <c:pt idx="21">
                  <c:v>0.69537044230434542</c:v>
                </c:pt>
                <c:pt idx="22">
                  <c:v>3.1987585277426449E-2</c:v>
                </c:pt>
                <c:pt idx="23">
                  <c:v>0.36464642555031457</c:v>
                </c:pt>
              </c:numCache>
            </c:numRef>
          </c:val>
          <c:extLst>
            <c:ext xmlns:c16="http://schemas.microsoft.com/office/drawing/2014/chart" uri="{C3380CC4-5D6E-409C-BE32-E72D297353CC}">
              <c16:uniqueId val="{00000003-692C-4032-A385-C77A72855C7B}"/>
            </c:ext>
          </c:extLst>
        </c:ser>
        <c:ser>
          <c:idx val="0"/>
          <c:order val="4"/>
          <c:tx>
            <c:strRef>
              <c:f>'souhrnná výkonnost 4'!$G$5</c:f>
              <c:strCache>
                <c:ptCount val="1"/>
                <c:pt idx="0">
                  <c:v>Services (CZ-NACE G to U)</c:v>
                </c:pt>
              </c:strCache>
            </c:strRef>
          </c:tx>
          <c:spPr>
            <a:solidFill>
              <a:srgbClr val="BD1B21"/>
            </a:solidFill>
            <a:ln>
              <a:noFill/>
            </a:ln>
          </c:spPr>
          <c:invertIfNegative val="0"/>
          <c:cat>
            <c:multiLvlStrRef>
              <c:f>'souhrnná výkonnost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4'!$G$6:$G$29</c:f>
              <c:numCache>
                <c:formatCode>#\ ##0.0</c:formatCode>
                <c:ptCount val="24"/>
                <c:pt idx="0">
                  <c:v>3.1237068943138615</c:v>
                </c:pt>
                <c:pt idx="1">
                  <c:v>2.7517321166092374</c:v>
                </c:pt>
                <c:pt idx="2" formatCode="General">
                  <c:v>2.7131816334348327</c:v>
                </c:pt>
                <c:pt idx="3" formatCode="General">
                  <c:v>2.6018048024583837</c:v>
                </c:pt>
                <c:pt idx="4" formatCode="General">
                  <c:v>2.4822220084523599</c:v>
                </c:pt>
                <c:pt idx="5" formatCode="General">
                  <c:v>2.1921234953504332</c:v>
                </c:pt>
                <c:pt idx="6" formatCode="General">
                  <c:v>2.1636986023312024</c:v>
                </c:pt>
                <c:pt idx="7" formatCode="General">
                  <c:v>2.1557420268059597</c:v>
                </c:pt>
                <c:pt idx="8" formatCode="General">
                  <c:v>0.58107492482466572</c:v>
                </c:pt>
                <c:pt idx="9" formatCode="General">
                  <c:v>-4.3400754756564188</c:v>
                </c:pt>
                <c:pt idx="10" formatCode="General">
                  <c:v>-1.9966606979356536</c:v>
                </c:pt>
                <c:pt idx="11" formatCode="General">
                  <c:v>-2.3417286799070345</c:v>
                </c:pt>
                <c:pt idx="12" formatCode="General">
                  <c:v>-1.4413683522936231</c:v>
                </c:pt>
                <c:pt idx="13" formatCode="General">
                  <c:v>4.6756952859719902</c:v>
                </c:pt>
                <c:pt idx="14" formatCode="General">
                  <c:v>3.758749287293734</c:v>
                </c:pt>
                <c:pt idx="15" formatCode="General">
                  <c:v>4.1104404660252252</c:v>
                </c:pt>
                <c:pt idx="16" formatCode="General">
                  <c:v>4.4139152173834866</c:v>
                </c:pt>
                <c:pt idx="17" formatCode="General">
                  <c:v>3.4505548666596657</c:v>
                </c:pt>
                <c:pt idx="18" formatCode="General">
                  <c:v>1.0064324877757442</c:v>
                </c:pt>
                <c:pt idx="19" formatCode="General">
                  <c:v>0.54868681977957823</c:v>
                </c:pt>
                <c:pt idx="20" formatCode="General">
                  <c:v>0.71240256464408669</c:v>
                </c:pt>
                <c:pt idx="21" formatCode="General">
                  <c:v>0.37418685602660673</c:v>
                </c:pt>
                <c:pt idx="22" formatCode="General">
                  <c:v>0.21754836413795914</c:v>
                </c:pt>
                <c:pt idx="23" formatCode="General">
                  <c:v>0.20071240166449481</c:v>
                </c:pt>
              </c:numCache>
            </c:numRef>
          </c:val>
          <c:extLst>
            <c:ext xmlns:c16="http://schemas.microsoft.com/office/drawing/2014/chart" uri="{C3380CC4-5D6E-409C-BE32-E72D297353CC}">
              <c16:uniqueId val="{00000004-692C-4032-A385-C77A72855C7B}"/>
            </c:ext>
          </c:extLst>
        </c:ser>
        <c:dLbls>
          <c:showLegendKey val="0"/>
          <c:showVal val="0"/>
          <c:showCatName val="0"/>
          <c:showSerName val="0"/>
          <c:showPercent val="0"/>
          <c:showBubbleSize val="0"/>
        </c:dLbls>
        <c:gapWidth val="70"/>
        <c:overlap val="100"/>
        <c:axId val="115446144"/>
        <c:axId val="115447680"/>
      </c:barChart>
      <c:lineChart>
        <c:grouping val="standard"/>
        <c:varyColors val="0"/>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4'!$H$6:$H$29</c:f>
              <c:numCache>
                <c:formatCode>#\ ##0.0</c:formatCode>
                <c:ptCount val="24"/>
                <c:pt idx="0">
                  <c:v>4.7958884315215471</c:v>
                </c:pt>
                <c:pt idx="1">
                  <c:v>2.9611349370848927</c:v>
                </c:pt>
                <c:pt idx="2">
                  <c:v>2.9313757908427505</c:v>
                </c:pt>
                <c:pt idx="3">
                  <c:v>2.9300970074841501</c:v>
                </c:pt>
                <c:pt idx="4">
                  <c:v>2.9726357886500523</c:v>
                </c:pt>
                <c:pt idx="5">
                  <c:v>3.1648414337946065</c:v>
                </c:pt>
                <c:pt idx="6">
                  <c:v>2.8935535187896448</c:v>
                </c:pt>
                <c:pt idx="7">
                  <c:v>2.7150260301270777</c:v>
                </c:pt>
                <c:pt idx="8">
                  <c:v>-1.1091532796304051</c:v>
                </c:pt>
                <c:pt idx="9">
                  <c:v>-10.992463627261643</c:v>
                </c:pt>
                <c:pt idx="10">
                  <c:v>-4.8638909795719911</c:v>
                </c:pt>
                <c:pt idx="11">
                  <c:v>-4.1436644792680113</c:v>
                </c:pt>
                <c:pt idx="12">
                  <c:v>-1.8659927600573809</c:v>
                </c:pt>
                <c:pt idx="13">
                  <c:v>9.3795330142279596</c:v>
                </c:pt>
                <c:pt idx="14">
                  <c:v>3.4995046714904277</c:v>
                </c:pt>
                <c:pt idx="15">
                  <c:v>2.9809101848340589</c:v>
                </c:pt>
                <c:pt idx="16">
                  <c:v>4.0174034994919054</c:v>
                </c:pt>
                <c:pt idx="17">
                  <c:v>3.2033033043370409</c:v>
                </c:pt>
                <c:pt idx="18">
                  <c:v>1.3928723627336268</c:v>
                </c:pt>
                <c:pt idx="19">
                  <c:v>0.82683172544186334</c:v>
                </c:pt>
                <c:pt idx="20">
                  <c:v>1.007777678339167</c:v>
                </c:pt>
                <c:pt idx="21">
                  <c:v>0.50658350080470882</c:v>
                </c:pt>
                <c:pt idx="22">
                  <c:v>-1.3009355895107433E-2</c:v>
                </c:pt>
                <c:pt idx="23">
                  <c:v>0.34051637357133302</c:v>
                </c:pt>
              </c:numCache>
            </c:numRef>
          </c:val>
          <c:smooth val="0"/>
          <c:extLst>
            <c:ext xmlns:c16="http://schemas.microsoft.com/office/drawing/2014/chart" uri="{C3380CC4-5D6E-409C-BE32-E72D297353CC}">
              <c16:uniqueId val="{00000005-692C-4032-A385-C77A72855C7B}"/>
            </c:ext>
          </c:extLst>
        </c:ser>
        <c:dLbls>
          <c:showLegendKey val="0"/>
          <c:showVal val="0"/>
          <c:showCatName val="0"/>
          <c:showSerName val="0"/>
          <c:showPercent val="0"/>
          <c:showBubbleSize val="0"/>
        </c:dLbls>
        <c:marker val="1"/>
        <c:smooth val="0"/>
        <c:axId val="115446144"/>
        <c:axId val="115447680"/>
      </c:lineChart>
      <c:catAx>
        <c:axId val="115446144"/>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15447680"/>
        <c:crosses val="autoZero"/>
        <c:auto val="1"/>
        <c:lblAlgn val="ctr"/>
        <c:lblOffset val="100"/>
        <c:noMultiLvlLbl val="0"/>
      </c:catAx>
      <c:valAx>
        <c:axId val="115447680"/>
        <c:scaling>
          <c:orientation val="minMax"/>
          <c:max val="12"/>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446144"/>
        <c:crosses val="autoZero"/>
        <c:crossBetween val="between"/>
        <c:majorUnit val="4"/>
      </c:valAx>
      <c:spPr>
        <a:ln>
          <a:solidFill>
            <a:schemeClr val="tx1"/>
          </a:solidFill>
        </a:ln>
      </c:spPr>
    </c:plotArea>
    <c:legend>
      <c:legendPos val="b"/>
      <c:layout>
        <c:manualLayout>
          <c:xMode val="edge"/>
          <c:yMode val="edge"/>
          <c:x val="4.8782884397989404E-2"/>
          <c:y val="0.79016604750647301"/>
          <c:w val="0.92922619274506457"/>
          <c:h val="0.194624845209950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10992424025054E-2"/>
          <c:y val="1.5804777005479873E-2"/>
          <c:w val="0.8441910279518956"/>
          <c:h val="0.69135712481071809"/>
        </c:manualLayout>
      </c:layout>
      <c:barChart>
        <c:barDir val="col"/>
        <c:grouping val="stacked"/>
        <c:varyColors val="0"/>
        <c:ser>
          <c:idx val="0"/>
          <c:order val="0"/>
          <c:tx>
            <c:strRef>
              <c:f>'GRAF příspěvky IPP'!$A$27</c:f>
              <c:strCache>
                <c:ptCount val="1"/>
                <c:pt idx="0">
                  <c:v>Manufacture of transport equip. (29, 30)</c:v>
                </c:pt>
              </c:strCache>
            </c:strRef>
          </c:tx>
          <c:spPr>
            <a:solidFill>
              <a:srgbClr val="E8AFB2"/>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IPP'!$R$27:$BA$27</c:f>
              <c:numCache>
                <c:formatCode>0.0</c:formatCode>
                <c:ptCount val="36"/>
                <c:pt idx="0">
                  <c:v>1.5414336001551852</c:v>
                </c:pt>
                <c:pt idx="1">
                  <c:v>2.1741500812415593</c:v>
                </c:pt>
                <c:pt idx="2">
                  <c:v>2.3807451285231713</c:v>
                </c:pt>
                <c:pt idx="3">
                  <c:v>2.8689756615217954</c:v>
                </c:pt>
                <c:pt idx="4">
                  <c:v>3.3341210196737845</c:v>
                </c:pt>
                <c:pt idx="5">
                  <c:v>2.686672264317759</c:v>
                </c:pt>
                <c:pt idx="6">
                  <c:v>1.480949197612129</c:v>
                </c:pt>
                <c:pt idx="7">
                  <c:v>1.0295786410238907</c:v>
                </c:pt>
                <c:pt idx="8">
                  <c:v>1.7176851530772042</c:v>
                </c:pt>
                <c:pt idx="9">
                  <c:v>2.162430036953364</c:v>
                </c:pt>
                <c:pt idx="10">
                  <c:v>1.6010808371876544</c:v>
                </c:pt>
                <c:pt idx="11">
                  <c:v>1.6765308689366027</c:v>
                </c:pt>
                <c:pt idx="12">
                  <c:v>0.76463369901420963</c:v>
                </c:pt>
                <c:pt idx="13">
                  <c:v>0.53745054525373026</c:v>
                </c:pt>
                <c:pt idx="14">
                  <c:v>0.24390176608722342</c:v>
                </c:pt>
                <c:pt idx="15">
                  <c:v>0.97145099568383697</c:v>
                </c:pt>
                <c:pt idx="16">
                  <c:v>-0.22653642884122754</c:v>
                </c:pt>
                <c:pt idx="17">
                  <c:v>0.48861091853368621</c:v>
                </c:pt>
                <c:pt idx="18">
                  <c:v>0.80855917746087225</c:v>
                </c:pt>
                <c:pt idx="19">
                  <c:v>-1.0897983527427608</c:v>
                </c:pt>
                <c:pt idx="20">
                  <c:v>-1.54355438519358</c:v>
                </c:pt>
                <c:pt idx="21">
                  <c:v>-9.4039632081130193</c:v>
                </c:pt>
                <c:pt idx="22">
                  <c:v>-0.18743733484121544</c:v>
                </c:pt>
                <c:pt idx="23">
                  <c:v>2.0451875585567265</c:v>
                </c:pt>
                <c:pt idx="24">
                  <c:v>1.8998981300154267</c:v>
                </c:pt>
                <c:pt idx="25">
                  <c:v>10.981696435394747</c:v>
                </c:pt>
                <c:pt idx="26">
                  <c:v>-3.777744730919939</c:v>
                </c:pt>
                <c:pt idx="27">
                  <c:v>-3.2745552925864509</c:v>
                </c:pt>
                <c:pt idx="28">
                  <c:v>-1.9139060121680744</c:v>
                </c:pt>
                <c:pt idx="29">
                  <c:v>7.4805897445446468E-2</c:v>
                </c:pt>
                <c:pt idx="30">
                  <c:v>5.6188837456000513</c:v>
                </c:pt>
                <c:pt idx="31">
                  <c:v>4.0478655888897581</c:v>
                </c:pt>
                <c:pt idx="32">
                  <c:v>4.8890971219454</c:v>
                </c:pt>
                <c:pt idx="33">
                  <c:v>4.8283125874523325</c:v>
                </c:pt>
                <c:pt idx="34">
                  <c:v>1.0456410413068782</c:v>
                </c:pt>
                <c:pt idx="35">
                  <c:v>2.8039519214070401</c:v>
                </c:pt>
              </c:numCache>
            </c:numRef>
          </c:val>
          <c:extLst>
            <c:ext xmlns:c16="http://schemas.microsoft.com/office/drawing/2014/chart" uri="{C3380CC4-5D6E-409C-BE32-E72D297353CC}">
              <c16:uniqueId val="{00000000-CB8A-4511-9F99-828ECCD8B1E9}"/>
            </c:ext>
          </c:extLst>
        </c:ser>
        <c:ser>
          <c:idx val="1"/>
          <c:order val="1"/>
          <c:tx>
            <c:strRef>
              <c:f>'GRAF příspěvky IPP'!$A$28</c:f>
              <c:strCache>
                <c:ptCount val="1"/>
                <c:pt idx="0">
                  <c:v>Rubber, electro technical ind. (22, 27)</c:v>
                </c:pt>
              </c:strCache>
            </c:strRef>
          </c:tx>
          <c:spPr>
            <a:solidFill>
              <a:srgbClr val="BD1B21"/>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IPP'!$R$28:$BA$28</c:f>
              <c:numCache>
                <c:formatCode>0.0</c:formatCode>
                <c:ptCount val="36"/>
                <c:pt idx="0">
                  <c:v>1.0327842576995627</c:v>
                </c:pt>
                <c:pt idx="1">
                  <c:v>1.2398193770878816</c:v>
                </c:pt>
                <c:pt idx="2">
                  <c:v>1.4194520754584405</c:v>
                </c:pt>
                <c:pt idx="3">
                  <c:v>0.62945179373892213</c:v>
                </c:pt>
                <c:pt idx="4">
                  <c:v>0.81066950070394839</c:v>
                </c:pt>
                <c:pt idx="5">
                  <c:v>0.15910929112689293</c:v>
                </c:pt>
                <c:pt idx="6">
                  <c:v>0.27430884251769166</c:v>
                </c:pt>
                <c:pt idx="7">
                  <c:v>0.4296681239712602</c:v>
                </c:pt>
                <c:pt idx="8">
                  <c:v>0.81190885185629913</c:v>
                </c:pt>
                <c:pt idx="9">
                  <c:v>1.447816278357023</c:v>
                </c:pt>
                <c:pt idx="10">
                  <c:v>0.86831270392558846</c:v>
                </c:pt>
                <c:pt idx="11">
                  <c:v>1.6467937182997421</c:v>
                </c:pt>
                <c:pt idx="12">
                  <c:v>0.99355825089752003</c:v>
                </c:pt>
                <c:pt idx="13">
                  <c:v>0.32981714268582174</c:v>
                </c:pt>
                <c:pt idx="14">
                  <c:v>0.43066392508053103</c:v>
                </c:pt>
                <c:pt idx="15">
                  <c:v>-5.4042637097958549E-2</c:v>
                </c:pt>
                <c:pt idx="16">
                  <c:v>0.52511448325990218</c:v>
                </c:pt>
                <c:pt idx="17">
                  <c:v>0.41827161057405121</c:v>
                </c:pt>
                <c:pt idx="18">
                  <c:v>0.20321919004157385</c:v>
                </c:pt>
                <c:pt idx="19">
                  <c:v>0.40664545615593151</c:v>
                </c:pt>
                <c:pt idx="20">
                  <c:v>-0.5451880349918935</c:v>
                </c:pt>
                <c:pt idx="21">
                  <c:v>-4.0594843067761079</c:v>
                </c:pt>
                <c:pt idx="22">
                  <c:v>-0.42308415860457249</c:v>
                </c:pt>
                <c:pt idx="23">
                  <c:v>0.57531703991443739</c:v>
                </c:pt>
                <c:pt idx="24">
                  <c:v>0.72127374997619464</c:v>
                </c:pt>
                <c:pt idx="25">
                  <c:v>5.5133080211538443</c:v>
                </c:pt>
                <c:pt idx="26">
                  <c:v>0.63109141066247343</c:v>
                </c:pt>
                <c:pt idx="27">
                  <c:v>-0.40575686667122407</c:v>
                </c:pt>
                <c:pt idx="28">
                  <c:v>9.4219437714530618E-2</c:v>
                </c:pt>
                <c:pt idx="29">
                  <c:v>0.14447578235561789</c:v>
                </c:pt>
                <c:pt idx="30">
                  <c:v>0.5328168828388713</c:v>
                </c:pt>
                <c:pt idx="31">
                  <c:v>0.60923547078383633</c:v>
                </c:pt>
                <c:pt idx="32">
                  <c:v>0.18530195738035801</c:v>
                </c:pt>
                <c:pt idx="33">
                  <c:v>7.489627260456877E-2</c:v>
                </c:pt>
                <c:pt idx="34">
                  <c:v>-0.47281532367100693</c:v>
                </c:pt>
                <c:pt idx="35">
                  <c:v>6.6270631963920551E-2</c:v>
                </c:pt>
              </c:numCache>
            </c:numRef>
          </c:val>
          <c:extLst>
            <c:ext xmlns:c16="http://schemas.microsoft.com/office/drawing/2014/chart" uri="{C3380CC4-5D6E-409C-BE32-E72D297353CC}">
              <c16:uniqueId val="{00000001-CB8A-4511-9F99-828ECCD8B1E9}"/>
            </c:ext>
          </c:extLst>
        </c:ser>
        <c:ser>
          <c:idx val="2"/>
          <c:order val="2"/>
          <c:tx>
            <c:strRef>
              <c:f>'GRAF příspěvky IPP'!$A$29</c:f>
              <c:strCache>
                <c:ptCount val="1"/>
                <c:pt idx="0">
                  <c:v>Machinery (28)</c:v>
                </c:pt>
              </c:strCache>
            </c:strRef>
          </c:tx>
          <c:spPr>
            <a:solidFill>
              <a:srgbClr val="BFE3F7"/>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IPP'!$R$29:$BA$29</c:f>
              <c:numCache>
                <c:formatCode>0.0</c:formatCode>
                <c:ptCount val="36"/>
                <c:pt idx="0">
                  <c:v>0.27352741322260471</c:v>
                </c:pt>
                <c:pt idx="1">
                  <c:v>0.29435778863230133</c:v>
                </c:pt>
                <c:pt idx="2">
                  <c:v>0.3838190189382153</c:v>
                </c:pt>
                <c:pt idx="3">
                  <c:v>1.9907538862099908E-2</c:v>
                </c:pt>
                <c:pt idx="4">
                  <c:v>0.36213267281302258</c:v>
                </c:pt>
                <c:pt idx="5">
                  <c:v>-6.5064708510287728E-2</c:v>
                </c:pt>
                <c:pt idx="6">
                  <c:v>0.19502661099256183</c:v>
                </c:pt>
                <c:pt idx="7">
                  <c:v>0.31976595271137093</c:v>
                </c:pt>
                <c:pt idx="8">
                  <c:v>0.36260721751312486</c:v>
                </c:pt>
                <c:pt idx="9">
                  <c:v>1.0676230430151594</c:v>
                </c:pt>
                <c:pt idx="10">
                  <c:v>0.84856622097502943</c:v>
                </c:pt>
                <c:pt idx="11">
                  <c:v>0.8011679796708624</c:v>
                </c:pt>
                <c:pt idx="12">
                  <c:v>0.47154480134890669</c:v>
                </c:pt>
                <c:pt idx="13">
                  <c:v>0.14539794495792585</c:v>
                </c:pt>
                <c:pt idx="14">
                  <c:v>0.18518957990291948</c:v>
                </c:pt>
                <c:pt idx="15">
                  <c:v>-0.19190856298894729</c:v>
                </c:pt>
                <c:pt idx="16">
                  <c:v>0.14248219231403364</c:v>
                </c:pt>
                <c:pt idx="17">
                  <c:v>-2.1421773901395595E-2</c:v>
                </c:pt>
                <c:pt idx="18">
                  <c:v>-0.25698546548398382</c:v>
                </c:pt>
                <c:pt idx="19">
                  <c:v>-0.1385976419695116</c:v>
                </c:pt>
                <c:pt idx="20">
                  <c:v>-0.69677730727295717</c:v>
                </c:pt>
                <c:pt idx="21">
                  <c:v>-2.1434069100206701</c:v>
                </c:pt>
                <c:pt idx="22">
                  <c:v>-0.80071965285565583</c:v>
                </c:pt>
                <c:pt idx="23">
                  <c:v>-0.53337369043417571</c:v>
                </c:pt>
                <c:pt idx="24">
                  <c:v>7.0388429332234645E-2</c:v>
                </c:pt>
                <c:pt idx="25">
                  <c:v>2.1082132332125232</c:v>
                </c:pt>
                <c:pt idx="26">
                  <c:v>0.54002718228061808</c:v>
                </c:pt>
                <c:pt idx="27">
                  <c:v>0.28651169955913558</c:v>
                </c:pt>
                <c:pt idx="28">
                  <c:v>0.38112415842724123</c:v>
                </c:pt>
                <c:pt idx="29">
                  <c:v>0.10272667009912283</c:v>
                </c:pt>
                <c:pt idx="30">
                  <c:v>0.49907693226871147</c:v>
                </c:pt>
                <c:pt idx="31">
                  <c:v>0.65938727063840996</c:v>
                </c:pt>
                <c:pt idx="32">
                  <c:v>0.33491818481481722</c:v>
                </c:pt>
                <c:pt idx="33">
                  <c:v>0.34685911599308134</c:v>
                </c:pt>
                <c:pt idx="34">
                  <c:v>-0.61663065612978796</c:v>
                </c:pt>
                <c:pt idx="35">
                  <c:v>-0.80038572029116073</c:v>
                </c:pt>
              </c:numCache>
            </c:numRef>
          </c:val>
          <c:extLst>
            <c:ext xmlns:c16="http://schemas.microsoft.com/office/drawing/2014/chart" uri="{C3380CC4-5D6E-409C-BE32-E72D297353CC}">
              <c16:uniqueId val="{00000002-CB8A-4511-9F99-828ECCD8B1E9}"/>
            </c:ext>
          </c:extLst>
        </c:ser>
        <c:ser>
          <c:idx val="3"/>
          <c:order val="3"/>
          <c:tx>
            <c:strRef>
              <c:f>'GRAF příspěvky IPP'!$A$30</c:f>
              <c:strCache>
                <c:ptCount val="1"/>
                <c:pt idx="0">
                  <c:v>Fabricated metal product industry (25)</c:v>
                </c:pt>
              </c:strCache>
            </c:strRef>
          </c:tx>
          <c:spPr>
            <a:solidFill>
              <a:srgbClr val="48AEE7"/>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IPP'!$R$30:$BA$30</c:f>
              <c:numCache>
                <c:formatCode>0.0</c:formatCode>
                <c:ptCount val="36"/>
                <c:pt idx="0">
                  <c:v>0.69497691812608653</c:v>
                </c:pt>
                <c:pt idx="1">
                  <c:v>0.78508725997594475</c:v>
                </c:pt>
                <c:pt idx="2">
                  <c:v>0.99073344247385242</c:v>
                </c:pt>
                <c:pt idx="3">
                  <c:v>0.60112803930591452</c:v>
                </c:pt>
                <c:pt idx="4">
                  <c:v>0.80565108552423126</c:v>
                </c:pt>
                <c:pt idx="5">
                  <c:v>0.37292975928366573</c:v>
                </c:pt>
                <c:pt idx="6">
                  <c:v>0.22874403118707295</c:v>
                </c:pt>
                <c:pt idx="7">
                  <c:v>0.25105221227274938</c:v>
                </c:pt>
                <c:pt idx="8">
                  <c:v>0.3985956654395556</c:v>
                </c:pt>
                <c:pt idx="9">
                  <c:v>0.93860836876068798</c:v>
                </c:pt>
                <c:pt idx="10">
                  <c:v>0.85733344200421946</c:v>
                </c:pt>
                <c:pt idx="11">
                  <c:v>0.96180148351524508</c:v>
                </c:pt>
                <c:pt idx="12">
                  <c:v>0.6638239940502253</c:v>
                </c:pt>
                <c:pt idx="13">
                  <c:v>0.46639173271760564</c:v>
                </c:pt>
                <c:pt idx="14">
                  <c:v>0.40419840691742392</c:v>
                </c:pt>
                <c:pt idx="15">
                  <c:v>0.14440932883616298</c:v>
                </c:pt>
                <c:pt idx="16">
                  <c:v>0.25807569584954437</c:v>
                </c:pt>
                <c:pt idx="17">
                  <c:v>1.4459010693799904E-2</c:v>
                </c:pt>
                <c:pt idx="18">
                  <c:v>-0.25651049213587412</c:v>
                </c:pt>
                <c:pt idx="19">
                  <c:v>-0.34928328908715428</c:v>
                </c:pt>
                <c:pt idx="20">
                  <c:v>-0.60808014688232792</c:v>
                </c:pt>
                <c:pt idx="21">
                  <c:v>-2.0880437771647515</c:v>
                </c:pt>
                <c:pt idx="22">
                  <c:v>-0.5397213489370003</c:v>
                </c:pt>
                <c:pt idx="23">
                  <c:v>0.14511452076092651</c:v>
                </c:pt>
                <c:pt idx="24">
                  <c:v>0.49633095542560085</c:v>
                </c:pt>
                <c:pt idx="25">
                  <c:v>3.0129249260537714</c:v>
                </c:pt>
                <c:pt idx="26">
                  <c:v>0.73648478182031074</c:v>
                </c:pt>
                <c:pt idx="27">
                  <c:v>-5.6080447887036436E-2</c:v>
                </c:pt>
                <c:pt idx="28">
                  <c:v>0.14951375880960247</c:v>
                </c:pt>
                <c:pt idx="29">
                  <c:v>-0.43703762786363665</c:v>
                </c:pt>
                <c:pt idx="30">
                  <c:v>-0.39225525137063899</c:v>
                </c:pt>
                <c:pt idx="31">
                  <c:v>-0.25495163136202598</c:v>
                </c:pt>
                <c:pt idx="32">
                  <c:v>-0.35270143311875107</c:v>
                </c:pt>
                <c:pt idx="33">
                  <c:v>-0.15027066322036883</c:v>
                </c:pt>
                <c:pt idx="34">
                  <c:v>-8.105367681371034E-2</c:v>
                </c:pt>
                <c:pt idx="35">
                  <c:v>-0.15353666376849701</c:v>
                </c:pt>
              </c:numCache>
            </c:numRef>
          </c:val>
          <c:extLst>
            <c:ext xmlns:c16="http://schemas.microsoft.com/office/drawing/2014/chart" uri="{C3380CC4-5D6E-409C-BE32-E72D297353CC}">
              <c16:uniqueId val="{00000003-CB8A-4511-9F99-828ECCD8B1E9}"/>
            </c:ext>
          </c:extLst>
        </c:ser>
        <c:ser>
          <c:idx val="4"/>
          <c:order val="4"/>
          <c:tx>
            <c:strRef>
              <c:f>'GRAF příspěvky IPP'!$A$31</c:f>
              <c:strCache>
                <c:ptCount val="1"/>
                <c:pt idx="0">
                  <c:v>PC, electronic and optical products (26)</c:v>
                </c:pt>
              </c:strCache>
            </c:strRef>
          </c:tx>
          <c:spPr>
            <a:solidFill>
              <a:srgbClr val="FDDEB3"/>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IPP'!$R$31:$BA$31</c:f>
              <c:numCache>
                <c:formatCode>0.0</c:formatCode>
                <c:ptCount val="36"/>
                <c:pt idx="0">
                  <c:v>0.10273275765267489</c:v>
                </c:pt>
                <c:pt idx="1">
                  <c:v>1.7022273503113708E-2</c:v>
                </c:pt>
                <c:pt idx="2">
                  <c:v>3.14516785151049E-2</c:v>
                </c:pt>
                <c:pt idx="3">
                  <c:v>-6.7148299810871712E-2</c:v>
                </c:pt>
                <c:pt idx="4">
                  <c:v>-1.2685476667277826E-2</c:v>
                </c:pt>
                <c:pt idx="5">
                  <c:v>7.6588175669583008E-2</c:v>
                </c:pt>
                <c:pt idx="6">
                  <c:v>4.5204856094121497E-2</c:v>
                </c:pt>
                <c:pt idx="7">
                  <c:v>0.16194666355811338</c:v>
                </c:pt>
                <c:pt idx="8">
                  <c:v>0.16169573185966199</c:v>
                </c:pt>
                <c:pt idx="9">
                  <c:v>0.34034954986554045</c:v>
                </c:pt>
                <c:pt idx="10">
                  <c:v>0.22387493834902861</c:v>
                </c:pt>
                <c:pt idx="11">
                  <c:v>0.23474883574173058</c:v>
                </c:pt>
                <c:pt idx="12">
                  <c:v>0.37691682805498228</c:v>
                </c:pt>
                <c:pt idx="13">
                  <c:v>0.16170745152429053</c:v>
                </c:pt>
                <c:pt idx="14">
                  <c:v>0.6354136856022391</c:v>
                </c:pt>
                <c:pt idx="15">
                  <c:v>0.32151776055716902</c:v>
                </c:pt>
                <c:pt idx="16">
                  <c:v>-0.11432204894408431</c:v>
                </c:pt>
                <c:pt idx="17">
                  <c:v>-5.1757146500390386E-2</c:v>
                </c:pt>
                <c:pt idx="18">
                  <c:v>-0.58706510968263703</c:v>
                </c:pt>
                <c:pt idx="19">
                  <c:v>-0.35487188237441031</c:v>
                </c:pt>
                <c:pt idx="20">
                  <c:v>-8.5397778834990529E-2</c:v>
                </c:pt>
                <c:pt idx="21">
                  <c:v>-0.27817734072291866</c:v>
                </c:pt>
                <c:pt idx="22">
                  <c:v>-2.9065624151318084E-3</c:v>
                </c:pt>
                <c:pt idx="23">
                  <c:v>-5.9498285904227661E-3</c:v>
                </c:pt>
                <c:pt idx="24">
                  <c:v>0.12344573775217317</c:v>
                </c:pt>
                <c:pt idx="25">
                  <c:v>0.16503598968244623</c:v>
                </c:pt>
                <c:pt idx="26">
                  <c:v>0.2187690869142794</c:v>
                </c:pt>
                <c:pt idx="27">
                  <c:v>-0.21769009003114986</c:v>
                </c:pt>
                <c:pt idx="28">
                  <c:v>1.6809689420158293E-2</c:v>
                </c:pt>
                <c:pt idx="29">
                  <c:v>-1.2858202239140653E-2</c:v>
                </c:pt>
                <c:pt idx="30">
                  <c:v>6.7712029336330179E-2</c:v>
                </c:pt>
                <c:pt idx="31">
                  <c:v>0.4363830134314563</c:v>
                </c:pt>
                <c:pt idx="32">
                  <c:v>0.15561037374071973</c:v>
                </c:pt>
                <c:pt idx="33">
                  <c:v>6.4192524802535206E-2</c:v>
                </c:pt>
                <c:pt idx="34">
                  <c:v>-0.12398451575935127</c:v>
                </c:pt>
                <c:pt idx="35">
                  <c:v>-0.17572322973013829</c:v>
                </c:pt>
              </c:numCache>
            </c:numRef>
          </c:val>
          <c:extLst>
            <c:ext xmlns:c16="http://schemas.microsoft.com/office/drawing/2014/chart" uri="{C3380CC4-5D6E-409C-BE32-E72D297353CC}">
              <c16:uniqueId val="{00000004-CB8A-4511-9F99-828ECCD8B1E9}"/>
            </c:ext>
          </c:extLst>
        </c:ser>
        <c:ser>
          <c:idx val="5"/>
          <c:order val="5"/>
          <c:tx>
            <c:strRef>
              <c:f>'GRAF příspěvky IPP'!$A$32</c:f>
              <c:strCache>
                <c:ptCount val="1"/>
                <c:pt idx="0">
                  <c:v>Chemical, pharmaceutical ind. (20, 21)</c:v>
                </c:pt>
              </c:strCache>
            </c:strRef>
          </c:tx>
          <c:spPr>
            <a:solidFill>
              <a:srgbClr val="F8A124"/>
            </a:solidFill>
            <a:ln>
              <a:noFill/>
            </a:ln>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IPP'!$R$32:$BA$32</c:f>
              <c:numCache>
                <c:formatCode>0.0</c:formatCode>
                <c:ptCount val="36"/>
                <c:pt idx="0">
                  <c:v>7.7208317080078276E-2</c:v>
                </c:pt>
                <c:pt idx="1">
                  <c:v>0.23592866818826697</c:v>
                </c:pt>
                <c:pt idx="2">
                  <c:v>-0.16336143877828857</c:v>
                </c:pt>
                <c:pt idx="3">
                  <c:v>-0.33439989501657991</c:v>
                </c:pt>
                <c:pt idx="4">
                  <c:v>-0.41779515285163249</c:v>
                </c:pt>
                <c:pt idx="5">
                  <c:v>-0.42569819359762023</c:v>
                </c:pt>
                <c:pt idx="6">
                  <c:v>-0.10788089066016893</c:v>
                </c:pt>
                <c:pt idx="7">
                  <c:v>0.23743965472329742</c:v>
                </c:pt>
                <c:pt idx="8">
                  <c:v>0.52311070740015475</c:v>
                </c:pt>
                <c:pt idx="9">
                  <c:v>0.82341422334347203</c:v>
                </c:pt>
                <c:pt idx="10">
                  <c:v>0.65076836480306144</c:v>
                </c:pt>
                <c:pt idx="11">
                  <c:v>0.50493978173151843</c:v>
                </c:pt>
                <c:pt idx="12">
                  <c:v>0.40295639892988067</c:v>
                </c:pt>
                <c:pt idx="13">
                  <c:v>8.0557374992047126E-2</c:v>
                </c:pt>
                <c:pt idx="14">
                  <c:v>-5.3154805616806716E-2</c:v>
                </c:pt>
                <c:pt idx="15">
                  <c:v>-6.7994611415210252E-2</c:v>
                </c:pt>
                <c:pt idx="16">
                  <c:v>0.10386183133359356</c:v>
                </c:pt>
                <c:pt idx="17">
                  <c:v>4.7610492592970455E-2</c:v>
                </c:pt>
                <c:pt idx="18">
                  <c:v>0.23071819932128132</c:v>
                </c:pt>
                <c:pt idx="19">
                  <c:v>3.0462943071166648E-2</c:v>
                </c:pt>
                <c:pt idx="20">
                  <c:v>-3.121877831637726E-2</c:v>
                </c:pt>
                <c:pt idx="21">
                  <c:v>-0.54858975903434926</c:v>
                </c:pt>
                <c:pt idx="22">
                  <c:v>-0.21411469460909963</c:v>
                </c:pt>
                <c:pt idx="23">
                  <c:v>0.43233148897113949</c:v>
                </c:pt>
                <c:pt idx="24">
                  <c:v>0.28829426971776501</c:v>
                </c:pt>
                <c:pt idx="25">
                  <c:v>0.79933281321603356</c:v>
                </c:pt>
                <c:pt idx="26">
                  <c:v>0.31192170113272516</c:v>
                </c:pt>
                <c:pt idx="27">
                  <c:v>7.2471498351694613E-2</c:v>
                </c:pt>
                <c:pt idx="28">
                  <c:v>0.25166918121745391</c:v>
                </c:pt>
                <c:pt idx="29">
                  <c:v>0.17196461710718769</c:v>
                </c:pt>
                <c:pt idx="30">
                  <c:v>-8.8288843176869858E-2</c:v>
                </c:pt>
                <c:pt idx="31">
                  <c:v>-0.2680061496566824</c:v>
                </c:pt>
                <c:pt idx="32">
                  <c:v>-0.57157637854029431</c:v>
                </c:pt>
                <c:pt idx="33">
                  <c:v>-0.14509871678747088</c:v>
                </c:pt>
                <c:pt idx="34">
                  <c:v>0.10958983295560938</c:v>
                </c:pt>
                <c:pt idx="35">
                  <c:v>-9.0213315565950164E-2</c:v>
                </c:pt>
              </c:numCache>
            </c:numRef>
          </c:val>
          <c:extLst>
            <c:ext xmlns:c16="http://schemas.microsoft.com/office/drawing/2014/chart" uri="{C3380CC4-5D6E-409C-BE32-E72D297353CC}">
              <c16:uniqueId val="{00000005-CB8A-4511-9F99-828ECCD8B1E9}"/>
            </c:ext>
          </c:extLst>
        </c:ser>
        <c:ser>
          <c:idx val="6"/>
          <c:order val="6"/>
          <c:tx>
            <c:strRef>
              <c:f>'GRAF příspěvky IPP'!$A$33</c:f>
              <c:strCache>
                <c:ptCount val="1"/>
                <c:pt idx="0">
                  <c:v>Remaining manufacturing industries</c:v>
                </c:pt>
              </c:strCache>
            </c:strRef>
          </c:tx>
          <c:spPr>
            <a:solidFill>
              <a:schemeClr val="bg1">
                <a:lumMod val="85000"/>
              </a:schemeClr>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IPP'!$R$33:$BA$33</c:f>
              <c:numCache>
                <c:formatCode>0.0</c:formatCode>
                <c:ptCount val="36"/>
                <c:pt idx="0">
                  <c:v>0.98162826530883773</c:v>
                </c:pt>
                <c:pt idx="1">
                  <c:v>0.89609854193089999</c:v>
                </c:pt>
                <c:pt idx="2">
                  <c:v>1.0136997635799254</c:v>
                </c:pt>
                <c:pt idx="3">
                  <c:v>-0.20234655551353997</c:v>
                </c:pt>
                <c:pt idx="4">
                  <c:v>-0.44271514968256598</c:v>
                </c:pt>
                <c:pt idx="5">
                  <c:v>-1.2360310619494745</c:v>
                </c:pt>
                <c:pt idx="6">
                  <c:v>-0.34381297444418102</c:v>
                </c:pt>
                <c:pt idx="7">
                  <c:v>0.41334459659232026</c:v>
                </c:pt>
                <c:pt idx="8">
                  <c:v>-0.1683925852161362</c:v>
                </c:pt>
                <c:pt idx="9">
                  <c:v>1.478036189227403</c:v>
                </c:pt>
                <c:pt idx="10">
                  <c:v>0.64937078015870064</c:v>
                </c:pt>
                <c:pt idx="11">
                  <c:v>0.70590148666032304</c:v>
                </c:pt>
                <c:pt idx="12">
                  <c:v>1.2116662560996518</c:v>
                </c:pt>
                <c:pt idx="13">
                  <c:v>0.71097548863760385</c:v>
                </c:pt>
                <c:pt idx="14">
                  <c:v>1.1301447241276845</c:v>
                </c:pt>
                <c:pt idx="15">
                  <c:v>0.13866678540773802</c:v>
                </c:pt>
                <c:pt idx="16">
                  <c:v>-0.42964337660274921</c:v>
                </c:pt>
                <c:pt idx="17">
                  <c:v>-0.22246357298765709</c:v>
                </c:pt>
                <c:pt idx="18">
                  <c:v>-1.0177720338517313</c:v>
                </c:pt>
                <c:pt idx="19">
                  <c:v>5.3943756139758603E-2</c:v>
                </c:pt>
                <c:pt idx="20">
                  <c:v>0.23152724249778844</c:v>
                </c:pt>
                <c:pt idx="21">
                  <c:v>-1.6759838727065843</c:v>
                </c:pt>
                <c:pt idx="22">
                  <c:v>-0.18136031704977118</c:v>
                </c:pt>
                <c:pt idx="23">
                  <c:v>-0.29102610739168877</c:v>
                </c:pt>
                <c:pt idx="24">
                  <c:v>3.5528521432281995E-2</c:v>
                </c:pt>
                <c:pt idx="25">
                  <c:v>3.2192972163240041</c:v>
                </c:pt>
                <c:pt idx="26">
                  <c:v>1.6605685282307974</c:v>
                </c:pt>
                <c:pt idx="27">
                  <c:v>1.2452073973288984</c:v>
                </c:pt>
                <c:pt idx="28">
                  <c:v>1.7181066428266309</c:v>
                </c:pt>
                <c:pt idx="29">
                  <c:v>0.2617852216300951</c:v>
                </c:pt>
                <c:pt idx="30">
                  <c:v>-1.5893023433684745</c:v>
                </c:pt>
                <c:pt idx="31">
                  <c:v>-1.4648552237920627</c:v>
                </c:pt>
                <c:pt idx="32">
                  <c:v>-2.9445768250855897</c:v>
                </c:pt>
                <c:pt idx="33">
                  <c:v>-3.1892786333962153</c:v>
                </c:pt>
                <c:pt idx="34">
                  <c:v>-1.7312875587043539</c:v>
                </c:pt>
                <c:pt idx="35">
                  <c:v>-1.367107274451091</c:v>
                </c:pt>
              </c:numCache>
            </c:numRef>
          </c:val>
          <c:extLst>
            <c:ext xmlns:c16="http://schemas.microsoft.com/office/drawing/2014/chart" uri="{C3380CC4-5D6E-409C-BE32-E72D297353CC}">
              <c16:uniqueId val="{00000006-CB8A-4511-9F99-828ECCD8B1E9}"/>
            </c:ext>
          </c:extLst>
        </c:ser>
        <c:ser>
          <c:idx val="7"/>
          <c:order val="7"/>
          <c:tx>
            <c:strRef>
              <c:f>'GRAF příspěvky IPP'!$A$34</c:f>
              <c:strCache>
                <c:ptCount val="1"/>
                <c:pt idx="0">
                  <c:v>Mining and energetics (B, D)</c:v>
                </c:pt>
              </c:strCache>
            </c:strRef>
          </c:tx>
          <c:spPr>
            <a:solidFill>
              <a:srgbClr val="808080"/>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IPP'!$R$34:$BA$34</c:f>
              <c:numCache>
                <c:formatCode>0.0</c:formatCode>
                <c:ptCount val="36"/>
                <c:pt idx="0">
                  <c:v>0.14536897805497162</c:v>
                </c:pt>
                <c:pt idx="1">
                  <c:v>-0.33983324755997268</c:v>
                </c:pt>
                <c:pt idx="2">
                  <c:v>-0.39725135811041795</c:v>
                </c:pt>
                <c:pt idx="3">
                  <c:v>-1.114644115487744</c:v>
                </c:pt>
                <c:pt idx="4">
                  <c:v>-0.64587487131351107</c:v>
                </c:pt>
                <c:pt idx="5">
                  <c:v>9.8834575359488031E-2</c:v>
                </c:pt>
                <c:pt idx="6">
                  <c:v>-0.47676721369922492</c:v>
                </c:pt>
                <c:pt idx="7">
                  <c:v>0.50385695934700236</c:v>
                </c:pt>
                <c:pt idx="8">
                  <c:v>0.66227118757014092</c:v>
                </c:pt>
                <c:pt idx="9">
                  <c:v>-0.18254891472265217</c:v>
                </c:pt>
                <c:pt idx="10">
                  <c:v>0.77170124339672286</c:v>
                </c:pt>
                <c:pt idx="11">
                  <c:v>0.73276064564397903</c:v>
                </c:pt>
                <c:pt idx="12">
                  <c:v>-0.53888499639537091</c:v>
                </c:pt>
                <c:pt idx="13">
                  <c:v>4.2147847309763065E-3</c:v>
                </c:pt>
                <c:pt idx="14">
                  <c:v>0.78783573859879075</c:v>
                </c:pt>
                <c:pt idx="15">
                  <c:v>0.33124933161720838</c:v>
                </c:pt>
                <c:pt idx="16">
                  <c:v>0.21326825173098596</c:v>
                </c:pt>
                <c:pt idx="17">
                  <c:v>4.5891627194929563E-2</c:v>
                </c:pt>
                <c:pt idx="18">
                  <c:v>-0.66559651426949951</c:v>
                </c:pt>
                <c:pt idx="19">
                  <c:v>-0.33090808889302359</c:v>
                </c:pt>
                <c:pt idx="20">
                  <c:v>-0.97342506810566587</c:v>
                </c:pt>
                <c:pt idx="21">
                  <c:v>-1.5875613971615949</c:v>
                </c:pt>
                <c:pt idx="22">
                  <c:v>-0.71564578738754847</c:v>
                </c:pt>
                <c:pt idx="23">
                  <c:v>-0.69506985368693841</c:v>
                </c:pt>
                <c:pt idx="24">
                  <c:v>0.48072477574831768</c:v>
                </c:pt>
                <c:pt idx="25">
                  <c:v>0.46331760076263306</c:v>
                </c:pt>
                <c:pt idx="26">
                  <c:v>0.22196846067872936</c:v>
                </c:pt>
                <c:pt idx="27">
                  <c:v>0.81349879426535543</c:v>
                </c:pt>
                <c:pt idx="28">
                  <c:v>-0.17518261564754817</c:v>
                </c:pt>
                <c:pt idx="29">
                  <c:v>0.27450121496530167</c:v>
                </c:pt>
                <c:pt idx="30">
                  <c:v>0.37994694442243826</c:v>
                </c:pt>
                <c:pt idx="31">
                  <c:v>-1.372950167074922</c:v>
                </c:pt>
                <c:pt idx="32">
                  <c:v>-1.2158184400366616</c:v>
                </c:pt>
                <c:pt idx="33">
                  <c:v>-1.5181268515484636</c:v>
                </c:pt>
                <c:pt idx="34">
                  <c:v>-1.5825523730842828</c:v>
                </c:pt>
                <c:pt idx="35">
                  <c:v>-1.0449777261641171</c:v>
                </c:pt>
              </c:numCache>
            </c:numRef>
          </c:val>
          <c:extLst>
            <c:ext xmlns:c16="http://schemas.microsoft.com/office/drawing/2014/chart" uri="{C3380CC4-5D6E-409C-BE32-E72D297353CC}">
              <c16:uniqueId val="{00000007-CB8A-4511-9F99-828ECCD8B1E9}"/>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Total output in industry (NACE B to D)</c:v>
                </c:pt>
              </c:strCache>
            </c:strRef>
          </c:tx>
          <c:spPr>
            <a:ln w="19050">
              <a:noFill/>
            </a:ln>
          </c:spPr>
          <c:marker>
            <c:symbol val="circle"/>
            <c:size val="4"/>
            <c:spPr>
              <a:solidFill>
                <a:srgbClr val="FFFF00"/>
              </a:solidFill>
              <a:ln>
                <a:solidFill>
                  <a:schemeClr val="tx1">
                    <a:lumMod val="95000"/>
                    <a:lumOff val="5000"/>
                  </a:schemeClr>
                </a:solidFill>
              </a:ln>
            </c:spPr>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IPP'!$R$35:$BA$35</c:f>
              <c:numCache>
                <c:formatCode>0.0</c:formatCode>
                <c:ptCount val="36"/>
                <c:pt idx="0">
                  <c:v>4.8496605073000012</c:v>
                </c:pt>
                <c:pt idx="1">
                  <c:v>5.3026307429999946</c:v>
                </c:pt>
                <c:pt idx="2">
                  <c:v>5.6592883106000045</c:v>
                </c:pt>
                <c:pt idx="3">
                  <c:v>2.4009241675999959</c:v>
                </c:pt>
                <c:pt idx="4">
                  <c:v>3.7935036281999999</c:v>
                </c:pt>
                <c:pt idx="5">
                  <c:v>1.667340101700006</c:v>
                </c:pt>
                <c:pt idx="6">
                  <c:v>1.295772459600002</c:v>
                </c:pt>
                <c:pt idx="7">
                  <c:v>3.346652804200005</c:v>
                </c:pt>
                <c:pt idx="8">
                  <c:v>4.4694819295000059</c:v>
                </c:pt>
                <c:pt idx="9">
                  <c:v>8.0757287747999982</c:v>
                </c:pt>
                <c:pt idx="10">
                  <c:v>6.471008530800006</c:v>
                </c:pt>
                <c:pt idx="11">
                  <c:v>7.2646448002000028</c:v>
                </c:pt>
                <c:pt idx="12">
                  <c:v>4.3462152320000058</c:v>
                </c:pt>
                <c:pt idx="13">
                  <c:v>2.4365124655000017</c:v>
                </c:pt>
                <c:pt idx="14">
                  <c:v>3.7641930207000058</c:v>
                </c:pt>
                <c:pt idx="15">
                  <c:v>1.5933483905999992</c:v>
                </c:pt>
                <c:pt idx="16">
                  <c:v>0.47230060009999875</c:v>
                </c:pt>
                <c:pt idx="17">
                  <c:v>0.71920116619999419</c:v>
                </c:pt>
                <c:pt idx="18">
                  <c:v>-1.5414330485999983</c:v>
                </c:pt>
                <c:pt idx="19">
                  <c:v>-1.7724070997000041</c:v>
                </c:pt>
                <c:pt idx="20">
                  <c:v>-4.2521142571000041</c:v>
                </c:pt>
                <c:pt idx="21">
                  <c:v>-21.785210571700006</c:v>
                </c:pt>
                <c:pt idx="22">
                  <c:v>-3.0649898566999951</c:v>
                </c:pt>
                <c:pt idx="23">
                  <c:v>1.6725311281000046</c:v>
                </c:pt>
                <c:pt idx="24">
                  <c:v>4.115884569399995</c:v>
                </c:pt>
                <c:pt idx="25">
                  <c:v>26.263126235800001</c:v>
                </c:pt>
                <c:pt idx="26">
                  <c:v>0.54308642079999458</c:v>
                </c:pt>
                <c:pt idx="27">
                  <c:v>-1.5356623300999956</c:v>
                </c:pt>
                <c:pt idx="28">
                  <c:v>0.52235424059999502</c:v>
                </c:pt>
                <c:pt idx="29">
                  <c:v>0.58036357349999435</c:v>
                </c:pt>
                <c:pt idx="30">
                  <c:v>5.0285577512999993</c:v>
                </c:pt>
                <c:pt idx="31">
                  <c:v>2.3901321318000015</c:v>
                </c:pt>
                <c:pt idx="32">
                  <c:v>0.48025456109999709</c:v>
                </c:pt>
                <c:pt idx="33">
                  <c:v>0.31148563589999867</c:v>
                </c:pt>
                <c:pt idx="34">
                  <c:v>-3.4530932299000057</c:v>
                </c:pt>
                <c:pt idx="35">
                  <c:v>-0.7617213765999935</c:v>
                </c:pt>
              </c:numCache>
            </c:numRef>
          </c:val>
          <c:smooth val="0"/>
          <c:extLst>
            <c:ext xmlns:c16="http://schemas.microsoft.com/office/drawing/2014/chart" uri="{C3380CC4-5D6E-409C-BE32-E72D297353CC}">
              <c16:uniqueId val="{00000008-CB8A-4511-9F99-828ECCD8B1E9}"/>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IPP'!$R$36:$BA$36</c:f>
              <c:numCache>
                <c:formatCode>General</c:formatCode>
                <c:ptCount val="36"/>
              </c:numCache>
            </c:numRef>
          </c:val>
          <c:smooth val="0"/>
          <c:extLst>
            <c:ext xmlns:c16="http://schemas.microsoft.com/office/drawing/2014/chart" uri="{C3380CC4-5D6E-409C-BE32-E72D297353CC}">
              <c16:uniqueId val="{00000009-CB8A-4511-9F99-828ECCD8B1E9}"/>
            </c:ext>
          </c:extLst>
        </c:ser>
        <c:ser>
          <c:idx val="10"/>
          <c:order val="10"/>
          <c:tx>
            <c:strRef>
              <c:f>'GRAF příspěvky IPP'!$A$37</c:f>
              <c:strCache>
                <c:ptCount val="1"/>
                <c:pt idx="0">
                  <c:v>Output, total industry CR (2021=100)</c:v>
                </c:pt>
              </c:strCache>
            </c:strRef>
          </c:tx>
          <c:spPr>
            <a:ln w="15875">
              <a:solidFill>
                <a:schemeClr val="tx1">
                  <a:lumMod val="95000"/>
                  <a:lumOff val="5000"/>
                </a:schemeClr>
              </a:solidFill>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IPP'!$R$37:$BA$37</c:f>
              <c:numCache>
                <c:formatCode>#\ ##0.##########</c:formatCode>
                <c:ptCount val="36"/>
                <c:pt idx="0">
                  <c:v>84.3</c:v>
                </c:pt>
                <c:pt idx="1">
                  <c:v>85.5</c:v>
                </c:pt>
                <c:pt idx="2">
                  <c:v>86.3</c:v>
                </c:pt>
                <c:pt idx="3">
                  <c:v>87.7</c:v>
                </c:pt>
                <c:pt idx="4">
                  <c:v>88.4</c:v>
                </c:pt>
                <c:pt idx="5">
                  <c:v>89.9</c:v>
                </c:pt>
                <c:pt idx="6">
                  <c:v>90.9</c:v>
                </c:pt>
                <c:pt idx="7">
                  <c:v>90.1</c:v>
                </c:pt>
                <c:pt idx="8">
                  <c:v>91.8</c:v>
                </c:pt>
                <c:pt idx="9">
                  <c:v>91.3</c:v>
                </c:pt>
                <c:pt idx="10" formatCode="#\ ##0.0">
                  <c:v>92</c:v>
                </c:pt>
                <c:pt idx="11">
                  <c:v>93.1</c:v>
                </c:pt>
                <c:pt idx="12">
                  <c:v>95.6</c:v>
                </c:pt>
                <c:pt idx="13">
                  <c:v>98.6</c:v>
                </c:pt>
                <c:pt idx="14">
                  <c:v>98.2</c:v>
                </c:pt>
                <c:pt idx="15">
                  <c:v>100.1</c:v>
                </c:pt>
                <c:pt idx="16">
                  <c:v>100.1</c:v>
                </c:pt>
                <c:pt idx="17">
                  <c:v>101.1</c:v>
                </c:pt>
                <c:pt idx="18">
                  <c:v>102</c:v>
                </c:pt>
                <c:pt idx="19">
                  <c:v>101.3</c:v>
                </c:pt>
                <c:pt idx="20">
                  <c:v>100.6</c:v>
                </c:pt>
                <c:pt idx="21" formatCode="#\ ##0.0">
                  <c:v>102.2</c:v>
                </c:pt>
                <c:pt idx="22">
                  <c:v>100.1</c:v>
                </c:pt>
                <c:pt idx="23" formatCode="#\ ##0.0">
                  <c:v>99.4</c:v>
                </c:pt>
                <c:pt idx="24">
                  <c:v>96.7</c:v>
                </c:pt>
                <c:pt idx="25">
                  <c:v>80.2</c:v>
                </c:pt>
                <c:pt idx="26">
                  <c:v>97</c:v>
                </c:pt>
                <c:pt idx="27">
                  <c:v>101.1</c:v>
                </c:pt>
                <c:pt idx="28">
                  <c:v>99.7</c:v>
                </c:pt>
                <c:pt idx="29">
                  <c:v>100.7</c:v>
                </c:pt>
                <c:pt idx="30">
                  <c:v>98.4</c:v>
                </c:pt>
                <c:pt idx="31">
                  <c:v>99.1</c:v>
                </c:pt>
                <c:pt idx="32">
                  <c:v>100.9</c:v>
                </c:pt>
                <c:pt idx="33">
                  <c:v>101.4</c:v>
                </c:pt>
                <c:pt idx="34">
                  <c:v>102.9</c:v>
                </c:pt>
                <c:pt idx="35">
                  <c:v>101.6</c:v>
                </c:pt>
              </c:numCache>
            </c:numRef>
          </c:val>
          <c:smooth val="0"/>
          <c:extLst>
            <c:ext xmlns:c16="http://schemas.microsoft.com/office/drawing/2014/chart" uri="{C3380CC4-5D6E-409C-BE32-E72D297353CC}">
              <c16:uniqueId val="{0000000A-CB8A-4511-9F99-828ECCD8B1E9}"/>
            </c:ext>
          </c:extLst>
        </c:ser>
        <c:ser>
          <c:idx val="11"/>
          <c:order val="11"/>
          <c:tx>
            <c:strRef>
              <c:f>'GRAF příspěvky IPP'!$A$38</c:f>
              <c:strCache>
                <c:ptCount val="1"/>
                <c:pt idx="0">
                  <c:v>Output, total industry EU27 (2021=100)</c:v>
                </c:pt>
              </c:strCache>
            </c:strRef>
          </c:tx>
          <c:spPr>
            <a:ln w="15875">
              <a:solidFill>
                <a:schemeClr val="tx1">
                  <a:lumMod val="50000"/>
                  <a:lumOff val="50000"/>
                </a:schemeClr>
              </a:solidFill>
              <a:prstDash val="sysDash"/>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IPP'!$R$38:$BA$38</c:f>
              <c:numCache>
                <c:formatCode>#\ ##0.##########</c:formatCode>
                <c:ptCount val="36"/>
                <c:pt idx="0">
                  <c:v>91</c:v>
                </c:pt>
                <c:pt idx="1">
                  <c:v>91.5</c:v>
                </c:pt>
                <c:pt idx="2">
                  <c:v>91</c:v>
                </c:pt>
                <c:pt idx="3">
                  <c:v>91.4</c:v>
                </c:pt>
                <c:pt idx="4">
                  <c:v>92.9</c:v>
                </c:pt>
                <c:pt idx="5">
                  <c:v>93.7</c:v>
                </c:pt>
                <c:pt idx="6">
                  <c:v>94.1</c:v>
                </c:pt>
                <c:pt idx="7">
                  <c:v>93.9</c:v>
                </c:pt>
                <c:pt idx="8">
                  <c:v>94.9</c:v>
                </c:pt>
                <c:pt idx="9">
                  <c:v>94.9</c:v>
                </c:pt>
                <c:pt idx="10">
                  <c:v>95</c:v>
                </c:pt>
                <c:pt idx="11">
                  <c:v>96</c:v>
                </c:pt>
                <c:pt idx="12">
                  <c:v>96.3</c:v>
                </c:pt>
                <c:pt idx="13">
                  <c:v>97.5</c:v>
                </c:pt>
                <c:pt idx="14">
                  <c:v>98.8</c:v>
                </c:pt>
                <c:pt idx="15">
                  <c:v>100.6</c:v>
                </c:pt>
                <c:pt idx="16" formatCode="#\ ##0.0">
                  <c:v>99.2</c:v>
                </c:pt>
                <c:pt idx="17">
                  <c:v>99.8</c:v>
                </c:pt>
                <c:pt idx="18" formatCode="#\ ##0.0">
                  <c:v>99.6</c:v>
                </c:pt>
                <c:pt idx="19">
                  <c:v>99.2</c:v>
                </c:pt>
                <c:pt idx="20">
                  <c:v>99.7</c:v>
                </c:pt>
                <c:pt idx="21">
                  <c:v>99.4</c:v>
                </c:pt>
                <c:pt idx="22">
                  <c:v>98.7</c:v>
                </c:pt>
                <c:pt idx="23">
                  <c:v>97.9</c:v>
                </c:pt>
                <c:pt idx="24" formatCode="#\ ##0.0">
                  <c:v>95.2</c:v>
                </c:pt>
                <c:pt idx="25">
                  <c:v>80.400000000000006</c:v>
                </c:pt>
                <c:pt idx="26">
                  <c:v>93.6</c:v>
                </c:pt>
                <c:pt idx="27">
                  <c:v>98</c:v>
                </c:pt>
                <c:pt idx="28">
                  <c:v>99.6</c:v>
                </c:pt>
                <c:pt idx="29" formatCode="#\ ##0.0">
                  <c:v>99.5</c:v>
                </c:pt>
                <c:pt idx="30">
                  <c:v>99.7</c:v>
                </c:pt>
                <c:pt idx="31" formatCode="#\ ##0.0">
                  <c:v>101.2</c:v>
                </c:pt>
                <c:pt idx="32">
                  <c:v>102</c:v>
                </c:pt>
                <c:pt idx="33">
                  <c:v>102.1</c:v>
                </c:pt>
                <c:pt idx="34">
                  <c:v>104.1</c:v>
                </c:pt>
                <c:pt idx="35" formatCode="#\ ##0.0">
                  <c:v>102.8</c:v>
                </c:pt>
              </c:numCache>
            </c:numRef>
          </c:val>
          <c:smooth val="0"/>
          <c:extLst>
            <c:ext xmlns:c16="http://schemas.microsoft.com/office/drawing/2014/chart" uri="{C3380CC4-5D6E-409C-BE32-E72D297353CC}">
              <c16:uniqueId val="{0000000B-CB8A-4511-9F99-828ECCD8B1E9}"/>
            </c:ext>
          </c:extLst>
        </c:ser>
        <c:ser>
          <c:idx val="12"/>
          <c:order val="12"/>
          <c:tx>
            <c:strRef>
              <c:f>'GRAF příspěvky IPP'!$A$39</c:f>
              <c:strCache>
                <c:ptCount val="1"/>
                <c:pt idx="0">
                  <c:v>Output, total industry Germany (2021=100)</c:v>
                </c:pt>
              </c:strCache>
            </c:strRef>
          </c:tx>
          <c:spPr>
            <a:ln w="15875">
              <a:solidFill>
                <a:srgbClr val="996633"/>
              </a:solidFill>
              <a:prstDash val="dash"/>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IPP'!$R$39:$BA$39</c:f>
              <c:numCache>
                <c:formatCode>#\ ##0.##########</c:formatCode>
                <c:ptCount val="36"/>
                <c:pt idx="0">
                  <c:v>102.7</c:v>
                </c:pt>
                <c:pt idx="1">
                  <c:v>102.2</c:v>
                </c:pt>
                <c:pt idx="2">
                  <c:v>102.2</c:v>
                </c:pt>
                <c:pt idx="3">
                  <c:v>103.4</c:v>
                </c:pt>
                <c:pt idx="4">
                  <c:v>102.7</c:v>
                </c:pt>
                <c:pt idx="5">
                  <c:v>104</c:v>
                </c:pt>
                <c:pt idx="6">
                  <c:v>103.8</c:v>
                </c:pt>
                <c:pt idx="7">
                  <c:v>103.3</c:v>
                </c:pt>
                <c:pt idx="8">
                  <c:v>104.4</c:v>
                </c:pt>
                <c:pt idx="9">
                  <c:v>104</c:v>
                </c:pt>
                <c:pt idx="10">
                  <c:v>104.4</c:v>
                </c:pt>
                <c:pt idx="11">
                  <c:v>104.5</c:v>
                </c:pt>
                <c:pt idx="12" formatCode="#\ ##0.0">
                  <c:v>105</c:v>
                </c:pt>
                <c:pt idx="13">
                  <c:v>107</c:v>
                </c:pt>
                <c:pt idx="14">
                  <c:v>108.8</c:v>
                </c:pt>
                <c:pt idx="15">
                  <c:v>109.6</c:v>
                </c:pt>
                <c:pt idx="16">
                  <c:v>109</c:v>
                </c:pt>
                <c:pt idx="17" formatCode="#\ ##0.0">
                  <c:v>109.8</c:v>
                </c:pt>
                <c:pt idx="18">
                  <c:v>108.8</c:v>
                </c:pt>
                <c:pt idx="19">
                  <c:v>107.2</c:v>
                </c:pt>
                <c:pt idx="20">
                  <c:v>107</c:v>
                </c:pt>
                <c:pt idx="21" formatCode="#\ ##0.0">
                  <c:v>105.8</c:v>
                </c:pt>
                <c:pt idx="22">
                  <c:v>104.6</c:v>
                </c:pt>
                <c:pt idx="23">
                  <c:v>102.9</c:v>
                </c:pt>
                <c:pt idx="24" formatCode="#\ ##0.0">
                  <c:v>101.3</c:v>
                </c:pt>
                <c:pt idx="25">
                  <c:v>82.9</c:v>
                </c:pt>
                <c:pt idx="26">
                  <c:v>94.8</c:v>
                </c:pt>
                <c:pt idx="27">
                  <c:v>100.9</c:v>
                </c:pt>
                <c:pt idx="28">
                  <c:v>101.1</c:v>
                </c:pt>
                <c:pt idx="29">
                  <c:v>100</c:v>
                </c:pt>
                <c:pt idx="30">
                  <c:v>96.8</c:v>
                </c:pt>
                <c:pt idx="31">
                  <c:v>99.7</c:v>
                </c:pt>
                <c:pt idx="32">
                  <c:v>99.1</c:v>
                </c:pt>
                <c:pt idx="33" formatCode="#\ ##0.0">
                  <c:v>98.3</c:v>
                </c:pt>
                <c:pt idx="34">
                  <c:v>98.8</c:v>
                </c:pt>
                <c:pt idx="35">
                  <c:v>98.6</c:v>
                </c:pt>
              </c:numCache>
            </c:numRef>
          </c:val>
          <c:smooth val="0"/>
          <c:extLst>
            <c:ext xmlns:c16="http://schemas.microsoft.com/office/drawing/2014/chart" uri="{C3380CC4-5D6E-409C-BE32-E72D297353CC}">
              <c16:uniqueId val="{0000000C-CB8A-4511-9F99-828ECCD8B1E9}"/>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none"/>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0"/>
          <c:min val="-25"/>
        </c:scaling>
        <c:delete val="0"/>
        <c:axPos val="l"/>
        <c:majorGridlines>
          <c:spPr>
            <a:ln>
              <a:solidFill>
                <a:srgbClr val="BEBEBE"/>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Industrial production (contribution to growth)</a:t>
                </a:r>
                <a:endParaRPr lang="cs-CZ" sz="700">
                  <a:effectLst/>
                </a:endParaRPr>
              </a:p>
            </c:rich>
          </c:tx>
          <c:layout>
            <c:manualLayout>
              <c:xMode val="edge"/>
              <c:yMode val="edge"/>
              <c:x val="0"/>
              <c:y val="0.10261653835722127"/>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513729024"/>
        <c:scaling>
          <c:orientation val="minMax"/>
          <c:max val="118"/>
          <c:min val="52"/>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Output in industry (basis 2021=100)</a:t>
                </a:r>
              </a:p>
            </c:rich>
          </c:tx>
          <c:layout>
            <c:manualLayout>
              <c:xMode val="edge"/>
              <c:yMode val="edge"/>
              <c:x val="0.97040158454025283"/>
              <c:y val="0.16649922312229412"/>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6"/>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57665068025226E-3"/>
          <c:y val="0.78956533796177808"/>
          <c:w val="0.98866589538224925"/>
          <c:h val="0.20327688625655532"/>
        </c:manualLayout>
      </c:layout>
      <c:overlay val="0"/>
      <c:spPr>
        <a:ln w="6350">
          <a:solidFill>
            <a:prstClr val="black">
              <a:lumMod val="95000"/>
              <a:lumOff val="5000"/>
            </a:prstClr>
          </a:solidFill>
        </a:ln>
      </c:spPr>
      <c:txPr>
        <a:bodyPr/>
        <a:lstStyle/>
        <a:p>
          <a:pPr>
            <a:defRPr sz="72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52E-2"/>
          <c:w val="0.84974974879787502"/>
          <c:h val="0.750636022143085"/>
        </c:manualLayout>
      </c:layout>
      <c:barChart>
        <c:barDir val="col"/>
        <c:grouping val="clustered"/>
        <c:varyColors val="0"/>
        <c:ser>
          <c:idx val="0"/>
          <c:order val="0"/>
          <c:tx>
            <c:strRef>
              <c:f>'výkonnost odvětví 2'!$A$36</c:f>
              <c:strCache>
                <c:ptCount val="1"/>
                <c:pt idx="0">
                  <c:v>Total orders (all industry)</c:v>
                </c:pt>
              </c:strCache>
            </c:strRef>
          </c:tx>
          <c:spPr>
            <a:solidFill>
              <a:schemeClr val="bg1">
                <a:lumMod val="75000"/>
              </a:schemeClr>
            </a:solidFill>
            <a:ln>
              <a:noFill/>
            </a:ln>
          </c:spPr>
          <c:invertIfNegative val="0"/>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2'!$R$36:$BB$36</c:f>
              <c:numCache>
                <c:formatCode>##0.0</c:formatCode>
                <c:ptCount val="37"/>
                <c:pt idx="0">
                  <c:v>8.5341163004000009</c:v>
                </c:pt>
                <c:pt idx="1">
                  <c:v>6.3710040105000019</c:v>
                </c:pt>
                <c:pt idx="2">
                  <c:v>6.0473469386000005</c:v>
                </c:pt>
                <c:pt idx="3">
                  <c:v>5.2688430824999983</c:v>
                </c:pt>
                <c:pt idx="4">
                  <c:v>2.4833916856999991</c:v>
                </c:pt>
                <c:pt idx="5">
                  <c:v>7.1316561812000003</c:v>
                </c:pt>
                <c:pt idx="6">
                  <c:v>1.949144685899995</c:v>
                </c:pt>
                <c:pt idx="7">
                  <c:v>6.4416747929000024</c:v>
                </c:pt>
                <c:pt idx="8">
                  <c:v>7.3441955548999971</c:v>
                </c:pt>
                <c:pt idx="9">
                  <c:v>8.3762247843000068</c:v>
                </c:pt>
                <c:pt idx="10">
                  <c:v>8.1209134774999967</c:v>
                </c:pt>
                <c:pt idx="11">
                  <c:v>7.2572871451999958</c:v>
                </c:pt>
                <c:pt idx="12">
                  <c:v>3.2993551214999997</c:v>
                </c:pt>
                <c:pt idx="13">
                  <c:v>2.9773571834000023</c:v>
                </c:pt>
                <c:pt idx="14">
                  <c:v>3.5300064828000046</c:v>
                </c:pt>
                <c:pt idx="15">
                  <c:v>2.4324207204000032</c:v>
                </c:pt>
                <c:pt idx="16">
                  <c:v>3.2234606388999936</c:v>
                </c:pt>
                <c:pt idx="17">
                  <c:v>2.1291359181000047</c:v>
                </c:pt>
                <c:pt idx="18">
                  <c:v>-1.1496242270000039</c:v>
                </c:pt>
                <c:pt idx="19">
                  <c:v>-2.8233445845000062</c:v>
                </c:pt>
                <c:pt idx="20">
                  <c:v>-4.1421474552000035</c:v>
                </c:pt>
                <c:pt idx="21">
                  <c:v>-27.261303375300002</c:v>
                </c:pt>
                <c:pt idx="22">
                  <c:v>-0.61408028729999842</c:v>
                </c:pt>
                <c:pt idx="23">
                  <c:v>6.5219093458999993</c:v>
                </c:pt>
                <c:pt idx="24">
                  <c:v>10.321701077699998</c:v>
                </c:pt>
                <c:pt idx="25">
                  <c:v>46.907570621500014</c:v>
                </c:pt>
                <c:pt idx="26">
                  <c:v>7.4994132685999944</c:v>
                </c:pt>
                <c:pt idx="27">
                  <c:v>4.1120061736999958</c:v>
                </c:pt>
                <c:pt idx="28">
                  <c:v>6.7816411087000006</c:v>
                </c:pt>
                <c:pt idx="29">
                  <c:v>10.0667436767</c:v>
                </c:pt>
                <c:pt idx="30">
                  <c:v>15.286388074900003</c:v>
                </c:pt>
                <c:pt idx="31">
                  <c:v>12.535319601099999</c:v>
                </c:pt>
                <c:pt idx="32">
                  <c:v>2.7921186620999947</c:v>
                </c:pt>
                <c:pt idx="33">
                  <c:v>-2.2040303883999997</c:v>
                </c:pt>
                <c:pt idx="34">
                  <c:v>-4.7535662397999943</c:v>
                </c:pt>
                <c:pt idx="35">
                  <c:v>-0.98300700549999931</c:v>
                </c:pt>
              </c:numCache>
            </c:numRef>
          </c:val>
          <c:extLst>
            <c:ext xmlns:c16="http://schemas.microsoft.com/office/drawing/2014/chart" uri="{C3380CC4-5D6E-409C-BE32-E72D297353CC}">
              <c16:uniqueId val="{00000000-30CE-43A8-9AD0-C651AEB215FD}"/>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2'!$A$37</c:f>
              <c:strCache>
                <c:ptCount val="1"/>
                <c:pt idx="0">
                  <c:v>In that: domestic orders</c:v>
                </c:pt>
              </c:strCache>
            </c:strRef>
          </c:tx>
          <c:spPr>
            <a:ln w="15875">
              <a:noFill/>
              <a:prstDash val="sysDot"/>
            </a:ln>
          </c:spPr>
          <c:marker>
            <c:symbol val="diamond"/>
            <c:size val="5"/>
            <c:spPr>
              <a:solidFill>
                <a:srgbClr val="984807"/>
              </a:solidFill>
              <a:ln>
                <a:noFill/>
              </a:ln>
            </c:spPr>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2'!$R$37:$BB$37</c:f>
              <c:numCache>
                <c:formatCode>#\ ##0.0</c:formatCode>
                <c:ptCount val="37"/>
                <c:pt idx="0">
                  <c:v>4.3632508753999986</c:v>
                </c:pt>
                <c:pt idx="1">
                  <c:v>9.9207675196999929</c:v>
                </c:pt>
                <c:pt idx="2">
                  <c:v>-2.8142131774000063</c:v>
                </c:pt>
                <c:pt idx="3">
                  <c:v>-0.26578169440000465</c:v>
                </c:pt>
                <c:pt idx="4">
                  <c:v>1.7666970267000011</c:v>
                </c:pt>
                <c:pt idx="5">
                  <c:v>1.7586378578999984</c:v>
                </c:pt>
                <c:pt idx="6">
                  <c:v>0.20173230330000536</c:v>
                </c:pt>
                <c:pt idx="7">
                  <c:v>2.9064722939999967</c:v>
                </c:pt>
                <c:pt idx="8">
                  <c:v>12.341459895900002</c:v>
                </c:pt>
                <c:pt idx="9">
                  <c:v>15.691073458800005</c:v>
                </c:pt>
                <c:pt idx="10">
                  <c:v>15.834685004400001</c:v>
                </c:pt>
                <c:pt idx="11">
                  <c:v>15.445227057699995</c:v>
                </c:pt>
                <c:pt idx="12">
                  <c:v>2.1530605192999985</c:v>
                </c:pt>
                <c:pt idx="13">
                  <c:v>2.440306231799994</c:v>
                </c:pt>
                <c:pt idx="14">
                  <c:v>4.7510172912000002</c:v>
                </c:pt>
                <c:pt idx="15">
                  <c:v>3.3084884759999937</c:v>
                </c:pt>
                <c:pt idx="16">
                  <c:v>7.6964313707999992</c:v>
                </c:pt>
                <c:pt idx="17">
                  <c:v>5.9656126075999936</c:v>
                </c:pt>
                <c:pt idx="18">
                  <c:v>0.2850715043000065</c:v>
                </c:pt>
                <c:pt idx="19">
                  <c:v>-0.84674153630000148</c:v>
                </c:pt>
                <c:pt idx="20">
                  <c:v>0.84542569580000304</c:v>
                </c:pt>
                <c:pt idx="21">
                  <c:v>-25.680778364399998</c:v>
                </c:pt>
                <c:pt idx="22">
                  <c:v>-3.379983194199994</c:v>
                </c:pt>
                <c:pt idx="23">
                  <c:v>5.566224000099993</c:v>
                </c:pt>
                <c:pt idx="24">
                  <c:v>2.199425585900002</c:v>
                </c:pt>
                <c:pt idx="25">
                  <c:v>42.262362647000003</c:v>
                </c:pt>
                <c:pt idx="26">
                  <c:v>9.253190769699998</c:v>
                </c:pt>
                <c:pt idx="27">
                  <c:v>5.7814707905999967</c:v>
                </c:pt>
                <c:pt idx="28">
                  <c:v>8.7588460454000057</c:v>
                </c:pt>
                <c:pt idx="29">
                  <c:v>15.462172667999994</c:v>
                </c:pt>
                <c:pt idx="30">
                  <c:v>26.233931226899998</c:v>
                </c:pt>
                <c:pt idx="31">
                  <c:v>19.263034980100002</c:v>
                </c:pt>
                <c:pt idx="32">
                  <c:v>11.843070749199995</c:v>
                </c:pt>
                <c:pt idx="33">
                  <c:v>2.2239528470000067</c:v>
                </c:pt>
                <c:pt idx="34">
                  <c:v>-7.2459852928000004</c:v>
                </c:pt>
                <c:pt idx="35">
                  <c:v>-0.72455172189999928</c:v>
                </c:pt>
              </c:numCache>
            </c:numRef>
          </c:val>
          <c:smooth val="0"/>
          <c:extLst>
            <c:ext xmlns:c16="http://schemas.microsoft.com/office/drawing/2014/chart" uri="{C3380CC4-5D6E-409C-BE32-E72D297353CC}">
              <c16:uniqueId val="{00000001-30CE-43A8-9AD0-C651AEB215FD}"/>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2'!$A$38</c:f>
              <c:strCache>
                <c:ptCount val="1"/>
                <c:pt idx="0">
                  <c:v>Utilisation of capacities (all industry)</c:v>
                </c:pt>
              </c:strCache>
            </c:strRef>
          </c:tx>
          <c:spPr>
            <a:ln w="15875">
              <a:solidFill>
                <a:schemeClr val="accent6">
                  <a:lumMod val="75000"/>
                </a:schemeClr>
              </a:solidFill>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2'!$R$38:$BB$38</c:f>
              <c:numCache>
                <c:formatCode>##0.0</c:formatCode>
                <c:ptCount val="37"/>
                <c:pt idx="0">
                  <c:v>85.6</c:v>
                </c:pt>
                <c:pt idx="1">
                  <c:v>85.1</c:v>
                </c:pt>
                <c:pt idx="2">
                  <c:v>84.9</c:v>
                </c:pt>
                <c:pt idx="3">
                  <c:v>84.3</c:v>
                </c:pt>
                <c:pt idx="4">
                  <c:v>84</c:v>
                </c:pt>
                <c:pt idx="5">
                  <c:v>85.2</c:v>
                </c:pt>
                <c:pt idx="6">
                  <c:v>84</c:v>
                </c:pt>
                <c:pt idx="7">
                  <c:v>84.8</c:v>
                </c:pt>
                <c:pt idx="8">
                  <c:v>84.7</c:v>
                </c:pt>
                <c:pt idx="9">
                  <c:v>83.7</c:v>
                </c:pt>
                <c:pt idx="10">
                  <c:v>83.8</c:v>
                </c:pt>
                <c:pt idx="11">
                  <c:v>84.4</c:v>
                </c:pt>
                <c:pt idx="12">
                  <c:v>85.33</c:v>
                </c:pt>
                <c:pt idx="13">
                  <c:v>84.89</c:v>
                </c:pt>
                <c:pt idx="14">
                  <c:v>85.13</c:v>
                </c:pt>
                <c:pt idx="15">
                  <c:v>84.76</c:v>
                </c:pt>
                <c:pt idx="16">
                  <c:v>84.93</c:v>
                </c:pt>
                <c:pt idx="17">
                  <c:v>85.19</c:v>
                </c:pt>
                <c:pt idx="18">
                  <c:v>83.6</c:v>
                </c:pt>
                <c:pt idx="19">
                  <c:v>83.7</c:v>
                </c:pt>
                <c:pt idx="20">
                  <c:v>84.2</c:v>
                </c:pt>
                <c:pt idx="21">
                  <c:v>70.400000000000006</c:v>
                </c:pt>
                <c:pt idx="22">
                  <c:v>76.3</c:v>
                </c:pt>
                <c:pt idx="23">
                  <c:v>82.7</c:v>
                </c:pt>
                <c:pt idx="24">
                  <c:v>85.8</c:v>
                </c:pt>
                <c:pt idx="25">
                  <c:v>84.4</c:v>
                </c:pt>
                <c:pt idx="26">
                  <c:v>86.41</c:v>
                </c:pt>
                <c:pt idx="27">
                  <c:v>77.599999999999994</c:v>
                </c:pt>
                <c:pt idx="28">
                  <c:v>83.6</c:v>
                </c:pt>
                <c:pt idx="29">
                  <c:v>82.17</c:v>
                </c:pt>
                <c:pt idx="30">
                  <c:v>83.5</c:v>
                </c:pt>
                <c:pt idx="31">
                  <c:v>81.099999999999994</c:v>
                </c:pt>
                <c:pt idx="32">
                  <c:v>81.400000000000006</c:v>
                </c:pt>
                <c:pt idx="33">
                  <c:v>83.7</c:v>
                </c:pt>
                <c:pt idx="34">
                  <c:v>83.5</c:v>
                </c:pt>
                <c:pt idx="35">
                  <c:v>83.6</c:v>
                </c:pt>
                <c:pt idx="36">
                  <c:v>83.1</c:v>
                </c:pt>
              </c:numCache>
            </c:numRef>
          </c:val>
          <c:smooth val="0"/>
          <c:extLst>
            <c:ext xmlns:c16="http://schemas.microsoft.com/office/drawing/2014/chart" uri="{C3380CC4-5D6E-409C-BE32-E72D297353CC}">
              <c16:uniqueId val="{00000002-30CE-43A8-9AD0-C651AEB215FD}"/>
            </c:ext>
          </c:extLst>
        </c:ser>
        <c:ser>
          <c:idx val="3"/>
          <c:order val="3"/>
          <c:tx>
            <c:strRef>
              <c:f>'výkonnost odvětví 2'!$A$39</c:f>
              <c:strCache>
                <c:ptCount val="1"/>
                <c:pt idx="0">
                  <c:v>Utilisation of capacities (motor vehicles ind.)</c:v>
                </c:pt>
              </c:strCache>
            </c:strRef>
          </c:tx>
          <c:spPr>
            <a:ln w="15875">
              <a:solidFill>
                <a:schemeClr val="accent6">
                  <a:lumMod val="75000"/>
                </a:schemeClr>
              </a:solidFill>
              <a:prstDash val="sysDash"/>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2'!$R$39:$BB$39</c:f>
              <c:numCache>
                <c:formatCode>##0.0</c:formatCode>
                <c:ptCount val="37"/>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pt idx="32">
                  <c:v>79.400000000000006</c:v>
                </c:pt>
                <c:pt idx="33">
                  <c:v>92.7</c:v>
                </c:pt>
                <c:pt idx="34">
                  <c:v>92.2</c:v>
                </c:pt>
                <c:pt idx="35">
                  <c:v>92.2</c:v>
                </c:pt>
                <c:pt idx="36">
                  <c:v>92.7</c:v>
                </c:pt>
              </c:numCache>
            </c:numRef>
          </c:val>
          <c:smooth val="0"/>
          <c:extLst>
            <c:ext xmlns:c16="http://schemas.microsoft.com/office/drawing/2014/chart" uri="{C3380CC4-5D6E-409C-BE32-E72D297353CC}">
              <c16:uniqueId val="{00000003-30CE-43A8-9AD0-C651AEB215FD}"/>
            </c:ext>
          </c:extLst>
        </c:ser>
        <c:ser>
          <c:idx val="4"/>
          <c:order val="4"/>
          <c:tx>
            <c:strRef>
              <c:f>'výkonnost odvětví 2'!$A$40</c:f>
              <c:strCache>
                <c:ptCount val="1"/>
                <c:pt idx="0">
                  <c:v>Barrier: inadequate demand</c:v>
                </c:pt>
              </c:strCache>
            </c:strRef>
          </c:tx>
          <c:spPr>
            <a:ln w="15875">
              <a:solidFill>
                <a:srgbClr val="00B050"/>
              </a:solidFill>
              <a:prstDash val="solid"/>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2'!$R$40:$BB$40</c:f>
              <c:numCache>
                <c:formatCode>#\ ##0.0</c:formatCode>
                <c:ptCount val="37"/>
                <c:pt idx="0">
                  <c:v>45.3</c:v>
                </c:pt>
                <c:pt idx="1">
                  <c:v>49.6</c:v>
                </c:pt>
                <c:pt idx="2">
                  <c:v>49.7</c:v>
                </c:pt>
                <c:pt idx="3">
                  <c:v>46.4</c:v>
                </c:pt>
                <c:pt idx="4">
                  <c:v>45.9</c:v>
                </c:pt>
                <c:pt idx="5">
                  <c:v>44.6</c:v>
                </c:pt>
                <c:pt idx="6">
                  <c:v>43.8</c:v>
                </c:pt>
                <c:pt idx="7">
                  <c:v>42.9</c:v>
                </c:pt>
                <c:pt idx="8">
                  <c:v>42.7</c:v>
                </c:pt>
                <c:pt idx="9">
                  <c:v>41</c:v>
                </c:pt>
                <c:pt idx="10">
                  <c:v>41.2</c:v>
                </c:pt>
                <c:pt idx="11">
                  <c:v>35.799999999999997</c:v>
                </c:pt>
                <c:pt idx="12">
                  <c:v>35.4</c:v>
                </c:pt>
                <c:pt idx="13">
                  <c:v>36.299999999999997</c:v>
                </c:pt>
                <c:pt idx="14">
                  <c:v>32.4</c:v>
                </c:pt>
                <c:pt idx="15">
                  <c:v>32.9</c:v>
                </c:pt>
                <c:pt idx="16">
                  <c:v>33.799999999999997</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pt idx="32">
                  <c:v>42.5</c:v>
                </c:pt>
                <c:pt idx="33">
                  <c:v>42</c:v>
                </c:pt>
                <c:pt idx="34">
                  <c:v>44.3</c:v>
                </c:pt>
                <c:pt idx="35">
                  <c:v>46.2</c:v>
                </c:pt>
                <c:pt idx="36">
                  <c:v>47.5</c:v>
                </c:pt>
              </c:numCache>
            </c:numRef>
          </c:val>
          <c:smooth val="0"/>
          <c:extLst>
            <c:ext xmlns:c16="http://schemas.microsoft.com/office/drawing/2014/chart" uri="{C3380CC4-5D6E-409C-BE32-E72D297353CC}">
              <c16:uniqueId val="{00000004-30CE-43A8-9AD0-C651AEB215FD}"/>
            </c:ext>
          </c:extLst>
        </c:ser>
        <c:ser>
          <c:idx val="5"/>
          <c:order val="5"/>
          <c:tx>
            <c:strRef>
              <c:f>'výkonnost odvětví 2'!$A$41</c:f>
              <c:strCache>
                <c:ptCount val="1"/>
                <c:pt idx="0">
                  <c:v>Barrier: lack of workers</c:v>
                </c:pt>
              </c:strCache>
            </c:strRef>
          </c:tx>
          <c:spPr>
            <a:ln w="15875">
              <a:solidFill>
                <a:srgbClr val="37DD3B"/>
              </a:solidFill>
              <a:prstDash val="sysDash"/>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2'!$R$41:$BB$41</c:f>
              <c:numCache>
                <c:formatCode>#\ ##0.0</c:formatCode>
                <c:ptCount val="37"/>
                <c:pt idx="0">
                  <c:v>6.1</c:v>
                </c:pt>
                <c:pt idx="1">
                  <c:v>6.9</c:v>
                </c:pt>
                <c:pt idx="2">
                  <c:v>8.6999999999999993</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pt idx="32">
                  <c:v>16.600000000000001</c:v>
                </c:pt>
                <c:pt idx="33">
                  <c:v>20.6</c:v>
                </c:pt>
                <c:pt idx="34">
                  <c:v>18.899999999999999</c:v>
                </c:pt>
                <c:pt idx="35">
                  <c:v>22.5</c:v>
                </c:pt>
                <c:pt idx="36">
                  <c:v>14.6</c:v>
                </c:pt>
              </c:numCache>
            </c:numRef>
          </c:val>
          <c:smooth val="0"/>
          <c:extLst>
            <c:ext xmlns:c16="http://schemas.microsoft.com/office/drawing/2014/chart" uri="{C3380CC4-5D6E-409C-BE32-E72D297353CC}">
              <c16:uniqueId val="{00000005-30CE-43A8-9AD0-C651AEB215FD}"/>
            </c:ext>
          </c:extLst>
        </c:ser>
        <c:ser>
          <c:idx val="6"/>
          <c:order val="6"/>
          <c:tx>
            <c:strRef>
              <c:f>'výkonnost odvětví 2'!$A$42</c:f>
              <c:strCache>
                <c:ptCount val="1"/>
                <c:pt idx="0">
                  <c:v>Barrier: shortage of material/equipment</c:v>
                </c:pt>
              </c:strCache>
            </c:strRef>
          </c:tx>
          <c:spPr>
            <a:ln w="15875">
              <a:solidFill>
                <a:schemeClr val="accent3">
                  <a:lumMod val="75000"/>
                </a:schemeClr>
              </a:solidFill>
              <a:prstDash val="dash"/>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2'!$R$42:$BB$42</c:f>
              <c:numCache>
                <c:formatCode>#\ ##0.0</c:formatCode>
                <c:ptCount val="37"/>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10.199999999999999</c:v>
                </c:pt>
                <c:pt idx="22">
                  <c:v>6.7</c:v>
                </c:pt>
                <c:pt idx="23">
                  <c:v>10.9</c:v>
                </c:pt>
                <c:pt idx="24">
                  <c:v>23.1</c:v>
                </c:pt>
                <c:pt idx="25">
                  <c:v>32.1</c:v>
                </c:pt>
                <c:pt idx="26">
                  <c:v>45.9</c:v>
                </c:pt>
                <c:pt idx="27">
                  <c:v>41.2</c:v>
                </c:pt>
                <c:pt idx="28">
                  <c:v>39.299999999999997</c:v>
                </c:pt>
                <c:pt idx="29">
                  <c:v>47.8</c:v>
                </c:pt>
                <c:pt idx="30">
                  <c:v>53.4</c:v>
                </c:pt>
                <c:pt idx="31">
                  <c:v>46.4</c:v>
                </c:pt>
                <c:pt idx="32">
                  <c:v>37.4</c:v>
                </c:pt>
                <c:pt idx="33">
                  <c:v>32.5</c:v>
                </c:pt>
                <c:pt idx="34">
                  <c:v>20.6</c:v>
                </c:pt>
                <c:pt idx="35">
                  <c:v>17.100000000000001</c:v>
                </c:pt>
                <c:pt idx="36">
                  <c:v>32.700000000000003</c:v>
                </c:pt>
              </c:numCache>
            </c:numRef>
          </c:val>
          <c:smooth val="0"/>
          <c:extLst>
            <c:ext xmlns:c16="http://schemas.microsoft.com/office/drawing/2014/chart" uri="{C3380CC4-5D6E-409C-BE32-E72D297353CC}">
              <c16:uniqueId val="{00000006-30CE-43A8-9AD0-C651AEB215FD}"/>
            </c:ext>
          </c:extLst>
        </c:ser>
        <c:ser>
          <c:idx val="7"/>
          <c:order val="7"/>
          <c:tx>
            <c:strRef>
              <c:f>'výkonnost odvětví 2'!$A$43</c:f>
              <c:strCache>
                <c:ptCount val="1"/>
                <c:pt idx="0">
                  <c:v>Total confidence indicator in industry</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2'!$R$43:$BB$43</c:f>
              <c:numCache>
                <c:formatCode>#\ ##0.0</c:formatCode>
                <c:ptCount val="37"/>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pt idx="29">
                  <c:v>8.3000000000000007</c:v>
                </c:pt>
                <c:pt idx="30">
                  <c:v>-1.7</c:v>
                </c:pt>
                <c:pt idx="31">
                  <c:v>-8.3000000000000007</c:v>
                </c:pt>
                <c:pt idx="32">
                  <c:v>-10.1</c:v>
                </c:pt>
                <c:pt idx="33">
                  <c:v>-7</c:v>
                </c:pt>
                <c:pt idx="34">
                  <c:v>-7</c:v>
                </c:pt>
                <c:pt idx="35">
                  <c:v>-6</c:v>
                </c:pt>
                <c:pt idx="36">
                  <c:v>-14</c:v>
                </c:pt>
              </c:numCache>
            </c:numRef>
          </c:val>
          <c:smooth val="0"/>
          <c:extLst>
            <c:ext xmlns:c16="http://schemas.microsoft.com/office/drawing/2014/chart" uri="{C3380CC4-5D6E-409C-BE32-E72D297353CC}">
              <c16:uniqueId val="{00000007-30CE-43A8-9AD0-C651AEB215FD}"/>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90"/>
          <c:min val="-40"/>
        </c:scaling>
        <c:delete val="0"/>
        <c:axPos val="l"/>
        <c:majorGridlines>
          <c:spPr>
            <a:ln>
              <a:solidFill>
                <a:srgbClr val="BEBEBE"/>
              </a:solidFill>
            </a:ln>
          </c:spPr>
        </c:majorGridlines>
        <c:title>
          <c:tx>
            <c:rich>
              <a:bodyPr/>
              <a:lstStyle/>
              <a:p>
                <a:pPr>
                  <a:defRPr sz="700" b="0" i="1"/>
                </a:pPr>
                <a:r>
                  <a:rPr lang="cs-CZ" sz="700" b="0" i="1"/>
                  <a:t>Orders</a:t>
                </a:r>
              </a:p>
            </c:rich>
          </c:tx>
          <c:layout/>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Utilisation of production capacities, growth barriers, confidence</a:t>
                </a:r>
                <a:endParaRPr lang="cs-CZ" sz="700">
                  <a:effectLst/>
                </a:endParaRPr>
              </a:p>
            </c:rich>
          </c:tx>
          <c:layout/>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0624233317307999E-3"/>
          <c:y val="0.85586448957034"/>
          <c:w val="0.98943298357870768"/>
          <c:h val="0.14063307954958187"/>
        </c:manualLayout>
      </c:layout>
      <c:overlay val="0"/>
      <c:spPr>
        <a:ln w="6350">
          <a:solidFill>
            <a:prstClr val="black">
              <a:lumMod val="95000"/>
              <a:lumOff val="5000"/>
            </a:prstClr>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312E-2"/>
          <c:y val="1.5663550999370279E-2"/>
          <c:w val="0.85237839893753009"/>
          <c:h val="0.75413191483370345"/>
        </c:manualLayout>
      </c:layout>
      <c:barChart>
        <c:barDir val="col"/>
        <c:grouping val="stacked"/>
        <c:varyColors val="0"/>
        <c:ser>
          <c:idx val="1"/>
          <c:order val="1"/>
          <c:tx>
            <c:strRef>
              <c:f>'výkonnost odvětví 3'!$Y$10</c:f>
              <c:strCache>
                <c:ptCount val="1"/>
                <c:pt idx="0">
                  <c:v>Building construction (contribution in p.p.)</c:v>
                </c:pt>
              </c:strCache>
            </c:strRef>
          </c:tx>
          <c:spPr>
            <a:solidFill>
              <a:schemeClr val="accent5">
                <a:lumMod val="60000"/>
                <a:lumOff val="40000"/>
              </a:schemeClr>
            </a:solidFill>
            <a:ln>
              <a:noFill/>
            </a:ln>
          </c:spPr>
          <c:invertIfNegative val="0"/>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3'!$Y$31:$Y$67</c:f>
              <c:numCache>
                <c:formatCode>0.0</c:formatCode>
                <c:ptCount val="37"/>
                <c:pt idx="0">
                  <c:v>5.748716579411445</c:v>
                </c:pt>
                <c:pt idx="1">
                  <c:v>4.7489923277143378</c:v>
                </c:pt>
                <c:pt idx="2">
                  <c:v>0.72860376801438353</c:v>
                </c:pt>
                <c:pt idx="3">
                  <c:v>-1.5997494872130962</c:v>
                </c:pt>
                <c:pt idx="4">
                  <c:v>-4.5800585311347017</c:v>
                </c:pt>
                <c:pt idx="5">
                  <c:v>-4.8364432126044203</c:v>
                </c:pt>
                <c:pt idx="6">
                  <c:v>0.7673453632215238</c:v>
                </c:pt>
                <c:pt idx="7">
                  <c:v>3.5913890122868475</c:v>
                </c:pt>
                <c:pt idx="8">
                  <c:v>1.818439140996319</c:v>
                </c:pt>
                <c:pt idx="9">
                  <c:v>9.5161866462127662</c:v>
                </c:pt>
                <c:pt idx="10">
                  <c:v>3.2650480956647083</c:v>
                </c:pt>
                <c:pt idx="11">
                  <c:v>2.30805126241866</c:v>
                </c:pt>
                <c:pt idx="12">
                  <c:v>13.039459362857237</c:v>
                </c:pt>
                <c:pt idx="13">
                  <c:v>5.6850806062932753</c:v>
                </c:pt>
                <c:pt idx="14">
                  <c:v>7.036028465591686</c:v>
                </c:pt>
                <c:pt idx="15">
                  <c:v>2.3869078764089537</c:v>
                </c:pt>
                <c:pt idx="16">
                  <c:v>2.4727635166988868</c:v>
                </c:pt>
                <c:pt idx="17">
                  <c:v>2.9341574628565144</c:v>
                </c:pt>
                <c:pt idx="18">
                  <c:v>-0.67535503037810629</c:v>
                </c:pt>
                <c:pt idx="19">
                  <c:v>1.7116954805541678</c:v>
                </c:pt>
                <c:pt idx="20">
                  <c:v>-0.69584807703082285</c:v>
                </c:pt>
                <c:pt idx="21">
                  <c:v>-7.7523651483361782</c:v>
                </c:pt>
                <c:pt idx="22">
                  <c:v>-7.0746219815718145</c:v>
                </c:pt>
                <c:pt idx="23">
                  <c:v>-7.7412314636348389</c:v>
                </c:pt>
                <c:pt idx="24">
                  <c:v>-5.0450398313583538</c:v>
                </c:pt>
                <c:pt idx="25">
                  <c:v>2.5090828582971323</c:v>
                </c:pt>
                <c:pt idx="26">
                  <c:v>2.6816402699754662</c:v>
                </c:pt>
                <c:pt idx="27">
                  <c:v>5.4225269957941604</c:v>
                </c:pt>
                <c:pt idx="28">
                  <c:v>7.3097519144984444</c:v>
                </c:pt>
                <c:pt idx="29">
                  <c:v>3.5253941419268533</c:v>
                </c:pt>
                <c:pt idx="30">
                  <c:v>-0.75775125964245771</c:v>
                </c:pt>
                <c:pt idx="31">
                  <c:v>-1.4887165401057798</c:v>
                </c:pt>
                <c:pt idx="32">
                  <c:v>2.1226111374930912</c:v>
                </c:pt>
                <c:pt idx="33">
                  <c:v>-1.877499701845601</c:v>
                </c:pt>
                <c:pt idx="34">
                  <c:v>-0.49102403109004777</c:v>
                </c:pt>
                <c:pt idx="35">
                  <c:v>-2.335441032439141</c:v>
                </c:pt>
              </c:numCache>
            </c:numRef>
          </c:val>
          <c:extLst>
            <c:ext xmlns:c16="http://schemas.microsoft.com/office/drawing/2014/chart" uri="{C3380CC4-5D6E-409C-BE32-E72D297353CC}">
              <c16:uniqueId val="{00000000-E6FA-4E8A-BF07-968C9D0B6949}"/>
            </c:ext>
          </c:extLst>
        </c:ser>
        <c:ser>
          <c:idx val="2"/>
          <c:order val="2"/>
          <c:tx>
            <c:strRef>
              <c:f>'výkonnost odvětví 3'!$Z$10</c:f>
              <c:strCache>
                <c:ptCount val="1"/>
                <c:pt idx="0">
                  <c:v>Civil engineering works (contribution in p.p.)</c:v>
                </c:pt>
              </c:strCache>
            </c:strRef>
          </c:tx>
          <c:spPr>
            <a:solidFill>
              <a:schemeClr val="accent2">
                <a:lumMod val="60000"/>
                <a:lumOff val="40000"/>
              </a:schemeClr>
            </a:solidFill>
            <a:ln>
              <a:noFill/>
            </a:ln>
          </c:spPr>
          <c:invertIfNegative val="0"/>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3'!$Z$31:$Z$67</c:f>
              <c:numCache>
                <c:formatCode>0.0</c:formatCode>
                <c:ptCount val="37"/>
                <c:pt idx="0">
                  <c:v>3.8654453061663498</c:v>
                </c:pt>
                <c:pt idx="1">
                  <c:v>8.4074328223660437</c:v>
                </c:pt>
                <c:pt idx="2">
                  <c:v>8.536513170572011</c:v>
                </c:pt>
                <c:pt idx="3">
                  <c:v>3.3830353457973681</c:v>
                </c:pt>
                <c:pt idx="4">
                  <c:v>-1.4655710356774887</c:v>
                </c:pt>
                <c:pt idx="5">
                  <c:v>-6.4494987337786789</c:v>
                </c:pt>
                <c:pt idx="6">
                  <c:v>-8.0288007564184198</c:v>
                </c:pt>
                <c:pt idx="7">
                  <c:v>-6.8710829128275535</c:v>
                </c:pt>
                <c:pt idx="8">
                  <c:v>-4.1473356084740605</c:v>
                </c:pt>
                <c:pt idx="9">
                  <c:v>-1.1362269417632547</c:v>
                </c:pt>
                <c:pt idx="10">
                  <c:v>-1.6997694917449739</c:v>
                </c:pt>
                <c:pt idx="11">
                  <c:v>0.18912136047288933</c:v>
                </c:pt>
                <c:pt idx="12">
                  <c:v>2.313855161184069</c:v>
                </c:pt>
                <c:pt idx="13">
                  <c:v>1.4433818342413158</c:v>
                </c:pt>
                <c:pt idx="14">
                  <c:v>5.805340800033207</c:v>
                </c:pt>
                <c:pt idx="15">
                  <c:v>2.0257219814852485</c:v>
                </c:pt>
                <c:pt idx="16">
                  <c:v>2.8832113797347176</c:v>
                </c:pt>
                <c:pt idx="17">
                  <c:v>2.2916559515195796</c:v>
                </c:pt>
                <c:pt idx="18">
                  <c:v>0.1275103650053056</c:v>
                </c:pt>
                <c:pt idx="19">
                  <c:v>0.80716183036284428</c:v>
                </c:pt>
                <c:pt idx="20">
                  <c:v>2.6239699221333534</c:v>
                </c:pt>
                <c:pt idx="21">
                  <c:v>0.26317252359280197</c:v>
                </c:pt>
                <c:pt idx="22">
                  <c:v>-3.3347591135837273</c:v>
                </c:pt>
                <c:pt idx="23">
                  <c:v>-0.42839192125115316</c:v>
                </c:pt>
                <c:pt idx="24">
                  <c:v>-0.40013342088039289</c:v>
                </c:pt>
                <c:pt idx="25">
                  <c:v>1.8499271498528127</c:v>
                </c:pt>
                <c:pt idx="26">
                  <c:v>0.52643056708366975</c:v>
                </c:pt>
                <c:pt idx="27">
                  <c:v>-1.0593514317463355</c:v>
                </c:pt>
                <c:pt idx="28">
                  <c:v>5.346361770893294</c:v>
                </c:pt>
                <c:pt idx="29">
                  <c:v>1.3464817358451515</c:v>
                </c:pt>
                <c:pt idx="30">
                  <c:v>0.66675188924701689</c:v>
                </c:pt>
                <c:pt idx="31">
                  <c:v>1.4255889331967364</c:v>
                </c:pt>
                <c:pt idx="32">
                  <c:v>-3.8431677536563167</c:v>
                </c:pt>
                <c:pt idx="33">
                  <c:v>-2.3463667261777483</c:v>
                </c:pt>
                <c:pt idx="34">
                  <c:v>-0.12151528030899848</c:v>
                </c:pt>
                <c:pt idx="35">
                  <c:v>-0.5708774009900186</c:v>
                </c:pt>
              </c:numCache>
            </c:numRef>
          </c:val>
          <c:extLst>
            <c:ext xmlns:c16="http://schemas.microsoft.com/office/drawing/2014/chart" uri="{C3380CC4-5D6E-409C-BE32-E72D297353CC}">
              <c16:uniqueId val="{00000001-E6FA-4E8A-BF07-968C9D0B6949}"/>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Total construction output (y-o-y in %)</c:v>
                </c:pt>
              </c:strCache>
            </c:strRef>
          </c:tx>
          <c:spPr>
            <a:ln>
              <a:noFill/>
            </a:ln>
          </c:spPr>
          <c:marker>
            <c:symbol val="dash"/>
            <c:size val="5"/>
            <c:spPr>
              <a:solidFill>
                <a:schemeClr val="bg1"/>
              </a:solidFill>
              <a:ln>
                <a:solidFill>
                  <a:schemeClr val="tx1">
                    <a:lumMod val="95000"/>
                    <a:lumOff val="5000"/>
                  </a:schemeClr>
                </a:solidFill>
              </a:ln>
            </c:spPr>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3'!$X$31:$X$67</c:f>
              <c:numCache>
                <c:formatCode>0.0</c:formatCode>
                <c:ptCount val="37"/>
                <c:pt idx="0">
                  <c:v>9.6141618855778006</c:v>
                </c:pt>
                <c:pt idx="1">
                  <c:v>13.156425150080381</c:v>
                </c:pt>
                <c:pt idx="2">
                  <c:v>9.2651169385864023</c:v>
                </c:pt>
                <c:pt idx="3">
                  <c:v>1.7832858585842644</c:v>
                </c:pt>
                <c:pt idx="4">
                  <c:v>-6.0456295668121669</c:v>
                </c:pt>
                <c:pt idx="5">
                  <c:v>-11.28594194638309</c:v>
                </c:pt>
                <c:pt idx="6">
                  <c:v>-7.2614553931968828</c:v>
                </c:pt>
                <c:pt idx="7">
                  <c:v>-3.2796939005406927</c:v>
                </c:pt>
                <c:pt idx="8">
                  <c:v>-2.3288964674777475</c:v>
                </c:pt>
                <c:pt idx="9">
                  <c:v>8.3799597044495187</c:v>
                </c:pt>
                <c:pt idx="10">
                  <c:v>1.5652786039197224</c:v>
                </c:pt>
                <c:pt idx="11">
                  <c:v>2.4971726228915543</c:v>
                </c:pt>
                <c:pt idx="12">
                  <c:v>15.353314524041295</c:v>
                </c:pt>
                <c:pt idx="13">
                  <c:v>7.1284624405345767</c:v>
                </c:pt>
                <c:pt idx="14">
                  <c:v>12.84136926562492</c:v>
                </c:pt>
                <c:pt idx="15">
                  <c:v>4.4126298578941885</c:v>
                </c:pt>
                <c:pt idx="16">
                  <c:v>5.355974896433608</c:v>
                </c:pt>
                <c:pt idx="17">
                  <c:v>5.2258134143760913</c:v>
                </c:pt>
                <c:pt idx="18">
                  <c:v>-0.54784466537279286</c:v>
                </c:pt>
                <c:pt idx="19">
                  <c:v>2.5188573109170278</c:v>
                </c:pt>
                <c:pt idx="20">
                  <c:v>1.9281218451025097</c:v>
                </c:pt>
                <c:pt idx="21">
                  <c:v>-7.4891926247433531</c:v>
                </c:pt>
                <c:pt idx="22">
                  <c:v>-10.409381095155553</c:v>
                </c:pt>
                <c:pt idx="23">
                  <c:v>-8.1696233848860089</c:v>
                </c:pt>
                <c:pt idx="24">
                  <c:v>-5.4451732522387175</c:v>
                </c:pt>
                <c:pt idx="25">
                  <c:v>4.3590100081499372</c:v>
                </c:pt>
                <c:pt idx="26">
                  <c:v>3.2080708370591395</c:v>
                </c:pt>
                <c:pt idx="27">
                  <c:v>4.363175564047836</c:v>
                </c:pt>
                <c:pt idx="28">
                  <c:v>12.656113685391716</c:v>
                </c:pt>
                <c:pt idx="29">
                  <c:v>4.8718758777719984</c:v>
                </c:pt>
                <c:pt idx="30">
                  <c:v>-9.099937039543704E-2</c:v>
                </c:pt>
                <c:pt idx="31">
                  <c:v>-6.3127606909034739E-2</c:v>
                </c:pt>
                <c:pt idx="32">
                  <c:v>-1.720556616163222</c:v>
                </c:pt>
                <c:pt idx="33">
                  <c:v>-4.2238664280233422</c:v>
                </c:pt>
                <c:pt idx="34">
                  <c:v>-0.61253931139906115</c:v>
                </c:pt>
                <c:pt idx="35">
                  <c:v>-2.9063184334291492</c:v>
                </c:pt>
              </c:numCache>
            </c:numRef>
          </c:val>
          <c:smooth val="0"/>
          <c:extLst>
            <c:ext xmlns:c16="http://schemas.microsoft.com/office/drawing/2014/chart" uri="{C3380CC4-5D6E-409C-BE32-E72D297353CC}">
              <c16:uniqueId val="{00000002-E6FA-4E8A-BF07-968C9D0B6949}"/>
            </c:ext>
          </c:extLst>
        </c:ser>
        <c:ser>
          <c:idx val="3"/>
          <c:order val="3"/>
          <c:tx>
            <c:strRef>
              <c:f>'výkonnost odvětví 3'!$AA$10</c:f>
              <c:strCache>
                <c:ptCount val="1"/>
                <c:pt idx="0">
                  <c:v>New domestic construction orders </c:v>
                </c:pt>
              </c:strCache>
            </c:strRef>
          </c:tx>
          <c:spPr>
            <a:ln w="9525">
              <a:solidFill>
                <a:srgbClr val="984807"/>
              </a:solidFill>
              <a:prstDash val="sysDot"/>
            </a:ln>
          </c:spPr>
          <c:marker>
            <c:symbol val="diamond"/>
            <c:size val="4"/>
            <c:spPr>
              <a:solidFill>
                <a:srgbClr val="996633"/>
              </a:solidFill>
              <a:ln>
                <a:solidFill>
                  <a:srgbClr val="984807"/>
                </a:solidFill>
              </a:ln>
            </c:spPr>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3'!$AA$31:$AA$67</c:f>
              <c:numCache>
                <c:formatCode>0.0</c:formatCode>
                <c:ptCount val="37"/>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28.856340981154403</c:v>
                </c:pt>
                <c:pt idx="25">
                  <c:v>22.047871359987184</c:v>
                </c:pt>
                <c:pt idx="26">
                  <c:v>10.015015612184257</c:v>
                </c:pt>
                <c:pt idx="27">
                  <c:v>1.0053213537781147</c:v>
                </c:pt>
                <c:pt idx="28">
                  <c:v>13.067478460417874</c:v>
                </c:pt>
                <c:pt idx="29">
                  <c:v>17.619163607261129</c:v>
                </c:pt>
                <c:pt idx="30">
                  <c:v>12.421954480552543</c:v>
                </c:pt>
                <c:pt idx="31">
                  <c:v>13.031852753748723</c:v>
                </c:pt>
                <c:pt idx="32">
                  <c:v>-10.144501025957553</c:v>
                </c:pt>
                <c:pt idx="33">
                  <c:v>-18.697561390531931</c:v>
                </c:pt>
                <c:pt idx="34">
                  <c:v>27.514816854662882</c:v>
                </c:pt>
                <c:pt idx="35">
                  <c:v>9.3063425617587541</c:v>
                </c:pt>
              </c:numCache>
            </c:numRef>
          </c:val>
          <c:smooth val="0"/>
          <c:extLst>
            <c:ext xmlns:c16="http://schemas.microsoft.com/office/drawing/2014/chart" uri="{C3380CC4-5D6E-409C-BE32-E72D297353CC}">
              <c16:uniqueId val="{00000003-E6FA-4E8A-BF07-968C9D0B6949}"/>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4"/>
          <c:order val="4"/>
          <c:tx>
            <c:strRef>
              <c:f>'výkonnost odvětví 3'!$AB$10</c:f>
              <c:strCache>
                <c:ptCount val="1"/>
                <c:pt idx="0">
                  <c:v>Barrier: inadequate demand </c:v>
                </c:pt>
              </c:strCache>
            </c:strRef>
          </c:tx>
          <c:spPr>
            <a:ln w="15875">
              <a:solidFill>
                <a:srgbClr val="00B050"/>
              </a:solidFill>
              <a:prstDash val="solid"/>
            </a:ln>
          </c:spPr>
          <c:marker>
            <c:symbol val="none"/>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3'!$AB$31:$AB$67</c:f>
              <c:numCache>
                <c:formatCode>#\ ##0.0</c:formatCode>
                <c:ptCount val="37"/>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pt idx="31">
                  <c:v>20.6</c:v>
                </c:pt>
                <c:pt idx="32">
                  <c:v>31.9</c:v>
                </c:pt>
                <c:pt idx="33">
                  <c:v>32.299999999999997</c:v>
                </c:pt>
                <c:pt idx="34">
                  <c:v>36.299999999999997</c:v>
                </c:pt>
                <c:pt idx="35">
                  <c:v>29.2</c:v>
                </c:pt>
                <c:pt idx="36">
                  <c:v>20.5</c:v>
                </c:pt>
              </c:numCache>
            </c:numRef>
          </c:val>
          <c:smooth val="0"/>
          <c:extLst>
            <c:ext xmlns:c16="http://schemas.microsoft.com/office/drawing/2014/chart" uri="{C3380CC4-5D6E-409C-BE32-E72D297353CC}">
              <c16:uniqueId val="{00000004-E6FA-4E8A-BF07-968C9D0B6949}"/>
            </c:ext>
          </c:extLst>
        </c:ser>
        <c:ser>
          <c:idx val="5"/>
          <c:order val="5"/>
          <c:tx>
            <c:strRef>
              <c:f>'výkonnost odvětví 3'!$AC$10</c:f>
              <c:strCache>
                <c:ptCount val="1"/>
                <c:pt idx="0">
                  <c:v>Growth barrier: lack of workers</c:v>
                </c:pt>
              </c:strCache>
            </c:strRef>
          </c:tx>
          <c:spPr>
            <a:ln w="15875">
              <a:solidFill>
                <a:schemeClr val="accent3">
                  <a:lumMod val="75000"/>
                </a:schemeClr>
              </a:solidFill>
              <a:prstDash val="dash"/>
            </a:ln>
          </c:spPr>
          <c:marker>
            <c:symbol val="none"/>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3'!$AC$31:$AC$67</c:f>
              <c:numCache>
                <c:formatCode>#\ ##0.0</c:formatCode>
                <c:ptCount val="37"/>
                <c:pt idx="0">
                  <c:v>8.3000000000000007</c:v>
                </c:pt>
                <c:pt idx="1">
                  <c:v>8.1</c:v>
                </c:pt>
                <c:pt idx="2">
                  <c:v>6.1</c:v>
                </c:pt>
                <c:pt idx="3">
                  <c:v>6</c:v>
                </c:pt>
                <c:pt idx="4">
                  <c:v>6.5</c:v>
                </c:pt>
                <c:pt idx="5">
                  <c:v>7.2</c:v>
                </c:pt>
                <c:pt idx="6">
                  <c:v>7.1</c:v>
                </c:pt>
                <c:pt idx="7">
                  <c:v>10.4</c:v>
                </c:pt>
                <c:pt idx="8">
                  <c:v>13.9</c:v>
                </c:pt>
                <c:pt idx="9">
                  <c:v>14.9</c:v>
                </c:pt>
                <c:pt idx="10">
                  <c:v>21.7</c:v>
                </c:pt>
                <c:pt idx="11">
                  <c:v>21.3</c:v>
                </c:pt>
                <c:pt idx="12">
                  <c:v>27</c:v>
                </c:pt>
                <c:pt idx="13">
                  <c:v>30.1</c:v>
                </c:pt>
                <c:pt idx="14">
                  <c:v>28.5</c:v>
                </c:pt>
                <c:pt idx="15">
                  <c:v>38.4</c:v>
                </c:pt>
                <c:pt idx="16">
                  <c:v>36.4</c:v>
                </c:pt>
                <c:pt idx="17">
                  <c:v>43.4</c:v>
                </c:pt>
                <c:pt idx="18">
                  <c:v>50.4</c:v>
                </c:pt>
                <c:pt idx="19">
                  <c:v>46.4</c:v>
                </c:pt>
                <c:pt idx="20">
                  <c:v>51.8</c:v>
                </c:pt>
                <c:pt idx="21">
                  <c:v>46</c:v>
                </c:pt>
                <c:pt idx="22">
                  <c:v>35.9</c:v>
                </c:pt>
                <c:pt idx="23" formatCode="0.0">
                  <c:v>32.1</c:v>
                </c:pt>
                <c:pt idx="24">
                  <c:v>47.9</c:v>
                </c:pt>
                <c:pt idx="25">
                  <c:v>31.7</c:v>
                </c:pt>
                <c:pt idx="26">
                  <c:v>41.4</c:v>
                </c:pt>
                <c:pt idx="27">
                  <c:v>42.5</c:v>
                </c:pt>
                <c:pt idx="28">
                  <c:v>57.2</c:v>
                </c:pt>
                <c:pt idx="29">
                  <c:v>44.3</c:v>
                </c:pt>
                <c:pt idx="30">
                  <c:v>39.4</c:v>
                </c:pt>
                <c:pt idx="31">
                  <c:v>47.3</c:v>
                </c:pt>
                <c:pt idx="32">
                  <c:v>39.5</c:v>
                </c:pt>
                <c:pt idx="33">
                  <c:v>35.5</c:v>
                </c:pt>
                <c:pt idx="34">
                  <c:v>30.3</c:v>
                </c:pt>
                <c:pt idx="35">
                  <c:v>30.9</c:v>
                </c:pt>
                <c:pt idx="36">
                  <c:v>54.4</c:v>
                </c:pt>
              </c:numCache>
            </c:numRef>
          </c:val>
          <c:smooth val="0"/>
          <c:extLst>
            <c:ext xmlns:c16="http://schemas.microsoft.com/office/drawing/2014/chart" uri="{C3380CC4-5D6E-409C-BE32-E72D297353CC}">
              <c16:uniqueId val="{00000005-E6FA-4E8A-BF07-968C9D0B6949}"/>
            </c:ext>
          </c:extLst>
        </c:ser>
        <c:ser>
          <c:idx val="6"/>
          <c:order val="6"/>
          <c:tx>
            <c:strRef>
              <c:f>'výkonnost odvětví 3'!$AD$10</c:f>
              <c:strCache>
                <c:ptCount val="1"/>
                <c:pt idx="0">
                  <c:v>Barrier: shortage of material/equipment</c:v>
                </c:pt>
              </c:strCache>
            </c:strRef>
          </c:tx>
          <c:spPr>
            <a:ln w="15875">
              <a:solidFill>
                <a:srgbClr val="37DD3B"/>
              </a:solidFill>
              <a:prstDash val="sysDash"/>
            </a:ln>
          </c:spPr>
          <c:marker>
            <c:symbol val="none"/>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3'!$AD$31:$AD$67</c:f>
              <c:numCache>
                <c:formatCode>#\ ##0.0</c:formatCode>
                <c:ptCount val="37"/>
                <c:pt idx="0">
                  <c:v>0.1</c:v>
                </c:pt>
                <c:pt idx="1">
                  <c:v>0.4</c:v>
                </c:pt>
                <c:pt idx="2">
                  <c:v>4</c:v>
                </c:pt>
                <c:pt idx="3">
                  <c:v>0.5</c:v>
                </c:pt>
                <c:pt idx="4">
                  <c:v>0.4</c:v>
                </c:pt>
                <c:pt idx="5">
                  <c:v>0.5</c:v>
                </c:pt>
                <c:pt idx="6">
                  <c:v>0.5</c:v>
                </c:pt>
                <c:pt idx="7">
                  <c:v>1.5</c:v>
                </c:pt>
                <c:pt idx="8">
                  <c:v>0.3</c:v>
                </c:pt>
                <c:pt idx="9">
                  <c:v>0.3</c:v>
                </c:pt>
                <c:pt idx="10">
                  <c:v>3.3</c:v>
                </c:pt>
                <c:pt idx="11">
                  <c:v>4.2</c:v>
                </c:pt>
                <c:pt idx="12">
                  <c:v>5.5</c:v>
                </c:pt>
                <c:pt idx="13">
                  <c:v>1.2</c:v>
                </c:pt>
                <c:pt idx="14">
                  <c:v>6.8</c:v>
                </c:pt>
                <c:pt idx="15">
                  <c:v>3.5</c:v>
                </c:pt>
                <c:pt idx="16">
                  <c:v>4.3</c:v>
                </c:pt>
                <c:pt idx="17">
                  <c:v>5.7</c:v>
                </c:pt>
                <c:pt idx="18">
                  <c:v>5.3</c:v>
                </c:pt>
                <c:pt idx="19">
                  <c:v>4</c:v>
                </c:pt>
                <c:pt idx="20">
                  <c:v>1.9</c:v>
                </c:pt>
                <c:pt idx="21">
                  <c:v>3.4</c:v>
                </c:pt>
                <c:pt idx="22">
                  <c:v>1.3</c:v>
                </c:pt>
                <c:pt idx="23">
                  <c:v>0.8</c:v>
                </c:pt>
                <c:pt idx="24">
                  <c:v>1.3</c:v>
                </c:pt>
                <c:pt idx="25">
                  <c:v>4.3</c:v>
                </c:pt>
                <c:pt idx="26">
                  <c:v>16.3</c:v>
                </c:pt>
                <c:pt idx="27">
                  <c:v>22.8</c:v>
                </c:pt>
                <c:pt idx="28">
                  <c:v>24.7</c:v>
                </c:pt>
                <c:pt idx="29">
                  <c:v>41.3</c:v>
                </c:pt>
                <c:pt idx="30">
                  <c:v>38.6</c:v>
                </c:pt>
                <c:pt idx="31">
                  <c:v>23.4</c:v>
                </c:pt>
                <c:pt idx="32">
                  <c:v>19.5</c:v>
                </c:pt>
                <c:pt idx="33">
                  <c:v>17</c:v>
                </c:pt>
                <c:pt idx="34">
                  <c:v>13</c:v>
                </c:pt>
                <c:pt idx="35">
                  <c:v>13.9</c:v>
                </c:pt>
                <c:pt idx="36">
                  <c:v>22.5</c:v>
                </c:pt>
              </c:numCache>
            </c:numRef>
          </c:val>
          <c:smooth val="0"/>
          <c:extLst>
            <c:ext xmlns:c16="http://schemas.microsoft.com/office/drawing/2014/chart" uri="{C3380CC4-5D6E-409C-BE32-E72D297353CC}">
              <c16:uniqueId val="{00000006-E6FA-4E8A-BF07-968C9D0B6949}"/>
            </c:ext>
          </c:extLst>
        </c:ser>
        <c:ser>
          <c:idx val="7"/>
          <c:order val="7"/>
          <c:tx>
            <c:strRef>
              <c:f>'výkonnost odvětví 3'!$AE$10</c:f>
              <c:strCache>
                <c:ptCount val="1"/>
                <c:pt idx="0">
                  <c:v>Confidence indicator in construction </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3'!$AE$31:$AE$67</c:f>
              <c:numCache>
                <c:formatCode>0.0</c:formatCode>
                <c:ptCount val="37"/>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pt idx="32">
                  <c:v>-11.5</c:v>
                </c:pt>
                <c:pt idx="33">
                  <c:v>-15.5</c:v>
                </c:pt>
                <c:pt idx="34">
                  <c:v>-16.5</c:v>
                </c:pt>
                <c:pt idx="35">
                  <c:v>-11</c:v>
                </c:pt>
                <c:pt idx="36">
                  <c:v>-7</c:v>
                </c:pt>
              </c:numCache>
            </c:numRef>
          </c:val>
          <c:smooth val="0"/>
          <c:extLst>
            <c:ext xmlns:c16="http://schemas.microsoft.com/office/drawing/2014/chart" uri="{C3380CC4-5D6E-409C-BE32-E72D297353CC}">
              <c16:uniqueId val="{00000007-E6FA-4E8A-BF07-968C9D0B6949}"/>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8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Orders, Contribution to change of construction output</a:t>
                </a:r>
              </a:p>
            </c:rich>
          </c:tx>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10"/>
      </c:valAx>
      <c:valAx>
        <c:axId val="1118080463"/>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Confidence indicator, Growth barriers</a:t>
                </a:r>
              </a:p>
            </c:rich>
          </c:tx>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20"/>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3134483457808117E-2"/>
          <c:y val="0.85936703322638608"/>
          <c:w val="0.97462192896488797"/>
          <c:h val="0.13362821778942557"/>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385677352723435E-2"/>
          <c:y val="1.5803328678987455E-2"/>
          <c:w val="0.83979584077702996"/>
          <c:h val="0.69902590308489432"/>
        </c:manualLayout>
      </c:layout>
      <c:barChart>
        <c:barDir val="col"/>
        <c:grouping val="stacked"/>
        <c:varyColors val="0"/>
        <c:ser>
          <c:idx val="0"/>
          <c:order val="1"/>
          <c:tx>
            <c:strRef>
              <c:f>'Služby-příspěvkyk růstu-4'!$D$33</c:f>
              <c:strCache>
                <c:ptCount val="1"/>
                <c:pt idx="0">
                  <c:v>Transportation and storage (p.p.)</c:v>
                </c:pt>
              </c:strCache>
            </c:strRef>
          </c:tx>
          <c:spPr>
            <a:solidFill>
              <a:srgbClr val="92D050"/>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růstu-4'!$D$46:$D$82</c:f>
              <c:numCache>
                <c:formatCode>0.0</c:formatCode>
                <c:ptCount val="37"/>
                <c:pt idx="0">
                  <c:v>0.28583707131499864</c:v>
                </c:pt>
                <c:pt idx="1">
                  <c:v>9.9073319502600551E-2</c:v>
                </c:pt>
                <c:pt idx="2">
                  <c:v>0.31769782750540138</c:v>
                </c:pt>
                <c:pt idx="3">
                  <c:v>0.12210619116400009</c:v>
                </c:pt>
                <c:pt idx="4">
                  <c:v>0.28220883268199926</c:v>
                </c:pt>
                <c:pt idx="5">
                  <c:v>6.1181950046598127E-2</c:v>
                </c:pt>
                <c:pt idx="6">
                  <c:v>0.16591602609100148</c:v>
                </c:pt>
                <c:pt idx="7">
                  <c:v>0.78068825847900136</c:v>
                </c:pt>
                <c:pt idx="8">
                  <c:v>1.5613141921709988</c:v>
                </c:pt>
                <c:pt idx="9">
                  <c:v>1.122930781783998</c:v>
                </c:pt>
                <c:pt idx="10">
                  <c:v>1.0641446548009998</c:v>
                </c:pt>
                <c:pt idx="11">
                  <c:v>0.59189353382399879</c:v>
                </c:pt>
                <c:pt idx="12">
                  <c:v>1.6915596254819993</c:v>
                </c:pt>
                <c:pt idx="13">
                  <c:v>1.8149616493690008</c:v>
                </c:pt>
                <c:pt idx="14">
                  <c:v>1.4972066301569984</c:v>
                </c:pt>
                <c:pt idx="15">
                  <c:v>0.48435757114800193</c:v>
                </c:pt>
                <c:pt idx="16">
                  <c:v>8.7680447270998052E-2</c:v>
                </c:pt>
                <c:pt idx="17">
                  <c:v>-0.13218522120399967</c:v>
                </c:pt>
                <c:pt idx="18">
                  <c:v>-0.30882816758200105</c:v>
                </c:pt>
                <c:pt idx="19">
                  <c:v>-7.2429796977600117E-2</c:v>
                </c:pt>
                <c:pt idx="20">
                  <c:v>-1.5388901719333996</c:v>
                </c:pt>
                <c:pt idx="21">
                  <c:v>-6.3630415493666987</c:v>
                </c:pt>
                <c:pt idx="22">
                  <c:v>-3.9404740003479741</c:v>
                </c:pt>
                <c:pt idx="23">
                  <c:v>-1.3606128435167992</c:v>
                </c:pt>
                <c:pt idx="24">
                  <c:v>0.40965221834459875</c:v>
                </c:pt>
                <c:pt idx="25">
                  <c:v>6.4837528919423981</c:v>
                </c:pt>
                <c:pt idx="26">
                  <c:v>3.6854899718831997</c:v>
                </c:pt>
                <c:pt idx="27">
                  <c:v>3.3199937148716865</c:v>
                </c:pt>
                <c:pt idx="28">
                  <c:v>3.9496411864825189</c:v>
                </c:pt>
                <c:pt idx="29">
                  <c:v>4.0151287396499988</c:v>
                </c:pt>
                <c:pt idx="30">
                  <c:v>3.2324019030773452</c:v>
                </c:pt>
                <c:pt idx="31">
                  <c:v>0.68972605928640229</c:v>
                </c:pt>
                <c:pt idx="32">
                  <c:v>-1.2121731839999985</c:v>
                </c:pt>
                <c:pt idx="33">
                  <c:v>-3.1010346750564892</c:v>
                </c:pt>
                <c:pt idx="34">
                  <c:v>-3.4701744696586818</c:v>
                </c:pt>
                <c:pt idx="35">
                  <c:v>-2.6074557512069574</c:v>
                </c:pt>
              </c:numCache>
            </c:numRef>
          </c:val>
          <c:extLst>
            <c:ext xmlns:c16="http://schemas.microsoft.com/office/drawing/2014/chart" uri="{C3380CC4-5D6E-409C-BE32-E72D297353CC}">
              <c16:uniqueId val="{00000000-C559-457C-A73F-719B67829B5B}"/>
            </c:ext>
          </c:extLst>
        </c:ser>
        <c:ser>
          <c:idx val="1"/>
          <c:order val="2"/>
          <c:tx>
            <c:strRef>
              <c:f>'Služby-příspěvkyk růstu-4'!$E$33</c:f>
              <c:strCache>
                <c:ptCount val="1"/>
                <c:pt idx="0">
                  <c:v>Accommodation, food service activities (p.p.)</c:v>
                </c:pt>
              </c:strCache>
            </c:strRef>
          </c:tx>
          <c:spPr>
            <a:solidFill>
              <a:srgbClr val="00B0F0"/>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růstu-4'!$E$46:$E$82</c:f>
              <c:numCache>
                <c:formatCode>0.0</c:formatCode>
                <c:ptCount val="37"/>
                <c:pt idx="0">
                  <c:v>0.22716240604080018</c:v>
                </c:pt>
                <c:pt idx="1">
                  <c:v>0.65001523589900034</c:v>
                </c:pt>
                <c:pt idx="2">
                  <c:v>0.65043885271950042</c:v>
                </c:pt>
                <c:pt idx="3">
                  <c:v>0.40286531384040036</c:v>
                </c:pt>
                <c:pt idx="4">
                  <c:v>0.47082926396040031</c:v>
                </c:pt>
                <c:pt idx="5">
                  <c:v>0.17677577920749962</c:v>
                </c:pt>
                <c:pt idx="6">
                  <c:v>0.57113528170200001</c:v>
                </c:pt>
                <c:pt idx="7">
                  <c:v>0.60157631975219972</c:v>
                </c:pt>
                <c:pt idx="8">
                  <c:v>0.9154231899449996</c:v>
                </c:pt>
                <c:pt idx="9">
                  <c:v>1.2344281014258005</c:v>
                </c:pt>
                <c:pt idx="10">
                  <c:v>0.55621615324820017</c:v>
                </c:pt>
                <c:pt idx="11">
                  <c:v>0.45646654612940007</c:v>
                </c:pt>
                <c:pt idx="12">
                  <c:v>0.20372087178279991</c:v>
                </c:pt>
                <c:pt idx="13">
                  <c:v>5.3418687620000245E-2</c:v>
                </c:pt>
                <c:pt idx="14">
                  <c:v>6.3072083089999523E-2</c:v>
                </c:pt>
                <c:pt idx="15">
                  <c:v>-3.690856285000052E-2</c:v>
                </c:pt>
                <c:pt idx="16">
                  <c:v>-0.36352759744700047</c:v>
                </c:pt>
                <c:pt idx="17">
                  <c:v>-0.66972254409340026</c:v>
                </c:pt>
                <c:pt idx="18">
                  <c:v>0.55939150605359955</c:v>
                </c:pt>
                <c:pt idx="19">
                  <c:v>0.81136645955399955</c:v>
                </c:pt>
                <c:pt idx="20">
                  <c:v>-1.02121923221554</c:v>
                </c:pt>
                <c:pt idx="21">
                  <c:v>-4.7572576440565006</c:v>
                </c:pt>
                <c:pt idx="22">
                  <c:v>-1.8794605145432095</c:v>
                </c:pt>
                <c:pt idx="23">
                  <c:v>-4.4951618716172961</c:v>
                </c:pt>
                <c:pt idx="24">
                  <c:v>-3.6360862550249999</c:v>
                </c:pt>
                <c:pt idx="25">
                  <c:v>1.4024517634519886</c:v>
                </c:pt>
                <c:pt idx="26">
                  <c:v>0.66030614914950037</c:v>
                </c:pt>
                <c:pt idx="27">
                  <c:v>2.8952490941033862</c:v>
                </c:pt>
                <c:pt idx="28">
                  <c:v>2.8310456890179001</c:v>
                </c:pt>
                <c:pt idx="29">
                  <c:v>2.4351184699744954</c:v>
                </c:pt>
                <c:pt idx="30">
                  <c:v>-0.45789924306440666</c:v>
                </c:pt>
                <c:pt idx="31">
                  <c:v>0.56769798468950006</c:v>
                </c:pt>
                <c:pt idx="32">
                  <c:v>0.47156474449819968</c:v>
                </c:pt>
                <c:pt idx="33">
                  <c:v>-2.7669915753384261E-2</c:v>
                </c:pt>
                <c:pt idx="34">
                  <c:v>0.13134358555808825</c:v>
                </c:pt>
                <c:pt idx="35">
                  <c:v>7.6537115320104571E-2</c:v>
                </c:pt>
              </c:numCache>
            </c:numRef>
          </c:val>
          <c:extLst>
            <c:ext xmlns:c16="http://schemas.microsoft.com/office/drawing/2014/chart" uri="{C3380CC4-5D6E-409C-BE32-E72D297353CC}">
              <c16:uniqueId val="{00000001-C559-457C-A73F-719B67829B5B}"/>
            </c:ext>
          </c:extLst>
        </c:ser>
        <c:ser>
          <c:idx val="2"/>
          <c:order val="3"/>
          <c:tx>
            <c:strRef>
              <c:f>'Služby-příspěvkyk růstu-4'!$F$33</c:f>
              <c:strCache>
                <c:ptCount val="1"/>
                <c:pt idx="0">
                  <c:v>Information and communication (p.p.)</c:v>
                </c:pt>
              </c:strCache>
            </c:strRef>
          </c:tx>
          <c:spPr>
            <a:solidFill>
              <a:srgbClr val="E6E100"/>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růstu-4'!$F$46:$F$82</c:f>
              <c:numCache>
                <c:formatCode>0.0</c:formatCode>
                <c:ptCount val="37"/>
                <c:pt idx="0">
                  <c:v>1.3475600006119992</c:v>
                </c:pt>
                <c:pt idx="1">
                  <c:v>0.66866302459200067</c:v>
                </c:pt>
                <c:pt idx="2">
                  <c:v>0.76957802431699907</c:v>
                </c:pt>
                <c:pt idx="3">
                  <c:v>1.4886414789369995</c:v>
                </c:pt>
                <c:pt idx="4">
                  <c:v>0.31877743705500039</c:v>
                </c:pt>
                <c:pt idx="5">
                  <c:v>0.20661529177999968</c:v>
                </c:pt>
                <c:pt idx="6">
                  <c:v>0.33414735394100048</c:v>
                </c:pt>
                <c:pt idx="7">
                  <c:v>-1.5907952160003447E-3</c:v>
                </c:pt>
                <c:pt idx="8">
                  <c:v>0.81368973776000075</c:v>
                </c:pt>
                <c:pt idx="9">
                  <c:v>0.85417546131300082</c:v>
                </c:pt>
                <c:pt idx="10">
                  <c:v>0.70502890964199894</c:v>
                </c:pt>
                <c:pt idx="11">
                  <c:v>0.57956639880599936</c:v>
                </c:pt>
                <c:pt idx="12">
                  <c:v>1.4478889516160005</c:v>
                </c:pt>
                <c:pt idx="13">
                  <c:v>0.80994689822300014</c:v>
                </c:pt>
                <c:pt idx="14">
                  <c:v>1.4688126825399994</c:v>
                </c:pt>
                <c:pt idx="15">
                  <c:v>1.086122449493</c:v>
                </c:pt>
                <c:pt idx="16">
                  <c:v>0.58941772132699954</c:v>
                </c:pt>
                <c:pt idx="17">
                  <c:v>1.4226829106699992</c:v>
                </c:pt>
                <c:pt idx="18">
                  <c:v>1.6743952337219994</c:v>
                </c:pt>
                <c:pt idx="19">
                  <c:v>0.80346819102189926</c:v>
                </c:pt>
                <c:pt idx="20">
                  <c:v>0.70778641415200061</c:v>
                </c:pt>
                <c:pt idx="21">
                  <c:v>-0.1282918788954005</c:v>
                </c:pt>
                <c:pt idx="22">
                  <c:v>-0.45078576191000025</c:v>
                </c:pt>
                <c:pt idx="23">
                  <c:v>-0.76558883395124844</c:v>
                </c:pt>
                <c:pt idx="24">
                  <c:v>0.73364927391400159</c:v>
                </c:pt>
                <c:pt idx="25">
                  <c:v>1.7201356748114756</c:v>
                </c:pt>
                <c:pt idx="26">
                  <c:v>1.736451508697799</c:v>
                </c:pt>
                <c:pt idx="27">
                  <c:v>2.1182789324493134</c:v>
                </c:pt>
                <c:pt idx="28">
                  <c:v>1.7507684699530985</c:v>
                </c:pt>
                <c:pt idx="29">
                  <c:v>0.98401837425599858</c:v>
                </c:pt>
                <c:pt idx="30">
                  <c:v>0.77271762675483868</c:v>
                </c:pt>
                <c:pt idx="31">
                  <c:v>0.37523087044705927</c:v>
                </c:pt>
                <c:pt idx="32">
                  <c:v>0.58518462551160166</c:v>
                </c:pt>
                <c:pt idx="33">
                  <c:v>-1.1979290428213106E-2</c:v>
                </c:pt>
                <c:pt idx="34">
                  <c:v>-0.79548596103973734</c:v>
                </c:pt>
                <c:pt idx="35">
                  <c:v>-0.79444877935572744</c:v>
                </c:pt>
              </c:numCache>
            </c:numRef>
          </c:val>
          <c:extLst>
            <c:ext xmlns:c16="http://schemas.microsoft.com/office/drawing/2014/chart" uri="{C3380CC4-5D6E-409C-BE32-E72D297353CC}">
              <c16:uniqueId val="{00000002-C559-457C-A73F-719B67829B5B}"/>
            </c:ext>
          </c:extLst>
        </c:ser>
        <c:ser>
          <c:idx val="4"/>
          <c:order val="4"/>
          <c:tx>
            <c:strRef>
              <c:f>'Služby-příspěvkyk růstu-4'!$G$33</c:f>
              <c:strCache>
                <c:ptCount val="1"/>
                <c:pt idx="0">
                  <c:v>Real estate activities (p.p.)</c:v>
                </c:pt>
              </c:strCache>
            </c:strRef>
          </c:tx>
          <c:spPr>
            <a:solidFill>
              <a:schemeClr val="accent5">
                <a:lumMod val="60000"/>
                <a:lumOff val="40000"/>
              </a:schemeClr>
            </a:solidFill>
            <a:ln>
              <a:noFill/>
              <a:prstDash val="sysDash"/>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růstu-4'!$G$46:$G$82</c:f>
              <c:numCache>
                <c:formatCode>0.0</c:formatCode>
                <c:ptCount val="37"/>
                <c:pt idx="0">
                  <c:v>4.746770298419966E-2</c:v>
                </c:pt>
                <c:pt idx="1">
                  <c:v>-7.1736494634002381E-3</c:v>
                </c:pt>
                <c:pt idx="2">
                  <c:v>0.12594742008660062</c:v>
                </c:pt>
                <c:pt idx="3">
                  <c:v>2.5503553016999546E-2</c:v>
                </c:pt>
                <c:pt idx="4">
                  <c:v>0.25581412202700016</c:v>
                </c:pt>
                <c:pt idx="5">
                  <c:v>-5.8871280300053285E-4</c:v>
                </c:pt>
                <c:pt idx="6">
                  <c:v>0.14820611830979977</c:v>
                </c:pt>
                <c:pt idx="7">
                  <c:v>-6.673245353100031E-2</c:v>
                </c:pt>
                <c:pt idx="8">
                  <c:v>0.21337518275449996</c:v>
                </c:pt>
                <c:pt idx="9">
                  <c:v>0.44510148149939993</c:v>
                </c:pt>
                <c:pt idx="10">
                  <c:v>-2.3161044655499695E-2</c:v>
                </c:pt>
                <c:pt idx="11">
                  <c:v>0.13973557355700003</c:v>
                </c:pt>
                <c:pt idx="12">
                  <c:v>2.4776891451000493E-2</c:v>
                </c:pt>
                <c:pt idx="13">
                  <c:v>-0.24771466350479987</c:v>
                </c:pt>
                <c:pt idx="14">
                  <c:v>-0.12634060942140016</c:v>
                </c:pt>
                <c:pt idx="15">
                  <c:v>-0.22296155792339972</c:v>
                </c:pt>
                <c:pt idx="16">
                  <c:v>-0.59230274151539974</c:v>
                </c:pt>
                <c:pt idx="17">
                  <c:v>-0.14941666489739952</c:v>
                </c:pt>
                <c:pt idx="18">
                  <c:v>0.15857003378880019</c:v>
                </c:pt>
                <c:pt idx="19">
                  <c:v>0.41231320665960003</c:v>
                </c:pt>
                <c:pt idx="20">
                  <c:v>0.43752910629419994</c:v>
                </c:pt>
                <c:pt idx="21">
                  <c:v>-0.31303453713669938</c:v>
                </c:pt>
                <c:pt idx="22">
                  <c:v>-0.26031344919999999</c:v>
                </c:pt>
                <c:pt idx="23">
                  <c:v>-0.23208025015669992</c:v>
                </c:pt>
                <c:pt idx="24">
                  <c:v>-0.20731164771140034</c:v>
                </c:pt>
                <c:pt idx="25">
                  <c:v>0.47336791233434949</c:v>
                </c:pt>
                <c:pt idx="26">
                  <c:v>-3.5112849205001595E-3</c:v>
                </c:pt>
                <c:pt idx="27">
                  <c:v>0.23993527263719985</c:v>
                </c:pt>
                <c:pt idx="28">
                  <c:v>0.9435611339855996</c:v>
                </c:pt>
                <c:pt idx="29">
                  <c:v>0.47235288863200026</c:v>
                </c:pt>
                <c:pt idx="30">
                  <c:v>0.21997137895263114</c:v>
                </c:pt>
                <c:pt idx="31">
                  <c:v>0.35037642189999946</c:v>
                </c:pt>
                <c:pt idx="32">
                  <c:v>0.14376268903080025</c:v>
                </c:pt>
                <c:pt idx="33">
                  <c:v>-0.15324197268959586</c:v>
                </c:pt>
                <c:pt idx="34">
                  <c:v>-0.26274484182986496</c:v>
                </c:pt>
                <c:pt idx="35">
                  <c:v>-0.20582510967658743</c:v>
                </c:pt>
              </c:numCache>
            </c:numRef>
          </c:val>
          <c:extLst>
            <c:ext xmlns:c16="http://schemas.microsoft.com/office/drawing/2014/chart" uri="{C3380CC4-5D6E-409C-BE32-E72D297353CC}">
              <c16:uniqueId val="{00000003-C559-457C-A73F-719B67829B5B}"/>
            </c:ext>
          </c:extLst>
        </c:ser>
        <c:ser>
          <c:idx val="5"/>
          <c:order val="5"/>
          <c:tx>
            <c:strRef>
              <c:f>'Služby-příspěvkyk růstu-4'!$H$33</c:f>
              <c:strCache>
                <c:ptCount val="1"/>
                <c:pt idx="0">
                  <c:v>Professional, scientific, technic. activities (p.p.)</c:v>
                </c:pt>
              </c:strCache>
            </c:strRef>
          </c:tx>
          <c:spPr>
            <a:solidFill>
              <a:schemeClr val="accent6">
                <a:lumMod val="60000"/>
                <a:lumOff val="40000"/>
              </a:schemeClr>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růstu-4'!$H$46:$H$82</c:f>
              <c:numCache>
                <c:formatCode>0.0</c:formatCode>
                <c:ptCount val="37"/>
                <c:pt idx="0">
                  <c:v>1.0880520996029996</c:v>
                </c:pt>
                <c:pt idx="1">
                  <c:v>0.74361697973999985</c:v>
                </c:pt>
                <c:pt idx="2">
                  <c:v>1.1124163133600007</c:v>
                </c:pt>
                <c:pt idx="3">
                  <c:v>-4.565689538760101E-2</c:v>
                </c:pt>
                <c:pt idx="4">
                  <c:v>-0.42777544952319951</c:v>
                </c:pt>
                <c:pt idx="5">
                  <c:v>-1.3881659651599989</c:v>
                </c:pt>
                <c:pt idx="6">
                  <c:v>3.2450629870800683E-2</c:v>
                </c:pt>
                <c:pt idx="7">
                  <c:v>-0.31316142237530059</c:v>
                </c:pt>
                <c:pt idx="8">
                  <c:v>0.97301367041999931</c:v>
                </c:pt>
                <c:pt idx="9">
                  <c:v>0.61036630698759931</c:v>
                </c:pt>
                <c:pt idx="10">
                  <c:v>0.29822562376110068</c:v>
                </c:pt>
                <c:pt idx="11">
                  <c:v>0.39661775964799895</c:v>
                </c:pt>
                <c:pt idx="12">
                  <c:v>1.0432277278803002</c:v>
                </c:pt>
                <c:pt idx="13">
                  <c:v>0.5277616084097011</c:v>
                </c:pt>
                <c:pt idx="14">
                  <c:v>0.33063617776669868</c:v>
                </c:pt>
                <c:pt idx="15">
                  <c:v>-0.3275368981885991</c:v>
                </c:pt>
                <c:pt idx="16">
                  <c:v>-0.22084952351709861</c:v>
                </c:pt>
                <c:pt idx="17">
                  <c:v>0.93052352491439916</c:v>
                </c:pt>
                <c:pt idx="18">
                  <c:v>-1.1995249704883002</c:v>
                </c:pt>
                <c:pt idx="19">
                  <c:v>0.1316248734900006</c:v>
                </c:pt>
                <c:pt idx="20">
                  <c:v>-1.2601566612770994</c:v>
                </c:pt>
                <c:pt idx="21">
                  <c:v>-3.4366386991859987</c:v>
                </c:pt>
                <c:pt idx="22">
                  <c:v>-1.7291196666688515</c:v>
                </c:pt>
                <c:pt idx="23">
                  <c:v>-1.6772597720676004</c:v>
                </c:pt>
                <c:pt idx="24">
                  <c:v>-1.834895122862068</c:v>
                </c:pt>
                <c:pt idx="25">
                  <c:v>2.6513460826800999</c:v>
                </c:pt>
                <c:pt idx="26">
                  <c:v>1.7501471294470006</c:v>
                </c:pt>
                <c:pt idx="27">
                  <c:v>2.2391889197628854</c:v>
                </c:pt>
                <c:pt idx="28">
                  <c:v>2.2880086403976008</c:v>
                </c:pt>
                <c:pt idx="29">
                  <c:v>1.3870310019777765</c:v>
                </c:pt>
                <c:pt idx="30">
                  <c:v>0.99205605247825979</c:v>
                </c:pt>
                <c:pt idx="31">
                  <c:v>0.14530154378571325</c:v>
                </c:pt>
                <c:pt idx="32">
                  <c:v>0.81602007421679967</c:v>
                </c:pt>
                <c:pt idx="33">
                  <c:v>0.78459906651394551</c:v>
                </c:pt>
                <c:pt idx="34">
                  <c:v>0.13265701351618375</c:v>
                </c:pt>
                <c:pt idx="35">
                  <c:v>0.82931011112074027</c:v>
                </c:pt>
              </c:numCache>
            </c:numRef>
          </c:val>
          <c:extLst>
            <c:ext xmlns:c16="http://schemas.microsoft.com/office/drawing/2014/chart" uri="{C3380CC4-5D6E-409C-BE32-E72D297353CC}">
              <c16:uniqueId val="{00000004-C559-457C-A73F-719B67829B5B}"/>
            </c:ext>
          </c:extLst>
        </c:ser>
        <c:ser>
          <c:idx val="6"/>
          <c:order val="6"/>
          <c:tx>
            <c:strRef>
              <c:f>'Služby-příspěvkyk růstu-4'!$I$33</c:f>
              <c:strCache>
                <c:ptCount val="1"/>
                <c:pt idx="0">
                  <c:v>Admin., support service act.(contribution in p.p.)</c:v>
                </c:pt>
              </c:strCache>
            </c:strRef>
          </c:tx>
          <c:spPr>
            <a:solidFill>
              <a:schemeClr val="accent1">
                <a:lumMod val="20000"/>
                <a:lumOff val="80000"/>
              </a:schemeClr>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růstu-4'!$I$46:$I$82</c:f>
              <c:numCache>
                <c:formatCode>0.0</c:formatCode>
                <c:ptCount val="37"/>
                <c:pt idx="0">
                  <c:v>0.43712925900860061</c:v>
                </c:pt>
                <c:pt idx="1">
                  <c:v>0.52715289377499985</c:v>
                </c:pt>
                <c:pt idx="2">
                  <c:v>0.30410241097500013</c:v>
                </c:pt>
                <c:pt idx="3">
                  <c:v>0.36652377459450047</c:v>
                </c:pt>
                <c:pt idx="4">
                  <c:v>0.38200556495039989</c:v>
                </c:pt>
                <c:pt idx="5">
                  <c:v>5.5683904032899467E-2</c:v>
                </c:pt>
                <c:pt idx="6">
                  <c:v>0.25322776738810082</c:v>
                </c:pt>
                <c:pt idx="7">
                  <c:v>0.50752865690419957</c:v>
                </c:pt>
                <c:pt idx="8">
                  <c:v>1.2867283782210006</c:v>
                </c:pt>
                <c:pt idx="9">
                  <c:v>1.1106873038032994</c:v>
                </c:pt>
                <c:pt idx="10">
                  <c:v>0.67802933227800077</c:v>
                </c:pt>
                <c:pt idx="11">
                  <c:v>0.27967830350980011</c:v>
                </c:pt>
                <c:pt idx="12">
                  <c:v>0.54732406709499937</c:v>
                </c:pt>
                <c:pt idx="13">
                  <c:v>0.38206091352559962</c:v>
                </c:pt>
                <c:pt idx="14">
                  <c:v>0.39483194314119968</c:v>
                </c:pt>
                <c:pt idx="15">
                  <c:v>-3.3562302980400686E-2</c:v>
                </c:pt>
                <c:pt idx="16">
                  <c:v>-1.2004885543983994</c:v>
                </c:pt>
                <c:pt idx="17">
                  <c:v>0.45312965092039981</c:v>
                </c:pt>
                <c:pt idx="18">
                  <c:v>-0.39654158277710005</c:v>
                </c:pt>
                <c:pt idx="19">
                  <c:v>1.3094816479706997</c:v>
                </c:pt>
                <c:pt idx="20">
                  <c:v>-1.1435941660679998</c:v>
                </c:pt>
                <c:pt idx="21">
                  <c:v>-5.2829127749359994</c:v>
                </c:pt>
                <c:pt idx="22">
                  <c:v>-4.9399258629473684</c:v>
                </c:pt>
                <c:pt idx="23">
                  <c:v>-2.9775292557339998</c:v>
                </c:pt>
                <c:pt idx="24">
                  <c:v>-1.3803871191254993</c:v>
                </c:pt>
                <c:pt idx="25">
                  <c:v>2.251687473777273</c:v>
                </c:pt>
                <c:pt idx="26">
                  <c:v>2.1163559463200001</c:v>
                </c:pt>
                <c:pt idx="27">
                  <c:v>1.4329116973832057</c:v>
                </c:pt>
                <c:pt idx="28">
                  <c:v>1.7129852472567739</c:v>
                </c:pt>
                <c:pt idx="29">
                  <c:v>3.1129785365130851</c:v>
                </c:pt>
                <c:pt idx="30">
                  <c:v>2.2148572488354494</c:v>
                </c:pt>
                <c:pt idx="31">
                  <c:v>0.75746546197560027</c:v>
                </c:pt>
                <c:pt idx="32">
                  <c:v>0.4450247864243998</c:v>
                </c:pt>
                <c:pt idx="33">
                  <c:v>0.170529957678209</c:v>
                </c:pt>
                <c:pt idx="34">
                  <c:v>-0.14267488053800539</c:v>
                </c:pt>
                <c:pt idx="35">
                  <c:v>-4.4558662537113318E-2</c:v>
                </c:pt>
              </c:numCache>
            </c:numRef>
          </c:val>
          <c:extLst>
            <c:ext xmlns:c16="http://schemas.microsoft.com/office/drawing/2014/chart" uri="{C3380CC4-5D6E-409C-BE32-E72D297353CC}">
              <c16:uniqueId val="{00000005-C559-457C-A73F-719B67829B5B}"/>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růstu-4'!$C$33</c:f>
              <c:strCache>
                <c:ptCount val="1"/>
                <c:pt idx="0">
                  <c:v>Total services sales (y-o-y in %)</c:v>
                </c:pt>
              </c:strCache>
            </c:strRef>
          </c:tx>
          <c:spPr>
            <a:ln>
              <a:noFill/>
            </a:ln>
          </c:spPr>
          <c:marker>
            <c:symbol val="dot"/>
            <c:size val="7"/>
            <c:spPr>
              <a:solidFill>
                <a:schemeClr val="tx1">
                  <a:lumMod val="95000"/>
                  <a:lumOff val="5000"/>
                </a:schemeClr>
              </a:solidFill>
              <a:ln>
                <a:noFill/>
              </a:ln>
            </c:spPr>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růstu-4'!$C$46:$C$82</c:f>
              <c:numCache>
                <c:formatCode>0.0</c:formatCode>
                <c:ptCount val="37"/>
                <c:pt idx="0">
                  <c:v>3.4824690008999966</c:v>
                </c:pt>
                <c:pt idx="1">
                  <c:v>2.7934385740000067</c:v>
                </c:pt>
                <c:pt idx="2">
                  <c:v>3.3397363911000042</c:v>
                </c:pt>
                <c:pt idx="3">
                  <c:v>2.4240605071999966</c:v>
                </c:pt>
                <c:pt idx="4">
                  <c:v>1.3060861837000033</c:v>
                </c:pt>
                <c:pt idx="5">
                  <c:v>-1.1913006246000037</c:v>
                </c:pt>
                <c:pt idx="6">
                  <c:v>1.5541405019999956</c:v>
                </c:pt>
                <c:pt idx="7">
                  <c:v>1.2878413721000044</c:v>
                </c:pt>
                <c:pt idx="8">
                  <c:v>5.6991785797000034</c:v>
                </c:pt>
                <c:pt idx="9">
                  <c:v>5.5722364333000058</c:v>
                </c:pt>
                <c:pt idx="10">
                  <c:v>3.3112064832999977</c:v>
                </c:pt>
                <c:pt idx="11">
                  <c:v>2.4385054390999983</c:v>
                </c:pt>
                <c:pt idx="12">
                  <c:v>4.8776432854999996</c:v>
                </c:pt>
                <c:pt idx="13">
                  <c:v>3.1428894752999952</c:v>
                </c:pt>
                <c:pt idx="14">
                  <c:v>3.5062767616000059</c:v>
                </c:pt>
                <c:pt idx="15">
                  <c:v>0.9447540274999966</c:v>
                </c:pt>
                <c:pt idx="16">
                  <c:v>-2.0638978244000015</c:v>
                </c:pt>
                <c:pt idx="17">
                  <c:v>2.0119271263999963</c:v>
                </c:pt>
                <c:pt idx="18">
                  <c:v>0.46201626920000649</c:v>
                </c:pt>
                <c:pt idx="19">
                  <c:v>3.6792793010999958</c:v>
                </c:pt>
                <c:pt idx="20">
                  <c:v>-3.7161332750000042</c:v>
                </c:pt>
                <c:pt idx="21">
                  <c:v>-20.482789201800003</c:v>
                </c:pt>
                <c:pt idx="22">
                  <c:v>-13.818107271499997</c:v>
                </c:pt>
                <c:pt idx="23">
                  <c:v>-12.693117899800001</c:v>
                </c:pt>
                <c:pt idx="24">
                  <c:v>-6.3646362811000046</c:v>
                </c:pt>
                <c:pt idx="25">
                  <c:v>14.470981226999996</c:v>
                </c:pt>
                <c:pt idx="26">
                  <c:v>9.8386905822000017</c:v>
                </c:pt>
                <c:pt idx="27">
                  <c:v>12.462541081799998</c:v>
                </c:pt>
                <c:pt idx="28">
                  <c:v>13.600090225800002</c:v>
                </c:pt>
                <c:pt idx="29">
                  <c:v>12.5749843607</c:v>
                </c:pt>
                <c:pt idx="30">
                  <c:v>6.8786234319999977</c:v>
                </c:pt>
                <c:pt idx="31">
                  <c:v>3.1497656532000065</c:v>
                </c:pt>
                <c:pt idx="32">
                  <c:v>1.5892440251000011</c:v>
                </c:pt>
                <c:pt idx="33">
                  <c:v>-1.6569565763000043</c:v>
                </c:pt>
                <c:pt idx="34">
                  <c:v>-3.8373140064000069</c:v>
                </c:pt>
                <c:pt idx="35">
                  <c:v>-2.1957594593999943</c:v>
                </c:pt>
              </c:numCache>
            </c:numRef>
          </c:val>
          <c:smooth val="0"/>
          <c:extLst>
            <c:ext xmlns:c16="http://schemas.microsoft.com/office/drawing/2014/chart" uri="{C3380CC4-5D6E-409C-BE32-E72D297353CC}">
              <c16:uniqueId val="{00000006-C559-457C-A73F-719B67829B5B}"/>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růstu-4'!$J$33</c:f>
              <c:strCache>
                <c:ptCount val="1"/>
                <c:pt idx="0">
                  <c:v>Confidence indicator in services</c:v>
                </c:pt>
              </c:strCache>
            </c:strRef>
          </c:tx>
          <c:spPr>
            <a:ln w="3175">
              <a:solidFill>
                <a:schemeClr val="bg1">
                  <a:lumMod val="50000"/>
                </a:schemeClr>
              </a:solidFill>
              <a:prstDash val="sysDash"/>
            </a:ln>
          </c:spPr>
          <c:marker>
            <c:symbol val="diamond"/>
            <c:size val="5"/>
            <c:spPr>
              <a:solidFill>
                <a:srgbClr val="FFFF00"/>
              </a:solidFill>
              <a:ln w="6350">
                <a:solidFill>
                  <a:schemeClr val="tx1">
                    <a:lumMod val="85000"/>
                    <a:lumOff val="15000"/>
                  </a:schemeClr>
                </a:solidFill>
              </a:ln>
            </c:spPr>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růstu-4'!$J$46:$J$82</c:f>
              <c:numCache>
                <c:formatCode>#\ ##0.0</c:formatCode>
                <c:ptCount val="37"/>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pt idx="32">
                  <c:v>24</c:v>
                </c:pt>
                <c:pt idx="33" formatCode="0.0">
                  <c:v>28</c:v>
                </c:pt>
                <c:pt idx="34" formatCode="0.0">
                  <c:v>25.7</c:v>
                </c:pt>
                <c:pt idx="35" formatCode="0.0">
                  <c:v>22.7</c:v>
                </c:pt>
                <c:pt idx="36" formatCode="0.0">
                  <c:v>21.3</c:v>
                </c:pt>
              </c:numCache>
            </c:numRef>
          </c:val>
          <c:smooth val="0"/>
          <c:extLst>
            <c:ext xmlns:c16="http://schemas.microsoft.com/office/drawing/2014/chart" uri="{C3380CC4-5D6E-409C-BE32-E72D297353CC}">
              <c16:uniqueId val="{00000007-C559-457C-A73F-719B67829B5B}"/>
            </c:ext>
          </c:extLst>
        </c:ser>
        <c:ser>
          <c:idx val="8"/>
          <c:order val="8"/>
          <c:tx>
            <c:strRef>
              <c:f>'Služby-příspěvkyk růstu-4'!$K$33</c:f>
              <c:strCache>
                <c:ptCount val="1"/>
                <c:pt idx="0">
                  <c:v>Growth barrier: inadequate demand</c:v>
                </c:pt>
              </c:strCache>
            </c:strRef>
          </c:tx>
          <c:spPr>
            <a:ln w="15875">
              <a:solidFill>
                <a:srgbClr val="CA945E"/>
              </a:solidFill>
              <a:prstDash val="solid"/>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růstu-4'!$K$46:$K$82</c:f>
              <c:numCache>
                <c:formatCode>#\ ##0.0</c:formatCode>
                <c:ptCount val="37"/>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34.799999999999997</c:v>
                </c:pt>
                <c:pt idx="25">
                  <c:v>36.799999999999997</c:v>
                </c:pt>
                <c:pt idx="26">
                  <c:v>28.9</c:v>
                </c:pt>
                <c:pt idx="27">
                  <c:v>26.3</c:v>
                </c:pt>
                <c:pt idx="28">
                  <c:v>31.6</c:v>
                </c:pt>
                <c:pt idx="29">
                  <c:v>15</c:v>
                </c:pt>
                <c:pt idx="30">
                  <c:v>30.2</c:v>
                </c:pt>
                <c:pt idx="31">
                  <c:v>17.600000000000001</c:v>
                </c:pt>
                <c:pt idx="32">
                  <c:v>25.4</c:v>
                </c:pt>
                <c:pt idx="33">
                  <c:v>19.100000000000001</c:v>
                </c:pt>
                <c:pt idx="34">
                  <c:v>26</c:v>
                </c:pt>
                <c:pt idx="35">
                  <c:v>23</c:v>
                </c:pt>
                <c:pt idx="36">
                  <c:v>18.5</c:v>
                </c:pt>
              </c:numCache>
            </c:numRef>
          </c:val>
          <c:smooth val="0"/>
          <c:extLst>
            <c:ext xmlns:c16="http://schemas.microsoft.com/office/drawing/2014/chart" uri="{C3380CC4-5D6E-409C-BE32-E72D297353CC}">
              <c16:uniqueId val="{00000008-C559-457C-A73F-719B67829B5B}"/>
            </c:ext>
          </c:extLst>
        </c:ser>
        <c:ser>
          <c:idx val="9"/>
          <c:order val="9"/>
          <c:tx>
            <c:strRef>
              <c:f>'Služby-příspěvkyk růstu-4'!$L$33</c:f>
              <c:strCache>
                <c:ptCount val="1"/>
                <c:pt idx="0">
                  <c:v>Growth barrier: lack of workers</c:v>
                </c:pt>
              </c:strCache>
            </c:strRef>
          </c:tx>
          <c:spPr>
            <a:ln w="15875">
              <a:solidFill>
                <a:srgbClr val="CA945E"/>
              </a:solidFill>
              <a:prstDash val="sysDash"/>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růstu-4'!$L$46:$L$82</c:f>
              <c:numCache>
                <c:formatCode>#\ ##0.0</c:formatCode>
                <c:ptCount val="37"/>
                <c:pt idx="0">
                  <c:v>1.3</c:v>
                </c:pt>
                <c:pt idx="1">
                  <c:v>6</c:v>
                </c:pt>
                <c:pt idx="2">
                  <c:v>7.2</c:v>
                </c:pt>
                <c:pt idx="3">
                  <c:v>5.6</c:v>
                </c:pt>
                <c:pt idx="4">
                  <c:v>7.5</c:v>
                </c:pt>
                <c:pt idx="5">
                  <c:v>4.5</c:v>
                </c:pt>
                <c:pt idx="6">
                  <c:v>7.9</c:v>
                </c:pt>
                <c:pt idx="7">
                  <c:v>9.5</c:v>
                </c:pt>
                <c:pt idx="8">
                  <c:v>9.4</c:v>
                </c:pt>
                <c:pt idx="9">
                  <c:v>9.6999999999999993</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pt idx="32">
                  <c:v>9.3000000000000007</c:v>
                </c:pt>
                <c:pt idx="33">
                  <c:v>9.6999999999999993</c:v>
                </c:pt>
                <c:pt idx="34">
                  <c:v>9.1999999999999993</c:v>
                </c:pt>
                <c:pt idx="35">
                  <c:v>12.3</c:v>
                </c:pt>
                <c:pt idx="36">
                  <c:v>8.3000000000000007</c:v>
                </c:pt>
              </c:numCache>
            </c:numRef>
          </c:val>
          <c:smooth val="0"/>
          <c:extLst>
            <c:ext xmlns:c16="http://schemas.microsoft.com/office/drawing/2014/chart" uri="{C3380CC4-5D6E-409C-BE32-E72D297353CC}">
              <c16:uniqueId val="{00000009-C559-457C-A73F-719B67829B5B}"/>
            </c:ext>
          </c:extLst>
        </c:ser>
        <c:ser>
          <c:idx val="10"/>
          <c:order val="10"/>
          <c:tx>
            <c:strRef>
              <c:f>'Služby-příspěvkyk růstu-4'!$M$33</c:f>
              <c:strCache>
                <c:ptCount val="1"/>
                <c:pt idx="0">
                  <c:v>Total sales (basis 2021 = 100), constant prices)</c:v>
                </c:pt>
              </c:strCache>
            </c:strRef>
          </c:tx>
          <c:spPr>
            <a:ln w="15875">
              <a:solidFill>
                <a:schemeClr val="tx1"/>
              </a:solidFill>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růstu-4'!$M$46:$M$82</c:f>
              <c:numCache>
                <c:formatCode>0.0</c:formatCode>
                <c:ptCount val="37"/>
                <c:pt idx="0">
                  <c:v>96.573148776699995</c:v>
                </c:pt>
                <c:pt idx="1">
                  <c:v>97.567742240000001</c:v>
                </c:pt>
                <c:pt idx="2">
                  <c:v>97.872994153299999</c:v>
                </c:pt>
                <c:pt idx="3">
                  <c:v>98.145121336700001</c:v>
                </c:pt>
                <c:pt idx="4">
                  <c:v>97.141074036700005</c:v>
                </c:pt>
                <c:pt idx="5">
                  <c:v>97.220842383299996</c:v>
                </c:pt>
                <c:pt idx="6">
                  <c:v>99.043083436700002</c:v>
                </c:pt>
                <c:pt idx="7">
                  <c:v>100.26520352</c:v>
                </c:pt>
                <c:pt idx="8">
                  <c:v>101.4620500267</c:v>
                </c:pt>
                <c:pt idx="9">
                  <c:v>102.45930216329999</c:v>
                </c:pt>
                <c:pt idx="10">
                  <c:v>102.1784036567</c:v>
                </c:pt>
                <c:pt idx="11">
                  <c:v>103.2635152233</c:v>
                </c:pt>
                <c:pt idx="12">
                  <c:v>106.70430386</c:v>
                </c:pt>
                <c:pt idx="13">
                  <c:v>105.25291280330001</c:v>
                </c:pt>
                <c:pt idx="14">
                  <c:v>105.36498890670001</c:v>
                </c:pt>
                <c:pt idx="15">
                  <c:v>103.79346463</c:v>
                </c:pt>
                <c:pt idx="16">
                  <c:v>104.82319352330001</c:v>
                </c:pt>
                <c:pt idx="17">
                  <c:v>107.08876361</c:v>
                </c:pt>
                <c:pt idx="18">
                  <c:v>106.1526654733</c:v>
                </c:pt>
                <c:pt idx="19">
                  <c:v>106.10865794670001</c:v>
                </c:pt>
                <c:pt idx="20">
                  <c:v>100.92295789329999</c:v>
                </c:pt>
                <c:pt idx="21">
                  <c:v>86.568180609999999</c:v>
                </c:pt>
                <c:pt idx="22">
                  <c:v>93.956559496699995</c:v>
                </c:pt>
                <c:pt idx="23">
                  <c:v>92.2317662767</c:v>
                </c:pt>
                <c:pt idx="24">
                  <c:v>93.022755186699996</c:v>
                </c:pt>
                <c:pt idx="25">
                  <c:v>97.951322020000006</c:v>
                </c:pt>
                <c:pt idx="26">
                  <c:v>102.3309606</c:v>
                </c:pt>
                <c:pt idx="27">
                  <c:v>104.3769040033</c:v>
                </c:pt>
                <c:pt idx="28">
                  <c:v>106.5382294633</c:v>
                </c:pt>
                <c:pt idx="29">
                  <c:v>108.99648315669999</c:v>
                </c:pt>
                <c:pt idx="30">
                  <c:v>109.3950518267</c:v>
                </c:pt>
                <c:pt idx="31">
                  <c:v>108.6642720767</c:v>
                </c:pt>
                <c:pt idx="32">
                  <c:v>108.3580972467</c:v>
                </c:pt>
                <c:pt idx="33">
                  <c:v>106.7674619233</c:v>
                </c:pt>
                <c:pt idx="34">
                  <c:v>105.64376545</c:v>
                </c:pt>
                <c:pt idx="35" formatCode="General">
                  <c:v>106.0791962</c:v>
                </c:pt>
              </c:numCache>
            </c:numRef>
          </c:val>
          <c:smooth val="0"/>
          <c:extLst>
            <c:ext xmlns:c16="http://schemas.microsoft.com/office/drawing/2014/chart" uri="{C3380CC4-5D6E-409C-BE32-E72D297353CC}">
              <c16:uniqueId val="{0000000A-C559-457C-A73F-719B67829B5B}"/>
            </c:ext>
          </c:extLst>
        </c:ser>
        <c:ser>
          <c:idx val="11"/>
          <c:order val="11"/>
          <c:tx>
            <c:strRef>
              <c:f>'Služby-příspěvkyk růstu-4'!$N$33</c:f>
              <c:strCache>
                <c:ptCount val="1"/>
                <c:pt idx="0">
                  <c:v>Total sales (basis 2021 = 100, current prices)</c:v>
                </c:pt>
              </c:strCache>
            </c:strRef>
          </c:tx>
          <c:spPr>
            <a:ln w="15875">
              <a:solidFill>
                <a:schemeClr val="bg2">
                  <a:lumMod val="25000"/>
                </a:schemeClr>
              </a:solidFill>
              <a:prstDash val="sysDash"/>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růstu-4'!$N$46:$N$82</c:f>
              <c:numCache>
                <c:formatCode>0.0</c:formatCode>
                <c:ptCount val="37"/>
                <c:pt idx="0">
                  <c:v>87.052195600000005</c:v>
                </c:pt>
                <c:pt idx="1">
                  <c:v>87.976303153299995</c:v>
                </c:pt>
                <c:pt idx="2">
                  <c:v>88.373010003299996</c:v>
                </c:pt>
                <c:pt idx="3">
                  <c:v>88.620892873299994</c:v>
                </c:pt>
                <c:pt idx="4">
                  <c:v>87.738386106700005</c:v>
                </c:pt>
                <c:pt idx="5">
                  <c:v>88.030049489999996</c:v>
                </c:pt>
                <c:pt idx="6">
                  <c:v>89.823697393299994</c:v>
                </c:pt>
                <c:pt idx="7">
                  <c:v>91.207866260000003</c:v>
                </c:pt>
                <c:pt idx="8">
                  <c:v>92.834550640000003</c:v>
                </c:pt>
                <c:pt idx="9">
                  <c:v>94.103815076700002</c:v>
                </c:pt>
                <c:pt idx="10">
                  <c:v>94.369418403300003</c:v>
                </c:pt>
                <c:pt idx="11">
                  <c:v>95.836186386700007</c:v>
                </c:pt>
                <c:pt idx="12">
                  <c:v>99.311500843299996</c:v>
                </c:pt>
                <c:pt idx="13">
                  <c:v>98.708597956700004</c:v>
                </c:pt>
                <c:pt idx="14">
                  <c:v>99.642436860000004</c:v>
                </c:pt>
                <c:pt idx="15">
                  <c:v>98.769212440000004</c:v>
                </c:pt>
                <c:pt idx="16">
                  <c:v>99.79161551</c:v>
                </c:pt>
                <c:pt idx="17">
                  <c:v>103.22613569329999</c:v>
                </c:pt>
                <c:pt idx="18">
                  <c:v>102.99220393</c:v>
                </c:pt>
                <c:pt idx="19">
                  <c:v>103.49625471</c:v>
                </c:pt>
                <c:pt idx="20">
                  <c:v>98.534612966699996</c:v>
                </c:pt>
                <c:pt idx="21">
                  <c:v>84.950969126700002</c:v>
                </c:pt>
                <c:pt idx="22">
                  <c:v>92.709010469999996</c:v>
                </c:pt>
                <c:pt idx="23">
                  <c:v>91.428986266699994</c:v>
                </c:pt>
                <c:pt idx="24">
                  <c:v>92.2143263233</c:v>
                </c:pt>
                <c:pt idx="25">
                  <c:v>97.246572043300006</c:v>
                </c:pt>
                <c:pt idx="26">
                  <c:v>102.39087888669999</c:v>
                </c:pt>
                <c:pt idx="27">
                  <c:v>105.9113077367</c:v>
                </c:pt>
                <c:pt idx="28">
                  <c:v>110.0352873433</c:v>
                </c:pt>
                <c:pt idx="29">
                  <c:v>115.0977962467</c:v>
                </c:pt>
                <c:pt idx="30">
                  <c:v>118.00030553329999</c:v>
                </c:pt>
                <c:pt idx="31">
                  <c:v>119.25167525000001</c:v>
                </c:pt>
                <c:pt idx="32">
                  <c:v>121.13230271330001</c:v>
                </c:pt>
                <c:pt idx="33">
                  <c:v>121.2918866533</c:v>
                </c:pt>
                <c:pt idx="34">
                  <c:v>121.4791639</c:v>
                </c:pt>
                <c:pt idx="35" formatCode="General">
                  <c:v>123.4654708467</c:v>
                </c:pt>
              </c:numCache>
            </c:numRef>
          </c:val>
          <c:smooth val="0"/>
          <c:extLst>
            <c:ext xmlns:c16="http://schemas.microsoft.com/office/drawing/2014/chart" uri="{C3380CC4-5D6E-409C-BE32-E72D297353CC}">
              <c16:uniqueId val="{0000000B-C559-457C-A73F-719B67829B5B}"/>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30"/>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change of sales in services</a:t>
                </a:r>
              </a:p>
            </c:rich>
          </c:tx>
          <c:layout>
            <c:manualLayout>
              <c:xMode val="edge"/>
              <c:yMode val="edge"/>
              <c:x val="0"/>
              <c:y val="7.7693041129346135E-2"/>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5"/>
      </c:valAx>
      <c:valAx>
        <c:axId val="156575232"/>
        <c:scaling>
          <c:orientation val="minMax"/>
          <c:max val="15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a:t>Sales (2021=100), confidence indicator, growth barriers</a:t>
                </a:r>
              </a:p>
            </c:rich>
          </c:tx>
          <c:layout>
            <c:manualLayout>
              <c:xMode val="edge"/>
              <c:yMode val="edge"/>
              <c:x val="0.97059962632503372"/>
              <c:y val="4.3568719878581109E-2"/>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2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lumMod val="75000"/>
              <a:lumOff val="25000"/>
            </a:schemeClr>
          </a:solidFill>
        </a:ln>
      </c:spPr>
    </c:plotArea>
    <c:legend>
      <c:legendPos val="r"/>
      <c:layout>
        <c:manualLayout>
          <c:xMode val="edge"/>
          <c:yMode val="edge"/>
          <c:x val="2.7894149438737266E-3"/>
          <c:y val="0.80683901693256121"/>
          <c:w val="0.99229354112783008"/>
          <c:h val="0.18952404020147029"/>
        </c:manualLayout>
      </c:layout>
      <c:overlay val="0"/>
      <c:spPr>
        <a:ln w="6350">
          <a:solidFill>
            <a:schemeClr val="tx1"/>
          </a:solidFill>
        </a:ln>
      </c:spPr>
      <c:txPr>
        <a:bodyPr/>
        <a:lstStyle/>
        <a:p>
          <a:pPr>
            <a:defRPr sz="7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61666861125732E-2"/>
          <c:y val="1.5803328678987455E-2"/>
          <c:w val="0.85082109029523101"/>
          <c:h val="0.73450542783153383"/>
        </c:manualLayout>
      </c:layout>
      <c:barChart>
        <c:barDir val="col"/>
        <c:grouping val="stacked"/>
        <c:varyColors val="0"/>
        <c:ser>
          <c:idx val="0"/>
          <c:order val="1"/>
          <c:tx>
            <c:strRef>
              <c:f>'výkonnost odvětví 5a'!$E$66</c:f>
              <c:strCache>
                <c:ptCount val="1"/>
                <c:pt idx="0">
                  <c:v>Retail with food (contribution in p.p.)</c:v>
                </c:pt>
              </c:strCache>
            </c:strRef>
          </c:tx>
          <c:spPr>
            <a:solidFill>
              <a:srgbClr val="92D050"/>
            </a:solidFill>
            <a:ln w="15875">
              <a:noFill/>
            </a:ln>
          </c:spPr>
          <c:invertIfNegative val="0"/>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5a'!$E$67:$E$103</c:f>
              <c:numCache>
                <c:formatCode>#\ ##0.0</c:formatCode>
                <c:ptCount val="37"/>
                <c:pt idx="0">
                  <c:v>1.7523817972228575</c:v>
                </c:pt>
                <c:pt idx="1">
                  <c:v>1.1495538604575486</c:v>
                </c:pt>
                <c:pt idx="2">
                  <c:v>1.851654245012579</c:v>
                </c:pt>
                <c:pt idx="3">
                  <c:v>1.4230053336458297</c:v>
                </c:pt>
                <c:pt idx="4">
                  <c:v>1.7335386338403211</c:v>
                </c:pt>
                <c:pt idx="5">
                  <c:v>1.4057978539692639</c:v>
                </c:pt>
                <c:pt idx="6">
                  <c:v>1.0226992305466713</c:v>
                </c:pt>
                <c:pt idx="7">
                  <c:v>-4.5727948098357493E-2</c:v>
                </c:pt>
                <c:pt idx="8">
                  <c:v>0.76530947894932633</c:v>
                </c:pt>
                <c:pt idx="9">
                  <c:v>1.3628557482991555</c:v>
                </c:pt>
                <c:pt idx="10">
                  <c:v>1.1031113273196382</c:v>
                </c:pt>
                <c:pt idx="11">
                  <c:v>0.92620191285996878</c:v>
                </c:pt>
                <c:pt idx="12">
                  <c:v>1.4716867951941146</c:v>
                </c:pt>
                <c:pt idx="13">
                  <c:v>0.53065594307662001</c:v>
                </c:pt>
                <c:pt idx="14">
                  <c:v>0.93178458575098189</c:v>
                </c:pt>
                <c:pt idx="15">
                  <c:v>0.38805043936963324</c:v>
                </c:pt>
                <c:pt idx="16">
                  <c:v>-0.29388750825225862</c:v>
                </c:pt>
                <c:pt idx="17">
                  <c:v>1.4252855332899248</c:v>
                </c:pt>
                <c:pt idx="18">
                  <c:v>0.13007735319413302</c:v>
                </c:pt>
                <c:pt idx="19">
                  <c:v>1.4154025710079869</c:v>
                </c:pt>
                <c:pt idx="20">
                  <c:v>0.68707923703683382</c:v>
                </c:pt>
                <c:pt idx="21">
                  <c:v>-1.8614966729136802</c:v>
                </c:pt>
                <c:pt idx="22">
                  <c:v>-0.64766112448952962</c:v>
                </c:pt>
                <c:pt idx="23">
                  <c:v>-0.28286695735560252</c:v>
                </c:pt>
                <c:pt idx="24">
                  <c:v>-0.60916134074836392</c:v>
                </c:pt>
                <c:pt idx="25">
                  <c:v>0.50128382451928355</c:v>
                </c:pt>
                <c:pt idx="26">
                  <c:v>-0.28821299682807039</c:v>
                </c:pt>
                <c:pt idx="27">
                  <c:v>1.7697621877811544E-3</c:v>
                </c:pt>
                <c:pt idx="28">
                  <c:v>-5.4187158541836714E-2</c:v>
                </c:pt>
                <c:pt idx="29">
                  <c:v>-1.1158473337373773</c:v>
                </c:pt>
                <c:pt idx="30">
                  <c:v>-2.2854641976144956</c:v>
                </c:pt>
                <c:pt idx="31">
                  <c:v>-3.2475751746395907</c:v>
                </c:pt>
                <c:pt idx="32">
                  <c:v>-3.1063169253902356</c:v>
                </c:pt>
                <c:pt idx="33">
                  <c:v>-2.8514177710009005</c:v>
                </c:pt>
                <c:pt idx="34">
                  <c:v>-1.6966817042429552</c:v>
                </c:pt>
                <c:pt idx="35">
                  <c:v>-0.73112177657293909</c:v>
                </c:pt>
              </c:numCache>
            </c:numRef>
          </c:val>
          <c:extLst>
            <c:ext xmlns:c16="http://schemas.microsoft.com/office/drawing/2014/chart" uri="{C3380CC4-5D6E-409C-BE32-E72D297353CC}">
              <c16:uniqueId val="{00000000-8B7F-4745-8030-E01DA2164875}"/>
            </c:ext>
          </c:extLst>
        </c:ser>
        <c:ser>
          <c:idx val="1"/>
          <c:order val="2"/>
          <c:tx>
            <c:strRef>
              <c:f>'výkonnost odvětví 5a'!$F$66</c:f>
              <c:strCache>
                <c:ptCount val="1"/>
                <c:pt idx="0">
                  <c:v>Retail with non-food goods (contribution)</c:v>
                </c:pt>
              </c:strCache>
            </c:strRef>
          </c:tx>
          <c:spPr>
            <a:solidFill>
              <a:schemeClr val="accent1">
                <a:lumMod val="40000"/>
                <a:lumOff val="60000"/>
              </a:schemeClr>
            </a:solidFill>
            <a:ln w="15875">
              <a:noFill/>
            </a:ln>
          </c:spPr>
          <c:invertIfNegative val="0"/>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5a'!$F$67:$F$103</c:f>
              <c:numCache>
                <c:formatCode>#\ ##0.0</c:formatCode>
                <c:ptCount val="37"/>
                <c:pt idx="0">
                  <c:v>3.196375922725744</c:v>
                </c:pt>
                <c:pt idx="1">
                  <c:v>3.8741896087490026</c:v>
                </c:pt>
                <c:pt idx="2">
                  <c:v>2.6728850705219784</c:v>
                </c:pt>
                <c:pt idx="3">
                  <c:v>3.6626826182851304</c:v>
                </c:pt>
                <c:pt idx="4">
                  <c:v>2.7862532923580798</c:v>
                </c:pt>
                <c:pt idx="5">
                  <c:v>2.5540667218407971</c:v>
                </c:pt>
                <c:pt idx="6">
                  <c:v>3.2508787600372759</c:v>
                </c:pt>
                <c:pt idx="7">
                  <c:v>3.4435667776451586</c:v>
                </c:pt>
                <c:pt idx="8">
                  <c:v>4.1783561564843161</c:v>
                </c:pt>
                <c:pt idx="9">
                  <c:v>4.4153226755500015</c:v>
                </c:pt>
                <c:pt idx="10">
                  <c:v>4.0607561596078439</c:v>
                </c:pt>
                <c:pt idx="11">
                  <c:v>4.5695527698288956</c:v>
                </c:pt>
                <c:pt idx="12">
                  <c:v>3.963036260303999</c:v>
                </c:pt>
                <c:pt idx="13">
                  <c:v>3.3542121185564358</c:v>
                </c:pt>
                <c:pt idx="14">
                  <c:v>2.577047135089233</c:v>
                </c:pt>
                <c:pt idx="15">
                  <c:v>3.7162196737466258</c:v>
                </c:pt>
                <c:pt idx="16">
                  <c:v>1.303288764236783</c:v>
                </c:pt>
                <c:pt idx="17">
                  <c:v>2.4531469805048736</c:v>
                </c:pt>
                <c:pt idx="18">
                  <c:v>4.2934983663490245</c:v>
                </c:pt>
                <c:pt idx="19">
                  <c:v>5.6709230985066315</c:v>
                </c:pt>
                <c:pt idx="20">
                  <c:v>-5.7511622856734265E-2</c:v>
                </c:pt>
                <c:pt idx="21">
                  <c:v>-0.33300612932107432</c:v>
                </c:pt>
                <c:pt idx="22">
                  <c:v>1.4198268570219985</c:v>
                </c:pt>
                <c:pt idx="23">
                  <c:v>-1.8469460892868841</c:v>
                </c:pt>
                <c:pt idx="24">
                  <c:v>0.21069868606508507</c:v>
                </c:pt>
                <c:pt idx="25">
                  <c:v>5.5818689703959059</c:v>
                </c:pt>
                <c:pt idx="26">
                  <c:v>3.6253978606922885</c:v>
                </c:pt>
                <c:pt idx="27">
                  <c:v>5.6718200386565263</c:v>
                </c:pt>
                <c:pt idx="28">
                  <c:v>5.9939161764103117</c:v>
                </c:pt>
                <c:pt idx="29">
                  <c:v>-0.95141051379742669</c:v>
                </c:pt>
                <c:pt idx="30">
                  <c:v>-3.941314921560565</c:v>
                </c:pt>
                <c:pt idx="31">
                  <c:v>-5.6408124918498608</c:v>
                </c:pt>
                <c:pt idx="32">
                  <c:v>-4.7801710791363758</c:v>
                </c:pt>
                <c:pt idx="33">
                  <c:v>-4.4944647990436248</c:v>
                </c:pt>
                <c:pt idx="34">
                  <c:v>-2.459911947479327</c:v>
                </c:pt>
                <c:pt idx="35">
                  <c:v>0.45367107877130941</c:v>
                </c:pt>
              </c:numCache>
            </c:numRef>
          </c:val>
          <c:extLst>
            <c:ext xmlns:c16="http://schemas.microsoft.com/office/drawing/2014/chart" uri="{C3380CC4-5D6E-409C-BE32-E72D297353CC}">
              <c16:uniqueId val="{00000001-8B7F-4745-8030-E01DA2164875}"/>
            </c:ext>
          </c:extLst>
        </c:ser>
        <c:ser>
          <c:idx val="4"/>
          <c:order val="3"/>
          <c:tx>
            <c:strRef>
              <c:f>'výkonnost odvětví 5a'!$G$66</c:f>
              <c:strCache>
                <c:ptCount val="1"/>
                <c:pt idx="0">
                  <c:v>Retail sale of fuels (contribution in p.p.)</c:v>
                </c:pt>
              </c:strCache>
            </c:strRef>
          </c:tx>
          <c:spPr>
            <a:solidFill>
              <a:schemeClr val="accent6">
                <a:lumMod val="40000"/>
                <a:lumOff val="60000"/>
              </a:schemeClr>
            </a:solidFill>
            <a:ln w="15875">
              <a:noFill/>
            </a:ln>
          </c:spPr>
          <c:invertIfNegative val="0"/>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5a'!$G$67:$G$103</c:f>
              <c:numCache>
                <c:formatCode>#\ ##0.0</c:formatCode>
                <c:ptCount val="37"/>
                <c:pt idx="0">
                  <c:v>0.75440023430656378</c:v>
                </c:pt>
                <c:pt idx="1">
                  <c:v>0.588112843666875</c:v>
                </c:pt>
                <c:pt idx="2">
                  <c:v>0.78402402568450724</c:v>
                </c:pt>
                <c:pt idx="3">
                  <c:v>0.94331728244946667</c:v>
                </c:pt>
                <c:pt idx="4">
                  <c:v>0.6744248436917698</c:v>
                </c:pt>
                <c:pt idx="5">
                  <c:v>0.72348584188138532</c:v>
                </c:pt>
                <c:pt idx="6">
                  <c:v>0.62302098548854723</c:v>
                </c:pt>
                <c:pt idx="7">
                  <c:v>0.62533415443375595</c:v>
                </c:pt>
                <c:pt idx="8">
                  <c:v>0.54805568528260806</c:v>
                </c:pt>
                <c:pt idx="9">
                  <c:v>0.75356148860252614</c:v>
                </c:pt>
                <c:pt idx="10">
                  <c:v>0.84316485479481218</c:v>
                </c:pt>
                <c:pt idx="11">
                  <c:v>0.68534345825768528</c:v>
                </c:pt>
                <c:pt idx="12">
                  <c:v>0.66536323714663226</c:v>
                </c:pt>
                <c:pt idx="13">
                  <c:v>0.59516252422904425</c:v>
                </c:pt>
                <c:pt idx="14">
                  <c:v>0.3739332000264744</c:v>
                </c:pt>
                <c:pt idx="15">
                  <c:v>0.43257407692417521</c:v>
                </c:pt>
                <c:pt idx="16">
                  <c:v>0.17809135629917194</c:v>
                </c:pt>
                <c:pt idx="17">
                  <c:v>0.36908315571938399</c:v>
                </c:pt>
                <c:pt idx="18">
                  <c:v>0.27107333589466731</c:v>
                </c:pt>
                <c:pt idx="19">
                  <c:v>0.19660561540526125</c:v>
                </c:pt>
                <c:pt idx="20">
                  <c:v>-0.75718611502805722</c:v>
                </c:pt>
                <c:pt idx="21">
                  <c:v>-1.9736345702533769</c:v>
                </c:pt>
                <c:pt idx="22">
                  <c:v>8.4968496843834063E-2</c:v>
                </c:pt>
                <c:pt idx="23">
                  <c:v>-1.074545645994486</c:v>
                </c:pt>
                <c:pt idx="24">
                  <c:v>-0.67301218948182628</c:v>
                </c:pt>
                <c:pt idx="25">
                  <c:v>1.0669589571071818</c:v>
                </c:pt>
                <c:pt idx="26">
                  <c:v>0.3703216291833335</c:v>
                </c:pt>
                <c:pt idx="27">
                  <c:v>0.92324400000698958</c:v>
                </c:pt>
                <c:pt idx="28">
                  <c:v>1.2433005946850226</c:v>
                </c:pt>
                <c:pt idx="29">
                  <c:v>-0.71068023392919111</c:v>
                </c:pt>
                <c:pt idx="30">
                  <c:v>-1.4491015165369834</c:v>
                </c:pt>
                <c:pt idx="31">
                  <c:v>-0.43033854530280263</c:v>
                </c:pt>
                <c:pt idx="32">
                  <c:v>9.4230238000043806E-2</c:v>
                </c:pt>
                <c:pt idx="33">
                  <c:v>1.0480329296267459</c:v>
                </c:pt>
                <c:pt idx="34">
                  <c:v>1.0256337590180515</c:v>
                </c:pt>
                <c:pt idx="35">
                  <c:v>0.21060542780679914</c:v>
                </c:pt>
              </c:numCache>
            </c:numRef>
          </c:val>
          <c:extLst>
            <c:ext xmlns:c16="http://schemas.microsoft.com/office/drawing/2014/chart" uri="{C3380CC4-5D6E-409C-BE32-E72D297353CC}">
              <c16:uniqueId val="{00000002-8B7F-4745-8030-E01DA2164875}"/>
            </c:ext>
          </c:extLst>
        </c:ser>
        <c:dLbls>
          <c:showLegendKey val="0"/>
          <c:showVal val="0"/>
          <c:showCatName val="0"/>
          <c:showSerName val="0"/>
          <c:showPercent val="0"/>
          <c:showBubbleSize val="0"/>
        </c:dLbls>
        <c:gapWidth val="31"/>
        <c:overlap val="100"/>
        <c:axId val="156100864"/>
        <c:axId val="156573696"/>
      </c:barChart>
      <c:lineChart>
        <c:grouping val="standard"/>
        <c:varyColors val="0"/>
        <c:ser>
          <c:idx val="3"/>
          <c:order val="0"/>
          <c:tx>
            <c:strRef>
              <c:f>'výkonnost odvětví 5a'!$D$66</c:f>
              <c:strCache>
                <c:ptCount val="1"/>
                <c:pt idx="0">
                  <c:v>Total retail sales (y-o-y change)</c:v>
                </c:pt>
              </c:strCache>
            </c:strRef>
          </c:tx>
          <c:spPr>
            <a:ln>
              <a:noFill/>
            </a:ln>
          </c:spPr>
          <c:marker>
            <c:symbol val="dash"/>
            <c:size val="7"/>
            <c:spPr>
              <a:solidFill>
                <a:schemeClr val="tx1">
                  <a:lumMod val="85000"/>
                  <a:lumOff val="15000"/>
                </a:schemeClr>
              </a:solidFill>
              <a:ln w="6350">
                <a:noFill/>
              </a:ln>
            </c:spPr>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5a'!$D$67:$D$103</c:f>
              <c:numCache>
                <c:formatCode>#\ ##0.0</c:formatCode>
                <c:ptCount val="37"/>
                <c:pt idx="0">
                  <c:v>5.5650157121000063</c:v>
                </c:pt>
                <c:pt idx="1">
                  <c:v>5.3140316102000043</c:v>
                </c:pt>
                <c:pt idx="2">
                  <c:v>5.261668949500006</c:v>
                </c:pt>
                <c:pt idx="3">
                  <c:v>5.8260167462999988</c:v>
                </c:pt>
                <c:pt idx="4">
                  <c:v>5.1163484119999936</c:v>
                </c:pt>
                <c:pt idx="5">
                  <c:v>4.584747701699996</c:v>
                </c:pt>
                <c:pt idx="6">
                  <c:v>4.6478731618999944</c:v>
                </c:pt>
                <c:pt idx="7">
                  <c:v>3.5966109598000031</c:v>
                </c:pt>
                <c:pt idx="8">
                  <c:v>5.068305469799995</c:v>
                </c:pt>
                <c:pt idx="9">
                  <c:v>6.2034114922000043</c:v>
                </c:pt>
                <c:pt idx="10">
                  <c:v>5.6856724027999945</c:v>
                </c:pt>
                <c:pt idx="11">
                  <c:v>5.8244576314999961</c:v>
                </c:pt>
                <c:pt idx="12">
                  <c:v>5.9658330699000004</c:v>
                </c:pt>
                <c:pt idx="13">
                  <c:v>4.3854129643000022</c:v>
                </c:pt>
                <c:pt idx="14">
                  <c:v>3.8380531616000013</c:v>
                </c:pt>
                <c:pt idx="15">
                  <c:v>4.3570454750999943</c:v>
                </c:pt>
                <c:pt idx="16">
                  <c:v>1.1052891966999994</c:v>
                </c:pt>
                <c:pt idx="17">
                  <c:v>4.2167027101999963</c:v>
                </c:pt>
                <c:pt idx="18">
                  <c:v>4.5117376484000005</c:v>
                </c:pt>
                <c:pt idx="19">
                  <c:v>7.2113533302999997</c:v>
                </c:pt>
                <c:pt idx="20">
                  <c:v>-0.15887647600000321</c:v>
                </c:pt>
                <c:pt idx="21">
                  <c:v>-4.2817243594000018</c:v>
                </c:pt>
                <c:pt idx="22">
                  <c:v>0.81643935670000189</c:v>
                </c:pt>
                <c:pt idx="23">
                  <c:v>-3.1393056612999999</c:v>
                </c:pt>
                <c:pt idx="24">
                  <c:v>-1.1439148176999936</c:v>
                </c:pt>
                <c:pt idx="25">
                  <c:v>6.9808481568999952</c:v>
                </c:pt>
                <c:pt idx="26">
                  <c:v>3.5922909883999949</c:v>
                </c:pt>
                <c:pt idx="27">
                  <c:v>6.4971048250999957</c:v>
                </c:pt>
                <c:pt idx="28">
                  <c:v>6.787429436599993</c:v>
                </c:pt>
                <c:pt idx="29">
                  <c:v>-2.8193720724000002</c:v>
                </c:pt>
                <c:pt idx="30">
                  <c:v>-7.6549734265999945</c:v>
                </c:pt>
                <c:pt idx="31">
                  <c:v>-9.3198503552000034</c:v>
                </c:pt>
                <c:pt idx="32">
                  <c:v>-7.7722789596000013</c:v>
                </c:pt>
                <c:pt idx="33">
                  <c:v>-6.2841710961999979</c:v>
                </c:pt>
                <c:pt idx="34">
                  <c:v>-3.1490125172000063</c:v>
                </c:pt>
                <c:pt idx="35">
                  <c:v>-0.12992440070000555</c:v>
                </c:pt>
              </c:numCache>
            </c:numRef>
          </c:val>
          <c:smooth val="0"/>
          <c:extLst>
            <c:ext xmlns:c16="http://schemas.microsoft.com/office/drawing/2014/chart" uri="{C3380CC4-5D6E-409C-BE32-E72D297353CC}">
              <c16:uniqueId val="{00000003-8B7F-4745-8030-E01DA2164875}"/>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4"/>
          <c:tx>
            <c:strRef>
              <c:f>'výkonnost odvětví 5a'!$H$66</c:f>
              <c:strCache>
                <c:ptCount val="1"/>
                <c:pt idx="0">
                  <c:v>Retail, without motor. segment (2021=100)</c:v>
                </c:pt>
              </c:strCache>
            </c:strRef>
          </c:tx>
          <c:spPr>
            <a:ln w="15875">
              <a:solidFill>
                <a:schemeClr val="tx1">
                  <a:lumMod val="95000"/>
                  <a:lumOff val="5000"/>
                </a:schemeClr>
              </a:solidFill>
              <a:prstDash val="solid"/>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5a'!$H$67:$H$103</c:f>
              <c:numCache>
                <c:formatCode>#\ ##0.0</c:formatCode>
                <c:ptCount val="37"/>
                <c:pt idx="0">
                  <c:v>79.387619700000002</c:v>
                </c:pt>
                <c:pt idx="1">
                  <c:v>80.3062253433</c:v>
                </c:pt>
                <c:pt idx="2">
                  <c:v>81.199263806700003</c:v>
                </c:pt>
                <c:pt idx="3">
                  <c:v>82.829916143299997</c:v>
                </c:pt>
                <c:pt idx="4">
                  <c:v>83.359185409999995</c:v>
                </c:pt>
                <c:pt idx="5">
                  <c:v>84.084432476700002</c:v>
                </c:pt>
                <c:pt idx="6">
                  <c:v>85.181352770000004</c:v>
                </c:pt>
                <c:pt idx="7">
                  <c:v>85.88258064</c:v>
                </c:pt>
                <c:pt idx="8">
                  <c:v>87.4984558867</c:v>
                </c:pt>
                <c:pt idx="9">
                  <c:v>89.139402750000002</c:v>
                </c:pt>
                <c:pt idx="10">
                  <c:v>90.153519266700002</c:v>
                </c:pt>
                <c:pt idx="11">
                  <c:v>90.503926663300007</c:v>
                </c:pt>
                <c:pt idx="12">
                  <c:v>93.105140056699994</c:v>
                </c:pt>
                <c:pt idx="13">
                  <c:v>93.1742804167</c:v>
                </c:pt>
                <c:pt idx="14">
                  <c:v>93.514300739999996</c:v>
                </c:pt>
                <c:pt idx="15">
                  <c:v>93.457195813300004</c:v>
                </c:pt>
                <c:pt idx="16">
                  <c:v>95.080488453300006</c:v>
                </c:pt>
                <c:pt idx="17">
                  <c:v>97.775211506700003</c:v>
                </c:pt>
                <c:pt idx="18">
                  <c:v>97.432309173299998</c:v>
                </c:pt>
                <c:pt idx="19">
                  <c:v>98.591741543300003</c:v>
                </c:pt>
                <c:pt idx="20">
                  <c:v>95.1745252467</c:v>
                </c:pt>
                <c:pt idx="21">
                  <c:v>94.2238113433</c:v>
                </c:pt>
                <c:pt idx="22">
                  <c:v>98.2489351567</c:v>
                </c:pt>
                <c:pt idx="23">
                  <c:v>95.276546670000002</c:v>
                </c:pt>
                <c:pt idx="24">
                  <c:v>93.120732363299993</c:v>
                </c:pt>
                <c:pt idx="25">
                  <c:v>100.6970061967</c:v>
                </c:pt>
                <c:pt idx="26">
                  <c:v>102.0775216733</c:v>
                </c:pt>
                <c:pt idx="27">
                  <c:v>101.56045996669999</c:v>
                </c:pt>
                <c:pt idx="28">
                  <c:v>99.689017316700003</c:v>
                </c:pt>
                <c:pt idx="29">
                  <c:v>97.852227529999993</c:v>
                </c:pt>
                <c:pt idx="30">
                  <c:v>94.9484332233</c:v>
                </c:pt>
                <c:pt idx="31">
                  <c:v>92.739781856700006</c:v>
                </c:pt>
                <c:pt idx="32">
                  <c:v>91.820017989999997</c:v>
                </c:pt>
                <c:pt idx="33">
                  <c:v>91.486667793300001</c:v>
                </c:pt>
                <c:pt idx="34">
                  <c:v>91.832769183300002</c:v>
                </c:pt>
                <c:pt idx="35">
                  <c:v>92.480947256700006</c:v>
                </c:pt>
              </c:numCache>
            </c:numRef>
          </c:val>
          <c:smooth val="0"/>
          <c:extLst>
            <c:ext xmlns:c16="http://schemas.microsoft.com/office/drawing/2014/chart" uri="{C3380CC4-5D6E-409C-BE32-E72D297353CC}">
              <c16:uniqueId val="{00000004-8B7F-4745-8030-E01DA2164875}"/>
            </c:ext>
          </c:extLst>
        </c:ser>
        <c:ser>
          <c:idx val="2"/>
          <c:order val="5"/>
          <c:tx>
            <c:strRef>
              <c:f>'výkonnost odvětví 5a'!$I$66</c:f>
              <c:strCache>
                <c:ptCount val="1"/>
                <c:pt idx="0">
                  <c:v>in that: Retail sale of fuels (2021=100)</c:v>
                </c:pt>
              </c:strCache>
            </c:strRef>
          </c:tx>
          <c:spPr>
            <a:ln w="15875">
              <a:solidFill>
                <a:schemeClr val="bg2">
                  <a:lumMod val="50000"/>
                </a:schemeClr>
              </a:solidFill>
              <a:prstDash val="sysDash"/>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5a'!$I$67:$I$103</c:f>
              <c:numCache>
                <c:formatCode>#\ ##0.0</c:formatCode>
                <c:ptCount val="37"/>
                <c:pt idx="0">
                  <c:v>86.524761636700006</c:v>
                </c:pt>
                <c:pt idx="1">
                  <c:v>87.411957833299994</c:v>
                </c:pt>
                <c:pt idx="2">
                  <c:v>89.056815003300002</c:v>
                </c:pt>
                <c:pt idx="3">
                  <c:v>90.635829810000004</c:v>
                </c:pt>
                <c:pt idx="4">
                  <c:v>91.354174043300006</c:v>
                </c:pt>
                <c:pt idx="5">
                  <c:v>92.452717846699997</c:v>
                </c:pt>
                <c:pt idx="6">
                  <c:v>93.451031206699994</c:v>
                </c:pt>
                <c:pt idx="7">
                  <c:v>94.790568546700001</c:v>
                </c:pt>
                <c:pt idx="8">
                  <c:v>96.066324203299999</c:v>
                </c:pt>
                <c:pt idx="9">
                  <c:v>97.673183713300006</c:v>
                </c:pt>
                <c:pt idx="10">
                  <c:v>99.237647573299995</c:v>
                </c:pt>
                <c:pt idx="11">
                  <c:v>100.2896053067</c:v>
                </c:pt>
                <c:pt idx="12">
                  <c:v>101.9259088133</c:v>
                </c:pt>
                <c:pt idx="13">
                  <c:v>102.3498273733</c:v>
                </c:pt>
                <c:pt idx="14">
                  <c:v>102.00124114330001</c:v>
                </c:pt>
                <c:pt idx="15">
                  <c:v>101.92222832669999</c:v>
                </c:pt>
                <c:pt idx="16">
                  <c:v>105.52141971330001</c:v>
                </c:pt>
                <c:pt idx="17">
                  <c:v>106.7492027433</c:v>
                </c:pt>
                <c:pt idx="18">
                  <c:v>102.2677534367</c:v>
                </c:pt>
                <c:pt idx="19">
                  <c:v>102.38734820329999</c:v>
                </c:pt>
                <c:pt idx="20">
                  <c:v>101.74032914999999</c:v>
                </c:pt>
                <c:pt idx="21">
                  <c:v>89.521872973300006</c:v>
                </c:pt>
                <c:pt idx="22">
                  <c:v>98.536132409999993</c:v>
                </c:pt>
                <c:pt idx="23">
                  <c:v>92.227044199999995</c:v>
                </c:pt>
                <c:pt idx="24">
                  <c:v>96.337185626700006</c:v>
                </c:pt>
                <c:pt idx="25">
                  <c:v>101.04246166999999</c:v>
                </c:pt>
                <c:pt idx="26">
                  <c:v>102.21868815329999</c:v>
                </c:pt>
                <c:pt idx="27">
                  <c:v>100.16278036999999</c:v>
                </c:pt>
                <c:pt idx="28">
                  <c:v>100.58357590999999</c:v>
                </c:pt>
                <c:pt idx="29">
                  <c:v>96.011938103299997</c:v>
                </c:pt>
                <c:pt idx="30">
                  <c:v>95.327974240000003</c:v>
                </c:pt>
                <c:pt idx="31">
                  <c:v>98.001312830000003</c:v>
                </c:pt>
                <c:pt idx="32">
                  <c:v>99.337867446700002</c:v>
                </c:pt>
                <c:pt idx="33">
                  <c:v>101.7315474767</c:v>
                </c:pt>
                <c:pt idx="34">
                  <c:v>102.5722280567</c:v>
                </c:pt>
                <c:pt idx="35">
                  <c:v>102.33722072330001</c:v>
                </c:pt>
              </c:numCache>
            </c:numRef>
          </c:val>
          <c:smooth val="0"/>
          <c:extLst>
            <c:ext xmlns:c16="http://schemas.microsoft.com/office/drawing/2014/chart" uri="{C3380CC4-5D6E-409C-BE32-E72D297353CC}">
              <c16:uniqueId val="{00000005-8B7F-4745-8030-E01DA2164875}"/>
            </c:ext>
          </c:extLst>
        </c:ser>
        <c:ser>
          <c:idx val="6"/>
          <c:order val="6"/>
          <c:tx>
            <c:strRef>
              <c:f>'výkonnost odvětví 5a'!$J$66</c:f>
              <c:strCache>
                <c:ptCount val="1"/>
                <c:pt idx="0">
                  <c:v>Sale, repair of motor vehicles (2021=100)</c:v>
                </c:pt>
              </c:strCache>
            </c:strRef>
          </c:tx>
          <c:spPr>
            <a:ln w="15875">
              <a:solidFill>
                <a:srgbClr val="984807"/>
              </a:solidFill>
              <a:prstDash val="solid"/>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5a'!$J$67:$J$103</c:f>
              <c:numCache>
                <c:formatCode>#\ ##0.0</c:formatCode>
                <c:ptCount val="37"/>
                <c:pt idx="0">
                  <c:v>94.876410473299998</c:v>
                </c:pt>
                <c:pt idx="1">
                  <c:v>97.695799643300006</c:v>
                </c:pt>
                <c:pt idx="2">
                  <c:v>100.06974644669999</c:v>
                </c:pt>
                <c:pt idx="3">
                  <c:v>102.95079615</c:v>
                </c:pt>
                <c:pt idx="4">
                  <c:v>104.2505530033</c:v>
                </c:pt>
                <c:pt idx="5">
                  <c:v>105.7391903267</c:v>
                </c:pt>
                <c:pt idx="6">
                  <c:v>107.83085998670001</c:v>
                </c:pt>
                <c:pt idx="7">
                  <c:v>108.3916669833</c:v>
                </c:pt>
                <c:pt idx="8">
                  <c:v>109.6607583333</c:v>
                </c:pt>
                <c:pt idx="9">
                  <c:v>110.11505321999999</c:v>
                </c:pt>
                <c:pt idx="10">
                  <c:v>109.31164355999999</c:v>
                </c:pt>
                <c:pt idx="11">
                  <c:v>110.27179532</c:v>
                </c:pt>
                <c:pt idx="12">
                  <c:v>108.78251946669999</c:v>
                </c:pt>
                <c:pt idx="13">
                  <c:v>108.49123695</c:v>
                </c:pt>
                <c:pt idx="14">
                  <c:v>108.3772654867</c:v>
                </c:pt>
                <c:pt idx="15">
                  <c:v>106.77434101</c:v>
                </c:pt>
                <c:pt idx="16">
                  <c:v>108.7007365533</c:v>
                </c:pt>
                <c:pt idx="17">
                  <c:v>109.26996463</c:v>
                </c:pt>
                <c:pt idx="18">
                  <c:v>107.48895487670001</c:v>
                </c:pt>
                <c:pt idx="19">
                  <c:v>107.35668517000001</c:v>
                </c:pt>
                <c:pt idx="20">
                  <c:v>95.100964756699994</c:v>
                </c:pt>
                <c:pt idx="21">
                  <c:v>78.817161313300005</c:v>
                </c:pt>
                <c:pt idx="22">
                  <c:v>99.582288770000005</c:v>
                </c:pt>
                <c:pt idx="23">
                  <c:v>99.444996476699998</c:v>
                </c:pt>
                <c:pt idx="24">
                  <c:v>101.4815698533</c:v>
                </c:pt>
                <c:pt idx="25">
                  <c:v>101.20538912000001</c:v>
                </c:pt>
                <c:pt idx="26">
                  <c:v>98.547187789999995</c:v>
                </c:pt>
                <c:pt idx="27">
                  <c:v>97.296073133299998</c:v>
                </c:pt>
                <c:pt idx="28">
                  <c:v>96.634273013300003</c:v>
                </c:pt>
                <c:pt idx="29">
                  <c:v>95.490189773300003</c:v>
                </c:pt>
                <c:pt idx="30">
                  <c:v>95.478794416699998</c:v>
                </c:pt>
                <c:pt idx="31">
                  <c:v>96.020386646700004</c:v>
                </c:pt>
                <c:pt idx="32">
                  <c:v>98.921513309999995</c:v>
                </c:pt>
                <c:pt idx="33">
                  <c:v>99.495656653300003</c:v>
                </c:pt>
                <c:pt idx="34">
                  <c:v>100.74736775</c:v>
                </c:pt>
                <c:pt idx="35">
                  <c:v>101.88866950000001</c:v>
                </c:pt>
              </c:numCache>
            </c:numRef>
          </c:val>
          <c:smooth val="0"/>
          <c:extLst>
            <c:ext xmlns:c16="http://schemas.microsoft.com/office/drawing/2014/chart" uri="{C3380CC4-5D6E-409C-BE32-E72D297353CC}">
              <c16:uniqueId val="{00000006-8B7F-4745-8030-E01DA2164875}"/>
            </c:ext>
          </c:extLst>
        </c:ser>
        <c:ser>
          <c:idx val="7"/>
          <c:order val="7"/>
          <c:tx>
            <c:strRef>
              <c:f>'výkonnost odvětví 5a'!$K$66</c:f>
              <c:strCache>
                <c:ptCount val="1"/>
              </c:strCache>
            </c:strRef>
          </c:tx>
          <c:spPr>
            <a:ln w="3175">
              <a:noFill/>
              <a:prstDash val="sysDash"/>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5a'!$K$67:$K$103</c:f>
              <c:numCache>
                <c:formatCode>General</c:formatCode>
                <c:ptCount val="37"/>
              </c:numCache>
            </c:numRef>
          </c:val>
          <c:smooth val="0"/>
          <c:extLst>
            <c:ext xmlns:c16="http://schemas.microsoft.com/office/drawing/2014/chart" uri="{C3380CC4-5D6E-409C-BE32-E72D297353CC}">
              <c16:uniqueId val="{00000007-8B7F-4745-8030-E01DA2164875}"/>
            </c:ext>
          </c:extLst>
        </c:ser>
        <c:ser>
          <c:idx val="8"/>
          <c:order val="8"/>
          <c:tx>
            <c:strRef>
              <c:f>'výkonnost odvětví 5a'!$L$66</c:f>
              <c:strCache>
                <c:ptCount val="1"/>
                <c:pt idx="0">
                  <c:v>Consumer confidence indicator</c:v>
                </c:pt>
              </c:strCache>
            </c:strRef>
          </c:tx>
          <c:spPr>
            <a:ln w="12700">
              <a:solidFill>
                <a:schemeClr val="bg1">
                  <a:lumMod val="50000"/>
                </a:schemeClr>
              </a:solidFill>
              <a:prstDash val="sysDot"/>
            </a:ln>
          </c:spPr>
          <c:marker>
            <c:symbol val="circle"/>
            <c:size val="5"/>
            <c:spPr>
              <a:solidFill>
                <a:srgbClr val="FFFF00"/>
              </a:solidFill>
              <a:ln>
                <a:solidFill>
                  <a:schemeClr val="bg1">
                    <a:lumMod val="50000"/>
                  </a:schemeClr>
                </a:solidFill>
              </a:ln>
            </c:spPr>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5a'!$L$67:$L$103</c:f>
              <c:numCache>
                <c:formatCode>0.0</c:formatCode>
                <c:ptCount val="37"/>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pt idx="32">
                  <c:v>-21</c:v>
                </c:pt>
                <c:pt idx="33">
                  <c:v>-20.3</c:v>
                </c:pt>
                <c:pt idx="34">
                  <c:v>-18</c:v>
                </c:pt>
                <c:pt idx="35">
                  <c:v>-18.3</c:v>
                </c:pt>
                <c:pt idx="36">
                  <c:v>-15.8</c:v>
                </c:pt>
              </c:numCache>
            </c:numRef>
          </c:val>
          <c:smooth val="0"/>
          <c:extLst>
            <c:ext xmlns:c16="http://schemas.microsoft.com/office/drawing/2014/chart" uri="{C3380CC4-5D6E-409C-BE32-E72D297353CC}">
              <c16:uniqueId val="{00000008-8B7F-4745-8030-E01DA2164875}"/>
            </c:ext>
          </c:extLst>
        </c:ser>
        <c:ser>
          <c:idx val="9"/>
          <c:order val="9"/>
          <c:tx>
            <c:strRef>
              <c:f>'výkonnost odvětví 5a'!$M$66</c:f>
              <c:strCache>
                <c:ptCount val="1"/>
                <c:pt idx="0">
                  <c:v>Confidence indicator in retail</c:v>
                </c:pt>
              </c:strCache>
            </c:strRef>
          </c:tx>
          <c:spPr>
            <a:ln w="6350">
              <a:solidFill>
                <a:schemeClr val="bg1">
                  <a:lumMod val="50000"/>
                </a:schemeClr>
              </a:solidFill>
              <a:prstDash val="sysDash"/>
            </a:ln>
          </c:spPr>
          <c:marker>
            <c:symbol val="triangle"/>
            <c:size val="5"/>
            <c:spPr>
              <a:solidFill>
                <a:schemeClr val="accent6">
                  <a:lumMod val="40000"/>
                  <a:lumOff val="60000"/>
                </a:schemeClr>
              </a:solidFill>
              <a:ln>
                <a:solidFill>
                  <a:schemeClr val="bg1">
                    <a:lumMod val="50000"/>
                  </a:schemeClr>
                </a:solidFill>
              </a:ln>
            </c:spPr>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5a'!$M$67:$M$103</c:f>
              <c:numCache>
                <c:formatCode>0.0</c:formatCode>
                <c:ptCount val="37"/>
                <c:pt idx="0">
                  <c:v>20</c:v>
                </c:pt>
                <c:pt idx="1">
                  <c:v>20.7</c:v>
                </c:pt>
                <c:pt idx="2">
                  <c:v>17.600000000000001</c:v>
                </c:pt>
                <c:pt idx="3">
                  <c:v>19.7</c:v>
                </c:pt>
                <c:pt idx="4">
                  <c:v>22.7</c:v>
                </c:pt>
                <c:pt idx="5">
                  <c:v>17.7</c:v>
                </c:pt>
                <c:pt idx="6">
                  <c:v>17.7</c:v>
                </c:pt>
                <c:pt idx="7">
                  <c:v>21</c:v>
                </c:pt>
                <c:pt idx="8">
                  <c:v>24.3</c:v>
                </c:pt>
                <c:pt idx="9">
                  <c:v>17.3</c:v>
                </c:pt>
                <c:pt idx="10">
                  <c:v>22.7</c:v>
                </c:pt>
                <c:pt idx="11">
                  <c:v>21.7</c:v>
                </c:pt>
                <c:pt idx="12">
                  <c:v>23.3</c:v>
                </c:pt>
                <c:pt idx="13">
                  <c:v>17.3</c:v>
                </c:pt>
                <c:pt idx="14">
                  <c:v>15.6</c:v>
                </c:pt>
                <c:pt idx="15">
                  <c:v>15</c:v>
                </c:pt>
                <c:pt idx="16">
                  <c:v>12.7</c:v>
                </c:pt>
                <c:pt idx="17">
                  <c:v>12.3</c:v>
                </c:pt>
                <c:pt idx="18">
                  <c:v>14.7</c:v>
                </c:pt>
                <c:pt idx="19">
                  <c:v>14.7</c:v>
                </c:pt>
                <c:pt idx="20">
                  <c:v>18.7</c:v>
                </c:pt>
                <c:pt idx="21">
                  <c:v>-1</c:v>
                </c:pt>
                <c:pt idx="22">
                  <c:v>12</c:v>
                </c:pt>
                <c:pt idx="23">
                  <c:v>7</c:v>
                </c:pt>
                <c:pt idx="24">
                  <c:v>1.3</c:v>
                </c:pt>
                <c:pt idx="25">
                  <c:v>15</c:v>
                </c:pt>
                <c:pt idx="26">
                  <c:v>18.3</c:v>
                </c:pt>
                <c:pt idx="27">
                  <c:v>21.3</c:v>
                </c:pt>
                <c:pt idx="28">
                  <c:v>19.7</c:v>
                </c:pt>
                <c:pt idx="29">
                  <c:v>19.600000000000001</c:v>
                </c:pt>
                <c:pt idx="30">
                  <c:v>10.3</c:v>
                </c:pt>
                <c:pt idx="31">
                  <c:v>14.7</c:v>
                </c:pt>
                <c:pt idx="32">
                  <c:v>9.3000000000000007</c:v>
                </c:pt>
                <c:pt idx="33">
                  <c:v>13.3</c:v>
                </c:pt>
                <c:pt idx="34">
                  <c:v>5.7</c:v>
                </c:pt>
                <c:pt idx="35">
                  <c:v>3.3</c:v>
                </c:pt>
                <c:pt idx="36">
                  <c:v>1.7</c:v>
                </c:pt>
              </c:numCache>
            </c:numRef>
          </c:val>
          <c:smooth val="0"/>
          <c:extLst>
            <c:ext xmlns:c16="http://schemas.microsoft.com/office/drawing/2014/chart" uri="{C3380CC4-5D6E-409C-BE32-E72D297353CC}">
              <c16:uniqueId val="{00000009-8B7F-4745-8030-E01DA2164875}"/>
            </c:ext>
          </c:extLst>
        </c:ser>
        <c:dLbls>
          <c:showLegendKey val="0"/>
          <c:showVal val="0"/>
          <c:showCatName val="0"/>
          <c:showSerName val="0"/>
          <c:showPercent val="0"/>
          <c:showBubbleSize val="0"/>
        </c:dLbls>
        <c:marker val="1"/>
        <c:smooth val="0"/>
        <c:axId val="1875570767"/>
        <c:axId val="1875563695"/>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2"/>
          <c:min val="-10"/>
        </c:scaling>
        <c:delete val="0"/>
        <c:axPos val="l"/>
        <c:majorGridlines>
          <c:spPr>
            <a:ln w="6350">
              <a:solidFill>
                <a:schemeClr val="bg1">
                  <a:lumMod val="75000"/>
                </a:schemeClr>
              </a:solidFill>
            </a:ln>
          </c:spPr>
        </c:majorGridlines>
        <c:title>
          <c:tx>
            <c:rich>
              <a:bodyPr/>
              <a:lstStyle/>
              <a:p>
                <a:pPr>
                  <a:defRPr sz="750" b="0" i="1"/>
                </a:pPr>
                <a:r>
                  <a:rPr lang="cs-CZ" sz="750" b="0" i="1" baseline="0"/>
                  <a:t>Contribution to the change of sales in retail </a:t>
                </a:r>
                <a:endParaRPr lang="cs-CZ" sz="750" b="0" i="1"/>
              </a:p>
            </c:rich>
          </c:tx>
          <c:layout>
            <c:manualLayout>
              <c:xMode val="edge"/>
              <c:yMode val="edge"/>
              <c:x val="2.6086947381477195E-3"/>
              <c:y val="0.11760526506306054"/>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2"/>
      </c:valAx>
      <c:valAx>
        <c:axId val="1875563695"/>
        <c:scaling>
          <c:orientation val="minMax"/>
          <c:max val="125"/>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Sales (year 2021=100), confidence indicator</a:t>
                </a:r>
              </a:p>
            </c:rich>
          </c:tx>
          <c:layout>
            <c:manualLayout>
              <c:xMode val="edge"/>
              <c:yMode val="edge"/>
              <c:x val="0.96896265019335537"/>
              <c:y val="0.1030659552748001"/>
            </c:manualLayout>
          </c:layout>
          <c:overlay val="0"/>
        </c:title>
        <c:numFmt formatCode="#,##0" sourceLinked="0"/>
        <c:majorTickMark val="out"/>
        <c:minorTickMark val="none"/>
        <c:tickLblPos val="nextTo"/>
        <c:txPr>
          <a:bodyPr/>
          <a:lstStyle/>
          <a:p>
            <a:pPr>
              <a:defRPr sz="800"/>
            </a:pPr>
            <a:endParaRPr lang="cs-CZ"/>
          </a:p>
        </c:txPr>
        <c:crossAx val="1875570767"/>
        <c:crosses val="max"/>
        <c:crossBetween val="between"/>
        <c:majorUnit val="15"/>
      </c:valAx>
      <c:catAx>
        <c:axId val="1875570767"/>
        <c:scaling>
          <c:orientation val="minMax"/>
        </c:scaling>
        <c:delete val="1"/>
        <c:axPos val="b"/>
        <c:numFmt formatCode="General" sourceLinked="1"/>
        <c:majorTickMark val="out"/>
        <c:minorTickMark val="none"/>
        <c:tickLblPos val="nextTo"/>
        <c:crossAx val="1875563695"/>
        <c:crosses val="autoZero"/>
        <c:auto val="1"/>
        <c:lblAlgn val="ctr"/>
        <c:lblOffset val="100"/>
        <c:noMultiLvlLbl val="0"/>
      </c:catAx>
      <c:spPr>
        <a:ln>
          <a:solidFill>
            <a:schemeClr val="tx1"/>
          </a:solidFill>
        </a:ln>
      </c:spPr>
    </c:plotArea>
    <c:legend>
      <c:legendPos val="r"/>
      <c:layout>
        <c:manualLayout>
          <c:xMode val="edge"/>
          <c:yMode val="edge"/>
          <c:x val="5.1385534144624996E-3"/>
          <c:y val="0.837216076019483"/>
          <c:w val="0.98691543107779145"/>
          <c:h val="0.1556565362354709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69916774474014E-2"/>
          <c:y val="4.15424531457926E-2"/>
          <c:w val="0.88202003907252513"/>
          <c:h val="0.80321247760439507"/>
        </c:manualLayout>
      </c:layout>
      <c:barChart>
        <c:barDir val="col"/>
        <c:grouping val="clustered"/>
        <c:varyColors val="0"/>
        <c:ser>
          <c:idx val="2"/>
          <c:order val="2"/>
          <c:tx>
            <c:strRef>
              <c:f>'Vnější vztahy_a'!$D$4</c:f>
              <c:strCache>
                <c:ptCount val="1"/>
                <c:pt idx="0">
                  <c:v>Balance</c:v>
                </c:pt>
              </c:strCache>
            </c:strRef>
          </c:tx>
          <c:spPr>
            <a:solidFill>
              <a:schemeClr val="bg1">
                <a:lumMod val="50000"/>
              </a:schemeClr>
            </a:solidFill>
            <a:ln>
              <a:noFill/>
            </a:ln>
            <a:effectLst/>
          </c:spPr>
          <c:invertIfNegative val="0"/>
          <c:cat>
            <c:strRef>
              <c:f>'Vnější vztahy_a'!$A$8:$A$22</c:f>
              <c:strCache>
                <c:ptCount val="15"/>
                <c:pt idx="0">
                  <c:v>2009</c:v>
                </c:pt>
                <c:pt idx="1">
                  <c:v>2010</c:v>
                </c:pt>
                <c:pt idx="2">
                  <c:v>2011</c:v>
                </c:pt>
                <c:pt idx="3">
                  <c:v>2012</c:v>
                </c:pt>
                <c:pt idx="4">
                  <c:v>2013</c:v>
                </c:pt>
                <c:pt idx="5">
                  <c:v>2014</c:v>
                </c:pt>
                <c:pt idx="6">
                  <c:v> 2015</c:v>
                </c:pt>
                <c:pt idx="7">
                  <c:v>2016</c:v>
                </c:pt>
                <c:pt idx="8">
                  <c:v>2017</c:v>
                </c:pt>
                <c:pt idx="9">
                  <c:v>2018</c:v>
                </c:pt>
                <c:pt idx="10">
                  <c:v>2019</c:v>
                </c:pt>
                <c:pt idx="11">
                  <c:v>2020</c:v>
                </c:pt>
                <c:pt idx="12">
                  <c:v>2021</c:v>
                </c:pt>
                <c:pt idx="13">
                  <c:v>2022</c:v>
                </c:pt>
                <c:pt idx="14">
                  <c:v>2023</c:v>
                </c:pt>
              </c:strCache>
            </c:strRef>
          </c:cat>
          <c:val>
            <c:numRef>
              <c:f>'Vnější vztahy_a'!$D$8:$D$22</c:f>
              <c:numCache>
                <c:formatCode>General</c:formatCode>
                <c:ptCount val="15"/>
                <c:pt idx="0">
                  <c:v>31.067</c:v>
                </c:pt>
                <c:pt idx="1">
                  <c:v>-20.579000000000001</c:v>
                </c:pt>
                <c:pt idx="2">
                  <c:v>11.977</c:v>
                </c:pt>
                <c:pt idx="3">
                  <c:v>64.41</c:v>
                </c:pt>
                <c:pt idx="4">
                  <c:v>106.518</c:v>
                </c:pt>
                <c:pt idx="5">
                  <c:v>146.00899999999999</c:v>
                </c:pt>
                <c:pt idx="6">
                  <c:v>130.97677807700001</c:v>
                </c:pt>
                <c:pt idx="7">
                  <c:v>163.65449183600001</c:v>
                </c:pt>
                <c:pt idx="8">
                  <c:v>163.466347926</c:v>
                </c:pt>
                <c:pt idx="9">
                  <c:v>98.465823833000002</c:v>
                </c:pt>
                <c:pt idx="10">
                  <c:v>145.694717411</c:v>
                </c:pt>
                <c:pt idx="11">
                  <c:v>179.640176981</c:v>
                </c:pt>
                <c:pt idx="12">
                  <c:v>-9.2046428369999997</c:v>
                </c:pt>
                <c:pt idx="13">
                  <c:v>-204.814584658</c:v>
                </c:pt>
                <c:pt idx="14">
                  <c:v>124.919996661</c:v>
                </c:pt>
              </c:numCache>
            </c:numRef>
          </c:val>
          <c:extLst>
            <c:ext xmlns:c16="http://schemas.microsoft.com/office/drawing/2014/chart" uri="{C3380CC4-5D6E-409C-BE32-E72D297353CC}">
              <c16:uniqueId val="{00000000-BBE6-474C-B5C6-CF6C28DA8596}"/>
            </c:ext>
          </c:extLst>
        </c:ser>
        <c:dLbls>
          <c:showLegendKey val="0"/>
          <c:showVal val="0"/>
          <c:showCatName val="0"/>
          <c:showSerName val="0"/>
          <c:showPercent val="0"/>
          <c:showBubbleSize val="0"/>
        </c:dLbls>
        <c:gapWidth val="100"/>
        <c:axId val="1171842912"/>
        <c:axId val="1599917024"/>
      </c:barChart>
      <c:lineChart>
        <c:grouping val="standard"/>
        <c:varyColors val="0"/>
        <c:ser>
          <c:idx val="0"/>
          <c:order val="0"/>
          <c:tx>
            <c:strRef>
              <c:f>'Vnější vztahy_a'!$B$4</c:f>
              <c:strCache>
                <c:ptCount val="1"/>
                <c:pt idx="0">
                  <c:v>Export</c:v>
                </c:pt>
              </c:strCache>
            </c:strRef>
          </c:tx>
          <c:spPr>
            <a:ln w="28575" cap="rnd">
              <a:noFill/>
              <a:round/>
            </a:ln>
            <a:effectLst/>
          </c:spPr>
          <c:marker>
            <c:symbol val="dash"/>
            <c:size val="10"/>
            <c:spPr>
              <a:solidFill>
                <a:srgbClr val="0070C0"/>
              </a:solidFill>
              <a:ln w="9525">
                <a:solidFill>
                  <a:srgbClr val="0070C0"/>
                </a:solidFill>
              </a:ln>
              <a:effectLst/>
            </c:spPr>
          </c:marker>
          <c:cat>
            <c:strRef>
              <c:f>'Vnější vztahy_a'!$A$8:$A$22</c:f>
              <c:strCache>
                <c:ptCount val="15"/>
                <c:pt idx="0">
                  <c:v>2009</c:v>
                </c:pt>
                <c:pt idx="1">
                  <c:v>2010</c:v>
                </c:pt>
                <c:pt idx="2">
                  <c:v>2011</c:v>
                </c:pt>
                <c:pt idx="3">
                  <c:v>2012</c:v>
                </c:pt>
                <c:pt idx="4">
                  <c:v>2013</c:v>
                </c:pt>
                <c:pt idx="5">
                  <c:v>2014</c:v>
                </c:pt>
                <c:pt idx="6">
                  <c:v> 2015</c:v>
                </c:pt>
                <c:pt idx="7">
                  <c:v>2016</c:v>
                </c:pt>
                <c:pt idx="8">
                  <c:v>2017</c:v>
                </c:pt>
                <c:pt idx="9">
                  <c:v>2018</c:v>
                </c:pt>
                <c:pt idx="10">
                  <c:v>2019</c:v>
                </c:pt>
                <c:pt idx="11">
                  <c:v>2020</c:v>
                </c:pt>
                <c:pt idx="12">
                  <c:v>2021</c:v>
                </c:pt>
                <c:pt idx="13">
                  <c:v>2022</c:v>
                </c:pt>
                <c:pt idx="14">
                  <c:v>2023</c:v>
                </c:pt>
              </c:strCache>
            </c:strRef>
          </c:cat>
          <c:val>
            <c:numRef>
              <c:f>'Vnější vztahy_a'!$B$8:$B$22</c:f>
              <c:numCache>
                <c:formatCode>General</c:formatCode>
                <c:ptCount val="15"/>
                <c:pt idx="0">
                  <c:v>-10.81189551944207</c:v>
                </c:pt>
                <c:pt idx="1">
                  <c:v>14.827022335007905</c:v>
                </c:pt>
                <c:pt idx="2">
                  <c:v>10.112037607700053</c:v>
                </c:pt>
                <c:pt idx="3">
                  <c:v>6.0251090942966021</c:v>
                </c:pt>
                <c:pt idx="4">
                  <c:v>2.2153513610284965</c:v>
                </c:pt>
                <c:pt idx="5">
                  <c:v>13.027208809035864</c:v>
                </c:pt>
                <c:pt idx="6">
                  <c:v>3.612768163576892</c:v>
                </c:pt>
                <c:pt idx="7">
                  <c:v>1.1074296541764621</c:v>
                </c:pt>
                <c:pt idx="8">
                  <c:v>6.4802705295808352</c:v>
                </c:pt>
                <c:pt idx="9">
                  <c:v>2.9418083571864679</c:v>
                </c:pt>
                <c:pt idx="10">
                  <c:v>2.0884439685547389</c:v>
                </c:pt>
                <c:pt idx="11">
                  <c:v>-7.0747075448299528</c:v>
                </c:pt>
                <c:pt idx="12">
                  <c:v>13.140723420675524</c:v>
                </c:pt>
                <c:pt idx="13">
                  <c:v>13.550170704130696</c:v>
                </c:pt>
                <c:pt idx="14">
                  <c:v>1.0303976290863077</c:v>
                </c:pt>
              </c:numCache>
            </c:numRef>
          </c:val>
          <c:smooth val="0"/>
          <c:extLst>
            <c:ext xmlns:c16="http://schemas.microsoft.com/office/drawing/2014/chart" uri="{C3380CC4-5D6E-409C-BE32-E72D297353CC}">
              <c16:uniqueId val="{00000001-BBE6-474C-B5C6-CF6C28DA8596}"/>
            </c:ext>
          </c:extLst>
        </c:ser>
        <c:ser>
          <c:idx val="1"/>
          <c:order val="1"/>
          <c:tx>
            <c:strRef>
              <c:f>'Vnější vztahy_a'!$C$4</c:f>
              <c:strCache>
                <c:ptCount val="1"/>
                <c:pt idx="0">
                  <c:v>Import</c:v>
                </c:pt>
              </c:strCache>
            </c:strRef>
          </c:tx>
          <c:spPr>
            <a:ln w="28575" cap="rnd">
              <a:noFill/>
              <a:round/>
            </a:ln>
            <a:effectLst/>
          </c:spPr>
          <c:marker>
            <c:symbol val="dash"/>
            <c:size val="10"/>
            <c:spPr>
              <a:solidFill>
                <a:srgbClr val="BD1B21"/>
              </a:solidFill>
              <a:ln w="9525">
                <a:solidFill>
                  <a:srgbClr val="BD1B21"/>
                </a:solidFill>
              </a:ln>
              <a:effectLst/>
            </c:spPr>
          </c:marker>
          <c:cat>
            <c:strRef>
              <c:f>'Vnější vztahy_a'!$A$8:$A$22</c:f>
              <c:strCache>
                <c:ptCount val="15"/>
                <c:pt idx="0">
                  <c:v>2009</c:v>
                </c:pt>
                <c:pt idx="1">
                  <c:v>2010</c:v>
                </c:pt>
                <c:pt idx="2">
                  <c:v>2011</c:v>
                </c:pt>
                <c:pt idx="3">
                  <c:v>2012</c:v>
                </c:pt>
                <c:pt idx="4">
                  <c:v>2013</c:v>
                </c:pt>
                <c:pt idx="5">
                  <c:v>2014</c:v>
                </c:pt>
                <c:pt idx="6">
                  <c:v> 2015</c:v>
                </c:pt>
                <c:pt idx="7">
                  <c:v>2016</c:v>
                </c:pt>
                <c:pt idx="8">
                  <c:v>2017</c:v>
                </c:pt>
                <c:pt idx="9">
                  <c:v>2018</c:v>
                </c:pt>
                <c:pt idx="10">
                  <c:v>2019</c:v>
                </c:pt>
                <c:pt idx="11">
                  <c:v>2020</c:v>
                </c:pt>
                <c:pt idx="12">
                  <c:v>2021</c:v>
                </c:pt>
                <c:pt idx="13">
                  <c:v>2022</c:v>
                </c:pt>
                <c:pt idx="14">
                  <c:v>2023</c:v>
                </c:pt>
              </c:strCache>
            </c:strRef>
          </c:cat>
          <c:val>
            <c:numRef>
              <c:f>'Vnější vztahy_a'!$C$8:$C$22</c:f>
              <c:numCache>
                <c:formatCode>General</c:formatCode>
                <c:ptCount val="15"/>
                <c:pt idx="0">
                  <c:v>-13.849775964188691</c:v>
                </c:pt>
                <c:pt idx="1">
                  <c:v>17.636423931022911</c:v>
                </c:pt>
                <c:pt idx="2">
                  <c:v>8.6415161627225725</c:v>
                </c:pt>
                <c:pt idx="3">
                  <c:v>4.0042767307394715</c:v>
                </c:pt>
                <c:pt idx="4">
                  <c:v>0.68681070942259659</c:v>
                </c:pt>
                <c:pt idx="5">
                  <c:v>12.071376353644107</c:v>
                </c:pt>
                <c:pt idx="6">
                  <c:v>4.2889556626306211</c:v>
                </c:pt>
                <c:pt idx="7">
                  <c:v>0.11038963287046219</c:v>
                </c:pt>
                <c:pt idx="8">
                  <c:v>6.8245079237178157</c:v>
                </c:pt>
                <c:pt idx="9">
                  <c:v>5.0260247733996772</c:v>
                </c:pt>
                <c:pt idx="10">
                  <c:v>0.80432261722678255</c:v>
                </c:pt>
                <c:pt idx="11">
                  <c:v>-8.3226511448622933</c:v>
                </c:pt>
                <c:pt idx="12">
                  <c:v>19.675778990593603</c:v>
                </c:pt>
                <c:pt idx="13">
                  <c:v>18.545883799731584</c:v>
                </c:pt>
                <c:pt idx="14">
                  <c:v>-6.1646446995664022</c:v>
                </c:pt>
              </c:numCache>
            </c:numRef>
          </c:val>
          <c:smooth val="0"/>
          <c:extLst>
            <c:ext xmlns:c16="http://schemas.microsoft.com/office/drawing/2014/chart" uri="{C3380CC4-5D6E-409C-BE32-E72D297353CC}">
              <c16:uniqueId val="{00000002-BBE6-474C-B5C6-CF6C28DA8596}"/>
            </c:ext>
          </c:extLst>
        </c:ser>
        <c:dLbls>
          <c:showLegendKey val="0"/>
          <c:showVal val="0"/>
          <c:showCatName val="0"/>
          <c:showSerName val="0"/>
          <c:showPercent val="0"/>
          <c:showBubbleSize val="0"/>
        </c:dLbls>
        <c:marker val="1"/>
        <c:smooth val="0"/>
        <c:axId val="1603910352"/>
        <c:axId val="1603910768"/>
      </c:lineChart>
      <c:catAx>
        <c:axId val="1603910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603910768"/>
        <c:crosses val="autoZero"/>
        <c:auto val="1"/>
        <c:lblAlgn val="ctr"/>
        <c:lblOffset val="100"/>
        <c:noMultiLvlLbl val="0"/>
      </c:catAx>
      <c:valAx>
        <c:axId val="1603910768"/>
        <c:scaling>
          <c:orientation val="minMax"/>
          <c:max val="21"/>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603910352"/>
        <c:crosses val="autoZero"/>
        <c:crossBetween val="between"/>
        <c:majorUnit val="3"/>
      </c:valAx>
      <c:valAx>
        <c:axId val="1599917024"/>
        <c:scaling>
          <c:orientation val="minMax"/>
          <c:max val="210"/>
          <c:min val="-21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171842912"/>
        <c:crosses val="max"/>
        <c:crossBetween val="between"/>
        <c:majorUnit val="35"/>
      </c:valAx>
      <c:catAx>
        <c:axId val="1171842912"/>
        <c:scaling>
          <c:orientation val="minMax"/>
        </c:scaling>
        <c:delete val="1"/>
        <c:axPos val="b"/>
        <c:numFmt formatCode="General" sourceLinked="1"/>
        <c:majorTickMark val="out"/>
        <c:minorTickMark val="none"/>
        <c:tickLblPos val="nextTo"/>
        <c:crossAx val="1599917024"/>
        <c:crosses val="autoZero"/>
        <c:auto val="1"/>
        <c:lblAlgn val="ctr"/>
        <c:lblOffset val="100"/>
        <c:noMultiLvlLbl val="0"/>
      </c:catAx>
      <c:spPr>
        <a:noFill/>
        <a:ln>
          <a:noFill/>
        </a:ln>
        <a:effectLst/>
      </c:spPr>
    </c:plotArea>
    <c:legend>
      <c:legendPos val="b"/>
      <c:layout>
        <c:manualLayout>
          <c:xMode val="edge"/>
          <c:yMode val="edge"/>
          <c:x val="6.7324160543034778E-2"/>
          <c:y val="0.92127482102101654"/>
          <c:w val="0.85470865828300857"/>
          <c:h val="5.606565908127839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204C7C21F48A488F44995C5F8FB06D" ma:contentTypeVersion="11" ma:contentTypeDescription="Vytvoří nový dokument" ma:contentTypeScope="" ma:versionID="9a58d24f60b264923fe9c7150327a53c">
  <xsd:schema xmlns:xsd="http://www.w3.org/2001/XMLSchema" xmlns:xs="http://www.w3.org/2001/XMLSchema" xmlns:p="http://schemas.microsoft.com/office/2006/metadata/properties" xmlns:ns3="b8c0c86d-151e-4fca-b0d5-747e6692fa1d" targetNamespace="http://schemas.microsoft.com/office/2006/metadata/properties" ma:root="true" ma:fieldsID="91c8efd7c542b57fe84d8bfb95d003d1" ns3:_="">
    <xsd:import namespace="b8c0c86d-151e-4fca-b0d5-747e6692fa1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0c86d-151e-4fca-b0d5-747e6692f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8702-393C-4E0B-95FC-639749005827}">
  <ds:schemaRef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b8c0c86d-151e-4fca-b0d5-747e6692fa1d"/>
    <ds:schemaRef ds:uri="http://purl.org/dc/elements/1.1/"/>
    <ds:schemaRef ds:uri="http://schemas.microsoft.com/office/2006/documentManagement/types"/>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E5E561CC-7D6C-40EF-AB10-C45997A7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0c86d-151e-4fca-b0d5-747e6692f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4AB66-762E-440D-B2D4-0870B60727A4}">
  <ds:schemaRefs>
    <ds:schemaRef ds:uri="http://schemas.openxmlformats.org/officeDocument/2006/bibliography"/>
  </ds:schemaRefs>
</ds:datastoreItem>
</file>

<file path=customXml/itemProps5.xml><?xml version="1.0" encoding="utf-8"?>
<ds:datastoreItem xmlns:ds="http://schemas.openxmlformats.org/officeDocument/2006/customXml" ds:itemID="{4EA7DAA5-BE74-44D6-8C4A-FED79239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51</Pages>
  <Words>21365</Words>
  <Characters>126060</Characters>
  <Application>Microsoft Office Word</Application>
  <DocSecurity>0</DocSecurity>
  <Lines>1050</Lines>
  <Paragraphs>294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147131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Zábojníková Karolína</cp:lastModifiedBy>
  <cp:revision>3</cp:revision>
  <cp:lastPrinted>2023-06-09T17:23:00Z</cp:lastPrinted>
  <dcterms:created xsi:type="dcterms:W3CDTF">2024-04-22T10:42:00Z</dcterms:created>
  <dcterms:modified xsi:type="dcterms:W3CDTF">2024-04-22T10:43:00Z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0x01010070204C7C21F48A488F44995C5F8FB06D</vt:lpwstr>
  </property>
  <property fmtid="{D5CDD505-2E9C-101B-9397-08002B2CF9AE}" pid="3" name="MSIP_Label_29db9e61-aac5-4f6e-805d-ceb8cb9983a1_Enabled">
    <vt:lpwstr>true</vt:lpwstr>
  </property>
  <property fmtid="{D5CDD505-2E9C-101B-9397-08002B2CF9AE}" pid="4" name="MSIP_Label_29db9e61-aac5-4f6e-805d-ceb8cb9983a1_SetDate">
    <vt:lpwstr>2024-03-22T14:14:48Z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eaf1372b-ac54-42e1-a5b2-08a13702404b</vt:lpwstr>
  </property>
  <property fmtid="{D5CDD505-2E9C-101B-9397-08002B2CF9AE}" pid="9" name="MSIP_Label_29db9e61-aac5-4f6e-805d-ceb8cb9983a1_ContentBits">
    <vt:lpwstr>0</vt:lpwstr>
  </property>
</Properties>
</file>