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1CA90" w14:textId="7604C5D7" w:rsidR="00EA1EBB" w:rsidRPr="009110F7" w:rsidRDefault="00263325" w:rsidP="00EA1EBB">
      <w:pPr>
        <w:pStyle w:val="Nadpis1"/>
      </w:pPr>
      <w:bookmarkStart w:id="0" w:name="_Toc145318531"/>
      <w:bookmarkStart w:id="1" w:name="_Toc153531174"/>
      <w:bookmarkStart w:id="2" w:name="_Toc161914422"/>
      <w:bookmarkStart w:id="3" w:name="_Toc137233026"/>
      <w:bookmarkStart w:id="4" w:name="_Toc130286019"/>
      <w:bookmarkStart w:id="5" w:name="_Toc114134050"/>
      <w:bookmarkStart w:id="6" w:name="_Toc121993822"/>
      <w:r>
        <w:t>2</w:t>
      </w:r>
      <w:r w:rsidR="00EA1EBB">
        <w:t>. Souhrnná výkonnost</w:t>
      </w:r>
      <w:bookmarkEnd w:id="0"/>
      <w:bookmarkEnd w:id="1"/>
      <w:bookmarkEnd w:id="2"/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EA1EBB" w:rsidRPr="009110F7" w14:paraId="2F58A64B" w14:textId="77777777" w:rsidTr="00BA512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A54FC82" w14:textId="77777777" w:rsidR="00EA1EBB" w:rsidRDefault="00EA1EBB" w:rsidP="00BA5125">
            <w:pPr>
              <w:pStyle w:val="Marginlie"/>
            </w:pPr>
            <w:r>
              <w:t>Česká ekonomika loni klesla.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967ED5A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30985A3" w14:textId="78DD1834" w:rsidR="00EA1EBB" w:rsidRPr="00014ED0" w:rsidRDefault="00EA1EBB" w:rsidP="00582A12">
            <w:pPr>
              <w:rPr>
                <w:spacing w:val="-2"/>
              </w:rPr>
            </w:pPr>
            <w:r>
              <w:rPr>
                <w:spacing w:val="-2"/>
              </w:rPr>
              <w:t>Česká ekonomika se v roce 2023 potýkala s kombinací vlivu rostoucí zahraniční poptávky, domácí investiční aktivity a vládní spotřeby a pokračujícího propadu spotřeby domácností a negativního působení změny zásob. Výsledkem bylo kolísání ekonomiky v pásmu stagnace. Celkově hrubý domácí produkt (HDP) loni klesl o 0,4 %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>. V</w:t>
            </w:r>
            <w:r w:rsidR="00582A12">
              <w:rPr>
                <w:spacing w:val="-2"/>
              </w:rPr>
              <w:t> </w:t>
            </w:r>
            <w:r>
              <w:rPr>
                <w:spacing w:val="-2"/>
              </w:rPr>
              <w:t>jednotlivých čtvrtletích se HDP meziročně snižoval (postupně −0,3 %, −0,2 %, −0,8 % a −0,2 %). V samotném závěru roku ve směru meziročního poklesu HDP působila změna zásob a její vliv zcela překonal pozitivní příspěvek spotřeby</w:t>
            </w:r>
            <w:r w:rsidRPr="00014ED0">
              <w:rPr>
                <w:rStyle w:val="Znakapoznpodarou"/>
                <w:spacing w:val="-2"/>
              </w:rPr>
              <w:footnoteReference w:id="2"/>
            </w:r>
            <w:r>
              <w:rPr>
                <w:spacing w:val="-2"/>
              </w:rPr>
              <w:t>, investic i zahraniční poptávky. Po dvou mezičtvrtletních poklesech HDP z druhé poloviny roku 2022 loni došlo k oživení (0,1 % a 0,2 % v 1. a 2. čtvrtletí 2023) a pak k dalšímu poklesu o 0,8 % ve 3.</w:t>
            </w:r>
            <w:r w:rsidR="00582A12">
              <w:rPr>
                <w:spacing w:val="-2"/>
              </w:rPr>
              <w:t> </w:t>
            </w:r>
            <w:r>
              <w:rPr>
                <w:spacing w:val="-2"/>
              </w:rPr>
              <w:t xml:space="preserve">čtvrtletí. Ve 4. kvartálu HDP opět mezičtvrtletně vzrostl (0,2 %) a přispíval k tomu vývoj spotřeby domácností, investice i zahraniční poptávka. Oživení HDP ale brzdila spotřeba vládních institucí a rovněž změna zásob. Hrubý domácí produkt ve stálých cenách loni zaostával meziročně ale také za úrovní předpandemického roku 2019, který byl v roce 2022 mírně překonán.     </w:t>
            </w:r>
          </w:p>
        </w:tc>
      </w:tr>
      <w:tr w:rsidR="00EA1EBB" w:rsidRPr="009110F7" w14:paraId="30F8CC2F" w14:textId="77777777" w:rsidTr="00BA5125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76F04A2F" w14:textId="77777777" w:rsidR="00EA1EBB" w:rsidRDefault="00EA1EBB" w:rsidP="00BA5125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7B5ADD17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7E0AA79" w14:textId="77777777" w:rsidR="00EA1EBB" w:rsidRPr="00D721B4" w:rsidRDefault="00EA1EBB" w:rsidP="00BA5125">
            <w:pPr>
              <w:spacing w:after="0"/>
              <w:rPr>
                <w:b/>
                <w:szCs w:val="20"/>
              </w:rPr>
            </w:pPr>
            <w:r w:rsidRPr="00D721B4"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očištěno o sezónní a kalendářní vlivy, v %)</w:t>
            </w:r>
          </w:p>
        </w:tc>
      </w:tr>
      <w:tr w:rsidR="00EA1EBB" w:rsidRPr="009110F7" w14:paraId="67E5DD17" w14:textId="77777777" w:rsidTr="00BA512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</w:tcPr>
          <w:p w14:paraId="53BDF3F3" w14:textId="77777777" w:rsidR="00EA1EBB" w:rsidRPr="009110F7" w:rsidRDefault="00EA1EBB" w:rsidP="00BA5125">
            <w:pPr>
              <w:pStyle w:val="Marginlie"/>
            </w:pPr>
          </w:p>
        </w:tc>
        <w:tc>
          <w:tcPr>
            <w:tcW w:w="223" w:type="dxa"/>
            <w:vMerge/>
          </w:tcPr>
          <w:p w14:paraId="3944990E" w14:textId="77777777" w:rsidR="00EA1EBB" w:rsidRPr="009110F7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7B07785" w14:textId="77777777" w:rsidR="00EA1EBB" w:rsidRPr="009110F7" w:rsidRDefault="00EA1EBB" w:rsidP="00BA512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7E94D38" wp14:editId="1C440FD9">
                  <wp:extent cx="4737600" cy="3553200"/>
                  <wp:effectExtent l="0" t="0" r="6350" b="0"/>
                  <wp:docPr id="3" name="Graf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A1EBB" w:rsidRPr="009110F7" w14:paraId="10397AC7" w14:textId="77777777" w:rsidTr="00BA5125">
        <w:trPr>
          <w:trHeight w:val="170"/>
        </w:trPr>
        <w:tc>
          <w:tcPr>
            <w:tcW w:w="1806" w:type="dxa"/>
            <w:vMerge/>
            <w:tcMar>
              <w:left w:w="0" w:type="dxa"/>
            </w:tcMar>
          </w:tcPr>
          <w:p w14:paraId="785FA8E6" w14:textId="77777777" w:rsidR="00EA1EBB" w:rsidRPr="009110F7" w:rsidRDefault="00EA1EBB" w:rsidP="00BA5125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08DF6ED4" w14:textId="77777777" w:rsidR="00EA1EBB" w:rsidRPr="009110F7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EAB6473" w14:textId="77777777" w:rsidR="00EA1EBB" w:rsidRPr="009110F7" w:rsidRDefault="00EA1EBB" w:rsidP="00BA5125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Eurostat</w:t>
            </w:r>
          </w:p>
        </w:tc>
      </w:tr>
      <w:tr w:rsidR="00EA1EBB" w:rsidRPr="009110F7" w14:paraId="3952C244" w14:textId="77777777" w:rsidTr="00BA512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827E675" w14:textId="77777777" w:rsidR="00EA1EBB" w:rsidRDefault="00EA1EBB" w:rsidP="00BA5125">
            <w:pPr>
              <w:pStyle w:val="Marginlie"/>
            </w:pPr>
            <w:r>
              <w:t>Středoevropský region ve 4. čtvrtletí ekonomicky stagnoval.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DC0D8E3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A4D7A1E" w14:textId="77777777" w:rsidR="00EA1EBB" w:rsidRDefault="00EA1EBB" w:rsidP="00BA5125">
            <w:r>
              <w:t xml:space="preserve">Hrubý domácí produkt v EU ve 4. čtvrtletí meziročně vzrostl o 0,2 % a přírůstek tak mírně posílil. U jednotlivých zemí se meziroční dynamika HDP na konci roku pohybovala v poměrně širokém rozpětí. V devíti zemích ve 4. čtvrtletí HDP meziročně klesl, nejvíce v Irsku (−9,1 %), Estonsku (−2,5 %) a Finsku (−1,6 %), zaostávala ale také pro české exportéry důležitá německá ekonomika (−0,2 %). Naproti tomu nejsilnější meziroční přírůstek HDP byl ve 4. kvartálu zaznamenán v Chorvatsku (4,3 %), na Maltě (4,3 %) a v Dánsku (3,1 %). Mezičtvrtletní vývoj HDP v EU již více než rok kolísá těsně kolem stagnace a ve 4. čtvrtletí se HDP také reálně nezměnil oproti předcházejícímu kvartálu. U více než poloviny zemí EU HDP mezičtvrtletně vzrostl. Celkovou stagnaci HDP v EU ovlivnil jednak prudký pokles v Irsku (−3,4 %) a dále </w:t>
            </w:r>
            <w:r>
              <w:lastRenderedPageBreak/>
              <w:t xml:space="preserve">pokles Německa (−0,3 %) a slabý růst Francie (0,1 %). Velká skupina zemí na konci roku 2023 vykázala jen slabý ekonomický růst, mezi nimi i celý středoevropský region (stagnovalo Maďarsko, Rakousko, Polsko, slabě rostlo Česko a o 0,3 % vzrostl HDP na Slovensku). Nejvíce mezičtvrtletně vzrostl HDP v Dánsku (2,0 %), Chorvatsku (1,3 %) a ve Slovinsku (1,1 %). </w:t>
            </w:r>
          </w:p>
        </w:tc>
      </w:tr>
      <w:tr w:rsidR="00EA1EBB" w:rsidRPr="009110F7" w14:paraId="3EEBE7DD" w14:textId="77777777" w:rsidTr="00BA512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6F37DB9" w14:textId="77777777" w:rsidR="00EA1EBB" w:rsidRDefault="00EA1EBB" w:rsidP="00BA5125">
            <w:pPr>
              <w:pStyle w:val="Marginlie"/>
            </w:pPr>
            <w:r>
              <w:lastRenderedPageBreak/>
              <w:t xml:space="preserve">Nominální růst mezd </w:t>
            </w:r>
            <w:r>
              <w:br/>
              <w:t>a platů zůstával vysoký.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62B05F0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B8F98F6" w14:textId="407D7A0E" w:rsidR="00EA1EBB" w:rsidRPr="00014ED0" w:rsidRDefault="00EA1EBB" w:rsidP="00BA5125">
            <w:r>
              <w:t>Celkový objem vyplacených mezd a platů loni nominálně vzrostl o 8,0 % při současném navýšení celkové zaměstnanosti</w:t>
            </w:r>
            <w:r w:rsidRPr="00014ED0">
              <w:rPr>
                <w:rStyle w:val="Znakapoznpodarou"/>
                <w:spacing w:val="-2"/>
              </w:rPr>
              <w:footnoteReference w:id="3"/>
            </w:r>
            <w:r>
              <w:t xml:space="preserve"> o 0,8 %. Vzhledem k pokračujícímu růstu cenové hladiny ale výdělky reálně klesly o 1,2 %</w:t>
            </w:r>
            <w:r>
              <w:rPr>
                <w:rStyle w:val="Znakapoznpodarou"/>
                <w:spacing w:val="-2"/>
              </w:rPr>
              <w:footnoteReference w:id="4"/>
            </w:r>
            <w:r>
              <w:t>. Objem mezd a platů loni nejvíce rostl v činnostech v oblasti nemovitostí (15,6 %), v ostatních činnostech</w:t>
            </w:r>
            <w:r>
              <w:rPr>
                <w:rStyle w:val="Znakapoznpodarou"/>
                <w:spacing w:val="-2"/>
              </w:rPr>
              <w:footnoteReference w:id="5"/>
            </w:r>
            <w:r w:rsidR="00582A12">
              <w:t xml:space="preserve"> (10,3 %) </w:t>
            </w:r>
            <w:r>
              <w:t>a v profesních, vědeckých, technických a administrativních činnostech (9,9 %). Naopak výrazně podprůměrné bylo navýšení mezd a platů v zemědělství, lesnictví a rybářství (4,8 %), v peněžnictví a pojišťovnictví (6,2 %) a ve zpracovatelském průmyslu (6,9 %). Mzdová dynamika v průběhu roku zpomalovala a meziroční růst objemu mezd a platů ve 4. čtvrtletí dosáhl 6,6 % za současného přírůstku celkové zaměstnanosti o 0,4 %. Cenový růst loni oslaboval rychleji než nominální navýšení mezd a platů, takže ve 4. čtvrtletí mírně posílil reálný meziroční přírůstek objemu mezd a platů na 0,5 %. Mzdy a platy nejvíce meziročně rostly v odvětví ostatních činností (12,9 % při růstu zaměstnanosti o 2,9 %), těsně následované činnostmi v oblasti nemovitostí (12,5 % při růstu zaměstnanosti o 0,8 %). Nadprůměrný byl přírůstek objemu mezd a platů v profesních, vědeckých, technických a administrativních činnostech (8,6 %, zaměstnanost o 2,5 %) a v informačních a komunikačních činnostech (7,5 %, zaměstnanost o 1,0 %). Výrazně pomaleji než ve zbytku ekonomiky rostly mzdy a platy ve zpracovatelském průmyslu (5,1 %), kde zároveň meziročně klesla zaměstnanost o 1,3 %, a v peněžnictví a pojišťovnictví (5,0 % při poklesu zaměstnanosti o 1,2 %).</w:t>
            </w:r>
          </w:p>
        </w:tc>
      </w:tr>
      <w:tr w:rsidR="00EA1EBB" w:rsidRPr="009110F7" w14:paraId="5BC159AD" w14:textId="77777777" w:rsidTr="00BA512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B2AE299" w14:textId="77777777" w:rsidR="00EA1EBB" w:rsidRDefault="00EA1EBB" w:rsidP="00BA5125">
            <w:pPr>
              <w:pStyle w:val="Marginlie"/>
            </w:pPr>
            <w:r>
              <w:t xml:space="preserve">Na konci roku 2023 posílil mezičtvrtletní růst mezd </w:t>
            </w:r>
            <w:r>
              <w:br/>
              <w:t>a platů.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743F534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5229BD7" w14:textId="77777777" w:rsidR="00EA1EBB" w:rsidRDefault="00EA1EBB" w:rsidP="00BA5125">
            <w:r>
              <w:t>Mezičtvrtletní růst mezd a platů ve 4. čtvrtletí posílil na 1,7 %, zatímco celková zaměstnanost v zásadě stagnovala (−0,1 %). Mzdy a platy rostly reálně o 0,7 %. Oživení mzdové dynamiky se týkalo celé ekonomiky. Nejvíce mezičtvrtletně stoupl objem mezd a platů v ostatních činnostech (6,2 %), kde také silně vzrostla zaměstnanost (2,4 %). Silně rostly mzdy a platy také v uskupení obchod, doprava, ubytování a pohostinství (3,1 %, zaměstnanost klesla o 1,1 %), v peněžnictví a pojišťovnictví (2,4 %, zaměstnanost −1,1 %) a ve stavebnictví (2,0 %, zaměstnanost −1,0 %). Naopak mezičtvrtletní přírůstek mezd a platů oslabil na 0,5 % ve veřejné správě a obraně, vzdělávání, zdravotní a sociální péči při současném růstu zaměstnanosti o 1,0 %. Pod průměrem celé ekonomiky byla mzdová dynamika také ve zpracovatelském průmyslu (1,2 %, zaměstnanost −0,3 %).</w:t>
            </w:r>
          </w:p>
        </w:tc>
      </w:tr>
      <w:tr w:rsidR="00EA1EBB" w:rsidRPr="009110F7" w14:paraId="1B84378E" w14:textId="77777777" w:rsidTr="00BA512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39A2222" w14:textId="77777777" w:rsidR="00EA1EBB" w:rsidRDefault="00EA1EBB" w:rsidP="00BA5125">
            <w:pPr>
              <w:pStyle w:val="Marginlie"/>
            </w:pPr>
            <w:r>
              <w:t>Spotřeba domácností se loni silně propadla.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B1C357C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43CCCA9" w14:textId="77777777" w:rsidR="00EA1EBB" w:rsidRDefault="00EA1EBB" w:rsidP="00BA5125">
            <w:pPr>
              <w:rPr>
                <w:spacing w:val="-2"/>
              </w:rPr>
            </w:pPr>
            <w:r>
              <w:rPr>
                <w:spacing w:val="-2"/>
              </w:rPr>
              <w:t>Domácí spotřeba loni celkově klesla o 1,2 %. Stál za tím výhradně vývoj spotřeby domácností, která byla nižší o 3,1 %. S výjimkou pandemického roku 2020 to byl nejhlubší zaznamenaný pokles spotřeby domácností v historii samostatné ČR. Spotřeba vládních institucí naopak loni vzrostla o 3,0 %. Z hlediska členění spotřeby domácností podle trvanlivosti</w:t>
            </w:r>
            <w:r>
              <w:rPr>
                <w:rStyle w:val="Znakapoznpodarou"/>
              </w:rPr>
              <w:footnoteReference w:id="6"/>
            </w:r>
            <w:r>
              <w:rPr>
                <w:spacing w:val="-2"/>
              </w:rPr>
              <w:t xml:space="preserve"> loni klesaly všechny její typy. Nejvíce se propadla spotřeba střednědobých (−6,3 %) a dlouhodobých (−4,4 %) statků. Domácnosti výrazně redukovaly výdaje také u krátkodobé spotřeby (−4,1 %). Ta během posledních čtyř let třikrát reálně klesla a spadla tak pod úroveň roku 2015. Spotřeba služeb loni klesla o 0,4 %. Ve 4. čtvrtletí spotřeba celkově meziročně vzrostla o 0,3 %, poprvé od 2. čtvrtletí 2022. Meziroční pokles spotřeby domácností se zmírnil na −0,5 % a vládní spotřeba meziročně vzrostla o 1,9 %. Na dva mezičtvrtletní nárůsty ze 2. a 3. čtvrtletí navázala </w:t>
            </w:r>
            <w:r>
              <w:rPr>
                <w:spacing w:val="-2"/>
              </w:rPr>
              <w:lastRenderedPageBreak/>
              <w:t xml:space="preserve">spotřeba ve 4. kvartálu stagnací. Spotřeba domácností byla mezičtvrtletně vyšší o 0,5 %, zatímco vládní spotřeba klesla o 1,3 %. V samotném 4. čtvrtletí meziročně vzrostla dlouhodobá (2,0 %, poprvé od 1. čtvrtletí 2022) i krátkodobá (0,9 %, poprvé od konce roku 2021) spotřeba a stagnovala spotřeba služeb. Meziroční propad střednědobé spotřeby ale pokračoval (−4,8 %). Mezičtvrtletně vyšší byla spotřeba dlouhodobých (2,7 %) i střednědobých (3,2 %) statků i služeb (2,1 %). U netrvanlivého zboží ale spotřeba domácností ve 4. kvartálu mezičtvrtletně klesla o 1,8 %.  </w:t>
            </w:r>
          </w:p>
        </w:tc>
      </w:tr>
      <w:tr w:rsidR="00EA1EBB" w:rsidRPr="009110F7" w14:paraId="1A04B19A" w14:textId="77777777" w:rsidTr="00BA5125">
        <w:trPr>
          <w:trHeight w:val="154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3A53F2FE" w14:textId="77777777" w:rsidR="00EA1EBB" w:rsidRDefault="00EA1EBB" w:rsidP="00BA5125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419DBAC9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B1399EB" w14:textId="77777777" w:rsidR="00EA1EBB" w:rsidRDefault="00EA1EBB" w:rsidP="00BA5125">
            <w:pPr>
              <w:spacing w:after="0"/>
            </w:pPr>
            <w:r w:rsidRPr="00D721B4">
              <w:rPr>
                <w:b/>
                <w:szCs w:val="20"/>
              </w:rPr>
              <w:t>Graf č. 2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výdajových složek k reálné změně HDP*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růst, příspěvky v p. b., HDP v %)</w:t>
            </w:r>
          </w:p>
        </w:tc>
      </w:tr>
      <w:tr w:rsidR="00EA1EBB" w:rsidRPr="009110F7" w14:paraId="1E3F9AE0" w14:textId="77777777" w:rsidTr="00BA5125">
        <w:tblPrEx>
          <w:tblCellMar>
            <w:left w:w="70" w:type="dxa"/>
            <w:right w:w="70" w:type="dxa"/>
          </w:tblCellMar>
        </w:tblPrEx>
        <w:trPr>
          <w:trHeight w:val="154"/>
        </w:trPr>
        <w:tc>
          <w:tcPr>
            <w:tcW w:w="1806" w:type="dxa"/>
            <w:vMerge/>
          </w:tcPr>
          <w:p w14:paraId="411E23A2" w14:textId="77777777" w:rsidR="00EA1EBB" w:rsidRDefault="00EA1EBB" w:rsidP="00BA5125">
            <w:pPr>
              <w:pStyle w:val="Marginlie"/>
            </w:pPr>
          </w:p>
        </w:tc>
        <w:tc>
          <w:tcPr>
            <w:tcW w:w="223" w:type="dxa"/>
            <w:vMerge/>
          </w:tcPr>
          <w:p w14:paraId="3C49CAA7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75F04979" w14:textId="77777777" w:rsidR="00EA1EBB" w:rsidRDefault="00EA1EBB" w:rsidP="00BA512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A20BBA4" wp14:editId="54CB6B2D">
                  <wp:extent cx="4737600" cy="3553200"/>
                  <wp:effectExtent l="0" t="0" r="6350" b="0"/>
                  <wp:docPr id="21" name="Graf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EA1EBB" w:rsidRPr="009110F7" w14:paraId="490AAC8B" w14:textId="77777777" w:rsidTr="00BA5125">
        <w:trPr>
          <w:trHeight w:val="154"/>
        </w:trPr>
        <w:tc>
          <w:tcPr>
            <w:tcW w:w="1806" w:type="dxa"/>
            <w:vMerge/>
            <w:tcMar>
              <w:left w:w="0" w:type="dxa"/>
            </w:tcMar>
          </w:tcPr>
          <w:p w14:paraId="092536DB" w14:textId="77777777" w:rsidR="00EA1EBB" w:rsidRDefault="00EA1EBB" w:rsidP="00BA5125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73B61ADD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C31900A" w14:textId="77777777" w:rsidR="00EA1EBB" w:rsidRDefault="00EA1EBB" w:rsidP="00BA5125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046F9DF0" w14:textId="77777777" w:rsidR="00EA1EBB" w:rsidRDefault="00EA1EBB" w:rsidP="00BA5125">
            <w:r>
              <w:rPr>
                <w:sz w:val="14"/>
                <w:szCs w:val="14"/>
              </w:rPr>
              <w:t>* po vyloučení dovozu pro konečné užití</w:t>
            </w:r>
          </w:p>
        </w:tc>
      </w:tr>
      <w:tr w:rsidR="00EA1EBB" w:rsidRPr="009110F7" w14:paraId="54EA766E" w14:textId="77777777" w:rsidTr="00BA512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98A3EB7" w14:textId="77777777" w:rsidR="00EA1EBB" w:rsidRDefault="00EA1EBB" w:rsidP="00BA5125">
            <w:pPr>
              <w:pStyle w:val="Marginlie"/>
            </w:pPr>
            <w:r>
              <w:t>Investiční aktivita loni rostla, ale ve směru poklesu HDP silně působila změna zásob.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794D3BE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38BCAA8" w14:textId="77777777" w:rsidR="00EA1EBB" w:rsidRDefault="00EA1EBB" w:rsidP="00BA5125">
            <w:r>
              <w:t>Výdaje na tvorbu hrubého kapitálu loni reálně klesly o 7,0 %. Samotná tvorba hrubého fixního kapitálu (investice) ale navázala na příznivý vývoj v roce 2022 a loni vzrostla o 3,3 %. Celkový pokles tak šel na vrub změně zásob</w:t>
            </w:r>
            <w:r>
              <w:rPr>
                <w:rStyle w:val="Znakapoznpodarou"/>
              </w:rPr>
              <w:footnoteReference w:id="7"/>
            </w:r>
            <w:r>
              <w:t xml:space="preserve">, která v posledních letech značně ovlivňuje dynamiku ekonomického vývoje. Loni činil její příspěvek ve směru poklesu HDP −3,1 p. b. K loňskému nárůstu výdajů na tvorbu hrubého fixního kapitálu přispělo výrazné navýšení investic do dopravních prostředků a zařízení (15,7 %) a do ICT a ostatních strojů a zařízení (15,5 %). S nepříznivým vývojem ve stavebnictví korespondovala situace v oblasti investic do staveb. Třetí rok v řadě klesly investice do obydlí (−6,7 %) a na silný přírůstek z roku 2022 nenavázaly investice do ostatních budov a staveb (−1,5 %). Nižší byly loni také výdaje na produkty duševního vlastnictví (−3,5 %). V samotném 4. čtvrtletí vlivem rozpouštění zásob výdaje na tvorbu hrubého kapitálu meziročně klesly o 14,9 %. Investice ale dál solidně rostly (4,7 %). Podobná byla situace z hlediska mezičtvrtletní dynamiky. Výdaje na tvorbu hrubého kapitálu klesly o 10,5 %, ale u investiční aktivity došlo k oživení o 1,1 %. Stejnou strukturu jako za celý rok měl růst investic v samotném 4. čtvrtletí. Velmi silně meziročně rostly investice do dopravních prostředků a zařízení (20,3 %) a do ICT a ostatních strojů a zařízení (17,0 %). Posedmé v řadě klesly výdaje na obydlí (−2,3 %) a nižší byly také investice do ostatních budov a staveb (−1,6 %). Investice do produktů duševního </w:t>
            </w:r>
            <w:r>
              <w:lastRenderedPageBreak/>
              <w:t>vlastnictví meziročně klesly o 4,0 %. Poněkud příznivěji vypadalo na konci roku 2023 mezičtvrtletní srovnání investiční aktivity. Vyšší byly investice do obydlí (2,9 %) i ostatních budov a staveb (3,5 %) a zvýšily se také výdaje na produkty duševního vlastnictví (3,2 %). Ve 4. kvartálu mezičtvrtletně klesly investice do dopravních prostředků a zařízení (−1,6 %) a do ICT a ostatních strojů a zařízení (−2,2 %).</w:t>
            </w:r>
          </w:p>
        </w:tc>
      </w:tr>
      <w:tr w:rsidR="00EA1EBB" w:rsidRPr="009110F7" w14:paraId="66FDEB8B" w14:textId="77777777" w:rsidTr="00BA512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1CE4D47" w14:textId="77777777" w:rsidR="00EA1EBB" w:rsidRDefault="00EA1EBB" w:rsidP="00BA5125">
            <w:pPr>
              <w:pStyle w:val="Marginlie"/>
            </w:pPr>
            <w:r>
              <w:lastRenderedPageBreak/>
              <w:t xml:space="preserve">Bilance zahraničního obchodu se zbožím </w:t>
            </w:r>
            <w:r>
              <w:br/>
              <w:t>a službami loni dosáhla přebytku.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277652D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97134A8" w14:textId="77777777" w:rsidR="00EA1EBB" w:rsidRDefault="00EA1EBB" w:rsidP="00BA5125">
            <w:r>
              <w:t>Příznivý vliv zahraniční poptávky na růst HDP v roce 2023 plynul z protichůdného vývoje vývozu a dovozu. Zatímco export zboží a služeb</w:t>
            </w:r>
            <w:r w:rsidRPr="009110F7">
              <w:rPr>
                <w:rStyle w:val="Znakapoznpodarou"/>
              </w:rPr>
              <w:footnoteReference w:id="8"/>
            </w:r>
            <w:r>
              <w:t xml:space="preserve"> loni reálně vzrostl o 3,1 %, import klesl o 0,4 %. Ve 4. čtvrtletí se vývoz zboží a služeb meziročně navýšil o 1,0 % a dovoz se naopak propadl o výrazných 4,7 %. Vývoz zboží rostl poměrně mírně (0,4 %), u služeb byl přírůstek silnější (4,7 %). Po dvou předchozích poklesech se vývoz ve 4. čtvrtletí mezičtvrtletně zvýšil o 2,2 %. Z toho export zboží vzrostl o 1,6 % a služeb o 5,1 %. Mezičtvrtletní pokles dovozu (−2,4 %) pokračoval čtvrtý kvartál v řadě. Bilance zahraničního obchodu se zbožím a službami loni dosáhla přebytku 378,0 mld. korun, což byl meziročně o 312,4 mld. lepší výsledek. Výrazně se zlepšila bilance obchodu se zbožím (o 308,6 mld. korun), mírně vyšší byl i přebytek zahraničního obchodu se službami (+3,7 mld.). Ve 4. čtvrtletí bilance zahraničního obchodu dosáhla přebytku 128,0 mld. korun a meziročně se zlepšila o 106,4 mld. Prudce meziročně rostlo kladné saldo obchodu se zbožím (+90,7 mld. korun) </w:t>
            </w:r>
            <w:r>
              <w:br/>
              <w:t xml:space="preserve">i službami (+15,7 mld.).       </w:t>
            </w:r>
          </w:p>
        </w:tc>
      </w:tr>
      <w:tr w:rsidR="00EA1EBB" w:rsidRPr="009110F7" w14:paraId="4E285A14" w14:textId="77777777" w:rsidTr="00BA5125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36421D85" w14:textId="77777777" w:rsidR="00EA1EBB" w:rsidRDefault="00EA1EBB" w:rsidP="00BA5125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217351FB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01CDBC7" w14:textId="77777777" w:rsidR="00EA1EBB" w:rsidRDefault="00EA1EBB" w:rsidP="00BA5125">
            <w:pPr>
              <w:spacing w:after="0"/>
            </w:pPr>
            <w:r w:rsidRPr="00D721B4">
              <w:rPr>
                <w:b/>
                <w:szCs w:val="20"/>
              </w:rPr>
              <w:t>Graf č. 3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odvětví k reálné změně HPH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příspěvky v p. b., HPH v %)</w:t>
            </w:r>
          </w:p>
        </w:tc>
      </w:tr>
      <w:tr w:rsidR="00EA1EBB" w:rsidRPr="009110F7" w14:paraId="75B87697" w14:textId="77777777" w:rsidTr="00BA512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</w:tcPr>
          <w:p w14:paraId="7D14839C" w14:textId="77777777" w:rsidR="00EA1EBB" w:rsidRDefault="00EA1EBB" w:rsidP="00BA5125">
            <w:pPr>
              <w:pStyle w:val="Marginlie"/>
            </w:pPr>
          </w:p>
        </w:tc>
        <w:tc>
          <w:tcPr>
            <w:tcW w:w="223" w:type="dxa"/>
            <w:vMerge/>
          </w:tcPr>
          <w:p w14:paraId="1709E96A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724C5727" w14:textId="77777777" w:rsidR="00EA1EBB" w:rsidRDefault="00EA1EBB" w:rsidP="00BA512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ADB8D11" wp14:editId="73BF9858">
                  <wp:extent cx="4737600" cy="3486525"/>
                  <wp:effectExtent l="0" t="0" r="6350" b="0"/>
                  <wp:docPr id="23" name="Graf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EA1EBB" w:rsidRPr="009110F7" w14:paraId="0798EF6C" w14:textId="77777777" w:rsidTr="00BA5125">
        <w:trPr>
          <w:trHeight w:val="170"/>
        </w:trPr>
        <w:tc>
          <w:tcPr>
            <w:tcW w:w="1806" w:type="dxa"/>
            <w:vMerge/>
            <w:tcMar>
              <w:left w:w="0" w:type="dxa"/>
            </w:tcMar>
          </w:tcPr>
          <w:p w14:paraId="40AA6FC6" w14:textId="77777777" w:rsidR="00EA1EBB" w:rsidRDefault="00EA1EBB" w:rsidP="00BA5125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658ECE94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297E0D4" w14:textId="77777777" w:rsidR="00EA1EBB" w:rsidRDefault="00EA1EBB" w:rsidP="00BA5125">
            <w:r w:rsidRPr="00A85DE1">
              <w:rPr>
                <w:sz w:val="14"/>
                <w:szCs w:val="14"/>
              </w:rPr>
              <w:t>Zdroj: ČSÚ</w:t>
            </w:r>
          </w:p>
        </w:tc>
      </w:tr>
      <w:tr w:rsidR="00EA1EBB" w:rsidRPr="009110F7" w14:paraId="5E392EA0" w14:textId="77777777" w:rsidTr="00BA512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1125C3E0" w14:textId="77777777" w:rsidR="00EA1EBB" w:rsidRDefault="00EA1EBB" w:rsidP="00BA5125">
            <w:pPr>
              <w:pStyle w:val="Marginlie"/>
            </w:pPr>
            <w:r>
              <w:t>Hrubá přidaná hodnota loni vzrostla.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0D82058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E5DC41C" w14:textId="77777777" w:rsidR="00EA1EBB" w:rsidRPr="00F93F2C" w:rsidRDefault="00EA1EBB" w:rsidP="00BA5125">
            <w:r>
              <w:t>Hrubá přidaná hodnota (HPH) loni celkově vzrostla o 0,5 %. Mezi dynamikou HPH a HDP tak vznikl výrazný rozdíl</w:t>
            </w:r>
            <w:r>
              <w:rPr>
                <w:rStyle w:val="Znakapoznpodarou"/>
              </w:rPr>
              <w:footnoteReference w:id="9"/>
            </w:r>
            <w:r>
              <w:t xml:space="preserve">. Vývoj HPH v jednotlivých odvětvích zčásti korespondoval se strukturou poptávky. Příznivý vývoj zahraniční poptávky se tak odrážel na růstu HPH v exportně zaměřeném zpracovatelském průmyslu (2,2 %). Ten </w:t>
            </w:r>
            <w:r>
              <w:lastRenderedPageBreak/>
              <w:t>vyvažoval poklesy ve zbytku průmyslu, což bylo patrné na slabém přírůstku HPH v průmyslu jako celku (0,5 %). U služeb se nejvíce dařilo informačním a komunikačním činnostem (6,2 %). Mírný přírůstek (shodně 1,1 %) měla loni HPH v činnostech v oblasti nemovitostí, veřejné správě a obraně, vzdělávání, zdravotní a sociální péči a v ostatních činnostech. Na podnikovou poptávku navázané p</w:t>
            </w:r>
            <w:r w:rsidRPr="00F643B8">
              <w:t>rofesní, vědecké, technické a administrativní činnosti</w:t>
            </w:r>
            <w:r>
              <w:t xml:space="preserve"> vykázaly loni růst HPH o 0,8 %. Propad spotřeby domácností se naopak promítnul do poklesu HPH v uskupení obchod, doprava, ubytování a pohostinství (−1,8 %). Slabá investiční aktivita v oblasti staveb je patrná na poklesu HPH ve stavebnictví (−1,2 %), kde se tak HPH snížila pátým rokem v řadě. Hrubá přidaná hodnota ve stavebnictví tak loni o pětinu zaostávala ve srovnání s vrcholem v roce 2018.</w:t>
            </w:r>
          </w:p>
        </w:tc>
      </w:tr>
      <w:tr w:rsidR="00EA1EBB" w:rsidRPr="009110F7" w14:paraId="5DEF988A" w14:textId="77777777" w:rsidTr="00BA5125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2BEA2C4" w14:textId="77777777" w:rsidR="00EA1EBB" w:rsidRDefault="00EA1EBB" w:rsidP="00BA5125">
            <w:pPr>
              <w:pStyle w:val="Marginlie"/>
            </w:pPr>
            <w:r>
              <w:lastRenderedPageBreak/>
              <w:t>HPH ve 4. čtvrtletí meziročně i mezičtvrtletně vzrostla.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6770F98" w14:textId="77777777" w:rsidR="00EA1EBB" w:rsidRDefault="00EA1EBB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09E249E" w14:textId="77777777" w:rsidR="00EA1EBB" w:rsidRDefault="00EA1EBB" w:rsidP="00BA5125">
            <w:r>
              <w:t>V samotném 4. čtvrtletí hrubá přidaná hodnota meziročně vzrostla o 0,3 %. K růstu nejvíce přispěl vývoj ve zpracovatelském průmyslu (růst HPH o 1,7 %). Stejně jako ve zbytku roku se zbývajícím průmyslovým odvětvím příliš nedařilo a solidní výkon ve zpracovatelském průmyslu tak stačil celý průmysl vytáhnout k přírůstku HPH jen o 0,4 %. Ve 4. čtvrtletí silně meziročně rostla HPH v informačních a komunikačních činnostech (4,0 %) a mezi službami měly nadprůměrný přírůstek HPH také činnosti v oblasti nemovitostí (1,6 %), ostatní činnosti (1,4 %), profesní, vědecké, technické a administrativní činnosti (0,9 %) a veřejná správa a obrana, vzdělávání, zdravotní a sociální péče (0,6 %). Nejvíce celkový meziroční růst HPH brzdilo uskupení obchod, doprava, ubytování a pohostinství (−1,8 %), HPH klesla také v peněžnictví a pojišťovnictví (−1,8 %) a rovněž ve stavebnictví (−0,4 %). Po dvou předchozích poklesech ve 4. čtvrtletí hrubá přidaná hodnota mezičtvrtletně vzrostla o 0,6 %. Velmi silné bylo oživení ve zpracovatelském průmyslu (3,0 %) a výrazně mezičtvrtletně vzrostla HPH v činnostech v oblasti nemovitostí (1,9 %). Oživil se také růst v p</w:t>
            </w:r>
            <w:r w:rsidRPr="00DF0981">
              <w:t>rofesní</w:t>
            </w:r>
            <w:r>
              <w:t>ch</w:t>
            </w:r>
            <w:r w:rsidRPr="00DF0981">
              <w:t>, vědeck</w:t>
            </w:r>
            <w:r>
              <w:t>ých</w:t>
            </w:r>
            <w:r w:rsidRPr="00DF0981">
              <w:t>, technick</w:t>
            </w:r>
            <w:r>
              <w:t>ých</w:t>
            </w:r>
            <w:r w:rsidRPr="00DF0981">
              <w:t xml:space="preserve"> a administrativní</w:t>
            </w:r>
            <w:r>
              <w:t>ch</w:t>
            </w:r>
            <w:r w:rsidRPr="00DF0981">
              <w:t xml:space="preserve"> činnost</w:t>
            </w:r>
            <w:r>
              <w:t xml:space="preserve">ech (0,9 %). Mezičtvrtletně se propadla HPH ve stavebnictví (−2,5 %), ostatních činnostech (−2,0 %) a v peněžnictví a pojišťovnictví (−0,9 %). </w:t>
            </w:r>
          </w:p>
        </w:tc>
      </w:tr>
    </w:tbl>
    <w:p w14:paraId="4BBBC97D" w14:textId="77777777" w:rsidR="00EA1EBB" w:rsidRDefault="00EA1EBB" w:rsidP="00EA1EBB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32"/>
          <w:highlight w:val="yellow"/>
        </w:rPr>
      </w:pPr>
    </w:p>
    <w:p w14:paraId="7E2D94B3" w14:textId="77777777" w:rsidR="00EA1EBB" w:rsidRPr="001C3855" w:rsidRDefault="00EA1EBB" w:rsidP="00EA1EBB">
      <w:pPr>
        <w:pStyle w:val="Nadpis11"/>
        <w:rPr>
          <w:sz w:val="2"/>
          <w:szCs w:val="2"/>
        </w:rPr>
      </w:pPr>
    </w:p>
    <w:p w14:paraId="35AEA47E" w14:textId="77777777" w:rsidR="00EA1EBB" w:rsidRPr="001C3855" w:rsidRDefault="00EA1EBB" w:rsidP="00EA1EBB">
      <w:pPr>
        <w:pStyle w:val="Nadpis11"/>
        <w:rPr>
          <w:sz w:val="2"/>
          <w:szCs w:val="2"/>
        </w:rPr>
      </w:pPr>
    </w:p>
    <w:p w14:paraId="54F64EBB" w14:textId="07045FCB" w:rsidR="005E53DC" w:rsidRPr="00BB286B" w:rsidRDefault="005E53DC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32"/>
          <w:highlight w:val="yellow"/>
        </w:rPr>
      </w:pPr>
      <w:bookmarkStart w:id="7" w:name="_GoBack"/>
      <w:bookmarkEnd w:id="7"/>
    </w:p>
    <w:bookmarkEnd w:id="3"/>
    <w:bookmarkEnd w:id="4"/>
    <w:bookmarkEnd w:id="5"/>
    <w:bookmarkEnd w:id="6"/>
    <w:p w14:paraId="0FA9EA49" w14:textId="77777777" w:rsidR="0011055D" w:rsidRPr="002D3D35" w:rsidRDefault="0011055D" w:rsidP="0011055D">
      <w:pPr>
        <w:pStyle w:val="Nadpis11"/>
        <w:rPr>
          <w:sz w:val="2"/>
          <w:szCs w:val="2"/>
        </w:rPr>
      </w:pPr>
    </w:p>
    <w:p w14:paraId="6FD91E5A" w14:textId="797E1141" w:rsidR="00106BCC" w:rsidRPr="001C3855" w:rsidRDefault="00106BCC" w:rsidP="001E1AF1">
      <w:pPr>
        <w:pStyle w:val="Nadpis11"/>
        <w:rPr>
          <w:sz w:val="2"/>
          <w:szCs w:val="2"/>
        </w:rPr>
      </w:pPr>
    </w:p>
    <w:sectPr w:rsidR="00106BCC" w:rsidRPr="001C3855" w:rsidSect="00263325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6809D" w14:textId="77777777" w:rsidR="00463E7F" w:rsidRDefault="00463E7F" w:rsidP="00E71A58">
      <w:r>
        <w:separator/>
      </w:r>
    </w:p>
  </w:endnote>
  <w:endnote w:type="continuationSeparator" w:id="0">
    <w:p w14:paraId="615CC211" w14:textId="77777777" w:rsidR="00463E7F" w:rsidRDefault="00463E7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1298E599" w:rsidR="00BA5125" w:rsidRPr="00932443" w:rsidRDefault="00BA5125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63325">
      <w:rPr>
        <w:szCs w:val="16"/>
      </w:rPr>
      <w:t>10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5E8021EC" w:rsidR="00BA5125" w:rsidRPr="00932443" w:rsidRDefault="00BA5125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63325">
      <w:rPr>
        <w:rStyle w:val="ZpatChar"/>
        <w:szCs w:val="16"/>
      </w:rPr>
      <w:t>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37190" w14:textId="77777777" w:rsidR="00463E7F" w:rsidRDefault="00463E7F" w:rsidP="00A21B4D">
      <w:pPr>
        <w:spacing w:after="0"/>
      </w:pPr>
      <w:r>
        <w:separator/>
      </w:r>
    </w:p>
  </w:footnote>
  <w:footnote w:type="continuationSeparator" w:id="0">
    <w:p w14:paraId="0530FFB3" w14:textId="77777777" w:rsidR="00463E7F" w:rsidRDefault="00463E7F" w:rsidP="00E71A58">
      <w:r>
        <w:continuationSeparator/>
      </w:r>
    </w:p>
  </w:footnote>
  <w:footnote w:id="1">
    <w:p w14:paraId="184459A3" w14:textId="77777777" w:rsidR="00BA5125" w:rsidRPr="000348AF" w:rsidRDefault="00BA5125" w:rsidP="00EA1EBB">
      <w:pPr>
        <w:pStyle w:val="Textpoznpodarou"/>
        <w:rPr>
          <w:sz w:val="16"/>
          <w:szCs w:val="16"/>
        </w:rPr>
      </w:pPr>
      <w:r w:rsidRPr="000348AF">
        <w:rPr>
          <w:rStyle w:val="Znakapoznpodarou"/>
          <w:sz w:val="16"/>
          <w:szCs w:val="16"/>
        </w:rPr>
        <w:footnoteRef/>
      </w:r>
      <w:r w:rsidRPr="000348AF">
        <w:rPr>
          <w:sz w:val="16"/>
          <w:szCs w:val="16"/>
        </w:rPr>
        <w:t xml:space="preserve"> Vývoj HDP, hrubé přidané hodnoty a jejich složek je vyjádřen prostřednictvím objemových indexů (tj. očištěn o vliv cen) a po očištění o sezónní a kalendářní vlivy. Údaje jsou platné k</w:t>
      </w:r>
      <w:r>
        <w:rPr>
          <w:sz w:val="16"/>
          <w:szCs w:val="16"/>
        </w:rPr>
        <w:t xml:space="preserve"> 1. 3. </w:t>
      </w:r>
      <w:r w:rsidRPr="000348AF">
        <w:rPr>
          <w:sz w:val="16"/>
          <w:szCs w:val="16"/>
        </w:rPr>
        <w:t>202</w:t>
      </w:r>
      <w:r>
        <w:rPr>
          <w:sz w:val="16"/>
          <w:szCs w:val="16"/>
        </w:rPr>
        <w:t>3</w:t>
      </w:r>
      <w:r w:rsidRPr="000348AF">
        <w:rPr>
          <w:sz w:val="16"/>
          <w:szCs w:val="16"/>
        </w:rPr>
        <w:t>.</w:t>
      </w:r>
    </w:p>
  </w:footnote>
  <w:footnote w:id="2">
    <w:p w14:paraId="112F8AD3" w14:textId="77777777" w:rsidR="00BA5125" w:rsidRPr="009C6EA8" w:rsidRDefault="00BA5125" w:rsidP="00EA1EBB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3">
    <w:p w14:paraId="67ED7480" w14:textId="77777777" w:rsidR="00BA5125" w:rsidRDefault="00BA5125" w:rsidP="00EA1EBB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4">
    <w:p w14:paraId="1B9B4704" w14:textId="77777777" w:rsidR="00BA5125" w:rsidRPr="005F75B1" w:rsidRDefault="00BA5125" w:rsidP="00EA1EBB">
      <w:pPr>
        <w:pStyle w:val="Textpoznpodarou"/>
        <w:rPr>
          <w:sz w:val="16"/>
          <w:szCs w:val="16"/>
        </w:rPr>
      </w:pPr>
      <w:r w:rsidRPr="005F75B1">
        <w:rPr>
          <w:rStyle w:val="Znakapoznpodarou"/>
          <w:sz w:val="16"/>
          <w:szCs w:val="16"/>
        </w:rPr>
        <w:footnoteRef/>
      </w:r>
      <w:r w:rsidRPr="005F75B1">
        <w:rPr>
          <w:sz w:val="16"/>
          <w:szCs w:val="16"/>
        </w:rPr>
        <w:t xml:space="preserve"> Do reálného vyjádření převedeno s pomocí deflátoru spotřeby domácností.</w:t>
      </w:r>
    </w:p>
  </w:footnote>
  <w:footnote w:id="5">
    <w:p w14:paraId="2F00293D" w14:textId="77777777" w:rsidR="00BA5125" w:rsidRPr="0053191D" w:rsidRDefault="00BA5125" w:rsidP="00EA1EBB">
      <w:pPr>
        <w:pStyle w:val="Textpoznpodarou"/>
        <w:rPr>
          <w:sz w:val="16"/>
          <w:szCs w:val="16"/>
        </w:rPr>
      </w:pPr>
      <w:r w:rsidRPr="0053191D">
        <w:rPr>
          <w:rStyle w:val="Znakapoznpodarou"/>
          <w:sz w:val="16"/>
          <w:szCs w:val="16"/>
        </w:rPr>
        <w:footnoteRef/>
      </w:r>
      <w:r w:rsidRPr="0053191D">
        <w:rPr>
          <w:sz w:val="16"/>
          <w:szCs w:val="16"/>
        </w:rPr>
        <w:t xml:space="preserve"> Tato sekce zahrnuje činnosti organizací sdružujících osoby za účelem prosazování společných zájmů, opravy počítačů a výrobků pro osobní potřebu a převážně pro domácnost a řadu jiných osobních služeb</w:t>
      </w:r>
      <w:r>
        <w:rPr>
          <w:sz w:val="16"/>
          <w:szCs w:val="16"/>
        </w:rPr>
        <w:t xml:space="preserve"> (kosmetické, kadeřnické apod.).</w:t>
      </w:r>
    </w:p>
  </w:footnote>
  <w:footnote w:id="6">
    <w:p w14:paraId="343AD942" w14:textId="77777777" w:rsidR="00BA5125" w:rsidRPr="00954992" w:rsidRDefault="00BA5125" w:rsidP="00EA1EBB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</w:t>
      </w:r>
      <w:r>
        <w:rPr>
          <w:sz w:val="16"/>
          <w:szCs w:val="16"/>
        </w:rPr>
        <w:t>.</w:t>
      </w:r>
    </w:p>
  </w:footnote>
  <w:footnote w:id="7">
    <w:p w14:paraId="50AD997C" w14:textId="77777777" w:rsidR="00BA5125" w:rsidRPr="004831F6" w:rsidRDefault="00BA5125" w:rsidP="00EA1EBB">
      <w:pPr>
        <w:pStyle w:val="Textpoznpodarou"/>
        <w:rPr>
          <w:sz w:val="16"/>
          <w:szCs w:val="16"/>
        </w:rPr>
      </w:pPr>
      <w:r w:rsidRPr="004831F6">
        <w:rPr>
          <w:rStyle w:val="Znakapoznpodarou"/>
          <w:sz w:val="16"/>
          <w:szCs w:val="16"/>
        </w:rPr>
        <w:footnoteRef/>
      </w:r>
      <w:r w:rsidRPr="004831F6">
        <w:rPr>
          <w:sz w:val="16"/>
          <w:szCs w:val="16"/>
        </w:rPr>
        <w:t xml:space="preserve"> Změna zásob</w:t>
      </w:r>
      <w:r>
        <w:rPr>
          <w:sz w:val="16"/>
          <w:szCs w:val="16"/>
        </w:rPr>
        <w:t xml:space="preserve"> (v běžných cenách a sezónně neočištěná)</w:t>
      </w:r>
      <w:r w:rsidRPr="004831F6">
        <w:rPr>
          <w:sz w:val="16"/>
          <w:szCs w:val="16"/>
        </w:rPr>
        <w:t xml:space="preserve"> </w:t>
      </w:r>
      <w:r>
        <w:rPr>
          <w:sz w:val="16"/>
          <w:szCs w:val="16"/>
        </w:rPr>
        <w:t>loni dosáhla 133,9 mld. korun, zatímco v roce 2022 to bylo 346,5 mld. Ve </w:t>
      </w:r>
      <w:r>
        <w:rPr>
          <w:sz w:val="16"/>
          <w:szCs w:val="16"/>
        </w:rPr>
        <w:br/>
        <w:t>4. čtvrtletí změna zásob činila −54,8 mld. korun.</w:t>
      </w:r>
    </w:p>
  </w:footnote>
  <w:footnote w:id="8">
    <w:p w14:paraId="2EE60217" w14:textId="77777777" w:rsidR="00BA5125" w:rsidRPr="00167B30" w:rsidRDefault="00BA5125" w:rsidP="00EA1EBB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 xml:space="preserve">. Bilance zahraničního obchodu v běžných cenách </w:t>
      </w:r>
      <w:r>
        <w:rPr>
          <w:sz w:val="16"/>
          <w:szCs w:val="16"/>
        </w:rPr>
        <w:br/>
        <w:t>a po sezónním očištění.</w:t>
      </w:r>
    </w:p>
  </w:footnote>
  <w:footnote w:id="9">
    <w:p w14:paraId="48EAF03E" w14:textId="77777777" w:rsidR="00BA5125" w:rsidRPr="00AC5E0A" w:rsidRDefault="00BA5125" w:rsidP="00EA1EBB">
      <w:pPr>
        <w:pStyle w:val="Textpoznpodarou"/>
        <w:rPr>
          <w:sz w:val="16"/>
          <w:szCs w:val="16"/>
        </w:rPr>
      </w:pPr>
      <w:r w:rsidRPr="00AC5E0A">
        <w:rPr>
          <w:rStyle w:val="Znakapoznpodarou"/>
          <w:sz w:val="16"/>
          <w:szCs w:val="16"/>
        </w:rPr>
        <w:footnoteRef/>
      </w:r>
      <w:r w:rsidRPr="00AC5E0A">
        <w:rPr>
          <w:sz w:val="16"/>
          <w:szCs w:val="16"/>
        </w:rPr>
        <w:t xml:space="preserve"> Výrazný rozdíl mezi dynamikou HDP a HPH byl způsoben vlivem různého ocenění HDP a HPH. Hrubá přidaná hodnota je oceněná </w:t>
      </w:r>
      <w:r>
        <w:rPr>
          <w:sz w:val="16"/>
          <w:szCs w:val="16"/>
        </w:rPr>
        <w:br/>
      </w:r>
      <w:r w:rsidRPr="00AC5E0A">
        <w:rPr>
          <w:sz w:val="16"/>
          <w:szCs w:val="16"/>
        </w:rPr>
        <w:t xml:space="preserve">v základních cenách, zatímco HDP je vyjádřen ve skutečných cenách. </w:t>
      </w:r>
      <w:r>
        <w:rPr>
          <w:sz w:val="16"/>
          <w:szCs w:val="16"/>
        </w:rPr>
        <w:t>Loni</w:t>
      </w:r>
      <w:r w:rsidRPr="00AC5E0A">
        <w:rPr>
          <w:sz w:val="16"/>
          <w:szCs w:val="16"/>
        </w:rPr>
        <w:t xml:space="preserve"> se v těchto rozdílech </w:t>
      </w:r>
      <w:r>
        <w:rPr>
          <w:sz w:val="16"/>
          <w:szCs w:val="16"/>
        </w:rPr>
        <w:t xml:space="preserve">projevily na jedné straně klesající daňové výnosy </w:t>
      </w:r>
      <w:r w:rsidRPr="00AC5E0A">
        <w:rPr>
          <w:sz w:val="16"/>
          <w:szCs w:val="16"/>
        </w:rPr>
        <w:t>souvis</w:t>
      </w:r>
      <w:r>
        <w:rPr>
          <w:sz w:val="16"/>
          <w:szCs w:val="16"/>
        </w:rPr>
        <w:t>ející</w:t>
      </w:r>
      <w:r w:rsidRPr="00AC5E0A">
        <w:rPr>
          <w:sz w:val="16"/>
          <w:szCs w:val="16"/>
        </w:rPr>
        <w:t xml:space="preserve"> s propadající se spotřebou</w:t>
      </w:r>
      <w:r>
        <w:rPr>
          <w:sz w:val="16"/>
          <w:szCs w:val="16"/>
        </w:rPr>
        <w:t>. Zejména na začátku roku měly vliv také d</w:t>
      </w:r>
      <w:r w:rsidRPr="00AC5E0A">
        <w:rPr>
          <w:sz w:val="16"/>
          <w:szCs w:val="16"/>
        </w:rPr>
        <w:t>otace zachycující stropy cen elektřiny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BA5125" w:rsidRDefault="00BA5125" w:rsidP="00937AE2">
    <w:pPr>
      <w:pStyle w:val="Zhlav"/>
    </w:pPr>
    <w:r>
      <w:t>Vývoj ekonomiky České republiky</w:t>
    </w:r>
  </w:p>
  <w:p w14:paraId="3E881AB3" w14:textId="77777777" w:rsidR="00BA5125" w:rsidRPr="006F5416" w:rsidRDefault="00BA5125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BA5125" w:rsidRDefault="00BA5125" w:rsidP="00937AE2">
    <w:pPr>
      <w:pStyle w:val="Zhlav"/>
    </w:pPr>
    <w:r>
      <w:t>Vývoj ekonomiky České republiky</w:t>
    </w:r>
  </w:p>
  <w:p w14:paraId="57266714" w14:textId="77777777" w:rsidR="00BA5125" w:rsidRPr="006F5416" w:rsidRDefault="00BA5125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9E0"/>
    <w:multiLevelType w:val="multilevel"/>
    <w:tmpl w:val="74A4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AB4B86"/>
    <w:multiLevelType w:val="multilevel"/>
    <w:tmpl w:val="52D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C06F7"/>
    <w:multiLevelType w:val="multilevel"/>
    <w:tmpl w:val="AF4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3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077D1"/>
    <w:multiLevelType w:val="multilevel"/>
    <w:tmpl w:val="B70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A0FF0"/>
    <w:multiLevelType w:val="hybridMultilevel"/>
    <w:tmpl w:val="3D88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7F0B9"/>
    <w:multiLevelType w:val="hybridMultilevel"/>
    <w:tmpl w:val="9B0C99B6"/>
    <w:lvl w:ilvl="0" w:tplc="5FC8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8E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D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62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3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CC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6022"/>
    <w:multiLevelType w:val="multilevel"/>
    <w:tmpl w:val="70C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19D0"/>
    <w:multiLevelType w:val="multilevel"/>
    <w:tmpl w:val="DBA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37"/>
  </w:num>
  <w:num w:numId="14">
    <w:abstractNumId w:val="14"/>
  </w:num>
  <w:num w:numId="15">
    <w:abstractNumId w:val="23"/>
  </w:num>
  <w:num w:numId="16">
    <w:abstractNumId w:val="18"/>
  </w:num>
  <w:num w:numId="17">
    <w:abstractNumId w:val="38"/>
  </w:num>
  <w:num w:numId="18">
    <w:abstractNumId w:val="29"/>
  </w:num>
  <w:num w:numId="19">
    <w:abstractNumId w:val="41"/>
  </w:num>
  <w:num w:numId="20">
    <w:abstractNumId w:val="44"/>
  </w:num>
  <w:num w:numId="21">
    <w:abstractNumId w:val="36"/>
  </w:num>
  <w:num w:numId="22">
    <w:abstractNumId w:val="22"/>
  </w:num>
  <w:num w:numId="23">
    <w:abstractNumId w:val="19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10"/>
  </w:num>
  <w:num w:numId="29">
    <w:abstractNumId w:val="44"/>
  </w:num>
  <w:num w:numId="30">
    <w:abstractNumId w:val="32"/>
  </w:num>
  <w:num w:numId="31">
    <w:abstractNumId w:val="12"/>
  </w:num>
  <w:num w:numId="32">
    <w:abstractNumId w:val="46"/>
  </w:num>
  <w:num w:numId="33">
    <w:abstractNumId w:val="44"/>
  </w:num>
  <w:num w:numId="34">
    <w:abstractNumId w:val="11"/>
  </w:num>
  <w:num w:numId="35">
    <w:abstractNumId w:val="39"/>
  </w:num>
  <w:num w:numId="36">
    <w:abstractNumId w:val="33"/>
  </w:num>
  <w:num w:numId="37">
    <w:abstractNumId w:val="24"/>
  </w:num>
  <w:num w:numId="38">
    <w:abstractNumId w:val="28"/>
  </w:num>
  <w:num w:numId="39">
    <w:abstractNumId w:val="15"/>
  </w:num>
  <w:num w:numId="40">
    <w:abstractNumId w:val="26"/>
  </w:num>
  <w:num w:numId="41">
    <w:abstractNumId w:val="27"/>
  </w:num>
  <w:num w:numId="42">
    <w:abstractNumId w:val="45"/>
  </w:num>
  <w:num w:numId="43">
    <w:abstractNumId w:val="25"/>
  </w:num>
  <w:num w:numId="44">
    <w:abstractNumId w:val="16"/>
  </w:num>
  <w:num w:numId="45">
    <w:abstractNumId w:val="21"/>
  </w:num>
  <w:num w:numId="46">
    <w:abstractNumId w:val="35"/>
  </w:num>
  <w:num w:numId="47">
    <w:abstractNumId w:val="43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2B5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2CA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363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2FC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848"/>
    <w:rsid w:val="000F090B"/>
    <w:rsid w:val="000F0E42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055D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1F9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37F06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3EED"/>
    <w:rsid w:val="00144108"/>
    <w:rsid w:val="00144588"/>
    <w:rsid w:val="001447DD"/>
    <w:rsid w:val="00145358"/>
    <w:rsid w:val="001459BC"/>
    <w:rsid w:val="0014779E"/>
    <w:rsid w:val="00147B13"/>
    <w:rsid w:val="00150ECA"/>
    <w:rsid w:val="0015108F"/>
    <w:rsid w:val="00151707"/>
    <w:rsid w:val="00152C86"/>
    <w:rsid w:val="00152EBC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4ED1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23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1AF1"/>
    <w:rsid w:val="001E3306"/>
    <w:rsid w:val="001E504C"/>
    <w:rsid w:val="001E56AC"/>
    <w:rsid w:val="001E5A17"/>
    <w:rsid w:val="001E6441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3325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A8B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D6982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07B"/>
    <w:rsid w:val="00425352"/>
    <w:rsid w:val="00426C99"/>
    <w:rsid w:val="004272BE"/>
    <w:rsid w:val="00430C96"/>
    <w:rsid w:val="0043174F"/>
    <w:rsid w:val="00431BFF"/>
    <w:rsid w:val="00432199"/>
    <w:rsid w:val="00432A58"/>
    <w:rsid w:val="00432FC7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3E7F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7A6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2A12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87319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684D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1B24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53DC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5F7B79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6B8F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0FFC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748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18A4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4A6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23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3810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1E3F"/>
    <w:rsid w:val="007B2011"/>
    <w:rsid w:val="007B2CFE"/>
    <w:rsid w:val="007B309B"/>
    <w:rsid w:val="007B37A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D7F4F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3E08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249F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AA1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2E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3D21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418F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B2B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46FE0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42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66F8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3063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1A9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3A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5125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286B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6AA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2F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79B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0D3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3132"/>
    <w:rsid w:val="00C655DA"/>
    <w:rsid w:val="00C672C1"/>
    <w:rsid w:val="00C706D2"/>
    <w:rsid w:val="00C715CC"/>
    <w:rsid w:val="00C719A3"/>
    <w:rsid w:val="00C71D2F"/>
    <w:rsid w:val="00C72984"/>
    <w:rsid w:val="00C72BC7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04C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649"/>
    <w:rsid w:val="00CA0BD5"/>
    <w:rsid w:val="00CA0DA1"/>
    <w:rsid w:val="00CA1BD6"/>
    <w:rsid w:val="00CA2D95"/>
    <w:rsid w:val="00CA37FF"/>
    <w:rsid w:val="00CA423A"/>
    <w:rsid w:val="00CA47BC"/>
    <w:rsid w:val="00CA5EAD"/>
    <w:rsid w:val="00CA6AB4"/>
    <w:rsid w:val="00CA7255"/>
    <w:rsid w:val="00CA79E2"/>
    <w:rsid w:val="00CA7E12"/>
    <w:rsid w:val="00CB111E"/>
    <w:rsid w:val="00CB18B2"/>
    <w:rsid w:val="00CB1BEE"/>
    <w:rsid w:val="00CB2351"/>
    <w:rsid w:val="00CB2BF7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5EE0"/>
    <w:rsid w:val="00CD6331"/>
    <w:rsid w:val="00CD7E9E"/>
    <w:rsid w:val="00CE12FB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842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6E6B"/>
    <w:rsid w:val="00D27973"/>
    <w:rsid w:val="00D27F07"/>
    <w:rsid w:val="00D27F3A"/>
    <w:rsid w:val="00D31537"/>
    <w:rsid w:val="00D31E1E"/>
    <w:rsid w:val="00D322A0"/>
    <w:rsid w:val="00D32824"/>
    <w:rsid w:val="00D33297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2B97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1D57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C5D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2AB6"/>
    <w:rsid w:val="00E84E09"/>
    <w:rsid w:val="00E87CE2"/>
    <w:rsid w:val="00E87D5B"/>
    <w:rsid w:val="00E90CA8"/>
    <w:rsid w:val="00E911C6"/>
    <w:rsid w:val="00E920DE"/>
    <w:rsid w:val="00E930A1"/>
    <w:rsid w:val="00E93820"/>
    <w:rsid w:val="00E93FD5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B1A"/>
    <w:rsid w:val="00EA0C68"/>
    <w:rsid w:val="00EA0E39"/>
    <w:rsid w:val="00EA1D0E"/>
    <w:rsid w:val="00EA1EBB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189D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967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2E7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6667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1A9B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czsocz-my.sharepoint.com/personal/karolina_zabojnikova_czso_cz/Documents/Dokumenty/Anal&#253;za/Q/2023Q4/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czsocz-my.sharepoint.com/personal/karolina_zabojnikova_czso_cz/Documents/Dokumenty/Anal&#253;za/Q/2023Q4/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czsocz-my.sharepoint.com/personal/karolina_zabojnikova_czso_cz/Documents/Dokumenty/Anal&#253;za/Q/2023Q4/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45E-2"/>
          <c:y val="2.3046636085626952E-2"/>
          <c:w val="0.92008633063154344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1'!$A$5:$B$28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1'!$C$5:$C$28</c:f>
              <c:numCache>
                <c:formatCode>0.0</c:formatCode>
                <c:ptCount val="24"/>
                <c:pt idx="0">
                  <c:v>4.7409690869492067</c:v>
                </c:pt>
                <c:pt idx="1">
                  <c:v>2.8084745992628513</c:v>
                </c:pt>
                <c:pt idx="2">
                  <c:v>2.6946757492296172</c:v>
                </c:pt>
                <c:pt idx="3">
                  <c:v>2.6327282626460686</c:v>
                </c:pt>
                <c:pt idx="4">
                  <c:v>2.9925598229108203</c:v>
                </c:pt>
                <c:pt idx="5">
                  <c:v>3.0577797411869341</c:v>
                </c:pt>
                <c:pt idx="6">
                  <c:v>3.022282133028483</c:v>
                </c:pt>
                <c:pt idx="7">
                  <c:v>2.7919398416799623</c:v>
                </c:pt>
                <c:pt idx="8">
                  <c:v>-1.4737630559722419</c:v>
                </c:pt>
                <c:pt idx="9">
                  <c:v>-10.802828827516109</c:v>
                </c:pt>
                <c:pt idx="10">
                  <c:v>-5.2166971565464166</c:v>
                </c:pt>
                <c:pt idx="11">
                  <c:v>-4.5664791785978451</c:v>
                </c:pt>
                <c:pt idx="12">
                  <c:v>-1.9186413648622107</c:v>
                </c:pt>
                <c:pt idx="13">
                  <c:v>9.1792884100474765</c:v>
                </c:pt>
                <c:pt idx="14">
                  <c:v>3.8208995035486311</c:v>
                </c:pt>
                <c:pt idx="15">
                  <c:v>3.4133294018282072</c:v>
                </c:pt>
                <c:pt idx="16">
                  <c:v>4.6716662414814749</c:v>
                </c:pt>
                <c:pt idx="17">
                  <c:v>3.3523436073729584</c:v>
                </c:pt>
                <c:pt idx="18">
                  <c:v>1.3389936645339446</c:v>
                </c:pt>
                <c:pt idx="19">
                  <c:v>0.14557645670561215</c:v>
                </c:pt>
                <c:pt idx="20">
                  <c:v>-0.31742254829522665</c:v>
                </c:pt>
                <c:pt idx="21">
                  <c:v>-0.23214678944495404</c:v>
                </c:pt>
                <c:pt idx="22" formatCode="General">
                  <c:v>-0.80311139413963417</c:v>
                </c:pt>
                <c:pt idx="23" formatCode="General">
                  <c:v>-0.21139694650983643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F6-4753-AA26-E459EE5018AC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1'!$A$5:$B$28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1'!$D$5:$D$28</c:f>
              <c:numCache>
                <c:formatCode>#\ ##0.##########</c:formatCode>
                <c:ptCount val="24"/>
                <c:pt idx="0">
                  <c:v>2.6</c:v>
                </c:pt>
                <c:pt idx="1">
                  <c:v>2.4</c:v>
                </c:pt>
                <c:pt idx="2">
                  <c:v>1.7</c:v>
                </c:pt>
                <c:pt idx="3">
                  <c:v>1.6</c:v>
                </c:pt>
                <c:pt idx="4">
                  <c:v>2.1</c:v>
                </c:pt>
                <c:pt idx="5">
                  <c:v>1.9</c:v>
                </c:pt>
                <c:pt idx="6" formatCode="#\ ##0.0">
                  <c:v>2</c:v>
                </c:pt>
                <c:pt idx="7">
                  <c:v>1.4</c:v>
                </c:pt>
                <c:pt idx="8">
                  <c:v>-2.2999999999999998</c:v>
                </c:pt>
                <c:pt idx="9">
                  <c:v>-13.3</c:v>
                </c:pt>
                <c:pt idx="10">
                  <c:v>-3.8</c:v>
                </c:pt>
                <c:pt idx="11">
                  <c:v>-3.7</c:v>
                </c:pt>
                <c:pt idx="12">
                  <c:v>-0.1</c:v>
                </c:pt>
                <c:pt idx="13">
                  <c:v>14.4</c:v>
                </c:pt>
                <c:pt idx="14">
                  <c:v>4.9000000000000004</c:v>
                </c:pt>
                <c:pt idx="15">
                  <c:v>5.5</c:v>
                </c:pt>
                <c:pt idx="16">
                  <c:v>5.6</c:v>
                </c:pt>
                <c:pt idx="17">
                  <c:v>4.2</c:v>
                </c:pt>
                <c:pt idx="18">
                  <c:v>2.6</c:v>
                </c:pt>
                <c:pt idx="19">
                  <c:v>1.7</c:v>
                </c:pt>
                <c:pt idx="20">
                  <c:v>1.2</c:v>
                </c:pt>
                <c:pt idx="21">
                  <c:v>0.6</c:v>
                </c:pt>
                <c:pt idx="22">
                  <c:v>0.1</c:v>
                </c:pt>
                <c:pt idx="23" formatCode="General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F6-4753-AA26-E459EE501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1'!$A$5:$B$28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1'!$E$5:$E$28</c:f>
              <c:numCache>
                <c:formatCode>0.0</c:formatCode>
                <c:ptCount val="24"/>
                <c:pt idx="0">
                  <c:v>0.51859772519729574</c:v>
                </c:pt>
                <c:pt idx="1">
                  <c:v>0.5912374750303826</c:v>
                </c:pt>
                <c:pt idx="2">
                  <c:v>0.73257343037091971</c:v>
                </c:pt>
                <c:pt idx="3">
                  <c:v>0.76492186562109055</c:v>
                </c:pt>
                <c:pt idx="4">
                  <c:v>0.87101711877043897</c:v>
                </c:pt>
                <c:pt idx="5">
                  <c:v>0.65493675873298685</c:v>
                </c:pt>
                <c:pt idx="6">
                  <c:v>0.69787672499455766</c:v>
                </c:pt>
                <c:pt idx="7">
                  <c:v>0.53962669151388809</c:v>
                </c:pt>
                <c:pt idx="8">
                  <c:v>-3.3149705245738517</c:v>
                </c:pt>
                <c:pt idx="9">
                  <c:v>-8.8756873103285301</c:v>
                </c:pt>
                <c:pt idx="10">
                  <c:v>7.0042605595799046</c:v>
                </c:pt>
                <c:pt idx="11">
                  <c:v>1.2293333255930037</c:v>
                </c:pt>
                <c:pt idx="12">
                  <c:v>-0.63240914714887708</c:v>
                </c:pt>
                <c:pt idx="13">
                  <c:v>1.4350510102822795</c:v>
                </c:pt>
                <c:pt idx="14">
                  <c:v>1.7526194188431674</c:v>
                </c:pt>
                <c:pt idx="15">
                  <c:v>0.83193694511574279</c:v>
                </c:pt>
                <c:pt idx="16">
                  <c:v>0.57669901096760157</c:v>
                </c:pt>
                <c:pt idx="17">
                  <c:v>0.15652394087383925</c:v>
                </c:pt>
                <c:pt idx="18">
                  <c:v>-0.2295671803200463</c:v>
                </c:pt>
                <c:pt idx="19">
                  <c:v>-0.35550891651683969</c:v>
                </c:pt>
                <c:pt idx="20">
                  <c:v>0.11170681444774289</c:v>
                </c:pt>
                <c:pt idx="21">
                  <c:v>0.24220514817412209</c:v>
                </c:pt>
                <c:pt idx="22" formatCode="General">
                  <c:v>-0.80054654794142266</c:v>
                </c:pt>
                <c:pt idx="23" formatCode="General">
                  <c:v>0.23887550248531397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7F6-4753-AA26-E459EE5018AC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1'!$A$5:$B$28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1'!$F$5:$F$28</c:f>
              <c:numCache>
                <c:formatCode>#\ ##0.##########</c:formatCode>
                <c:ptCount val="24"/>
                <c:pt idx="0">
                  <c:v>0.1</c:v>
                </c:pt>
                <c:pt idx="1">
                  <c:v>0.6</c:v>
                </c:pt>
                <c:pt idx="2">
                  <c:v>0.1</c:v>
                </c:pt>
                <c:pt idx="3">
                  <c:v>0.7</c:v>
                </c:pt>
                <c:pt idx="4">
                  <c:v>0.6</c:v>
                </c:pt>
                <c:pt idx="5">
                  <c:v>0.4</c:v>
                </c:pt>
                <c:pt idx="6">
                  <c:v>0.2</c:v>
                </c:pt>
                <c:pt idx="7">
                  <c:v>0.1</c:v>
                </c:pt>
                <c:pt idx="8" formatCode="#\ ##0.0">
                  <c:v>-3</c:v>
                </c:pt>
                <c:pt idx="9">
                  <c:v>-10.9</c:v>
                </c:pt>
                <c:pt idx="10">
                  <c:v>11.3</c:v>
                </c:pt>
                <c:pt idx="11">
                  <c:v>0.1</c:v>
                </c:pt>
                <c:pt idx="12">
                  <c:v>0.5</c:v>
                </c:pt>
                <c:pt idx="13">
                  <c:v>2.1</c:v>
                </c:pt>
                <c:pt idx="14" formatCode="#\ ##0.0">
                  <c:v>2</c:v>
                </c:pt>
                <c:pt idx="15">
                  <c:v>0.7</c:v>
                </c:pt>
                <c:pt idx="16">
                  <c:v>0.7</c:v>
                </c:pt>
                <c:pt idx="17">
                  <c:v>0.7</c:v>
                </c:pt>
                <c:pt idx="18">
                  <c:v>0.4</c:v>
                </c:pt>
                <c:pt idx="19">
                  <c:v>-0.1</c:v>
                </c:pt>
                <c:pt idx="20">
                  <c:v>0.1</c:v>
                </c:pt>
                <c:pt idx="21" formatCode="#\ ##0.0">
                  <c:v>0.1</c:v>
                </c:pt>
                <c:pt idx="22" formatCode="#\ ##0.0">
                  <c:v>0</c:v>
                </c:pt>
                <c:pt idx="23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7F6-4753-AA26-E459EE501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  <c:max val="15"/>
          <c:min val="-1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71E-2"/>
          <c:y val="0.89437255125717996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72E-2"/>
          <c:y val="2.8458510079622041E-2"/>
          <c:w val="0.93688386524822698"/>
          <c:h val="0.674766689181583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'souhrnná výkonnost 3'!$A$6:$B$29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3'!$F$6:$F$29</c:f>
              <c:numCache>
                <c:formatCode>#\ ##0.0</c:formatCode>
                <c:ptCount val="24"/>
                <c:pt idx="0">
                  <c:v>-0.45416719953824236</c:v>
                </c:pt>
                <c:pt idx="1">
                  <c:v>-0.74378891592524266</c:v>
                </c:pt>
                <c:pt idx="2">
                  <c:v>-1.1266373010786321</c:v>
                </c:pt>
                <c:pt idx="3">
                  <c:v>0.26399371013949136</c:v>
                </c:pt>
                <c:pt idx="4">
                  <c:v>-0.10063574701283923</c:v>
                </c:pt>
                <c:pt idx="5">
                  <c:v>1.3529610725744314</c:v>
                </c:pt>
                <c:pt idx="6">
                  <c:v>1.4268251487477539</c:v>
                </c:pt>
                <c:pt idx="7">
                  <c:v>-1.1473798908006598</c:v>
                </c:pt>
                <c:pt idx="8">
                  <c:v>-2.0624772509655722</c:v>
                </c:pt>
                <c:pt idx="9">
                  <c:v>-9.0642749602481327</c:v>
                </c:pt>
                <c:pt idx="10">
                  <c:v>-1.0204260219992571</c:v>
                </c:pt>
                <c:pt idx="11">
                  <c:v>2.0095740720498352</c:v>
                </c:pt>
                <c:pt idx="12">
                  <c:v>-0.28507028363562337</c:v>
                </c:pt>
                <c:pt idx="13">
                  <c:v>4.4273326570028857</c:v>
                </c:pt>
                <c:pt idx="14">
                  <c:v>-5.8942461279131582</c:v>
                </c:pt>
                <c:pt idx="15">
                  <c:v>-6.442294612432077</c:v>
                </c:pt>
                <c:pt idx="16">
                  <c:v>-1.8223902794079421</c:v>
                </c:pt>
                <c:pt idx="17">
                  <c:v>0.41945594502810535</c:v>
                </c:pt>
                <c:pt idx="18">
                  <c:v>4.1644433977782347</c:v>
                </c:pt>
                <c:pt idx="19">
                  <c:v>2.8946322892501062</c:v>
                </c:pt>
                <c:pt idx="20">
                  <c:v>2.9791398368073945</c:v>
                </c:pt>
                <c:pt idx="21">
                  <c:v>2.3889917211540088</c:v>
                </c:pt>
                <c:pt idx="22">
                  <c:v>0.26756439074575278</c:v>
                </c:pt>
                <c:pt idx="23" formatCode="General">
                  <c:v>3.2571788461106377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1-4186-A05C-8745B5086BB0}"/>
            </c:ext>
          </c:extLst>
        </c:ser>
        <c:ser>
          <c:idx val="2"/>
          <c:order val="2"/>
          <c:tx>
            <c:strRef>
              <c:f>'souhrnná výkonnost 3'!$H$5</c:f>
              <c:strCache>
                <c:ptCount val="1"/>
                <c:pt idx="0">
                  <c:v>Změna zásob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cat>
            <c:multiLvlStrRef>
              <c:f>'souhrnná výkonnost 3'!$A$6:$B$29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3'!$H$6:$H$29</c:f>
              <c:numCache>
                <c:formatCode>#\ ##0.0</c:formatCode>
                <c:ptCount val="24"/>
                <c:pt idx="0">
                  <c:v>1.0524813582033086</c:v>
                </c:pt>
                <c:pt idx="1">
                  <c:v>-0.47777606515227122</c:v>
                </c:pt>
                <c:pt idx="2">
                  <c:v>-0.35555734821242635</c:v>
                </c:pt>
                <c:pt idx="3">
                  <c:v>-1.4481535119733124</c:v>
                </c:pt>
                <c:pt idx="4">
                  <c:v>2.9922981882277922E-2</c:v>
                </c:pt>
                <c:pt idx="5">
                  <c:v>-1.2537553229299498</c:v>
                </c:pt>
                <c:pt idx="6">
                  <c:v>-0.57463433558824872</c:v>
                </c:pt>
                <c:pt idx="7">
                  <c:v>1.8085807340728097</c:v>
                </c:pt>
                <c:pt idx="8">
                  <c:v>0.91584880445412908</c:v>
                </c:pt>
                <c:pt idx="9">
                  <c:v>0.66860369572466505</c:v>
                </c:pt>
                <c:pt idx="10">
                  <c:v>-1.5736478906912501</c:v>
                </c:pt>
                <c:pt idx="11">
                  <c:v>-2.0771500306216089</c:v>
                </c:pt>
                <c:pt idx="12">
                  <c:v>2.4159623458993353</c:v>
                </c:pt>
                <c:pt idx="13">
                  <c:v>4.4035123965182708</c:v>
                </c:pt>
                <c:pt idx="14">
                  <c:v>6.5480200971506584</c:v>
                </c:pt>
                <c:pt idx="15">
                  <c:v>5.6378094597142576</c:v>
                </c:pt>
                <c:pt idx="16">
                  <c:v>1.66367360988091</c:v>
                </c:pt>
                <c:pt idx="17">
                  <c:v>1.6515628174459902</c:v>
                </c:pt>
                <c:pt idx="18">
                  <c:v>-5.5502917501831096E-2</c:v>
                </c:pt>
                <c:pt idx="19">
                  <c:v>6.5762458860385592E-2</c:v>
                </c:pt>
                <c:pt idx="20">
                  <c:v>-1.1910787418086077</c:v>
                </c:pt>
                <c:pt idx="21">
                  <c:v>-2.7456046373375251</c:v>
                </c:pt>
                <c:pt idx="22">
                  <c:v>-2.5844585559091171</c:v>
                </c:pt>
                <c:pt idx="23" formatCode="General">
                  <c:v>-6.0262131805352563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41-4186-A05C-8745B5086BB0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'souhrnná výkonnost 3'!$A$6:$B$29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3'!$G$6:$G$29</c:f>
              <c:numCache>
                <c:formatCode>#\ ##0.0</c:formatCode>
                <c:ptCount val="24"/>
                <c:pt idx="0">
                  <c:v>1.8848546995699589</c:v>
                </c:pt>
                <c:pt idx="1">
                  <c:v>2.053547364624257</c:v>
                </c:pt>
                <c:pt idx="2">
                  <c:v>2.2324390876929545</c:v>
                </c:pt>
                <c:pt idx="3">
                  <c:v>1.9592291913679716</c:v>
                </c:pt>
                <c:pt idx="4">
                  <c:v>1.6664742572861313</c:v>
                </c:pt>
                <c:pt idx="5">
                  <c:v>1.1031620490038367</c:v>
                </c:pt>
                <c:pt idx="6">
                  <c:v>0.60351051109238796</c:v>
                </c:pt>
                <c:pt idx="7">
                  <c:v>0.61015699901503451</c:v>
                </c:pt>
                <c:pt idx="8">
                  <c:v>-0.18505385313730394</c:v>
                </c:pt>
                <c:pt idx="9">
                  <c:v>0.26545371936590556</c:v>
                </c:pt>
                <c:pt idx="10">
                  <c:v>-1.1365453004257857</c:v>
                </c:pt>
                <c:pt idx="11">
                  <c:v>-1.5484962788918575</c:v>
                </c:pt>
                <c:pt idx="12">
                  <c:v>-1.1386301164844839</c:v>
                </c:pt>
                <c:pt idx="13">
                  <c:v>-1.6478950671691954</c:v>
                </c:pt>
                <c:pt idx="14">
                  <c:v>0.35561087195381591</c:v>
                </c:pt>
                <c:pt idx="15">
                  <c:v>0.78646457641002898</c:v>
                </c:pt>
                <c:pt idx="16">
                  <c:v>1.2338325442745059</c:v>
                </c:pt>
                <c:pt idx="17">
                  <c:v>0.96635851731017153</c:v>
                </c:pt>
                <c:pt idx="18">
                  <c:v>8.5689625638113137E-2</c:v>
                </c:pt>
                <c:pt idx="19">
                  <c:v>5.5976859249671732E-2</c:v>
                </c:pt>
                <c:pt idx="20">
                  <c:v>-4.8316401269760036E-2</c:v>
                </c:pt>
                <c:pt idx="21">
                  <c:v>1.1862547304765805</c:v>
                </c:pt>
                <c:pt idx="22">
                  <c:v>1.4676525069754345</c:v>
                </c:pt>
                <c:pt idx="23" formatCode="General">
                  <c:v>1.774135907458229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41-4186-A05C-8745B5086BB0}"/>
            </c:ext>
          </c:extLst>
        </c:ser>
        <c:ser>
          <c:idx val="5"/>
          <c:order val="4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cat>
            <c:multiLvlStrRef>
              <c:f>'souhrnná výkonnost 3'!$A$6:$B$29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3'!$D$6:$D$29</c:f>
              <c:numCache>
                <c:formatCode>#\ ##0.0</c:formatCode>
                <c:ptCount val="24"/>
                <c:pt idx="0">
                  <c:v>1.540080312662943</c:v>
                </c:pt>
                <c:pt idx="1">
                  <c:v>1.2364606818393471</c:v>
                </c:pt>
                <c:pt idx="2">
                  <c:v>0.93963380194395907</c:v>
                </c:pt>
                <c:pt idx="3">
                  <c:v>0.94791873617978784</c:v>
                </c:pt>
                <c:pt idx="4">
                  <c:v>0.89975778114159266</c:v>
                </c:pt>
                <c:pt idx="5">
                  <c:v>1.2410325032352096</c:v>
                </c:pt>
                <c:pt idx="6">
                  <c:v>0.94788645941574889</c:v>
                </c:pt>
                <c:pt idx="7">
                  <c:v>1.3125840520821432</c:v>
                </c:pt>
                <c:pt idx="8">
                  <c:v>-1.0446704916645397</c:v>
                </c:pt>
                <c:pt idx="9">
                  <c:v>-3.3401453756905828</c:v>
                </c:pt>
                <c:pt idx="10">
                  <c:v>-1.8238505965980329</c:v>
                </c:pt>
                <c:pt idx="11">
                  <c:v>-4.3451439574225974</c:v>
                </c:pt>
                <c:pt idx="12">
                  <c:v>-2.8838668819945754</c:v>
                </c:pt>
                <c:pt idx="13">
                  <c:v>1.9930858902923905</c:v>
                </c:pt>
                <c:pt idx="14">
                  <c:v>1.7335129439561139</c:v>
                </c:pt>
                <c:pt idx="15">
                  <c:v>3.2860285615183655</c:v>
                </c:pt>
                <c:pt idx="16">
                  <c:v>3.1431953453358585</c:v>
                </c:pt>
                <c:pt idx="17">
                  <c:v>-0.17331027307381178</c:v>
                </c:pt>
                <c:pt idx="18">
                  <c:v>-2.5959848207229488</c:v>
                </c:pt>
                <c:pt idx="19">
                  <c:v>-2.8794774139667449</c:v>
                </c:pt>
                <c:pt idx="20">
                  <c:v>-2.6465481494204957</c:v>
                </c:pt>
                <c:pt idx="21">
                  <c:v>-1.73830378785708</c:v>
                </c:pt>
                <c:pt idx="22">
                  <c:v>-0.68758235748240282</c:v>
                </c:pt>
                <c:pt idx="23" formatCode="General">
                  <c:v>0.35524375304012085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41-4186-A05C-8745B5086BB0}"/>
            </c:ext>
          </c:extLst>
        </c:ser>
        <c:ser>
          <c:idx val="4"/>
          <c:order val="5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'souhrnná výkonnost 3'!$A$6:$B$29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3'!$E$6:$E$29</c:f>
              <c:numCache>
                <c:formatCode>#\ ##0.0</c:formatCode>
                <c:ptCount val="24"/>
                <c:pt idx="0">
                  <c:v>0.59778499254771711</c:v>
                </c:pt>
                <c:pt idx="1">
                  <c:v>0.60746684411638396</c:v>
                </c:pt>
                <c:pt idx="2">
                  <c:v>0.87114555902277024</c:v>
                </c:pt>
                <c:pt idx="3">
                  <c:v>0.78687144586984825</c:v>
                </c:pt>
                <c:pt idx="4">
                  <c:v>0.42281243223978315</c:v>
                </c:pt>
                <c:pt idx="5">
                  <c:v>0.54406400829840962</c:v>
                </c:pt>
                <c:pt idx="6">
                  <c:v>0.56781285164264683</c:v>
                </c:pt>
                <c:pt idx="7">
                  <c:v>0.18039196202538715</c:v>
                </c:pt>
                <c:pt idx="8">
                  <c:v>0.86345208967516851</c:v>
                </c:pt>
                <c:pt idx="9">
                  <c:v>0.63518061172427243</c:v>
                </c:pt>
                <c:pt idx="10">
                  <c:v>0.30945908783825082</c:v>
                </c:pt>
                <c:pt idx="11">
                  <c:v>1.3407546216216213</c:v>
                </c:pt>
                <c:pt idx="12">
                  <c:v>-8.5095004004240485E-2</c:v>
                </c:pt>
                <c:pt idx="13">
                  <c:v>-5.3280721089043984E-2</c:v>
                </c:pt>
                <c:pt idx="14">
                  <c:v>0.99915273207784439</c:v>
                </c:pt>
                <c:pt idx="15">
                  <c:v>6.858536278325067E-2</c:v>
                </c:pt>
                <c:pt idx="16">
                  <c:v>0.33474456586805579</c:v>
                </c:pt>
                <c:pt idx="17">
                  <c:v>0.33166297678408879</c:v>
                </c:pt>
                <c:pt idx="18">
                  <c:v>-0.3964114496966355</c:v>
                </c:pt>
                <c:pt idx="19">
                  <c:v>-0.10453692828037314</c:v>
                </c:pt>
                <c:pt idx="20">
                  <c:v>0.57275590302009682</c:v>
                </c:pt>
                <c:pt idx="21">
                  <c:v>0.70015282474112506</c:v>
                </c:pt>
                <c:pt idx="22">
                  <c:v>0.76409093068949807</c:v>
                </c:pt>
                <c:pt idx="23" formatCode="General">
                  <c:v>0.40579761524153957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41-4186-A05C-8745B5086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26076416"/>
        <c:axId val="126077952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3'!$C$6:$C$29</c:f>
              <c:numCache>
                <c:formatCode>#\ ##0.0</c:formatCode>
                <c:ptCount val="24"/>
                <c:pt idx="0">
                  <c:v>4.7410158709829044</c:v>
                </c:pt>
                <c:pt idx="1">
                  <c:v>2.8085121382809888</c:v>
                </c:pt>
                <c:pt idx="2">
                  <c:v>2.6946747602240042</c:v>
                </c:pt>
                <c:pt idx="3">
                  <c:v>2.632738011287671</c:v>
                </c:pt>
                <c:pt idx="4">
                  <c:v>2.9925808638806188</c:v>
                </c:pt>
                <c:pt idx="5">
                  <c:v>3.0577465249692599</c:v>
                </c:pt>
                <c:pt idx="6">
                  <c:v>3.0222812889930282</c:v>
                </c:pt>
                <c:pt idx="7">
                  <c:v>2.7919056462255591</c:v>
                </c:pt>
                <c:pt idx="8">
                  <c:v>-1.4738194413261563</c:v>
                </c:pt>
                <c:pt idx="9">
                  <c:v>-10.802865399708741</c:v>
                </c:pt>
                <c:pt idx="10">
                  <c:v>-5.2167494638705882</c:v>
                </c:pt>
                <c:pt idx="11">
                  <c:v>-4.5664750245340713</c:v>
                </c:pt>
                <c:pt idx="12">
                  <c:v>-1.9186323159540564</c:v>
                </c:pt>
                <c:pt idx="13">
                  <c:v>9.1792931219514671</c:v>
                </c:pt>
                <c:pt idx="14">
                  <c:v>3.8209037046074186</c:v>
                </c:pt>
                <c:pt idx="15">
                  <c:v>3.4133373401856786</c:v>
                </c:pt>
                <c:pt idx="16">
                  <c:v>4.6717018578752887</c:v>
                </c:pt>
                <c:pt idx="17">
                  <c:v>3.3523790889560274</c:v>
                </c:pt>
                <c:pt idx="18">
                  <c:v>1.3390063821799454</c:v>
                </c:pt>
                <c:pt idx="19">
                  <c:v>0.14560017314614981</c:v>
                </c:pt>
                <c:pt idx="20">
                  <c:v>-0.31744526909487569</c:v>
                </c:pt>
                <c:pt idx="21">
                  <c:v>-0.23213394955256211</c:v>
                </c:pt>
                <c:pt idx="22">
                  <c:v>-0.80311910800017472</c:v>
                </c:pt>
                <c:pt idx="23" formatCode="General">
                  <c:v>-0.21143294560552311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841-4186-A05C-8745B5086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076416"/>
        <c:axId val="126077952"/>
      </c:lineChart>
      <c:catAx>
        <c:axId val="12607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6077952"/>
        <c:crosses val="autoZero"/>
        <c:auto val="1"/>
        <c:lblAlgn val="ctr"/>
        <c:lblOffset val="100"/>
        <c:noMultiLvlLbl val="0"/>
      </c:catAx>
      <c:valAx>
        <c:axId val="126077952"/>
        <c:scaling>
          <c:orientation val="minMax"/>
          <c:max val="12"/>
          <c:min val="-1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607641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81445992344928542"/>
          <c:w val="0.94432624113475172"/>
          <c:h val="0.1748173477428797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75E-2"/>
          <c:y val="2.9499886988623544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4'!$C$6:$C$29</c:f>
              <c:numCache>
                <c:formatCode>#\ ##0.0</c:formatCode>
                <c:ptCount val="24"/>
                <c:pt idx="0">
                  <c:v>3.2678809349882994E-2</c:v>
                </c:pt>
                <c:pt idx="1">
                  <c:v>7.1043352951455641E-2</c:v>
                </c:pt>
                <c:pt idx="2">
                  <c:v>0.13147416955081714</c:v>
                </c:pt>
                <c:pt idx="3">
                  <c:v>0.1355750838589089</c:v>
                </c:pt>
                <c:pt idx="4">
                  <c:v>7.3815312527439711E-2</c:v>
                </c:pt>
                <c:pt idx="5">
                  <c:v>8.6198359198018534E-2</c:v>
                </c:pt>
                <c:pt idx="6">
                  <c:v>0.10932770534860803</c:v>
                </c:pt>
                <c:pt idx="7">
                  <c:v>0.13255154938774669</c:v>
                </c:pt>
                <c:pt idx="8">
                  <c:v>0.21545052259669259</c:v>
                </c:pt>
                <c:pt idx="9">
                  <c:v>0.23619938628539741</c:v>
                </c:pt>
                <c:pt idx="10">
                  <c:v>0.24181149955858292</c:v>
                </c:pt>
                <c:pt idx="11">
                  <c:v>0.21681429221385648</c:v>
                </c:pt>
                <c:pt idx="12">
                  <c:v>-0.19657363835640351</c:v>
                </c:pt>
                <c:pt idx="13">
                  <c:v>-0.34178536991297304</c:v>
                </c:pt>
                <c:pt idx="14">
                  <c:v>-0.37570182006417735</c:v>
                </c:pt>
                <c:pt idx="15">
                  <c:v>-0.37221295215760836</c:v>
                </c:pt>
                <c:pt idx="16">
                  <c:v>-0.16024994199083403</c:v>
                </c:pt>
                <c:pt idx="17">
                  <c:v>-0.1348895007486515</c:v>
                </c:pt>
                <c:pt idx="18">
                  <c:v>-0.14283428657456573</c:v>
                </c:pt>
                <c:pt idx="19">
                  <c:v>-0.23201691445676575</c:v>
                </c:pt>
                <c:pt idx="20">
                  <c:v>-4.7535272447193494E-2</c:v>
                </c:pt>
                <c:pt idx="21">
                  <c:v>2.6736410503076995E-3</c:v>
                </c:pt>
                <c:pt idx="22">
                  <c:v>4.766673056405552E-3</c:v>
                </c:pt>
                <c:pt idx="23">
                  <c:v>6.1068438580424426E-2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0-4592-A09B-5B6C9227D842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4'!$D$6:$D$29</c:f>
              <c:numCache>
                <c:formatCode>#\ ##0.0</c:formatCode>
                <c:ptCount val="24"/>
                <c:pt idx="0">
                  <c:v>1.49104591482017</c:v>
                </c:pt>
                <c:pt idx="1">
                  <c:v>0.13833830178262263</c:v>
                </c:pt>
                <c:pt idx="2">
                  <c:v>1.1371114606629321E-2</c:v>
                </c:pt>
                <c:pt idx="3">
                  <c:v>0.33553515446267096</c:v>
                </c:pt>
                <c:pt idx="4">
                  <c:v>0.79394406110374971</c:v>
                </c:pt>
                <c:pt idx="5">
                  <c:v>1.3559231668786855</c:v>
                </c:pt>
                <c:pt idx="6">
                  <c:v>1.3631060989469754</c:v>
                </c:pt>
                <c:pt idx="7">
                  <c:v>0.99560862159706953</c:v>
                </c:pt>
                <c:pt idx="8">
                  <c:v>-1.1680575231725148</c:v>
                </c:pt>
                <c:pt idx="9">
                  <c:v>-5.8896682937773646</c:v>
                </c:pt>
                <c:pt idx="10">
                  <c:v>-2.5137505183360016</c:v>
                </c:pt>
                <c:pt idx="11">
                  <c:v>-1.8978845716379917</c:v>
                </c:pt>
                <c:pt idx="12">
                  <c:v>0.17537901886028953</c:v>
                </c:pt>
                <c:pt idx="13">
                  <c:v>4.9740222929440314</c:v>
                </c:pt>
                <c:pt idx="14">
                  <c:v>0.20509799209873475</c:v>
                </c:pt>
                <c:pt idx="15">
                  <c:v>-0.48173040936348782</c:v>
                </c:pt>
                <c:pt idx="16">
                  <c:v>0.85159758765533644</c:v>
                </c:pt>
                <c:pt idx="17">
                  <c:v>1.2307885998185149</c:v>
                </c:pt>
                <c:pt idx="18">
                  <c:v>2.1461150458361149</c:v>
                </c:pt>
                <c:pt idx="19">
                  <c:v>2.7410411788756215</c:v>
                </c:pt>
                <c:pt idx="20">
                  <c:v>0.98546651957734865</c:v>
                </c:pt>
                <c:pt idx="21">
                  <c:v>0.69537044230434564</c:v>
                </c:pt>
                <c:pt idx="22">
                  <c:v>3.1987585277426456E-2</c:v>
                </c:pt>
                <c:pt idx="23">
                  <c:v>0.36464642555031457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D0-4592-A09B-5B6C9227D842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4'!$E$6:$E$29</c:f>
              <c:numCache>
                <c:formatCode>#\ ##0.0</c:formatCode>
                <c:ptCount val="24"/>
                <c:pt idx="0">
                  <c:v>-8.4827402194146279E-2</c:v>
                </c:pt>
                <c:pt idx="1">
                  <c:v>-2.6313910996506886E-3</c:v>
                </c:pt>
                <c:pt idx="2" formatCode="General">
                  <c:v>9.1594113054016657E-2</c:v>
                </c:pt>
                <c:pt idx="3" formatCode="General">
                  <c:v>-2.3532244840282983E-2</c:v>
                </c:pt>
                <c:pt idx="4" formatCode="General">
                  <c:v>-0.22319978862492373</c:v>
                </c:pt>
                <c:pt idx="5" formatCode="General">
                  <c:v>-0.42608130827198065</c:v>
                </c:pt>
                <c:pt idx="6" formatCode="General">
                  <c:v>-0.6332241662231014</c:v>
                </c:pt>
                <c:pt idx="7" formatCode="General">
                  <c:v>-0.47005936665406056</c:v>
                </c:pt>
                <c:pt idx="8" formatCode="General">
                  <c:v>-0.39879519059346102</c:v>
                </c:pt>
                <c:pt idx="9" formatCode="General">
                  <c:v>-0.29594961815162701</c:v>
                </c:pt>
                <c:pt idx="10" formatCode="General">
                  <c:v>3.6558427102720184E-2</c:v>
                </c:pt>
                <c:pt idx="11" formatCode="General">
                  <c:v>0.49474509851361503</c:v>
                </c:pt>
                <c:pt idx="12" formatCode="General">
                  <c:v>0.10268524637411167</c:v>
                </c:pt>
                <c:pt idx="13" formatCode="General">
                  <c:v>0.15208374901925303</c:v>
                </c:pt>
                <c:pt idx="14" formatCode="General">
                  <c:v>-8.3157118283756229E-2</c:v>
                </c:pt>
                <c:pt idx="15" formatCode="General">
                  <c:v>-0.23038326613496624</c:v>
                </c:pt>
                <c:pt idx="16" formatCode="General">
                  <c:v>-1.0092291186249662</c:v>
                </c:pt>
                <c:pt idx="17" formatCode="General">
                  <c:v>-1.070606669046922</c:v>
                </c:pt>
                <c:pt idx="18" formatCode="General">
                  <c:v>-1.1188599277095892</c:v>
                </c:pt>
                <c:pt idx="19" formatCode="General">
                  <c:v>-1.7296091090525767</c:v>
                </c:pt>
                <c:pt idx="20" formatCode="General">
                  <c:v>-0.44312109974277392</c:v>
                </c:pt>
                <c:pt idx="21" formatCode="General">
                  <c:v>-0.48372943512078981</c:v>
                </c:pt>
                <c:pt idx="22" formatCode="General">
                  <c:v>-0.31616125985508281</c:v>
                </c:pt>
                <c:pt idx="23" formatCode="General">
                  <c:v>-0.24766280159442752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D0-4592-A09B-5B6C9227D842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4'!$F$6:$F$29</c:f>
              <c:numCache>
                <c:formatCode>#\ ##0.0</c:formatCode>
                <c:ptCount val="24"/>
                <c:pt idx="0">
                  <c:v>0.12203771789133691</c:v>
                </c:pt>
                <c:pt idx="1">
                  <c:v>2.721405326342801E-3</c:v>
                </c:pt>
                <c:pt idx="2">
                  <c:v>-1.6093365386526861E-2</c:v>
                </c:pt>
                <c:pt idx="3">
                  <c:v>-0.11938213609361673</c:v>
                </c:pt>
                <c:pt idx="4">
                  <c:v>-0.15414075128507621</c:v>
                </c:pt>
                <c:pt idx="5">
                  <c:v>-4.3532590886408505E-2</c:v>
                </c:pt>
                <c:pt idx="6">
                  <c:v>-0.10941238277351643</c:v>
                </c:pt>
                <c:pt idx="7">
                  <c:v>-9.8598207180954342E-2</c:v>
                </c:pt>
                <c:pt idx="8">
                  <c:v>-0.3387537202870835</c:v>
                </c:pt>
                <c:pt idx="9">
                  <c:v>-0.70304287917967101</c:v>
                </c:pt>
                <c:pt idx="10">
                  <c:v>-0.6319415303218574</c:v>
                </c:pt>
                <c:pt idx="11">
                  <c:v>-0.61557506939559192</c:v>
                </c:pt>
                <c:pt idx="12">
                  <c:v>-0.50618553672420052</c:v>
                </c:pt>
                <c:pt idx="13">
                  <c:v>-8.0324212744330645E-2</c:v>
                </c:pt>
                <c:pt idx="14">
                  <c:v>-5.5314929764280858E-3</c:v>
                </c:pt>
                <c:pt idx="15">
                  <c:v>-4.5147882953895054E-2</c:v>
                </c:pt>
                <c:pt idx="16">
                  <c:v>-7.8468253982660843E-2</c:v>
                </c:pt>
                <c:pt idx="17">
                  <c:v>-0.27249270071163328</c:v>
                </c:pt>
                <c:pt idx="18">
                  <c:v>-0.4979668111830588</c:v>
                </c:pt>
                <c:pt idx="19">
                  <c:v>-0.50184742807966842</c:v>
                </c:pt>
                <c:pt idx="20">
                  <c:v>-0.1996610584499125</c:v>
                </c:pt>
                <c:pt idx="21">
                  <c:v>-8.2050273610213512E-2</c:v>
                </c:pt>
                <c:pt idx="22">
                  <c:v>4.8713560031534174E-2</c:v>
                </c:pt>
                <c:pt idx="23">
                  <c:v>-3.753385092896025E-2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D0-4592-A09B-5B6C9227D842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4'!$G$6:$G$29</c:f>
              <c:numCache>
                <c:formatCode>#\ ##0.0</c:formatCode>
                <c:ptCount val="24"/>
                <c:pt idx="0">
                  <c:v>3.1237068943138606</c:v>
                </c:pt>
                <c:pt idx="1">
                  <c:v>2.7517321166092374</c:v>
                </c:pt>
                <c:pt idx="2" formatCode="General">
                  <c:v>2.7131816334348331</c:v>
                </c:pt>
                <c:pt idx="3" formatCode="General">
                  <c:v>2.6018048024583842</c:v>
                </c:pt>
                <c:pt idx="4" formatCode="General">
                  <c:v>2.4822220084523607</c:v>
                </c:pt>
                <c:pt idx="5" formatCode="General">
                  <c:v>2.1921234953504332</c:v>
                </c:pt>
                <c:pt idx="6" formatCode="General">
                  <c:v>2.1636986023312033</c:v>
                </c:pt>
                <c:pt idx="7" formatCode="General">
                  <c:v>2.1557420268059597</c:v>
                </c:pt>
                <c:pt idx="8" formatCode="General">
                  <c:v>0.58107492482466538</c:v>
                </c:pt>
                <c:pt idx="9" formatCode="General">
                  <c:v>-4.340075475656417</c:v>
                </c:pt>
                <c:pt idx="10" formatCode="General">
                  <c:v>-1.9966606979356536</c:v>
                </c:pt>
                <c:pt idx="11" formatCode="General">
                  <c:v>-2.3417286799070345</c:v>
                </c:pt>
                <c:pt idx="12" formatCode="General">
                  <c:v>-1.4413683522936223</c:v>
                </c:pt>
                <c:pt idx="13" formatCode="General">
                  <c:v>4.6756952859719902</c:v>
                </c:pt>
                <c:pt idx="14" formatCode="General">
                  <c:v>3.758749287293734</c:v>
                </c:pt>
                <c:pt idx="15" formatCode="General">
                  <c:v>4.1104404660252234</c:v>
                </c:pt>
                <c:pt idx="16" formatCode="General">
                  <c:v>4.4139152173834848</c:v>
                </c:pt>
                <c:pt idx="17" formatCode="General">
                  <c:v>3.4505548666596657</c:v>
                </c:pt>
                <c:pt idx="18" formatCode="General">
                  <c:v>1.0064324877757442</c:v>
                </c:pt>
                <c:pt idx="19" formatCode="General">
                  <c:v>0.54868681977957845</c:v>
                </c:pt>
                <c:pt idx="20" formatCode="General">
                  <c:v>0.71240256464408669</c:v>
                </c:pt>
                <c:pt idx="21" formatCode="General">
                  <c:v>0.3741868560266069</c:v>
                </c:pt>
                <c:pt idx="22" formatCode="General">
                  <c:v>0.21754836413795925</c:v>
                </c:pt>
                <c:pt idx="23" formatCode="General">
                  <c:v>0.20071240166449492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D0-4592-A09B-5B6C9227D8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53730432"/>
        <c:axId val="153752704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4'!$A$6:$B$29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4'!$H$6:$H$29</c:f>
              <c:numCache>
                <c:formatCode>#\ ##0.0</c:formatCode>
                <c:ptCount val="24"/>
                <c:pt idx="0">
                  <c:v>4.7958884315215471</c:v>
                </c:pt>
                <c:pt idx="1">
                  <c:v>2.9611349370848932</c:v>
                </c:pt>
                <c:pt idx="2">
                  <c:v>2.9313757908427505</c:v>
                </c:pt>
                <c:pt idx="3">
                  <c:v>2.9300970074841501</c:v>
                </c:pt>
                <c:pt idx="4">
                  <c:v>2.9726357886500532</c:v>
                </c:pt>
                <c:pt idx="5">
                  <c:v>3.1648414337946056</c:v>
                </c:pt>
                <c:pt idx="6">
                  <c:v>2.8935535187896448</c:v>
                </c:pt>
                <c:pt idx="7">
                  <c:v>2.7150260301270781</c:v>
                </c:pt>
                <c:pt idx="8">
                  <c:v>-1.1091532796304051</c:v>
                </c:pt>
                <c:pt idx="9">
                  <c:v>-10.992463627261648</c:v>
                </c:pt>
                <c:pt idx="10">
                  <c:v>-4.8638909795719876</c:v>
                </c:pt>
                <c:pt idx="11">
                  <c:v>-4.1436644792680095</c:v>
                </c:pt>
                <c:pt idx="12">
                  <c:v>-1.8659927600573805</c:v>
                </c:pt>
                <c:pt idx="13">
                  <c:v>9.3795330142279685</c:v>
                </c:pt>
                <c:pt idx="14">
                  <c:v>3.4995046714904281</c:v>
                </c:pt>
                <c:pt idx="15">
                  <c:v>2.9809101848340589</c:v>
                </c:pt>
                <c:pt idx="16">
                  <c:v>4.0174034994919054</c:v>
                </c:pt>
                <c:pt idx="17">
                  <c:v>3.2033033043370418</c:v>
                </c:pt>
                <c:pt idx="18">
                  <c:v>1.3928723627336272</c:v>
                </c:pt>
                <c:pt idx="19">
                  <c:v>0.82683172544186334</c:v>
                </c:pt>
                <c:pt idx="20">
                  <c:v>1.0077776783391665</c:v>
                </c:pt>
                <c:pt idx="21">
                  <c:v>0.50658350080470838</c:v>
                </c:pt>
                <c:pt idx="22">
                  <c:v>-1.3009355895107442E-2</c:v>
                </c:pt>
                <c:pt idx="23">
                  <c:v>0.34051637357133302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2D0-4592-A09B-5B6C9227D8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730432"/>
        <c:axId val="153752704"/>
      </c:lineChart>
      <c:catAx>
        <c:axId val="15373043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53752704"/>
        <c:crosses val="autoZero"/>
        <c:auto val="1"/>
        <c:lblAlgn val="ctr"/>
        <c:lblOffset val="100"/>
        <c:noMultiLvlLbl val="0"/>
      </c:catAx>
      <c:valAx>
        <c:axId val="153752704"/>
        <c:scaling>
          <c:orientation val="minMax"/>
          <c:max val="10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5373043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3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1" ma:contentTypeDescription="Vytvoří nový dokument" ma:contentTypeScope="" ma:versionID="9a58d24f60b264923fe9c7150327a53c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91c8efd7c542b57fe84d8bfb95d003d1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561CC-7D6C-40EF-AB10-C45997A7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1DEB0-34C9-4A2C-BDF8-D5AF234B29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3EC377-7095-47E4-80C6-5E2A517C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5</Pages>
  <Words>1838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4</cp:revision>
  <cp:lastPrinted>2023-06-09T17:23:00Z</cp:lastPrinted>
  <dcterms:created xsi:type="dcterms:W3CDTF">2024-03-21T10:53:00Z</dcterms:created>
  <dcterms:modified xsi:type="dcterms:W3CDTF">2024-03-21T10:57:00Z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