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FA005" w14:textId="77777777" w:rsidR="006745DF" w:rsidRPr="00134FFF" w:rsidRDefault="006745DF" w:rsidP="006745DF">
      <w:pPr>
        <w:pStyle w:val="Nadpis11"/>
        <w:rPr>
          <w:sz w:val="2"/>
          <w:szCs w:val="2"/>
        </w:rPr>
      </w:pPr>
      <w:bookmarkStart w:id="0" w:name="_Toc114134048"/>
      <w:bookmarkStart w:id="1" w:name="_Toc97736119"/>
      <w:bookmarkStart w:id="2" w:name="_Toc74643859"/>
      <w:bookmarkStart w:id="3" w:name="_Toc90395915"/>
      <w:bookmarkStart w:id="4" w:name="_Toc98245446"/>
      <w:bookmarkStart w:id="5" w:name="_Toc74643860"/>
      <w:bookmarkStart w:id="6" w:name="_Toc130286019"/>
      <w:bookmarkStart w:id="7" w:name="_Toc137721911"/>
      <w:r>
        <w:t>4</w:t>
      </w:r>
      <w:bookmarkStart w:id="8" w:name="_Toc511215218"/>
      <w:bookmarkStart w:id="9" w:name="_Toc19090679"/>
      <w:bookmarkStart w:id="10" w:name="_Toc74643856"/>
      <w:bookmarkStart w:id="11" w:name="_Toc42852411"/>
      <w:bookmarkStart w:id="12" w:name="_Toc74643857"/>
      <w:bookmarkEnd w:id="8"/>
      <w:bookmarkEnd w:id="9"/>
      <w:r w:rsidRPr="009110F7">
        <w:t>.</w:t>
      </w:r>
      <w:r>
        <w:t> </w:t>
      </w:r>
      <w:r w:rsidRPr="009110F7">
        <w:t>Vnější vztahy</w:t>
      </w:r>
      <w:bookmarkEnd w:id="6"/>
      <w:bookmarkEnd w:id="7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21"/>
        <w:gridCol w:w="7670"/>
      </w:tblGrid>
      <w:tr w:rsidR="006745DF" w:rsidRPr="009110F7" w14:paraId="61418478" w14:textId="77777777" w:rsidTr="008F130B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1E0A94DE" w14:textId="77777777" w:rsidR="006745DF" w:rsidRDefault="006745DF" w:rsidP="008F130B">
            <w:pPr>
              <w:pStyle w:val="Marginlie"/>
            </w:pPr>
            <w:r>
              <w:t>Vývoz zboží v 1. čtvrtletí meziročně rostl.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16FDD335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29C4CF8" w14:textId="77777777" w:rsidR="006745DF" w:rsidRPr="00AF6F98" w:rsidRDefault="006745DF" w:rsidP="008F130B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Hodnota vývozu zboží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v 1. čtvrtletí 2023 dosáhla 1 153,6 mld. korun a meziročně se zvýšila o 105,7 mld. (10,1 %). Růst cen zahraničního obchodu se oproti konci roku 2022 zmírnil a s ním i meziroční přírůstek exportu</w:t>
            </w:r>
            <w:r>
              <w:rPr>
                <w:rStyle w:val="Znakapoznpodarou"/>
                <w:spacing w:val="-4"/>
              </w:rPr>
              <w:footnoteReference w:id="2"/>
            </w:r>
            <w:r>
              <w:rPr>
                <w:spacing w:val="-4"/>
              </w:rPr>
              <w:t xml:space="preserve">. K růstu hodnoty vývozu zboží přispívaly solidní výsledky v oblasti výroby motorových vozidel a souvisejících průmyslových oborů. Zároveň ale vysoká srovnávací základna bránila vyšším přírůstkům exportu u zboží, </w:t>
            </w:r>
            <w:r>
              <w:rPr>
                <w:spacing w:val="-4"/>
              </w:rPr>
              <w:br/>
              <w:t>u kterého loni prudce rostly ceny – tedy různých surovin a energií. Podle sezónně očištěných údajů vývoz zboží mezičtvrtletně klesl o 1,5 %.</w:t>
            </w:r>
          </w:p>
        </w:tc>
      </w:tr>
      <w:tr w:rsidR="006745DF" w:rsidRPr="009110F7" w14:paraId="17398024" w14:textId="77777777" w:rsidTr="008F130B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2983E4E5" w14:textId="77777777" w:rsidR="006745DF" w:rsidRDefault="006745DF" w:rsidP="008F130B">
            <w:pPr>
              <w:pStyle w:val="Marginlie"/>
            </w:pPr>
            <w:r>
              <w:t>Silně se zvyšoval export do Německa.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43F0F990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EA2D106" w14:textId="77777777" w:rsidR="006745DF" w:rsidRDefault="006745DF" w:rsidP="008F130B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 1. čtvrtletí 2023 silněji meziročně rostl export zboží do zemí EU (+90,6 mld. korun, 10,7 %), zatímco export mimo EU byl vyšší o 15,1 mld. (7,7 %). Nejvýraznější byl meziroční přírůstek vývozu do Německa (+43,9 mld. korun, 13,7 %)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>, který tak značně překonal ostatní exportní destinace. Silně meziročně rostl také vývoz do Francie (+10,1 mld. korun, 19,3 %) a do Polska (+7,1 mld. korun, 9,6 %). Významnější přírůstky byly zaznamenány také u exportu do Španělska (+4,6 mld. korun, 15,1 %), Spojeného království (4,5 mld., 11,3 %), Nizozemska (+4,0 mld., 11,1 %), Itálie (4,0 mld., 8,6 %), Belgie (+3,6 mld., 15,7 %), Turecka (+4,3 mld., 40,0 %), Rakouska (+3,2 mld., 6,9 %), Ukrajiny (+2,6 mld., 57,2 %), Švédska (+2,5 mld., 14,1 %), Švýcarska (+2,3 mld., 13,9 %) nebo Maďarska (+2,3 mld., 6,9 %). K poklesu vývozu došlo u menšiny zemí, přičemž nejvýraznější byl meziroční propad exportu zboží do Ruska (−9,7 mld. korun, −67,9 %) a na Slovensko (−3,1 mld., −3,0 %)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. </w:t>
            </w:r>
          </w:p>
        </w:tc>
      </w:tr>
      <w:tr w:rsidR="006745DF" w:rsidRPr="009110F7" w14:paraId="63CFA4C0" w14:textId="77777777" w:rsidTr="008F130B">
        <w:trPr>
          <w:trHeight w:val="170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13F597F5" w14:textId="77777777" w:rsidR="006745DF" w:rsidRDefault="006745DF" w:rsidP="008F130B">
            <w:pPr>
              <w:pStyle w:val="Marginlie"/>
            </w:pPr>
            <w:r>
              <w:t xml:space="preserve">Za meziročním růstem vývozu většinou stála motorová vozidla. 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4FD3524B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908DB3D" w14:textId="77777777" w:rsidR="006745DF" w:rsidRPr="00AF6F98" w:rsidRDefault="006745DF" w:rsidP="008F130B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Na růstu hodnoty exportu zboží v 1. čtvrtletí 2023 se výrazně podílelo meziroční oživení u tří silných exportních odvětví – motorových vozidel (+72,9 mld. korun, 30,5 %), elektrických zařízení (+26,7 mld., 28,1 %) a strojů a zařízení (+17,4 mld., 14,7 %). Zejména v případě motorových vozidel pomohla i nízká srovnávací základna začátku loňského roku. Silný byl meziroční nárůst vývozu potravinářských výrobků (+8,4 mld. korun, 25,4 %). Vývoz ostatních významných artiklů rostl mírně nebo spíše stagnoval. To byl případ pryžových a plastových výrobků (+3,5 mld. korun, 6,8 %), počítačů, elektronických a optických přístrojů a zařízení (+2,0 mld., 2,1 %) nebo kovodělných výrobků (+1,4 mld., 2,1 %). Hlavně pod vlivem vysoké srovnávací základny v 1. čtvrtletí 2023 meziročně nejvíce klesala hodnota vývozu elektřiny, plynu, páry a klimatizovaného vzduchu (−8,7 mld. korun, −33,0 %), základních kovů (−6,3 mld., −12,1 %), chemických látek a přípravků (−5,5 mld., −9,2 %) a dřeva a dřevěných výrobků (−4,0 mld., −24,6 %). Výrazně nižší byl i vývoz v oblasti sběru, přípravy k likvidaci a likvidace odpadu (−2,9 mld. korun, −22,4 %) nebo produktů zemědělství a myslivosti (−2,6 mld., −14,9 %). </w:t>
            </w:r>
          </w:p>
        </w:tc>
      </w:tr>
      <w:tr w:rsidR="006745DF" w:rsidRPr="009110F7" w14:paraId="73AC1BAB" w14:textId="77777777" w:rsidTr="008F130B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2FF041AD" w14:textId="77777777" w:rsidR="006745DF" w:rsidRDefault="006745DF" w:rsidP="008F130B">
            <w:pPr>
              <w:pStyle w:val="Marginlie"/>
            </w:pPr>
            <w:r>
              <w:t>Meziroční růst dovozu se zmírnil.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2F146137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BE24CE1" w14:textId="77777777" w:rsidR="006745DF" w:rsidRDefault="006745DF" w:rsidP="008F130B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Meziroční přírůstek hodnoty dovozu zboží se v 1. čtvrtletí propadl na 52,4 mld. korun (4,9 %). Celkově tak import zboží dosáhl 1 112,2 mld. korun. Výrazné zpomalení meziroční dynamiky bylo jednoznačně ovlivněno vysokou srovnávací základnou loňského 1. kvartálu, především u ropy a zemního plynu. Meziroční růst cen byl mírně nižší než nominální navýšení hodnoty dovozu zboží</w:t>
            </w:r>
            <w:r>
              <w:rPr>
                <w:rStyle w:val="Znakapoznpodarou"/>
                <w:spacing w:val="-4"/>
              </w:rPr>
              <w:footnoteReference w:id="5"/>
            </w:r>
            <w:r>
              <w:rPr>
                <w:spacing w:val="-4"/>
              </w:rPr>
              <w:t>. Podle sezónně očištěných údajů import zboží klesl o 4,7 %. Pod vlivem vysoké srovnávací základny výrazně zmírnil meziroční přírůstek dovozu zboží ze zemí mimo EU (+25,5 mld. korun, 6,5 %) a mírně klesl pod úroveň navýšení importu z EU (+26,9 mld., 4,1 %). Nejvíce rostla hodnota dovozu zboží z Norska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 xml:space="preserve"> (+19,9 mld. korun, 849,5 %) a Číny (+18,2 mld., 14,1 %). Významné přírůstky měl dovoz z Německa (+9,5 mld. korun, 3,9 %), Polska (+5,8 mld., 6,1 %), Spojených států (+5,1 mld., </w:t>
            </w:r>
            <w:r>
              <w:rPr>
                <w:spacing w:val="-4"/>
              </w:rPr>
              <w:lastRenderedPageBreak/>
              <w:t xml:space="preserve">21,0 %), Japonska (+3,9 mld., 20,2 %), Spojeného království (+3,7 mld., </w:t>
            </w:r>
            <w:r>
              <w:rPr>
                <w:spacing w:val="-4"/>
              </w:rPr>
              <w:br/>
              <w:t>23,5 %), Ázerbájdžánu (+3,2 mld., 67,7 %) nebo Jižní Koreje (+3,2 mld., 13,7 %). Prudce meziročně poklesl dovoz z Ruska (−35,7 mld. korun, −69,0 %) a nižší byl i import z Rakouska (−2,8 mld., −8,0 %).</w:t>
            </w:r>
          </w:p>
        </w:tc>
      </w:tr>
      <w:tr w:rsidR="006745DF" w:rsidRPr="009110F7" w14:paraId="70D96939" w14:textId="77777777" w:rsidTr="008F130B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2CAE5759" w14:textId="77777777" w:rsidR="006745DF" w:rsidRDefault="006745DF" w:rsidP="008F130B">
            <w:pPr>
              <w:pStyle w:val="Marginlie"/>
            </w:pPr>
            <w:r>
              <w:lastRenderedPageBreak/>
              <w:t xml:space="preserve">Klesal import ropy </w:t>
            </w:r>
            <w:r>
              <w:br/>
              <w:t xml:space="preserve">a zemního plynu </w:t>
            </w:r>
            <w:r>
              <w:br/>
              <w:t>i dalších surovin.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3759BE49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8E5BEE7" w14:textId="77777777" w:rsidR="006745DF" w:rsidRDefault="006745DF" w:rsidP="008F130B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Zbožová struktura dovozu se v 1. čtvrtletí vyvíjela podobně jako export. Nejvíce meziročně vzrostla hodnota importu motorových vozidel (+29,7 mld. korun, 22,1 %), elektrických zařízení (+29,4 mld., 31,6 %) a strojů a zařízení (+10,5 mld., 11,1 %). Výrazný byl také přírůstek dovozu potravinářských výrobků (+7,5 mld. korun, 16,1 %). Mírně se zvýšil dovoz kovodělných výrobků (+2,3 mld. korun, 4,9 %). Propad hodnoty dovozu byl zaznamenán u výrobků, které loni nejvíce ovlivnil prudký cenový růst – ropy a zemního plynu </w:t>
            </w:r>
            <w:r>
              <w:rPr>
                <w:spacing w:val="-4"/>
              </w:rPr>
              <w:br/>
              <w:t xml:space="preserve">(−11,6 mld. korun, −21,7 %), základních kovů (−10,5 mld., −10,5 %), chemických látek </w:t>
            </w:r>
            <w:r>
              <w:rPr>
                <w:spacing w:val="-4"/>
              </w:rPr>
              <w:br/>
              <w:t xml:space="preserve">a přípravků (−7,7 mld., −7,9 %) nebo elektřiny, plynu, páry a klimatizovaného vzduchu (−2,8 mld., −31,4 %).    </w:t>
            </w:r>
          </w:p>
        </w:tc>
      </w:tr>
      <w:tr w:rsidR="006745DF" w:rsidRPr="009110F7" w14:paraId="749684F9" w14:textId="77777777" w:rsidTr="008F130B">
        <w:trPr>
          <w:trHeight w:val="150"/>
        </w:trPr>
        <w:tc>
          <w:tcPr>
            <w:tcW w:w="1748" w:type="dxa"/>
            <w:vMerge w:val="restart"/>
            <w:shd w:val="clear" w:color="auto" w:fill="auto"/>
            <w:tcMar>
              <w:left w:w="0" w:type="dxa"/>
            </w:tcMar>
          </w:tcPr>
          <w:p w14:paraId="5FA6B095" w14:textId="77777777" w:rsidR="006745DF" w:rsidRDefault="006745DF" w:rsidP="008F130B">
            <w:pPr>
              <w:pStyle w:val="Marginlie"/>
            </w:pPr>
          </w:p>
        </w:tc>
        <w:tc>
          <w:tcPr>
            <w:tcW w:w="221" w:type="dxa"/>
            <w:vMerge w:val="restart"/>
            <w:shd w:val="clear" w:color="auto" w:fill="auto"/>
            <w:tcMar>
              <w:left w:w="0" w:type="dxa"/>
            </w:tcMar>
          </w:tcPr>
          <w:p w14:paraId="18D12E28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2BE468D5" w14:textId="77777777" w:rsidR="006745DF" w:rsidRDefault="006745DF" w:rsidP="008F130B">
            <w:pPr>
              <w:spacing w:after="0"/>
              <w:rPr>
                <w:spacing w:val="-4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10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1. čtvrtletí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6745DF" w:rsidRPr="009110F7" w14:paraId="0BF296D5" w14:textId="77777777" w:rsidTr="008F130B">
        <w:tblPrEx>
          <w:tblCellMar>
            <w:left w:w="70" w:type="dxa"/>
            <w:right w:w="70" w:type="dxa"/>
          </w:tblCellMar>
        </w:tblPrEx>
        <w:trPr>
          <w:trHeight w:val="150"/>
        </w:trPr>
        <w:tc>
          <w:tcPr>
            <w:tcW w:w="1748" w:type="dxa"/>
            <w:vMerge/>
            <w:shd w:val="clear" w:color="auto" w:fill="auto"/>
          </w:tcPr>
          <w:p w14:paraId="4D783D3E" w14:textId="77777777" w:rsidR="006745DF" w:rsidRDefault="006745DF" w:rsidP="008F130B">
            <w:pPr>
              <w:pStyle w:val="Marginlie"/>
            </w:pPr>
          </w:p>
        </w:tc>
        <w:tc>
          <w:tcPr>
            <w:tcW w:w="221" w:type="dxa"/>
            <w:vMerge/>
            <w:shd w:val="clear" w:color="auto" w:fill="auto"/>
          </w:tcPr>
          <w:p w14:paraId="18D245DF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55CF4763" w14:textId="77777777" w:rsidR="006745DF" w:rsidRDefault="006745DF" w:rsidP="008F130B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36CE9C20" wp14:editId="2F4850F1">
                  <wp:extent cx="4771467" cy="3492000"/>
                  <wp:effectExtent l="0" t="0" r="0" b="0"/>
                  <wp:docPr id="8" name="Graf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745DF" w:rsidRPr="009110F7" w14:paraId="3070F6D4" w14:textId="77777777" w:rsidTr="008F130B">
        <w:trPr>
          <w:trHeight w:val="150"/>
        </w:trPr>
        <w:tc>
          <w:tcPr>
            <w:tcW w:w="1748" w:type="dxa"/>
            <w:vMerge/>
            <w:shd w:val="clear" w:color="auto" w:fill="auto"/>
            <w:tcMar>
              <w:left w:w="0" w:type="dxa"/>
            </w:tcMar>
          </w:tcPr>
          <w:p w14:paraId="74911223" w14:textId="77777777" w:rsidR="006745DF" w:rsidRDefault="006745DF" w:rsidP="008F130B">
            <w:pPr>
              <w:pStyle w:val="Marginlie"/>
            </w:pPr>
          </w:p>
        </w:tc>
        <w:tc>
          <w:tcPr>
            <w:tcW w:w="221" w:type="dxa"/>
            <w:vMerge/>
            <w:shd w:val="clear" w:color="auto" w:fill="auto"/>
            <w:tcMar>
              <w:left w:w="0" w:type="dxa"/>
            </w:tcMar>
          </w:tcPr>
          <w:p w14:paraId="7C71C1B8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321BD89" w14:textId="77777777" w:rsidR="006745DF" w:rsidRDefault="006745DF" w:rsidP="008F130B">
            <w:pPr>
              <w:spacing w:after="18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6745DF" w:rsidRPr="009110F7" w14:paraId="13878284" w14:textId="77777777" w:rsidTr="008F130B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78B9F67C" w14:textId="77777777" w:rsidR="006745DF" w:rsidRDefault="006745DF" w:rsidP="008F130B">
            <w:pPr>
              <w:pStyle w:val="Marginlie"/>
            </w:pPr>
            <w:r>
              <w:t>Bilance zahraničního obchodu se zbožím se meziročně zlepšila.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1131DA3A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08D9B31" w14:textId="5D6492F5" w:rsidR="006745DF" w:rsidRPr="00AF6F98" w:rsidRDefault="006745DF" w:rsidP="00B74964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>Výrazný převis dynamiky vývozu nad dovozem vedl k opětovnému návratu bilance zahraničního obchodu se zbožím k prvnímu přebytku od 2. čtvrtletí 2021. Kladné saldo v 1. kvartálu 2023 dosáhlo 41,4 mld. korun a meziročně se zlepšilo o 53,4 mld. Při srovnání se stejným obdobím předchozích let ale letošní přebytek zůstává relativně nízký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 xml:space="preserve">. Bilance zahraničního obchodu se zbožím (sezónně očištěná) se mezičtvrtletně výrazně zlepšila. Meziroční zlepšení bilance zahraničního obchodu se zbožím lze přičíst čistě obchodu s EU (+63,8 mld. korun). Deficit obchodu s mimounijními zeměmi se opět meziročně prohloubil (−10,4 mld. korun), avšak výrazně mírněji než v předchozích kvartálech. Nejvíce ve směru meziročního zlepšení bilance působil obchod s Německem (+34,3 mld. korun) a k výraznému zmírnění deficitu došlo u obchodu s Ruskem (+25,9 mld.). Zlepšovala se také bilance obchodu s Francií (+9,5 mld. korun), Rakouskem (+6,0 mld.), Tureckem (+4,6 mld.), Nizozemskem (+4,7 mld.), Belgií (+4,3 mld.), Kazachstánem (+3,3 mld.), </w:t>
            </w:r>
            <w:r>
              <w:rPr>
                <w:spacing w:val="-4"/>
              </w:rPr>
              <w:lastRenderedPageBreak/>
              <w:t>Švýcarskem (+2,</w:t>
            </w:r>
            <w:r w:rsidR="00B74964">
              <w:rPr>
                <w:spacing w:val="-4"/>
              </w:rPr>
              <w:t>7</w:t>
            </w:r>
            <w:r>
              <w:rPr>
                <w:spacing w:val="-4"/>
              </w:rPr>
              <w:t xml:space="preserve"> mld.), Španělskem (+2,7 mld.), Itálií (+2,5 mld.) nebo Ukrajinou (+2,0 mld.) a Izraelem (2,0 mld.). Nejvíce se meziročně propadla bilance zahraničního obchodu s Norskem (−18,9 mld. korun) a Čínou (−18,6 mld. korun). Významné zhoršení bylo zaznamenáno také u bilance obchodu se Slovenskem (−4,6 mld. korun), Japonskem (−4,6 mld.), Spojenými státy (−3,8 mld.), Jižní Koreou (−2,9 mld.) nebo Ázerbájdžánem (−2,7 mld.).     </w:t>
            </w:r>
          </w:p>
        </w:tc>
      </w:tr>
      <w:tr w:rsidR="006745DF" w:rsidRPr="009110F7" w14:paraId="02EB58D1" w14:textId="77777777" w:rsidTr="008F130B">
        <w:trPr>
          <w:trHeight w:val="145"/>
        </w:trPr>
        <w:tc>
          <w:tcPr>
            <w:tcW w:w="1748" w:type="dxa"/>
            <w:shd w:val="clear" w:color="auto" w:fill="auto"/>
            <w:tcMar>
              <w:left w:w="0" w:type="dxa"/>
            </w:tcMar>
          </w:tcPr>
          <w:p w14:paraId="50A6C204" w14:textId="77777777" w:rsidR="006745DF" w:rsidRDefault="006745DF" w:rsidP="008F130B">
            <w:pPr>
              <w:pStyle w:val="Marginlie"/>
            </w:pPr>
            <w:r>
              <w:lastRenderedPageBreak/>
              <w:t>Ke zlepšení bilance přispíval nejvíce obchod s motorovými vozidly.</w:t>
            </w:r>
          </w:p>
        </w:tc>
        <w:tc>
          <w:tcPr>
            <w:tcW w:w="221" w:type="dxa"/>
            <w:shd w:val="clear" w:color="auto" w:fill="auto"/>
            <w:tcMar>
              <w:left w:w="0" w:type="dxa"/>
            </w:tcMar>
          </w:tcPr>
          <w:p w14:paraId="286DF8E8" w14:textId="77777777" w:rsidR="006745DF" w:rsidRDefault="006745DF" w:rsidP="008F130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DF2B3E0" w14:textId="77777777" w:rsidR="006745DF" w:rsidRDefault="006745DF" w:rsidP="008F130B">
            <w:pPr>
              <w:spacing w:after="180"/>
              <w:rPr>
                <w:spacing w:val="-4"/>
              </w:rPr>
            </w:pPr>
            <w:r>
              <w:rPr>
                <w:spacing w:val="-4"/>
              </w:rPr>
              <w:t xml:space="preserve">K meziročnímu zlepšení celkové bilance zahraničního obchodu se zbožím v 1. čtvrtletí přispěla nejvíce s velkým předstihem před ostatními druhy zboží motorová vozidla </w:t>
            </w:r>
            <w:r>
              <w:rPr>
                <w:spacing w:val="-4"/>
              </w:rPr>
              <w:br/>
              <w:t xml:space="preserve">(+43,3 mld. korun). Příznivě působil také obchod s ropou a zemním plynem (+11,3 mld. korun), stroji a zařízeními (+6,9 mld.), základními kovy (+4,2 mld.), pryžovými a plastovými výrobky (+3,7 mld.), papírem a výrobky z něj (+2,6 mld.) nebo chemickými látkami a přípravky (+2,3 mld.). Naopak se meziročně zhoršila bilance obchodu s elektřinou, plynem, párou a klimatizovaným vzduchem (−5,9 mld. korun), s produkty zemědělství a myslivosti (−4,8 mld.), elektrickými zařízeními (−2,7 mld.), se dřevem a dřevěnými výrobky (−2,5 mld.), v oblasti sběru, přípravy k likvidaci a likvidace odpadu (−2,1 mld.), </w:t>
            </w:r>
            <w:r>
              <w:rPr>
                <w:spacing w:val="-4"/>
              </w:rPr>
              <w:br/>
              <w:t>u lesnictví a těžby dřeva (−2,0 mld.) nebo s černým a hnědým uhlím a lignitem (−2,0 mld.).</w:t>
            </w:r>
          </w:p>
        </w:tc>
      </w:tr>
      <w:bookmarkEnd w:id="10"/>
      <w:bookmarkEnd w:id="11"/>
      <w:bookmarkEnd w:id="12"/>
    </w:tbl>
    <w:p w14:paraId="19BB057F" w14:textId="77777777" w:rsidR="006745DF" w:rsidRPr="00E42054" w:rsidRDefault="006745DF" w:rsidP="006745DF">
      <w:pPr>
        <w:pStyle w:val="Nadpis11"/>
        <w:rPr>
          <w:b w:val="0"/>
          <w:sz w:val="2"/>
          <w:szCs w:val="2"/>
        </w:rPr>
      </w:pPr>
    </w:p>
    <w:p w14:paraId="401E4657" w14:textId="77777777" w:rsidR="004A3BE4" w:rsidRPr="001C3855" w:rsidRDefault="004A3BE4" w:rsidP="004A3BE4">
      <w:pPr>
        <w:pStyle w:val="Nadpis11"/>
        <w:rPr>
          <w:sz w:val="2"/>
          <w:szCs w:val="2"/>
        </w:rPr>
      </w:pPr>
      <w:bookmarkStart w:id="13" w:name="_GoBack"/>
      <w:bookmarkEnd w:id="0"/>
      <w:bookmarkEnd w:id="1"/>
      <w:bookmarkEnd w:id="2"/>
      <w:bookmarkEnd w:id="3"/>
      <w:bookmarkEnd w:id="4"/>
      <w:bookmarkEnd w:id="5"/>
      <w:bookmarkEnd w:id="13"/>
    </w:p>
    <w:p w14:paraId="6D687C14" w14:textId="50D73027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F9194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5E0BD" w14:textId="77777777" w:rsidR="00D6225F" w:rsidRDefault="00D6225F" w:rsidP="00E71A58">
      <w:r>
        <w:separator/>
      </w:r>
    </w:p>
  </w:endnote>
  <w:endnote w:type="continuationSeparator" w:id="0">
    <w:p w14:paraId="5B03704A" w14:textId="77777777" w:rsidR="00D6225F" w:rsidRDefault="00D6225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06F73238" w:rsidR="00D652EB" w:rsidRPr="00932443" w:rsidRDefault="00D652E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91940"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5F2237E7" w:rsidR="00D652EB" w:rsidRPr="00932443" w:rsidRDefault="00D652E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91940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B458" w14:textId="77777777" w:rsidR="00D6225F" w:rsidRDefault="00D6225F" w:rsidP="00A21B4D">
      <w:pPr>
        <w:spacing w:after="0"/>
      </w:pPr>
      <w:r>
        <w:separator/>
      </w:r>
    </w:p>
  </w:footnote>
  <w:footnote w:type="continuationSeparator" w:id="0">
    <w:p w14:paraId="259154EB" w14:textId="77777777" w:rsidR="00D6225F" w:rsidRDefault="00D6225F" w:rsidP="00E71A58">
      <w:r>
        <w:continuationSeparator/>
      </w:r>
    </w:p>
  </w:footnote>
  <w:footnote w:id="1">
    <w:p w14:paraId="0455F4D0" w14:textId="77777777" w:rsidR="00D652EB" w:rsidRPr="00441515" w:rsidRDefault="00D652EB" w:rsidP="006745DF">
      <w:pPr>
        <w:pStyle w:val="Textpoznpodarou"/>
        <w:rPr>
          <w:rFonts w:cs="Arial"/>
          <w:i/>
          <w:iCs/>
          <w:sz w:val="16"/>
          <w:szCs w:val="16"/>
        </w:rPr>
      </w:pPr>
      <w:r w:rsidRPr="00441515">
        <w:rPr>
          <w:rStyle w:val="Znakapoznpodarou"/>
          <w:rFonts w:cs="Arial"/>
          <w:sz w:val="16"/>
          <w:szCs w:val="16"/>
        </w:rPr>
        <w:footnoteRef/>
      </w:r>
      <w:r w:rsidRPr="00441515">
        <w:rPr>
          <w:rFonts w:cs="Arial"/>
          <w:i/>
          <w:iCs/>
          <w:sz w:val="16"/>
          <w:szCs w:val="16"/>
        </w:rPr>
        <w:t xml:space="preserve"> </w:t>
      </w:r>
      <w:r w:rsidRPr="00441515">
        <w:rPr>
          <w:rStyle w:val="Zdraznn"/>
          <w:rFonts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</w:rPr>
        <w:t>Údaje za zahraniční obchod se zbožím od roku 2020 jsou přepočítávány aktualizovanou metodou založenou na vyšší míře detailu, viz </w:t>
      </w:r>
      <w:hyperlink r:id="rId1" w:history="1">
        <w:r w:rsidRPr="00C80FF3">
          <w:rPr>
            <w:rStyle w:val="Hypertextovodkaz"/>
            <w:rFonts w:cs="Arial"/>
            <w:sz w:val="16"/>
            <w:szCs w:val="16"/>
            <w:bdr w:val="none" w:sz="0" w:space="0" w:color="auto" w:frame="1"/>
            <w:shd w:val="clear" w:color="auto" w:fill="FFFFFF"/>
          </w:rPr>
          <w:t>https://www.czso.cz/csu/czso/aktualizace-metody-propoctu-zahranicni-obchod-se-zbozim</w:t>
        </w:r>
      </w:hyperlink>
      <w:r>
        <w:rPr>
          <w:rStyle w:val="Hypertextovodkaz"/>
          <w:rFonts w:cs="Arial"/>
          <w:sz w:val="16"/>
          <w:szCs w:val="16"/>
          <w:bdr w:val="none" w:sz="0" w:space="0" w:color="auto" w:frame="1"/>
          <w:shd w:val="clear" w:color="auto" w:fill="FFFFFF"/>
        </w:rPr>
        <w:t xml:space="preserve">. </w:t>
      </w:r>
      <w:r w:rsidRPr="004E0CF8">
        <w:rPr>
          <w:sz w:val="16"/>
          <w:szCs w:val="16"/>
        </w:rPr>
        <w:t>Není-li uvedeno jinak, jsou všechny údaje sezónně neočištěné a v běžných cenách.</w:t>
      </w:r>
    </w:p>
  </w:footnote>
  <w:footnote w:id="2">
    <w:p w14:paraId="709D7912" w14:textId="77777777" w:rsidR="00D652EB" w:rsidRPr="00FC5C85" w:rsidRDefault="00D652EB" w:rsidP="006745DF">
      <w:pPr>
        <w:pStyle w:val="Textpoznpodarou"/>
        <w:rPr>
          <w:sz w:val="16"/>
          <w:szCs w:val="16"/>
        </w:rPr>
      </w:pPr>
      <w:r w:rsidRPr="00FC5C85">
        <w:rPr>
          <w:rStyle w:val="Znakapoznpodarou"/>
          <w:sz w:val="16"/>
          <w:szCs w:val="16"/>
        </w:rPr>
        <w:footnoteRef/>
      </w:r>
      <w:r w:rsidRPr="00FC5C85">
        <w:rPr>
          <w:sz w:val="16"/>
          <w:szCs w:val="16"/>
        </w:rPr>
        <w:t xml:space="preserve"> Ceny vývozu zboží se</w:t>
      </w:r>
      <w:r>
        <w:rPr>
          <w:sz w:val="16"/>
          <w:szCs w:val="16"/>
        </w:rPr>
        <w:t xml:space="preserve"> v 1. čtvrtletí 2023 meziročně zvýšily o 6,3 % a mezičtvrtletně klesly o 1,3 %.</w:t>
      </w:r>
      <w:r w:rsidRPr="00FC5C85">
        <w:rPr>
          <w:sz w:val="16"/>
          <w:szCs w:val="16"/>
        </w:rPr>
        <w:t xml:space="preserve"> </w:t>
      </w:r>
    </w:p>
  </w:footnote>
  <w:footnote w:id="3">
    <w:p w14:paraId="643A9981" w14:textId="77777777" w:rsidR="00D652EB" w:rsidRPr="00DE472F" w:rsidRDefault="00D652EB" w:rsidP="006745DF">
      <w:pPr>
        <w:pStyle w:val="Textpoznpodarou"/>
        <w:rPr>
          <w:sz w:val="16"/>
          <w:szCs w:val="16"/>
        </w:rPr>
      </w:pPr>
      <w:r w:rsidRPr="00DE472F">
        <w:rPr>
          <w:rStyle w:val="Znakapoznpodarou"/>
          <w:sz w:val="16"/>
          <w:szCs w:val="16"/>
        </w:rPr>
        <w:footnoteRef/>
      </w:r>
      <w:r w:rsidRPr="00DE47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Většinu přírůstku tvořilo navýšení exportu motorových vozidel (+24,1 mld. korun) a elektrických zařízení (+14,8 mld.). Naopak odezněl vliv obchodu s elektřinou, který loni stimuloval růst exportu k našim nejbližším sousedům. </w:t>
      </w:r>
    </w:p>
  </w:footnote>
  <w:footnote w:id="4">
    <w:p w14:paraId="371FCE58" w14:textId="77777777" w:rsidR="00D652EB" w:rsidRPr="0008472D" w:rsidRDefault="00D652EB" w:rsidP="006745DF">
      <w:pPr>
        <w:pStyle w:val="Textpoznpodarou"/>
        <w:rPr>
          <w:sz w:val="16"/>
          <w:szCs w:val="16"/>
        </w:rPr>
      </w:pPr>
      <w:r w:rsidRPr="0008472D">
        <w:rPr>
          <w:rStyle w:val="Znakapoznpodarou"/>
          <w:sz w:val="16"/>
          <w:szCs w:val="16"/>
        </w:rPr>
        <w:footnoteRef/>
      </w:r>
      <w:r w:rsidRPr="000847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Šlo o první meziroční snížení od 3. čtvrtletí 2020. Největší podíl na něm měl propad vývozu elektřiny, plynu, páry a klimatizovaného vzduchu (−9,6 mld. korun).  </w:t>
      </w:r>
      <w:r w:rsidRPr="0008472D">
        <w:rPr>
          <w:sz w:val="16"/>
          <w:szCs w:val="16"/>
        </w:rPr>
        <w:t xml:space="preserve">  </w:t>
      </w:r>
    </w:p>
  </w:footnote>
  <w:footnote w:id="5">
    <w:p w14:paraId="5A3BCFB2" w14:textId="77777777" w:rsidR="00D652EB" w:rsidRPr="00063A81" w:rsidRDefault="00D652EB" w:rsidP="006745DF">
      <w:pPr>
        <w:pStyle w:val="Textpoznpodarou"/>
        <w:rPr>
          <w:sz w:val="16"/>
          <w:szCs w:val="16"/>
        </w:rPr>
      </w:pPr>
      <w:r w:rsidRPr="00063A81">
        <w:rPr>
          <w:rStyle w:val="Znakapoznpodarou"/>
          <w:sz w:val="16"/>
          <w:szCs w:val="16"/>
        </w:rPr>
        <w:footnoteRef/>
      </w:r>
      <w:r w:rsidRPr="00063A81">
        <w:rPr>
          <w:sz w:val="16"/>
          <w:szCs w:val="16"/>
        </w:rPr>
        <w:t xml:space="preserve"> Ceny dovozu zboží</w:t>
      </w:r>
      <w:r>
        <w:rPr>
          <w:sz w:val="16"/>
          <w:szCs w:val="16"/>
        </w:rPr>
        <w:t xml:space="preserve"> v 1. čtvrtletí</w:t>
      </w:r>
      <w:r w:rsidRPr="00063A8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meziročně </w:t>
      </w:r>
      <w:r w:rsidRPr="00063A81">
        <w:rPr>
          <w:sz w:val="16"/>
          <w:szCs w:val="16"/>
        </w:rPr>
        <w:t>vzrostly o</w:t>
      </w:r>
      <w:r>
        <w:rPr>
          <w:sz w:val="16"/>
          <w:szCs w:val="16"/>
        </w:rPr>
        <w:t xml:space="preserve"> 3,2 % a mezičtvrtletně se propadly o 4,3 %.</w:t>
      </w:r>
    </w:p>
  </w:footnote>
  <w:footnote w:id="6">
    <w:p w14:paraId="439BD5AD" w14:textId="77777777" w:rsidR="00D652EB" w:rsidRPr="009424B8" w:rsidRDefault="00D652EB" w:rsidP="006745DF">
      <w:pPr>
        <w:pStyle w:val="Textpoznpodarou"/>
        <w:rPr>
          <w:sz w:val="16"/>
          <w:szCs w:val="16"/>
        </w:rPr>
      </w:pPr>
      <w:r w:rsidRPr="009424B8">
        <w:rPr>
          <w:rStyle w:val="Znakapoznpodarou"/>
          <w:sz w:val="16"/>
          <w:szCs w:val="16"/>
        </w:rPr>
        <w:footnoteRef/>
      </w:r>
      <w:r w:rsidRPr="009424B8">
        <w:rPr>
          <w:sz w:val="16"/>
          <w:szCs w:val="16"/>
        </w:rPr>
        <w:t xml:space="preserve"> Norsko představuje „nový“ zdroj zemního plynu a náhradu za výpadek u dovozu</w:t>
      </w:r>
      <w:r>
        <w:rPr>
          <w:sz w:val="16"/>
          <w:szCs w:val="16"/>
        </w:rPr>
        <w:t xml:space="preserve"> této komodity</w:t>
      </w:r>
      <w:r w:rsidRPr="009424B8">
        <w:rPr>
          <w:sz w:val="16"/>
          <w:szCs w:val="16"/>
        </w:rPr>
        <w:t xml:space="preserve"> z Ruska.</w:t>
      </w:r>
    </w:p>
  </w:footnote>
  <w:footnote w:id="7">
    <w:p w14:paraId="4C612AE8" w14:textId="77777777" w:rsidR="00D652EB" w:rsidRPr="009440B5" w:rsidRDefault="00D652EB" w:rsidP="006745DF">
      <w:pPr>
        <w:pStyle w:val="Textpoznpodarou"/>
        <w:rPr>
          <w:sz w:val="16"/>
          <w:szCs w:val="16"/>
        </w:rPr>
      </w:pPr>
      <w:r w:rsidRPr="009440B5">
        <w:rPr>
          <w:rStyle w:val="Znakapoznpodarou"/>
          <w:sz w:val="16"/>
          <w:szCs w:val="16"/>
        </w:rPr>
        <w:footnoteRef/>
      </w:r>
      <w:r w:rsidRPr="009440B5">
        <w:rPr>
          <w:sz w:val="16"/>
          <w:szCs w:val="16"/>
        </w:rPr>
        <w:t xml:space="preserve"> Za období let 2014</w:t>
      </w:r>
      <w:r>
        <w:rPr>
          <w:sz w:val="16"/>
          <w:szCs w:val="16"/>
        </w:rPr>
        <w:t>–</w:t>
      </w:r>
      <w:r w:rsidRPr="009440B5">
        <w:rPr>
          <w:sz w:val="16"/>
          <w:szCs w:val="16"/>
        </w:rPr>
        <w:t xml:space="preserve">2022 bylo </w:t>
      </w:r>
      <w:r>
        <w:rPr>
          <w:sz w:val="16"/>
          <w:szCs w:val="16"/>
        </w:rPr>
        <w:t xml:space="preserve">dosaženo </w:t>
      </w:r>
      <w:r w:rsidRPr="009440B5">
        <w:rPr>
          <w:sz w:val="16"/>
          <w:szCs w:val="16"/>
        </w:rPr>
        <w:t>horšího výsledku bilance obchodu se zbožím jen v letech 2020 (+36,2 mld. korun) a 2022 (</w:t>
      </w:r>
      <w:r>
        <w:rPr>
          <w:sz w:val="16"/>
          <w:szCs w:val="16"/>
        </w:rPr>
        <w:t>−</w:t>
      </w:r>
      <w:r w:rsidRPr="009440B5">
        <w:rPr>
          <w:sz w:val="16"/>
          <w:szCs w:val="16"/>
        </w:rPr>
        <w:t>12,0 mld.).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77777777" w:rsidR="00D652EB" w:rsidRDefault="00D652EB" w:rsidP="00937AE2">
    <w:pPr>
      <w:pStyle w:val="Zhlav"/>
    </w:pPr>
    <w:r>
      <w:t>Vývoj ekonomiky České republiky</w:t>
    </w:r>
  </w:p>
  <w:p w14:paraId="3E881AB3" w14:textId="77777777" w:rsidR="00D652EB" w:rsidRPr="006F5416" w:rsidRDefault="00D652E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77777777" w:rsidR="00D652EB" w:rsidRDefault="00D652EB" w:rsidP="00937AE2">
    <w:pPr>
      <w:pStyle w:val="Zhlav"/>
    </w:pPr>
    <w:r>
      <w:t>Vývoj ekonomiky České republiky</w:t>
    </w:r>
  </w:p>
  <w:p w14:paraId="57266714" w14:textId="77777777" w:rsidR="00D652EB" w:rsidRPr="006F5416" w:rsidRDefault="00D652E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0"/>
  </w:num>
  <w:num w:numId="16">
    <w:abstractNumId w:val="16"/>
  </w:num>
  <w:num w:numId="17">
    <w:abstractNumId w:val="29"/>
  </w:num>
  <w:num w:numId="18">
    <w:abstractNumId w:val="21"/>
  </w:num>
  <w:num w:numId="19">
    <w:abstractNumId w:val="31"/>
  </w:num>
  <w:num w:numId="20">
    <w:abstractNumId w:val="32"/>
  </w:num>
  <w:num w:numId="21">
    <w:abstractNumId w:val="27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  <w:num w:numId="28">
    <w:abstractNumId w:val="10"/>
  </w:num>
  <w:num w:numId="29">
    <w:abstractNumId w:val="32"/>
  </w:num>
  <w:num w:numId="30">
    <w:abstractNumId w:val="24"/>
  </w:num>
  <w:num w:numId="31">
    <w:abstractNumId w:val="12"/>
  </w:num>
  <w:num w:numId="32">
    <w:abstractNumId w:val="33"/>
  </w:num>
  <w:num w:numId="33">
    <w:abstractNumId w:val="32"/>
  </w:num>
  <w:num w:numId="34">
    <w:abstractNumId w:val="11"/>
  </w:num>
  <w:num w:numId="35">
    <w:abstractNumId w:val="3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107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5152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2BC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4FD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4D5B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52B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64B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6B3F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1D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3F48"/>
    <w:rsid w:val="00254FC3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D6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32DB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ED5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28DA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3BE4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91D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1DB2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01B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32B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68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5DF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1705"/>
    <w:rsid w:val="005B26B0"/>
    <w:rsid w:val="005B41C9"/>
    <w:rsid w:val="005B44E6"/>
    <w:rsid w:val="005B4853"/>
    <w:rsid w:val="005B591B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D7AAF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64D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415E"/>
    <w:rsid w:val="00625A84"/>
    <w:rsid w:val="00626079"/>
    <w:rsid w:val="006275B5"/>
    <w:rsid w:val="00631698"/>
    <w:rsid w:val="00631E44"/>
    <w:rsid w:val="00634C57"/>
    <w:rsid w:val="00634CE7"/>
    <w:rsid w:val="006350D5"/>
    <w:rsid w:val="00635EBE"/>
    <w:rsid w:val="0063642C"/>
    <w:rsid w:val="006376B3"/>
    <w:rsid w:val="00637858"/>
    <w:rsid w:val="006404A7"/>
    <w:rsid w:val="00640A38"/>
    <w:rsid w:val="00640E6B"/>
    <w:rsid w:val="00641787"/>
    <w:rsid w:val="0064179B"/>
    <w:rsid w:val="00642338"/>
    <w:rsid w:val="00642489"/>
    <w:rsid w:val="00644055"/>
    <w:rsid w:val="00644137"/>
    <w:rsid w:val="0064478C"/>
    <w:rsid w:val="00645160"/>
    <w:rsid w:val="006451E4"/>
    <w:rsid w:val="0064574B"/>
    <w:rsid w:val="00645B33"/>
    <w:rsid w:val="0065153D"/>
    <w:rsid w:val="006516CB"/>
    <w:rsid w:val="00652444"/>
    <w:rsid w:val="00652E30"/>
    <w:rsid w:val="00653BD0"/>
    <w:rsid w:val="00654110"/>
    <w:rsid w:val="00656C5D"/>
    <w:rsid w:val="00656CFB"/>
    <w:rsid w:val="00656D25"/>
    <w:rsid w:val="00657E87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5DF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5D3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3884"/>
    <w:rsid w:val="0074499B"/>
    <w:rsid w:val="007449D6"/>
    <w:rsid w:val="0074501E"/>
    <w:rsid w:val="007450BF"/>
    <w:rsid w:val="0074599A"/>
    <w:rsid w:val="00746EE5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A88"/>
    <w:rsid w:val="00763B85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BF0"/>
    <w:rsid w:val="00780EF1"/>
    <w:rsid w:val="00781A91"/>
    <w:rsid w:val="00781AD3"/>
    <w:rsid w:val="00781F36"/>
    <w:rsid w:val="00783576"/>
    <w:rsid w:val="007853FD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0B5E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A03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07EE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3CE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2A5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25A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6A2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E5D"/>
    <w:rsid w:val="008E6F06"/>
    <w:rsid w:val="008E7000"/>
    <w:rsid w:val="008E723E"/>
    <w:rsid w:val="008E7B8E"/>
    <w:rsid w:val="008E7FC9"/>
    <w:rsid w:val="008F0107"/>
    <w:rsid w:val="008F029B"/>
    <w:rsid w:val="008F0589"/>
    <w:rsid w:val="008F130B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0FA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3ECA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D78C3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470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FE1"/>
    <w:rsid w:val="00A2102F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09AD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160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4964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5F94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6086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9FE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3605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0E03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07CC2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133"/>
    <w:rsid w:val="00D269B9"/>
    <w:rsid w:val="00D27973"/>
    <w:rsid w:val="00D27F3A"/>
    <w:rsid w:val="00D31537"/>
    <w:rsid w:val="00D31E1E"/>
    <w:rsid w:val="00D322A0"/>
    <w:rsid w:val="00D32824"/>
    <w:rsid w:val="00D334E2"/>
    <w:rsid w:val="00D335E5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8E9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25F"/>
    <w:rsid w:val="00D62C4E"/>
    <w:rsid w:val="00D63BE5"/>
    <w:rsid w:val="00D6475F"/>
    <w:rsid w:val="00D652EB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2CD7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27CD"/>
    <w:rsid w:val="00DE3231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D22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473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A09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4CF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6FB5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940"/>
    <w:rsid w:val="00F91B66"/>
    <w:rsid w:val="00F9354A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1BA4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372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19CB78C"/>
    <w:rsid w:val="0523CDF2"/>
    <w:rsid w:val="06B1A837"/>
    <w:rsid w:val="0EBE9DEC"/>
    <w:rsid w:val="12650F4E"/>
    <w:rsid w:val="1394E51D"/>
    <w:rsid w:val="17513AF8"/>
    <w:rsid w:val="2A0E9F3A"/>
    <w:rsid w:val="2A2A6298"/>
    <w:rsid w:val="38C72AFC"/>
    <w:rsid w:val="3C7646FC"/>
    <w:rsid w:val="3E4A9713"/>
    <w:rsid w:val="47207A7B"/>
    <w:rsid w:val="48038D4B"/>
    <w:rsid w:val="49E8263C"/>
    <w:rsid w:val="4A567F3C"/>
    <w:rsid w:val="50A35788"/>
    <w:rsid w:val="52944939"/>
    <w:rsid w:val="5536E42E"/>
    <w:rsid w:val="5CF587E8"/>
    <w:rsid w:val="6AEA4E8B"/>
    <w:rsid w:val="6AEC8A78"/>
    <w:rsid w:val="6D951AA9"/>
    <w:rsid w:val="7059F910"/>
    <w:rsid w:val="74EA3077"/>
    <w:rsid w:val="75B5B795"/>
    <w:rsid w:val="78E73CD1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aktualizace-metody-propoctu-zahranicni-obchod-se-zboz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3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511717884667364E-2"/>
          <c:y val="2.3304908251716775E-2"/>
          <c:w val="0.92378402700888473"/>
          <c:h val="0.69508533791523497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                                                                                          a zemní plyn</c:v>
                </c:pt>
                <c:pt idx="1">
                  <c:v>Potravinářské                                            výrobky</c:v>
                </c:pt>
                <c:pt idx="2">
                  <c:v>Oděvy</c:v>
                </c:pt>
                <c:pt idx="3">
                  <c:v>Koks, rafinované                                                          ropné prod.</c:v>
                </c:pt>
                <c:pt idx="4">
                  <c:v>Chemické látky                                                              a přípravky</c:v>
                </c:pt>
                <c:pt idx="5">
                  <c:v>Farmaceutické                                                                  výrobky</c:v>
                </c:pt>
                <c:pt idx="6">
                  <c:v>Ostat. nekovové                                           minerály</c:v>
                </c:pt>
                <c:pt idx="7">
                  <c:v>Základní kovy</c:v>
                </c:pt>
                <c:pt idx="8">
                  <c:v>Kovodělné                                        výrobky</c:v>
                </c:pt>
                <c:pt idx="9">
                  <c:v>Počítače, opt.                                          a elektron. přístr.</c:v>
                </c:pt>
                <c:pt idx="10">
                  <c:v>Elektrická                                             zařízení</c:v>
                </c:pt>
                <c:pt idx="11">
                  <c:v>Stroje                                                            a zařízení j. n.</c:v>
                </c:pt>
                <c:pt idx="12">
                  <c:v>Motorová                                                             vozidla</c:v>
                </c:pt>
              </c:strCache>
            </c:strRef>
          </c:cat>
          <c:val>
            <c:numRef>
              <c:f>'Vnější vztahy 2'!$B$7:$N$7</c:f>
              <c:numCache>
                <c:formatCode>General</c:formatCode>
                <c:ptCount val="13"/>
                <c:pt idx="0">
                  <c:v>-52.984994583999985</c:v>
                </c:pt>
                <c:pt idx="1">
                  <c:v>-13.218468280999998</c:v>
                </c:pt>
                <c:pt idx="2">
                  <c:v>-9.2154738840000014</c:v>
                </c:pt>
                <c:pt idx="3">
                  <c:v>-10.449415975000003</c:v>
                </c:pt>
                <c:pt idx="4">
                  <c:v>-38.011325351000004</c:v>
                </c:pt>
                <c:pt idx="5">
                  <c:v>-18.191131472000009</c:v>
                </c:pt>
                <c:pt idx="6">
                  <c:v>7.7415523879999997</c:v>
                </c:pt>
                <c:pt idx="7">
                  <c:v>-47.397633159999998</c:v>
                </c:pt>
                <c:pt idx="8">
                  <c:v>20.518991954000008</c:v>
                </c:pt>
                <c:pt idx="9">
                  <c:v>-17.575899732000003</c:v>
                </c:pt>
                <c:pt idx="10">
                  <c:v>1.9739037659999996</c:v>
                </c:pt>
                <c:pt idx="11">
                  <c:v>24.097914669000009</c:v>
                </c:pt>
                <c:pt idx="12">
                  <c:v>104.97113052200001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7C-422E-92E3-50EFDC5A0154}"/>
            </c:ext>
          </c:extLst>
        </c:ser>
        <c:ser>
          <c:idx val="2"/>
          <c:order val="2"/>
          <c:tx>
            <c:strRef>
              <c:f>'Vnější vztahy 2'!$A$8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                                                                                          a zemní plyn</c:v>
                </c:pt>
                <c:pt idx="1">
                  <c:v>Potravinářské                                            výrobky</c:v>
                </c:pt>
                <c:pt idx="2">
                  <c:v>Oděvy</c:v>
                </c:pt>
                <c:pt idx="3">
                  <c:v>Koks, rafinované                                                          ropné prod.</c:v>
                </c:pt>
                <c:pt idx="4">
                  <c:v>Chemické látky                                                              a přípravky</c:v>
                </c:pt>
                <c:pt idx="5">
                  <c:v>Farmaceutické                                                                  výrobky</c:v>
                </c:pt>
                <c:pt idx="6">
                  <c:v>Ostat. nekovové                                           minerály</c:v>
                </c:pt>
                <c:pt idx="7">
                  <c:v>Základní kovy</c:v>
                </c:pt>
                <c:pt idx="8">
                  <c:v>Kovodělné                                        výrobky</c:v>
                </c:pt>
                <c:pt idx="9">
                  <c:v>Počítače, opt.                                          a elektron. přístr.</c:v>
                </c:pt>
                <c:pt idx="10">
                  <c:v>Elektrická                                             zařízení</c:v>
                </c:pt>
                <c:pt idx="11">
                  <c:v>Stroje                                                            a zařízení j. n.</c:v>
                </c:pt>
                <c:pt idx="12">
                  <c:v>Motorová                                                             vozidla</c:v>
                </c:pt>
              </c:strCache>
            </c:strRef>
          </c:cat>
          <c:val>
            <c:numRef>
              <c:f>'Vnější vztahy 2'!$B$8:$N$8</c:f>
              <c:numCache>
                <c:formatCode>General</c:formatCode>
                <c:ptCount val="13"/>
                <c:pt idx="0">
                  <c:v>-41.643080417999997</c:v>
                </c:pt>
                <c:pt idx="1">
                  <c:v>-12.256010030000002</c:v>
                </c:pt>
                <c:pt idx="2">
                  <c:v>-10.642384737</c:v>
                </c:pt>
                <c:pt idx="3">
                  <c:v>-10.011485008000003</c:v>
                </c:pt>
                <c:pt idx="4">
                  <c:v>-35.736512478000016</c:v>
                </c:pt>
                <c:pt idx="5">
                  <c:v>-17.609940938000001</c:v>
                </c:pt>
                <c:pt idx="6">
                  <c:v>8.8107164750000031</c:v>
                </c:pt>
                <c:pt idx="7">
                  <c:v>-43.213087534999993</c:v>
                </c:pt>
                <c:pt idx="8">
                  <c:v>19.647751262000007</c:v>
                </c:pt>
                <c:pt idx="9">
                  <c:v>-15.759129661000001</c:v>
                </c:pt>
                <c:pt idx="10">
                  <c:v>-0.74908368399999992</c:v>
                </c:pt>
                <c:pt idx="11">
                  <c:v>31.018792979999983</c:v>
                </c:pt>
                <c:pt idx="12">
                  <c:v>148.22473179199994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7C-422E-92E3-50EFDC5A0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79411072"/>
        <c:axId val="836124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'Vnější vztahy 2'!$A$6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tx1">
                      <a:lumMod val="50000"/>
                      <a:lumOff val="50000"/>
                    </a:schemeClr>
                  </a:solidFill>
                  <a:ln>
                    <a:noFill/>
                  </a:ln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'Vnější vztahy 2'!$B$5:$N$5</c15:sqref>
                        </c15:formulaRef>
                      </c:ext>
                    </c:extLst>
                    <c:strCache>
                      <c:ptCount val="13"/>
                      <c:pt idx="0">
                        <c:v>Ropa                                                                                           a zemní plyn</c:v>
                      </c:pt>
                      <c:pt idx="1">
                        <c:v>Potravinářské                                            výrobky</c:v>
                      </c:pt>
                      <c:pt idx="2">
                        <c:v>Oděvy</c:v>
                      </c:pt>
                      <c:pt idx="3">
                        <c:v>Koks, rafinované                                                          ropné prod.</c:v>
                      </c:pt>
                      <c:pt idx="4">
                        <c:v>Chemické látky                                                              a přípravky</c:v>
                      </c:pt>
                      <c:pt idx="5">
                        <c:v>Farmaceutické                                                                  výrobky</c:v>
                      </c:pt>
                      <c:pt idx="6">
                        <c:v>Ostat. nekovové                                           minerály</c:v>
                      </c:pt>
                      <c:pt idx="7">
                        <c:v>Základní kovy</c:v>
                      </c:pt>
                      <c:pt idx="8">
                        <c:v>Kovodělné                                        výrobky</c:v>
                      </c:pt>
                      <c:pt idx="9">
                        <c:v>Počítače, opt.                                          a elektron. přístr.</c:v>
                      </c:pt>
                      <c:pt idx="10">
                        <c:v>Elektrická                                             zařízení</c:v>
                      </c:pt>
                      <c:pt idx="11">
                        <c:v>Stroje                                                            a zařízení j. n.</c:v>
                      </c:pt>
                      <c:pt idx="12">
                        <c:v>Motorová                                                             vozidla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'Vnější vztahy 2'!$B$6:$N$6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-21.617115904999999</c:v>
                      </c:pt>
                      <c:pt idx="1">
                        <c:v>-10.697178878999999</c:v>
                      </c:pt>
                      <c:pt idx="2">
                        <c:v>-6.1543490370000002</c:v>
                      </c:pt>
                      <c:pt idx="3">
                        <c:v>-3.8531764960000001</c:v>
                      </c:pt>
                      <c:pt idx="4">
                        <c:v>-32.679474902999999</c:v>
                      </c:pt>
                      <c:pt idx="5">
                        <c:v>-20.605568039000001</c:v>
                      </c:pt>
                      <c:pt idx="6">
                        <c:v>6.6531381349999998</c:v>
                      </c:pt>
                      <c:pt idx="7">
                        <c:v>-29.792545924999999</c:v>
                      </c:pt>
                      <c:pt idx="8">
                        <c:v>16.766544988</c:v>
                      </c:pt>
                      <c:pt idx="9">
                        <c:v>-12.882278257999999</c:v>
                      </c:pt>
                      <c:pt idx="10">
                        <c:v>6.2764400360000003</c:v>
                      </c:pt>
                      <c:pt idx="11">
                        <c:v>28.219568735999999</c:v>
                      </c:pt>
                      <c:pt idx="12">
                        <c:v>122.341809423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4B7C-422E-92E3-50EFDC5A0154}"/>
                  </c:ext>
                </c:extLst>
              </c15:ser>
            </c15:filteredBarSeries>
          </c:ext>
        </c:extLst>
      </c:barChart>
      <c:catAx>
        <c:axId val="79411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83612416"/>
        <c:crosses val="autoZero"/>
        <c:auto val="1"/>
        <c:lblAlgn val="ctr"/>
        <c:lblOffset val="100"/>
        <c:noMultiLvlLbl val="0"/>
      </c:catAx>
      <c:valAx>
        <c:axId val="83612416"/>
        <c:scaling>
          <c:orientation val="minMax"/>
          <c:max val="160"/>
          <c:min val="-8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79411072"/>
        <c:crosses val="autoZero"/>
        <c:crossBetween val="between"/>
        <c:majorUnit val="40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4065045404275039"/>
          <c:y val="6.1827033218785812E-2"/>
          <c:w val="0.26887915184156158"/>
          <c:h val="5.3991695303550982E-2"/>
        </c:manualLayout>
      </c:layout>
      <c:overlay val="0"/>
      <c:spPr>
        <a:ln w="6350"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702-393C-4E0B-95FC-639749005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869F5-1E6A-4D8E-8DA0-0D2FA1D41E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A1FA65-6226-4411-B690-9CAD5614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5</TotalTime>
  <Pages>3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Zábojníková Karolína</cp:lastModifiedBy>
  <cp:revision>5</cp:revision>
  <cp:lastPrinted>2023-06-09T17:23:00Z</cp:lastPrinted>
  <dcterms:created xsi:type="dcterms:W3CDTF">2023-06-15T09:42:00Z</dcterms:created>
  <dcterms:modified xsi:type="dcterms:W3CDTF">2023-06-15T09:51:00Z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