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37EA" w14:textId="4B8CF505" w:rsidR="00E87D5B" w:rsidRPr="00652444" w:rsidRDefault="00E87D5B" w:rsidP="00E87D5B">
      <w:pPr>
        <w:pStyle w:val="Nadpis11"/>
      </w:pPr>
      <w:bookmarkStart w:id="0" w:name="_Toc114134048"/>
      <w:bookmarkStart w:id="1" w:name="_Toc97736119"/>
      <w:bookmarkStart w:id="2" w:name="_Toc74643859"/>
      <w:bookmarkStart w:id="3" w:name="_Toc90395915"/>
      <w:bookmarkStart w:id="4" w:name="_Toc98245446"/>
      <w:bookmarkStart w:id="5" w:name="_Toc74643860"/>
      <w:bookmarkStart w:id="6" w:name="_Toc137721910"/>
      <w:r w:rsidRPr="00652444">
        <w:rPr>
          <w:szCs w:val="32"/>
        </w:rPr>
        <w:t>3</w:t>
      </w:r>
      <w:r w:rsidRPr="00652444">
        <w:t>. Výkonnost odvětví</w:t>
      </w:r>
      <w:bookmarkEnd w:id="6"/>
    </w:p>
    <w:p w14:paraId="3F8F0252" w14:textId="77777777" w:rsidR="00E87D5B" w:rsidRPr="004E1DB2" w:rsidRDefault="00E87D5B" w:rsidP="00E87D5B">
      <w:pPr>
        <w:pStyle w:val="Nadpis11"/>
        <w:rPr>
          <w:b w:val="0"/>
          <w:sz w:val="2"/>
          <w:szCs w:val="2"/>
          <w:highlight w:val="yellow"/>
        </w:rPr>
      </w:pPr>
    </w:p>
    <w:p w14:paraId="6C58D65C" w14:textId="77777777" w:rsidR="00E87D5B" w:rsidRPr="004E1DB2" w:rsidRDefault="00E87D5B" w:rsidP="00E87D5B">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54"/>
        <w:gridCol w:w="185"/>
        <w:gridCol w:w="7700"/>
      </w:tblGrid>
      <w:tr w:rsidR="009360FA" w:rsidRPr="00316308" w14:paraId="73951127" w14:textId="77777777" w:rsidTr="00FD4372">
        <w:trPr>
          <w:trHeight w:val="145"/>
        </w:trPr>
        <w:tc>
          <w:tcPr>
            <w:tcW w:w="1754" w:type="dxa"/>
            <w:tcBorders>
              <w:top w:val="nil"/>
              <w:left w:val="nil"/>
              <w:bottom w:val="nil"/>
              <w:right w:val="nil"/>
            </w:tcBorders>
            <w:shd w:val="clear" w:color="auto" w:fill="auto"/>
            <w:tcMar>
              <w:left w:w="0" w:type="dxa"/>
            </w:tcMar>
          </w:tcPr>
          <w:p w14:paraId="01013916" w14:textId="77777777" w:rsidR="009360FA" w:rsidRPr="007E6076" w:rsidRDefault="009360FA" w:rsidP="00FD4372">
            <w:pPr>
              <w:pStyle w:val="Marginlie"/>
              <w:rPr>
                <w:color w:val="0D0D0D" w:themeColor="text1" w:themeTint="F2"/>
                <w:spacing w:val="-5"/>
              </w:rPr>
            </w:pPr>
            <w:r>
              <w:rPr>
                <w:color w:val="0D0D0D" w:themeColor="text1" w:themeTint="F2"/>
                <w:spacing w:val="-5"/>
              </w:rPr>
              <w:t>Hrubá přidaná hodnota poprvé překonala úroveň z konce roku 2019. Její mezikvartální růst byl letos tažen průmyslem, stavebnictvím a také oživením v turismu.</w:t>
            </w:r>
          </w:p>
        </w:tc>
        <w:tc>
          <w:tcPr>
            <w:tcW w:w="185" w:type="dxa"/>
            <w:tcBorders>
              <w:top w:val="nil"/>
              <w:left w:val="nil"/>
              <w:bottom w:val="nil"/>
              <w:right w:val="nil"/>
            </w:tcBorders>
            <w:shd w:val="clear" w:color="auto" w:fill="auto"/>
            <w:tcMar>
              <w:left w:w="0" w:type="dxa"/>
            </w:tcMar>
          </w:tcPr>
          <w:p w14:paraId="26F7AFF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0726B908" w14:textId="77777777" w:rsidR="009360FA" w:rsidRPr="00316308" w:rsidRDefault="009360FA" w:rsidP="00FD4372">
            <w:pPr>
              <w:spacing w:after="180"/>
              <w:rPr>
                <w:bCs/>
              </w:rPr>
            </w:pPr>
            <w:r>
              <w:t xml:space="preserve">Přestože se tuzemské hospodářství na počátku letošního roku pohybovalo na hraně recese, předběžné </w:t>
            </w:r>
            <w:r w:rsidRPr="00354F6A">
              <w:t>údaje z nabídkové strany ekonomiky naznačují, že ve srovnání</w:t>
            </w:r>
            <w:r>
              <w:t xml:space="preserve"> </w:t>
            </w:r>
            <w:r w:rsidRPr="00354F6A">
              <w:t xml:space="preserve">s 2. pololetím 2020 došlo </w:t>
            </w:r>
            <w:r>
              <w:t xml:space="preserve">k </w:t>
            </w:r>
            <w:r w:rsidRPr="00354F6A">
              <w:t>mírnému oživení.</w:t>
            </w:r>
            <w:r w:rsidRPr="00AD186F">
              <w:rPr>
                <w:b/>
                <w:bCs/>
              </w:rPr>
              <w:t xml:space="preserve"> </w:t>
            </w:r>
            <w:r w:rsidRPr="00C03F0D">
              <w:rPr>
                <w:bCs/>
              </w:rPr>
              <w:t>Hrubá přidaná hodnota</w:t>
            </w:r>
            <w:r>
              <w:rPr>
                <w:bCs/>
              </w:rPr>
              <w:t xml:space="preserve"> (HPH)</w:t>
            </w:r>
            <w:r w:rsidRPr="003D1D6D">
              <w:rPr>
                <w:rStyle w:val="Znakapoznpodarou"/>
                <w:color w:val="0D0D0D" w:themeColor="text1" w:themeTint="F2"/>
                <w:spacing w:val="-5"/>
              </w:rPr>
              <w:footnoteReference w:id="1"/>
            </w:r>
            <w:r>
              <w:rPr>
                <w:bCs/>
              </w:rPr>
              <w:t xml:space="preserve"> totiž v 1.</w:t>
            </w:r>
            <w:r w:rsidRPr="00C03F0D">
              <w:rPr>
                <w:bCs/>
              </w:rPr>
              <w:t> čtvrtletí 2023 mezičtvrtletně vzrostl</w:t>
            </w:r>
            <w:r>
              <w:rPr>
                <w:bCs/>
              </w:rPr>
              <w:t>a o 0,8 % a meziročně posílila o 1,1</w:t>
            </w:r>
            <w:r w:rsidRPr="00C03F0D">
              <w:rPr>
                <w:bCs/>
              </w:rPr>
              <w:t xml:space="preserve"> %.</w:t>
            </w:r>
            <w:r>
              <w:rPr>
                <w:bCs/>
              </w:rPr>
              <w:t xml:space="preserve"> HPH v Česku tak poprvé překonalo své maximum z předpandemického období, a to o pouhá </w:t>
            </w:r>
            <w:r w:rsidRPr="00EF7666">
              <w:rPr>
                <w:bCs/>
                <w:spacing w:val="-4"/>
              </w:rPr>
              <w:t>0,3 % (v EU i eurozóně se tak stalo již ve 3. čtvrtletí 2021). Mezičtvrtletní růst tuzemského</w:t>
            </w:r>
            <w:r>
              <w:rPr>
                <w:bCs/>
              </w:rPr>
              <w:t xml:space="preserve"> </w:t>
            </w:r>
            <w:r w:rsidRPr="00F37494">
              <w:rPr>
                <w:bCs/>
              </w:rPr>
              <w:t>HPH</w:t>
            </w:r>
            <w:r w:rsidRPr="00F37494">
              <w:t xml:space="preserve"> byl</w:t>
            </w:r>
            <w:r>
              <w:t xml:space="preserve"> podpořen zejména vývojem ve zpracovatelském průmyslu (příspěvek 0,5 p. b.), poloviční vliv mělo uskupení obchod, doprava, ubytování a pohostinství.</w:t>
            </w:r>
            <w:r>
              <w:rPr>
                <w:bCs/>
              </w:rPr>
              <w:t xml:space="preserve"> </w:t>
            </w:r>
            <w:r>
              <w:t>To bylo sice stále negativně ovlivňováno nižšími výdaji na konečnou spotřebu domácností (jejich mezikvartální pokles se ale ve srovnání se závěrem roku 2022 zmírnil), pozitivně se naopak patrně projevoval dopad pokračujícího oživení turismu.</w:t>
            </w:r>
            <w:r>
              <w:rPr>
                <w:bCs/>
              </w:rPr>
              <w:t xml:space="preserve"> </w:t>
            </w:r>
            <w:r>
              <w:t xml:space="preserve">Po krátkodobém mezičtvrtletním poklesu z konce roku 2022 se na dlouhodobou růstovou trajektorii navrátily informační a komunikační činnosti, ožil rovněž výkon stavebnictví. </w:t>
            </w:r>
          </w:p>
        </w:tc>
      </w:tr>
      <w:tr w:rsidR="009360FA" w:rsidRPr="00616A87" w14:paraId="76B476C8" w14:textId="77777777" w:rsidTr="00FD4372">
        <w:trPr>
          <w:trHeight w:val="145"/>
        </w:trPr>
        <w:tc>
          <w:tcPr>
            <w:tcW w:w="1754" w:type="dxa"/>
            <w:tcBorders>
              <w:top w:val="nil"/>
              <w:left w:val="nil"/>
              <w:bottom w:val="nil"/>
              <w:right w:val="nil"/>
            </w:tcBorders>
            <w:shd w:val="clear" w:color="auto" w:fill="auto"/>
            <w:tcMar>
              <w:left w:w="0" w:type="dxa"/>
            </w:tcMar>
          </w:tcPr>
          <w:p w14:paraId="38BFF1ED" w14:textId="77777777" w:rsidR="009360FA" w:rsidRPr="007E6076" w:rsidRDefault="009360FA" w:rsidP="00FD4372">
            <w:pPr>
              <w:pStyle w:val="Marginlie"/>
              <w:rPr>
                <w:color w:val="0D0D0D" w:themeColor="text1" w:themeTint="F2"/>
                <w:spacing w:val="-5"/>
              </w:rPr>
            </w:pPr>
            <w:r>
              <w:rPr>
                <w:color w:val="0D0D0D" w:themeColor="text1" w:themeTint="F2"/>
                <w:spacing w:val="-5"/>
              </w:rPr>
              <w:t xml:space="preserve">Mírný meziroční růst HPH pokračoval zejména díky částečnému uvolnění napětí v dodavatelských řetězcích u výrobců aut.  </w:t>
            </w:r>
          </w:p>
        </w:tc>
        <w:tc>
          <w:tcPr>
            <w:tcW w:w="185" w:type="dxa"/>
            <w:tcBorders>
              <w:top w:val="nil"/>
              <w:left w:val="nil"/>
              <w:bottom w:val="nil"/>
              <w:right w:val="nil"/>
            </w:tcBorders>
            <w:shd w:val="clear" w:color="auto" w:fill="auto"/>
            <w:tcMar>
              <w:left w:w="0" w:type="dxa"/>
            </w:tcMar>
          </w:tcPr>
          <w:p w14:paraId="36B0F0C8"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D1200C6" w14:textId="77777777" w:rsidR="009360FA" w:rsidRPr="00616A87" w:rsidRDefault="009360FA" w:rsidP="00FD4372">
            <w:pPr>
              <w:spacing w:after="180"/>
            </w:pPr>
            <w:r>
              <w:t>K meziročním</w:t>
            </w:r>
            <w:r w:rsidRPr="00197756">
              <w:t>u růstu celkové HPH (trvajícímu osmý kvartál v řadě) přispěl v 1. čtvrtletí 2023 ne</w:t>
            </w:r>
            <w:r>
              <w:t>jvíce zpracovatelský průmysl (+1,0</w:t>
            </w:r>
            <w:r w:rsidRPr="00197756">
              <w:t xml:space="preserve"> p.</w:t>
            </w:r>
            <w:r>
              <w:t xml:space="preserve"> </w:t>
            </w:r>
            <w:r w:rsidRPr="00197756">
              <w:t>b.)</w:t>
            </w:r>
            <w:r>
              <w:t>, jenž</w:t>
            </w:r>
            <w:r>
              <w:rPr>
                <w:bCs/>
              </w:rPr>
              <w:t xml:space="preserve"> </w:t>
            </w:r>
            <w:r>
              <w:t xml:space="preserve">profitoval ze zlepšené situace výrobců automobilů (částečného uvolnění napětí v dodavatelských řetězcích, růstu </w:t>
            </w:r>
            <w:r w:rsidRPr="005D06C1">
              <w:rPr>
                <w:spacing w:val="-6"/>
              </w:rPr>
              <w:t>domácí i zahraniční po</w:t>
            </w:r>
            <w:r>
              <w:rPr>
                <w:spacing w:val="-6"/>
              </w:rPr>
              <w:t>ptávky). Opačně</w:t>
            </w:r>
            <w:r w:rsidRPr="005D06C1">
              <w:rPr>
                <w:spacing w:val="-6"/>
              </w:rPr>
              <w:t xml:space="preserve"> působila nezpracovatelská část průmyslu (</w:t>
            </w:r>
            <w:r>
              <w:rPr>
                <w:spacing w:val="-6"/>
              </w:rPr>
              <w:t>−</w:t>
            </w:r>
            <w:r w:rsidRPr="005D06C1">
              <w:rPr>
                <w:spacing w:val="-6"/>
              </w:rPr>
              <w:t>0,6 </w:t>
            </w:r>
            <w:r>
              <w:rPr>
                <w:spacing w:val="-6"/>
              </w:rPr>
              <w:t>p. b.</w:t>
            </w:r>
            <w:r w:rsidRPr="005D06C1">
              <w:rPr>
                <w:spacing w:val="-6"/>
              </w:rPr>
              <w:t>,</w:t>
            </w:r>
            <w:r>
              <w:t xml:space="preserve"> a to vlivem klesajících výkonů těžby a dobývání či úspor domácností a firem v oblasti energií) a dále též uskupení obchod, doprava, ubytování a pohostinství (−0,5 p. b.). Zbývajícím odvětvím služeb se však dařilo (příspěvek k růstu celkové HPH +1,4 p. b.). V části služeb ještě letos dozníval efekt postpandemického oživení. HPH v odvětví zemědělství, lesnictví a rybářství v 1. čtvrtletí 2023 po poklesech v předchozích dvou letech (primárně vlivem klesající živelní těžby dřeva) mírně vzrostla</w:t>
            </w:r>
            <w:r>
              <w:rPr>
                <w:rStyle w:val="Znakapoznpodarou"/>
              </w:rPr>
              <w:footnoteReference w:id="2"/>
            </w:r>
            <w:r>
              <w:t xml:space="preserve">. </w:t>
            </w:r>
          </w:p>
        </w:tc>
      </w:tr>
      <w:tr w:rsidR="009360FA" w:rsidRPr="003D1D6D" w14:paraId="6D8C5982" w14:textId="77777777" w:rsidTr="00FD4372">
        <w:trPr>
          <w:trHeight w:val="145"/>
        </w:trPr>
        <w:tc>
          <w:tcPr>
            <w:tcW w:w="1754" w:type="dxa"/>
            <w:tcBorders>
              <w:top w:val="nil"/>
              <w:left w:val="nil"/>
              <w:bottom w:val="nil"/>
              <w:right w:val="nil"/>
            </w:tcBorders>
            <w:shd w:val="clear" w:color="auto" w:fill="auto"/>
            <w:tcMar>
              <w:left w:w="0" w:type="dxa"/>
            </w:tcMar>
          </w:tcPr>
          <w:p w14:paraId="043DC21B" w14:textId="77777777" w:rsidR="009360FA" w:rsidRDefault="009360FA" w:rsidP="00FD4372">
            <w:pPr>
              <w:pStyle w:val="Marginlie"/>
              <w:rPr>
                <w:color w:val="0D0D0D" w:themeColor="text1" w:themeTint="F2"/>
                <w:spacing w:val="-4"/>
              </w:rPr>
            </w:pPr>
            <w:r>
              <w:rPr>
                <w:color w:val="0D0D0D" w:themeColor="text1" w:themeTint="F2"/>
                <w:spacing w:val="-4"/>
              </w:rPr>
              <w:t>Navzdory nepříznivým vnějším i vnitřním faktorům se průmyslová produkce na přelomu let 2022 a 2023 významně nesnížila.</w:t>
            </w:r>
          </w:p>
        </w:tc>
        <w:tc>
          <w:tcPr>
            <w:tcW w:w="185" w:type="dxa"/>
            <w:tcBorders>
              <w:top w:val="nil"/>
              <w:left w:val="nil"/>
              <w:bottom w:val="nil"/>
              <w:right w:val="nil"/>
            </w:tcBorders>
            <w:shd w:val="clear" w:color="auto" w:fill="auto"/>
            <w:tcMar>
              <w:left w:w="0" w:type="dxa"/>
            </w:tcMar>
          </w:tcPr>
          <w:p w14:paraId="504C4B91"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9FBD7A3" w14:textId="77777777" w:rsidR="009360FA" w:rsidRPr="003D1D6D" w:rsidRDefault="009360FA" w:rsidP="00FD4372">
            <w:pPr>
              <w:spacing w:after="180"/>
              <w:rPr>
                <w:spacing w:val="-5"/>
              </w:rPr>
            </w:pPr>
            <w:r>
              <w:rPr>
                <w:spacing w:val="-4"/>
              </w:rPr>
              <w:t>Také ú</w:t>
            </w:r>
            <w:r w:rsidRPr="008D3CD4">
              <w:rPr>
                <w:spacing w:val="-4"/>
              </w:rPr>
              <w:t xml:space="preserve">daje </w:t>
            </w:r>
            <w:r w:rsidRPr="008D3CD4">
              <w:rPr>
                <w:color w:val="0D0D0D" w:themeColor="text1" w:themeTint="F2"/>
                <w:spacing w:val="-4"/>
              </w:rPr>
              <w:t>z podnikových statistik potvrzují, že</w:t>
            </w:r>
            <w:r>
              <w:rPr>
                <w:color w:val="0D0D0D" w:themeColor="text1" w:themeTint="F2"/>
                <w:spacing w:val="-4"/>
              </w:rPr>
              <w:t xml:space="preserve"> tuzemský průmysl se dosud obstojně vypořádával se složitými vnitřními i</w:t>
            </w:r>
            <w:r w:rsidRPr="00197756">
              <w:t> </w:t>
            </w:r>
            <w:r>
              <w:rPr>
                <w:color w:val="0D0D0D" w:themeColor="text1" w:themeTint="F2"/>
                <w:spacing w:val="-4"/>
              </w:rPr>
              <w:t>vnějšími ekonomickými a politickými podmínkami. K dobré odolnosti průmyslu přispívá vedle výhody plynoucí z jeho vnitřní oborové diverzifikace také</w:t>
            </w:r>
            <w:r>
              <w:t xml:space="preserve"> </w:t>
            </w:r>
            <w:r>
              <w:rPr>
                <w:color w:val="0D0D0D" w:themeColor="text1" w:themeTint="F2"/>
                <w:spacing w:val="-4"/>
              </w:rPr>
              <w:t>skutečnost, že investiční aktivita v české ekonomice i v EU nebyla po většinu loňského roku významně omezována. Průmyslová produkce</w:t>
            </w:r>
            <w:r w:rsidRPr="008D3CD4">
              <w:rPr>
                <w:rStyle w:val="Znakapoznpodarou"/>
                <w:color w:val="0D0D0D" w:themeColor="text1" w:themeTint="F2"/>
                <w:spacing w:val="-4"/>
              </w:rPr>
              <w:footnoteReference w:id="3"/>
            </w:r>
            <w:r>
              <w:rPr>
                <w:color w:val="0D0D0D" w:themeColor="text1" w:themeTint="F2"/>
                <w:spacing w:val="-4"/>
              </w:rPr>
              <w:t>, která loni ve 3. čtvrtletí poprvé překonala úroveň vrcholu předpandemické konjunktury, se v následujících obdobích snížila pouze mírně (v</w:t>
            </w:r>
            <w:r w:rsidRPr="00197756">
              <w:t> </w:t>
            </w:r>
            <w:r>
              <w:rPr>
                <w:color w:val="0D0D0D" w:themeColor="text1" w:themeTint="F2"/>
                <w:spacing w:val="-4"/>
              </w:rPr>
              <w:t>1.</w:t>
            </w:r>
            <w:r w:rsidRPr="00197756">
              <w:t> </w:t>
            </w:r>
            <w:r>
              <w:rPr>
                <w:color w:val="0D0D0D" w:themeColor="text1" w:themeTint="F2"/>
                <w:spacing w:val="-4"/>
              </w:rPr>
              <w:t xml:space="preserve">čtvrtletí 2023 zaostala za výší z konce loňského roku o 0,4 %). Na tomto relativně příznivém vývoji měla významný podíl výroba automobilů, která z velké části tlumila dopad snížené produkce řady energeticky náročných oborů i dalších segmentů průmyslu zasažených cyklickým útlumem poptávky. </w:t>
            </w:r>
          </w:p>
        </w:tc>
      </w:tr>
      <w:tr w:rsidR="009360FA" w:rsidRPr="008C2F46" w14:paraId="564F38A1" w14:textId="77777777" w:rsidTr="00FD4372">
        <w:trPr>
          <w:trHeight w:val="145"/>
        </w:trPr>
        <w:tc>
          <w:tcPr>
            <w:tcW w:w="1754" w:type="dxa"/>
            <w:tcBorders>
              <w:top w:val="nil"/>
              <w:left w:val="nil"/>
              <w:bottom w:val="nil"/>
              <w:right w:val="nil"/>
            </w:tcBorders>
            <w:shd w:val="clear" w:color="auto" w:fill="auto"/>
            <w:tcMar>
              <w:left w:w="0" w:type="dxa"/>
            </w:tcMar>
          </w:tcPr>
          <w:p w14:paraId="3C52D380" w14:textId="77777777" w:rsidR="009360FA" w:rsidRPr="00D40A02" w:rsidRDefault="009360FA" w:rsidP="00FD4372">
            <w:pPr>
              <w:pStyle w:val="Marginlie"/>
              <w:rPr>
                <w:color w:val="0D0D0D" w:themeColor="text1" w:themeTint="F2"/>
                <w:spacing w:val="-5"/>
              </w:rPr>
            </w:pPr>
            <w:r w:rsidRPr="00D40A02">
              <w:rPr>
                <w:color w:val="0D0D0D" w:themeColor="text1" w:themeTint="F2"/>
                <w:spacing w:val="-5"/>
              </w:rPr>
              <w:t>Za silným meziročním růstem automobilového průmysl</w:t>
            </w:r>
            <w:r>
              <w:rPr>
                <w:color w:val="0D0D0D" w:themeColor="text1" w:themeTint="F2"/>
                <w:spacing w:val="-5"/>
              </w:rPr>
              <w:t>u</w:t>
            </w:r>
            <w:r w:rsidRPr="00D40A02">
              <w:rPr>
                <w:color w:val="0D0D0D" w:themeColor="text1" w:themeTint="F2"/>
                <w:spacing w:val="-5"/>
              </w:rPr>
              <w:t xml:space="preserve"> stála zejména nižší loňská základna.</w:t>
            </w:r>
            <w:r>
              <w:rPr>
                <w:color w:val="0D0D0D" w:themeColor="text1" w:themeTint="F2"/>
                <w:spacing w:val="-5"/>
              </w:rPr>
              <w:t xml:space="preserve"> I </w:t>
            </w:r>
            <w:r w:rsidRPr="00D40A02">
              <w:rPr>
                <w:color w:val="0D0D0D" w:themeColor="text1" w:themeTint="F2"/>
                <w:spacing w:val="-5"/>
              </w:rPr>
              <w:t xml:space="preserve">přes současné zlepšení </w:t>
            </w:r>
            <w:r>
              <w:rPr>
                <w:color w:val="0D0D0D" w:themeColor="text1" w:themeTint="F2"/>
                <w:spacing w:val="-5"/>
              </w:rPr>
              <w:t xml:space="preserve">automobilky stále </w:t>
            </w:r>
            <w:r w:rsidRPr="00D40A02">
              <w:rPr>
                <w:color w:val="0D0D0D" w:themeColor="text1" w:themeTint="F2"/>
                <w:spacing w:val="-5"/>
              </w:rPr>
              <w:t>vnímají</w:t>
            </w:r>
            <w:r>
              <w:rPr>
                <w:color w:val="0D0D0D" w:themeColor="text1" w:themeTint="F2"/>
                <w:spacing w:val="-5"/>
              </w:rPr>
              <w:t xml:space="preserve"> nedostupnost výrobních komponent</w:t>
            </w:r>
            <w:r w:rsidRPr="00D40A02">
              <w:rPr>
                <w:color w:val="0D0D0D" w:themeColor="text1" w:themeTint="F2"/>
                <w:spacing w:val="-5"/>
              </w:rPr>
              <w:t xml:space="preserve"> jako budoucí hrozbu.</w:t>
            </w:r>
          </w:p>
        </w:tc>
        <w:tc>
          <w:tcPr>
            <w:tcW w:w="185" w:type="dxa"/>
            <w:tcBorders>
              <w:top w:val="nil"/>
              <w:left w:val="nil"/>
              <w:bottom w:val="nil"/>
              <w:right w:val="nil"/>
            </w:tcBorders>
            <w:shd w:val="clear" w:color="auto" w:fill="auto"/>
            <w:tcMar>
              <w:left w:w="0" w:type="dxa"/>
            </w:tcMar>
          </w:tcPr>
          <w:p w14:paraId="5088B85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8145EC3" w14:textId="77777777" w:rsidR="009360FA" w:rsidRPr="008C2F46" w:rsidRDefault="009360FA" w:rsidP="00FD4372">
            <w:pPr>
              <w:spacing w:after="0"/>
              <w:rPr>
                <w:spacing w:val="-5"/>
              </w:rPr>
            </w:pPr>
            <w:r w:rsidRPr="008C2F46">
              <w:rPr>
                <w:spacing w:val="-5"/>
              </w:rPr>
              <w:t xml:space="preserve">V meziročním pohledu průmyslová produkce v 1. čtvrtletí 2023 </w:t>
            </w:r>
            <w:r>
              <w:rPr>
                <w:spacing w:val="-5"/>
              </w:rPr>
              <w:t xml:space="preserve">velmi mírně vzrostla </w:t>
            </w:r>
            <w:r>
              <w:rPr>
                <w:spacing w:val="-5"/>
              </w:rPr>
              <w:br/>
              <w:t>(+1,2</w:t>
            </w:r>
            <w:r w:rsidRPr="008C2F46">
              <w:rPr>
                <w:spacing w:val="-5"/>
              </w:rPr>
              <w:t xml:space="preserve"> %). Zásadní roli zde sehráli výrobci mot</w:t>
            </w:r>
            <w:r>
              <w:rPr>
                <w:spacing w:val="-5"/>
              </w:rPr>
              <w:t>orových vozidel (příspěvek + 4,9</w:t>
            </w:r>
            <w:r w:rsidRPr="008C2F46">
              <w:rPr>
                <w:spacing w:val="-5"/>
              </w:rPr>
              <w:t xml:space="preserve"> p. b.), neboť výkon </w:t>
            </w:r>
            <w:r>
              <w:rPr>
                <w:spacing w:val="-5"/>
              </w:rPr>
              <w:t>více než dvou třetin</w:t>
            </w:r>
            <w:r w:rsidRPr="008C2F46">
              <w:rPr>
                <w:spacing w:val="-5"/>
              </w:rPr>
              <w:t xml:space="preserve"> průmyslových oborů zůstal pod loňskou úrovní. Produkce v automobilovém průmyslu byla naopak o více než čtvrtinu</w:t>
            </w:r>
            <w:r>
              <w:rPr>
                <w:spacing w:val="-5"/>
              </w:rPr>
              <w:t xml:space="preserve"> vyšší, z velké části šlo ovšem </w:t>
            </w:r>
            <w:r w:rsidRPr="008C2F46">
              <w:rPr>
                <w:spacing w:val="-5"/>
              </w:rPr>
              <w:t>o</w:t>
            </w:r>
            <w:r>
              <w:rPr>
                <w:spacing w:val="-5"/>
              </w:rPr>
              <w:t> </w:t>
            </w:r>
            <w:r w:rsidRPr="008C2F46">
              <w:rPr>
                <w:spacing w:val="-5"/>
              </w:rPr>
              <w:t>kompenzaci nižší výroby z období na počá</w:t>
            </w:r>
            <w:r>
              <w:rPr>
                <w:spacing w:val="-5"/>
              </w:rPr>
              <w:t xml:space="preserve">tku loňského roku (kdy problémy </w:t>
            </w:r>
            <w:r w:rsidRPr="008C2F46">
              <w:rPr>
                <w:spacing w:val="-5"/>
              </w:rPr>
              <w:t xml:space="preserve">v dodavatelských řetězcích eskalovaly vinou </w:t>
            </w:r>
            <w:r w:rsidRPr="008C2F46">
              <w:rPr>
                <w:color w:val="0D0D0D" w:themeColor="text1" w:themeTint="F2"/>
                <w:spacing w:val="-5"/>
              </w:rPr>
              <w:t xml:space="preserve">zmrazení výroby některých zdrojových komponent v Číně i na Ukrajině). Znatelné zotavení výroby automobilů dokládají i údaje </w:t>
            </w:r>
            <w:r>
              <w:rPr>
                <w:color w:val="0D0D0D" w:themeColor="text1" w:themeTint="F2"/>
                <w:spacing w:val="-5"/>
              </w:rPr>
              <w:br/>
            </w:r>
            <w:r w:rsidRPr="008C2F46">
              <w:rPr>
                <w:color w:val="0D0D0D" w:themeColor="text1" w:themeTint="F2"/>
                <w:spacing w:val="-5"/>
              </w:rPr>
              <w:lastRenderedPageBreak/>
              <w:t>o fyzické produkci</w:t>
            </w:r>
            <w:r w:rsidRPr="008C2F46">
              <w:rPr>
                <w:rStyle w:val="Znakapoznpodarou"/>
                <w:color w:val="0D0D0D" w:themeColor="text1" w:themeTint="F2"/>
                <w:spacing w:val="-5"/>
              </w:rPr>
              <w:footnoteReference w:id="4"/>
            </w:r>
            <w:r w:rsidRPr="008C2F46">
              <w:rPr>
                <w:color w:val="0D0D0D" w:themeColor="text1" w:themeTint="F2"/>
                <w:spacing w:val="-5"/>
              </w:rPr>
              <w:t xml:space="preserve">. </w:t>
            </w:r>
            <w:r>
              <w:rPr>
                <w:color w:val="0D0D0D" w:themeColor="text1" w:themeTint="F2"/>
                <w:spacing w:val="-5"/>
              </w:rPr>
              <w:t>Zlepšení dříve váznoucích dodávek některých výrobních komponentů se odrazilo citelným zvýšením využití výrobních kapacit automobilového průmyslu (to na počátku 2. čtvrtletí 2023 přesáhlo 90 % a vrátilo se na předkrizovou úroveň). Nedostatek materiálu či zařízení však velká většina firem v tomto oboru stále vnímá jako důležitou růstovou bariéru.</w:t>
            </w:r>
          </w:p>
          <w:p w14:paraId="30841610" w14:textId="77777777" w:rsidR="009360FA" w:rsidRPr="008C2F46" w:rsidRDefault="009360FA" w:rsidP="00FD4372">
            <w:pPr>
              <w:spacing w:after="0"/>
              <w:rPr>
                <w:spacing w:val="-5"/>
              </w:rPr>
            </w:pPr>
          </w:p>
        </w:tc>
      </w:tr>
      <w:tr w:rsidR="009360FA" w:rsidRPr="00D40A02" w14:paraId="6D1B7750" w14:textId="77777777" w:rsidTr="00FD4372">
        <w:trPr>
          <w:trHeight w:val="145"/>
        </w:trPr>
        <w:tc>
          <w:tcPr>
            <w:tcW w:w="1754" w:type="dxa"/>
            <w:tcBorders>
              <w:top w:val="nil"/>
              <w:left w:val="nil"/>
              <w:bottom w:val="nil"/>
              <w:right w:val="nil"/>
            </w:tcBorders>
            <w:shd w:val="clear" w:color="auto" w:fill="auto"/>
            <w:tcMar>
              <w:left w:w="0" w:type="dxa"/>
            </w:tcMar>
          </w:tcPr>
          <w:p w14:paraId="383C6A01" w14:textId="77777777" w:rsidR="009360FA" w:rsidRPr="00A27018" w:rsidRDefault="009360FA" w:rsidP="00FD4372">
            <w:pPr>
              <w:pStyle w:val="Marginlie"/>
              <w:rPr>
                <w:color w:val="0D0D0D" w:themeColor="text1" w:themeTint="F2"/>
                <w:spacing w:val="-5"/>
              </w:rPr>
            </w:pPr>
            <w:r w:rsidRPr="00A27018">
              <w:rPr>
                <w:color w:val="0D0D0D" w:themeColor="text1" w:themeTint="F2"/>
                <w:spacing w:val="-5"/>
              </w:rPr>
              <w:lastRenderedPageBreak/>
              <w:t>Z významnějších oborů podpořily růst průmyslové produkce také s</w:t>
            </w:r>
            <w:r>
              <w:rPr>
                <w:color w:val="0D0D0D" w:themeColor="text1" w:themeTint="F2"/>
                <w:spacing w:val="-5"/>
              </w:rPr>
              <w:t xml:space="preserve">trojírenství a elektrotechnika, </w:t>
            </w:r>
            <w:r w:rsidRPr="00A27018">
              <w:rPr>
                <w:color w:val="0D0D0D" w:themeColor="text1" w:themeTint="F2"/>
                <w:spacing w:val="-5"/>
              </w:rPr>
              <w:t>z malých</w:t>
            </w:r>
            <w:r>
              <w:rPr>
                <w:color w:val="0D0D0D" w:themeColor="text1" w:themeTint="F2"/>
                <w:spacing w:val="-5"/>
              </w:rPr>
              <w:t xml:space="preserve"> oborů oděvnictví, obuvnictví a</w:t>
            </w:r>
            <w:r w:rsidRPr="00A27018">
              <w:rPr>
                <w:color w:val="0D0D0D" w:themeColor="text1" w:themeTint="F2"/>
                <w:spacing w:val="-5"/>
              </w:rPr>
              <w:t> farmacie.</w:t>
            </w:r>
          </w:p>
        </w:tc>
        <w:tc>
          <w:tcPr>
            <w:tcW w:w="185" w:type="dxa"/>
            <w:tcBorders>
              <w:top w:val="nil"/>
              <w:left w:val="nil"/>
              <w:bottom w:val="nil"/>
              <w:right w:val="nil"/>
            </w:tcBorders>
            <w:shd w:val="clear" w:color="auto" w:fill="auto"/>
            <w:tcMar>
              <w:left w:w="0" w:type="dxa"/>
            </w:tcMar>
          </w:tcPr>
          <w:p w14:paraId="00BB8953" w14:textId="77777777" w:rsidR="009360FA" w:rsidRPr="00D40A02"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58FEA47" w14:textId="77777777" w:rsidR="009360FA" w:rsidRPr="00D40A02" w:rsidRDefault="009360FA" w:rsidP="00FD4372">
            <w:pPr>
              <w:spacing w:after="220"/>
              <w:rPr>
                <w:color w:val="0D0D0D" w:themeColor="text1" w:themeTint="F2"/>
                <w:spacing w:val="-4"/>
              </w:rPr>
            </w:pPr>
            <w:r>
              <w:rPr>
                <w:color w:val="0D0D0D" w:themeColor="text1" w:themeTint="F2"/>
                <w:spacing w:val="-4"/>
              </w:rPr>
              <w:t xml:space="preserve">Oproti výrobcům automobilů řádově menší, avšak stále relativně významný vliv na růst průmyslové produkce mělo letos v 1. čtvrtletí strojírenství a také výroba elektrických zařízení (obě odvětví shodně přispěla 0,35 p. b., při vlastním růstu mírně přesahujícím 4 %). Elektrotechnice pomáhala zvýšená poptávka související s pokračujícím posilováním automobilového průmyslu, diverzifikovaný obor strojírenství se mohl opřít o solidní poptávku z tuzemska i zahraničí. Mírný 5% růst produkce zaznamenala také výroba </w:t>
            </w:r>
            <w:r w:rsidRPr="0065741A">
              <w:rPr>
                <w:color w:val="0D0D0D" w:themeColor="text1" w:themeTint="F2"/>
                <w:spacing w:val="-4"/>
              </w:rPr>
              <w:t>počítačů, elektronických a optických přístrojů</w:t>
            </w:r>
            <w:r>
              <w:rPr>
                <w:color w:val="0D0D0D" w:themeColor="text1" w:themeTint="F2"/>
                <w:spacing w:val="-4"/>
              </w:rPr>
              <w:t xml:space="preserve">. Tomuto tradičně silně proexportnímu odvětví letos pomáhala domácí poptávka související mj. i s dynamicky rostoucím trhem v oblasti fotovoltaiky. Zejména tuzemská poptávka podporovala i odvětví opravy strojů a zařízení, kde svižný růst produkce pokračoval druhý rok v řadě. Z malých oborů vykázal letos nejvyšší růst produkce kožedělný a obuvnický průmysl (14,3 %), v pozadí oživení zde stála, podobně jako vloni, hlavně zahraniční poptávka. Dařilo se i oděvnictví a farmacii, jejichž tempo růstu produkce však oproti loňskému roku zvolnilo. </w:t>
            </w:r>
          </w:p>
        </w:tc>
      </w:tr>
      <w:tr w:rsidR="009360FA" w:rsidRPr="00686504" w14:paraId="52403D05" w14:textId="77777777" w:rsidTr="00FD4372">
        <w:trPr>
          <w:trHeight w:val="145"/>
        </w:trPr>
        <w:tc>
          <w:tcPr>
            <w:tcW w:w="1754" w:type="dxa"/>
            <w:tcBorders>
              <w:top w:val="nil"/>
              <w:left w:val="nil"/>
              <w:bottom w:val="nil"/>
              <w:right w:val="nil"/>
            </w:tcBorders>
            <w:shd w:val="clear" w:color="auto" w:fill="auto"/>
            <w:tcMar>
              <w:left w:w="0" w:type="dxa"/>
            </w:tcMar>
          </w:tcPr>
          <w:p w14:paraId="51BD3558" w14:textId="77777777" w:rsidR="009360FA" w:rsidRPr="00AC49FC" w:rsidRDefault="009360FA" w:rsidP="00FD4372">
            <w:pPr>
              <w:pStyle w:val="Marginlie"/>
              <w:rPr>
                <w:color w:val="0D0D0D" w:themeColor="text1" w:themeTint="F2"/>
                <w:spacing w:val="-4"/>
              </w:rPr>
            </w:pPr>
            <w:r>
              <w:rPr>
                <w:color w:val="0D0D0D" w:themeColor="text1" w:themeTint="F2"/>
                <w:spacing w:val="-4"/>
              </w:rPr>
              <w:t>Klesající poptávka spolu s prudkým růstem výrobních nákladů vedly k pokračujícímu propadu produkce v energeticky nejnáročnějších zpracovatelských odvětvích.</w:t>
            </w:r>
          </w:p>
        </w:tc>
        <w:tc>
          <w:tcPr>
            <w:tcW w:w="185" w:type="dxa"/>
            <w:tcBorders>
              <w:top w:val="nil"/>
              <w:left w:val="nil"/>
              <w:bottom w:val="nil"/>
              <w:right w:val="nil"/>
            </w:tcBorders>
            <w:shd w:val="clear" w:color="auto" w:fill="auto"/>
            <w:tcMar>
              <w:left w:w="0" w:type="dxa"/>
            </w:tcMar>
          </w:tcPr>
          <w:p w14:paraId="62B43F6B" w14:textId="77777777" w:rsidR="009360FA" w:rsidRPr="00AC49FC"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7F1CC88" w14:textId="77777777" w:rsidR="009360FA" w:rsidRPr="00686504" w:rsidRDefault="009360FA" w:rsidP="00FD4372">
            <w:pPr>
              <w:spacing w:after="200"/>
              <w:rPr>
                <w:color w:val="0D0D0D" w:themeColor="text1" w:themeTint="F2"/>
                <w:spacing w:val="-4"/>
              </w:rPr>
            </w:pPr>
            <w:r>
              <w:rPr>
                <w:color w:val="0D0D0D" w:themeColor="text1" w:themeTint="F2"/>
                <w:spacing w:val="-4"/>
              </w:rPr>
              <w:t>Do stále složitější situace se naopak propadala</w:t>
            </w:r>
            <w:r w:rsidRPr="009E1798">
              <w:rPr>
                <w:color w:val="0D0D0D" w:themeColor="text1" w:themeTint="F2"/>
                <w:spacing w:val="-4"/>
              </w:rPr>
              <w:t xml:space="preserve"> </w:t>
            </w:r>
            <w:r>
              <w:rPr>
                <w:color w:val="0D0D0D" w:themeColor="text1" w:themeTint="F2"/>
                <w:spacing w:val="-4"/>
              </w:rPr>
              <w:t xml:space="preserve">významná </w:t>
            </w:r>
            <w:r w:rsidRPr="00AC49FC">
              <w:rPr>
                <w:color w:val="0D0D0D" w:themeColor="text1" w:themeTint="F2"/>
                <w:spacing w:val="-4"/>
              </w:rPr>
              <w:t xml:space="preserve">energeticky </w:t>
            </w:r>
            <w:r>
              <w:rPr>
                <w:color w:val="0D0D0D" w:themeColor="text1" w:themeTint="F2"/>
                <w:spacing w:val="-4"/>
              </w:rPr>
              <w:t xml:space="preserve">velmi </w:t>
            </w:r>
            <w:r w:rsidRPr="00AC49FC">
              <w:rPr>
                <w:color w:val="0D0D0D" w:themeColor="text1" w:themeTint="F2"/>
                <w:spacing w:val="-4"/>
              </w:rPr>
              <w:t>náročná odvětví chemického, hutnického a kovodělného průmyslu či výroby stavebních hmot. Po rychlém zotavení v roce 2021, k</w:t>
            </w:r>
            <w:r>
              <w:rPr>
                <w:color w:val="0D0D0D" w:themeColor="text1" w:themeTint="F2"/>
                <w:spacing w:val="-4"/>
              </w:rPr>
              <w:t>dy výkon těchto oborů díky svižné poptávce</w:t>
            </w:r>
            <w:r w:rsidRPr="00AC49FC">
              <w:rPr>
                <w:color w:val="0D0D0D" w:themeColor="text1" w:themeTint="F2"/>
                <w:spacing w:val="-4"/>
              </w:rPr>
              <w:t xml:space="preserve"> z tuzemska </w:t>
            </w:r>
            <w:r>
              <w:rPr>
                <w:color w:val="0D0D0D" w:themeColor="text1" w:themeTint="F2"/>
                <w:spacing w:val="-4"/>
              </w:rPr>
              <w:t>i</w:t>
            </w:r>
            <w:r w:rsidRPr="00AC49FC">
              <w:rPr>
                <w:color w:val="0D0D0D" w:themeColor="text1" w:themeTint="F2"/>
                <w:spacing w:val="-4"/>
              </w:rPr>
              <w:t> </w:t>
            </w:r>
            <w:r>
              <w:rPr>
                <w:color w:val="0D0D0D" w:themeColor="text1" w:themeTint="F2"/>
                <w:spacing w:val="-4"/>
              </w:rPr>
              <w:t xml:space="preserve">zahraničí vystoupal nad úroveň z předkrizového roku 2019, docházelo vlivem prudkého růstu cen vstupů k útlumu, jenž se během druhého loňského pololetí prohluboval. Tento vývoj pokračoval rovněž v 1. čtvrtletí 2023, kdy v těchto oborech produkce meziročně propadla o více než 15 % (výjimkou byla kovovýroba, kde mohl být útlum energeticky náročných segmentů zčásti kompenzován i rozvojem zbrojní výroby). Řádově méně poklesla produkce v gumárenství a plastikářství (−2,3 %), kde se ovšem zatím příliš neprojevil dopad solidní poptávky v související výrobě motorových vozidel. S vysokým růstem výrobních nákladů spolu se slábnoucí poptávkou tuzemských spotřebitelů se potýkalo i potravinářství, jehož pokles produkce se letos prohloubil na významných 4,2 %. </w:t>
            </w:r>
          </w:p>
        </w:tc>
      </w:tr>
      <w:tr w:rsidR="009360FA" w14:paraId="096F6F23" w14:textId="77777777" w:rsidTr="00FD4372">
        <w:trPr>
          <w:trHeight w:val="145"/>
        </w:trPr>
        <w:tc>
          <w:tcPr>
            <w:tcW w:w="1754" w:type="dxa"/>
            <w:tcBorders>
              <w:top w:val="nil"/>
              <w:left w:val="nil"/>
              <w:bottom w:val="nil"/>
              <w:right w:val="nil"/>
            </w:tcBorders>
            <w:shd w:val="clear" w:color="auto" w:fill="auto"/>
            <w:tcMar>
              <w:left w:w="0" w:type="dxa"/>
            </w:tcMar>
          </w:tcPr>
          <w:p w14:paraId="0571CAD4" w14:textId="77777777" w:rsidR="009360FA" w:rsidRDefault="009360FA" w:rsidP="00FD4372">
            <w:pPr>
              <w:pStyle w:val="Marginlie"/>
              <w:rPr>
                <w:color w:val="0D0D0D" w:themeColor="text1" w:themeTint="F2"/>
                <w:spacing w:val="-4"/>
              </w:rPr>
            </w:pPr>
            <w:r>
              <w:rPr>
                <w:color w:val="0D0D0D" w:themeColor="text1" w:themeTint="F2"/>
                <w:spacing w:val="-4"/>
              </w:rPr>
              <w:t>Dvojciferný pokles produkce postihl i řadu menších zpracovatelských oborů.</w:t>
            </w:r>
          </w:p>
        </w:tc>
        <w:tc>
          <w:tcPr>
            <w:tcW w:w="185" w:type="dxa"/>
            <w:tcBorders>
              <w:top w:val="nil"/>
              <w:left w:val="nil"/>
              <w:bottom w:val="nil"/>
              <w:right w:val="nil"/>
            </w:tcBorders>
            <w:shd w:val="clear" w:color="auto" w:fill="auto"/>
            <w:tcMar>
              <w:left w:w="0" w:type="dxa"/>
            </w:tcMar>
          </w:tcPr>
          <w:p w14:paraId="797ECA9A" w14:textId="77777777" w:rsidR="009360FA" w:rsidRPr="00AC49FC"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102F80DE" w14:textId="77777777" w:rsidR="009360FA" w:rsidRDefault="009360FA" w:rsidP="00FD4372">
            <w:pPr>
              <w:spacing w:after="200"/>
              <w:rPr>
                <w:color w:val="0D0D0D" w:themeColor="text1" w:themeTint="F2"/>
                <w:spacing w:val="-4"/>
              </w:rPr>
            </w:pPr>
            <w:r>
              <w:rPr>
                <w:color w:val="0D0D0D" w:themeColor="text1" w:themeTint="F2"/>
                <w:spacing w:val="-4"/>
              </w:rPr>
              <w:t xml:space="preserve">S poklesem poptávky se v 1. čtvrtletí potýkala i většina menších zpracovatelských oborů. V tiskárenství tak propadla produkce meziročně skoro o 18 %, v textilním průmyslu o 14 %. V dřevozpracujícím průmyslu pokračoval pokles produkce započatý loni. Efekt nižší těžby dřeva vlivem ústupu kůrovcové kalamity tak převážil nad vlivem rostoucí poptávky po dřevě během energetické krize. O více než desetinu se letos snížil také výkon v navazujícím papírenském a nábytkářském průmyslu. </w:t>
            </w:r>
          </w:p>
        </w:tc>
      </w:tr>
      <w:tr w:rsidR="009360FA" w:rsidRPr="005447DB" w14:paraId="26454C8C" w14:textId="77777777" w:rsidTr="00FD4372">
        <w:trPr>
          <w:trHeight w:val="145"/>
        </w:trPr>
        <w:tc>
          <w:tcPr>
            <w:tcW w:w="1754" w:type="dxa"/>
            <w:tcBorders>
              <w:top w:val="nil"/>
              <w:left w:val="nil"/>
              <w:bottom w:val="nil"/>
              <w:right w:val="nil"/>
            </w:tcBorders>
            <w:shd w:val="clear" w:color="auto" w:fill="auto"/>
            <w:tcMar>
              <w:left w:w="0" w:type="dxa"/>
            </w:tcMar>
          </w:tcPr>
          <w:p w14:paraId="130744D2" w14:textId="77777777" w:rsidR="009360FA" w:rsidRPr="003B6934" w:rsidRDefault="009360FA" w:rsidP="00FD4372">
            <w:pPr>
              <w:pStyle w:val="Marginlie"/>
              <w:rPr>
                <w:color w:val="0D0D0D" w:themeColor="text1" w:themeTint="F2"/>
                <w:spacing w:val="-4"/>
              </w:rPr>
            </w:pPr>
            <w:r>
              <w:rPr>
                <w:color w:val="0D0D0D" w:themeColor="text1" w:themeTint="F2"/>
                <w:spacing w:val="-4"/>
              </w:rPr>
              <w:t>Produkce energetiky se propadla o desetinu, k čemuž zásadně přispěla teplejší zima i očekávané úspory u spotřebitelů motivované zejména finančními tlaky.</w:t>
            </w:r>
          </w:p>
        </w:tc>
        <w:tc>
          <w:tcPr>
            <w:tcW w:w="185" w:type="dxa"/>
            <w:tcBorders>
              <w:top w:val="nil"/>
              <w:left w:val="nil"/>
              <w:bottom w:val="nil"/>
              <w:right w:val="nil"/>
            </w:tcBorders>
            <w:shd w:val="clear" w:color="auto" w:fill="auto"/>
            <w:tcMar>
              <w:left w:w="0" w:type="dxa"/>
            </w:tcMar>
          </w:tcPr>
          <w:p w14:paraId="18E7DB1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1CDFBE5" w14:textId="77777777" w:rsidR="009360FA" w:rsidRPr="005447DB" w:rsidRDefault="009360FA" w:rsidP="00FD4372">
            <w:pPr>
              <w:spacing w:after="200"/>
              <w:rPr>
                <w:color w:val="0D0D0D" w:themeColor="text1" w:themeTint="F2"/>
                <w:spacing w:val="-5"/>
              </w:rPr>
            </w:pPr>
            <w:r w:rsidRPr="005447DB">
              <w:rPr>
                <w:color w:val="0D0D0D" w:themeColor="text1" w:themeTint="F2"/>
                <w:spacing w:val="-5"/>
              </w:rPr>
              <w:t xml:space="preserve">Produkce v nezpracovatelských průmyslových odvětvích byla nadále výrazně ovlivňována dopady energetického šoku úzce souvisejícího s válkou na Ukrajině. Výkon těchto odvětví v 1. čtvrtletí 2023 meziročně citelně poklesl a růst produkce v celém průmyslu </w:t>
            </w:r>
            <w:r>
              <w:rPr>
                <w:color w:val="0D0D0D" w:themeColor="text1" w:themeTint="F2"/>
                <w:spacing w:val="-5"/>
              </w:rPr>
              <w:t xml:space="preserve">se </w:t>
            </w:r>
            <w:r w:rsidRPr="005447DB">
              <w:rPr>
                <w:color w:val="0D0D0D" w:themeColor="text1" w:themeTint="F2"/>
                <w:spacing w:val="-5"/>
              </w:rPr>
              <w:t>v úhrnu snižoval o 1,2 p. b. Zásadní vliv mělo váhově významné odvětví energetiky, v němž produkce propadla o 9,3 %, a to v důsledku přetrvávajícího poklesu tuzemské poptávky (vlivem teplotně nadprůměrné zimy, jejíž vliv byl umocněn očekávanými úspor</w:t>
            </w:r>
            <w:r>
              <w:rPr>
                <w:color w:val="0D0D0D" w:themeColor="text1" w:themeTint="F2"/>
                <w:spacing w:val="-5"/>
              </w:rPr>
              <w:t>ami</w:t>
            </w:r>
            <w:r w:rsidRPr="005447DB">
              <w:rPr>
                <w:color w:val="0D0D0D" w:themeColor="text1" w:themeTint="F2"/>
                <w:spacing w:val="-5"/>
              </w:rPr>
              <w:t xml:space="preserve"> ve spotřebě elektřiny, zemní</w:t>
            </w:r>
            <w:r>
              <w:rPr>
                <w:color w:val="0D0D0D" w:themeColor="text1" w:themeTint="F2"/>
                <w:spacing w:val="-5"/>
              </w:rPr>
              <w:t>ho</w:t>
            </w:r>
            <w:r w:rsidRPr="005447DB">
              <w:rPr>
                <w:color w:val="0D0D0D" w:themeColor="text1" w:themeTint="F2"/>
                <w:spacing w:val="-5"/>
              </w:rPr>
              <w:t xml:space="preserve"> plynu i tepla na straně domácností i firem)</w:t>
            </w:r>
            <w:r w:rsidRPr="005447DB">
              <w:rPr>
                <w:rStyle w:val="Znakapoznpodarou"/>
                <w:color w:val="0D0D0D" w:themeColor="text1" w:themeTint="F2"/>
                <w:spacing w:val="-5"/>
              </w:rPr>
              <w:footnoteReference w:id="5"/>
            </w:r>
            <w:r w:rsidRPr="005447DB">
              <w:rPr>
                <w:color w:val="0D0D0D" w:themeColor="text1" w:themeTint="F2"/>
                <w:spacing w:val="-5"/>
              </w:rPr>
              <w:t xml:space="preserve">. Skoro o desetinu se snížila produkce také v těžbě a dobývání, zastavil se tak </w:t>
            </w:r>
            <w:r>
              <w:rPr>
                <w:color w:val="0D0D0D" w:themeColor="text1" w:themeTint="F2"/>
                <w:spacing w:val="-5"/>
              </w:rPr>
              <w:t>zřejmě</w:t>
            </w:r>
            <w:r w:rsidRPr="005447DB">
              <w:rPr>
                <w:color w:val="0D0D0D" w:themeColor="text1" w:themeTint="F2"/>
                <w:spacing w:val="-5"/>
              </w:rPr>
              <w:t xml:space="preserve"> trend dočasné „renesance“ těžby, patrný v předchozích dvou letech. Letošní pokles zrcadlil jak nižší výkon ve váhově dominantním segmentu těžby uhlí (</w:t>
            </w:r>
            <w:r>
              <w:rPr>
                <w:color w:val="0D0D0D" w:themeColor="text1" w:themeTint="F2"/>
                <w:spacing w:val="-5"/>
              </w:rPr>
              <w:t>−</w:t>
            </w:r>
            <w:r w:rsidRPr="005447DB">
              <w:rPr>
                <w:color w:val="0D0D0D" w:themeColor="text1" w:themeTint="F2"/>
                <w:spacing w:val="-5"/>
              </w:rPr>
              <w:t>5,6 %), tak hlubší útlum v těžbě stavebních materiálů (</w:t>
            </w:r>
            <w:r>
              <w:rPr>
                <w:color w:val="0D0D0D" w:themeColor="text1" w:themeTint="F2"/>
                <w:spacing w:val="-5"/>
              </w:rPr>
              <w:t>−</w:t>
            </w:r>
            <w:r w:rsidRPr="005447DB">
              <w:rPr>
                <w:color w:val="0D0D0D" w:themeColor="text1" w:themeTint="F2"/>
                <w:spacing w:val="-5"/>
              </w:rPr>
              <w:t xml:space="preserve">13,2 %), což </w:t>
            </w:r>
            <w:r w:rsidRPr="005447DB">
              <w:rPr>
                <w:color w:val="0D0D0D" w:themeColor="text1" w:themeTint="F2"/>
                <w:spacing w:val="-5"/>
              </w:rPr>
              <w:lastRenderedPageBreak/>
              <w:t xml:space="preserve">souviselo s oslabením poptávky ze strany stavebníků i </w:t>
            </w:r>
            <w:r>
              <w:rPr>
                <w:color w:val="0D0D0D" w:themeColor="text1" w:themeTint="F2"/>
                <w:spacing w:val="-5"/>
              </w:rPr>
              <w:t xml:space="preserve">s </w:t>
            </w:r>
            <w:r w:rsidRPr="005447DB">
              <w:rPr>
                <w:color w:val="0D0D0D" w:themeColor="text1" w:themeTint="F2"/>
                <w:spacing w:val="-5"/>
              </w:rPr>
              <w:t>vyšší energetickou náročností tohoto oboru.</w:t>
            </w:r>
          </w:p>
        </w:tc>
      </w:tr>
      <w:tr w:rsidR="009360FA" w:rsidRPr="00A92514" w14:paraId="221498D0" w14:textId="77777777" w:rsidTr="00FD4372">
        <w:trPr>
          <w:trHeight w:val="170"/>
        </w:trPr>
        <w:tc>
          <w:tcPr>
            <w:tcW w:w="1754" w:type="dxa"/>
            <w:vMerge w:val="restart"/>
            <w:tcBorders>
              <w:top w:val="nil"/>
              <w:left w:val="nil"/>
              <w:bottom w:val="nil"/>
              <w:right w:val="nil"/>
            </w:tcBorders>
            <w:shd w:val="clear" w:color="auto" w:fill="auto"/>
            <w:tcMar>
              <w:left w:w="0" w:type="dxa"/>
            </w:tcMar>
          </w:tcPr>
          <w:p w14:paraId="4B964DDB"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6035B0D6"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06CDD943" w14:textId="77777777" w:rsidR="009360FA" w:rsidRPr="00A92514" w:rsidRDefault="009360FA" w:rsidP="00FD4372">
            <w:pPr>
              <w:spacing w:after="0"/>
              <w:rPr>
                <w:spacing w:val="-4"/>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9360FA" w:rsidRPr="0067514E" w14:paraId="27158FD9" w14:textId="77777777" w:rsidTr="00FD4372">
        <w:tblPrEx>
          <w:tblCellMar>
            <w:left w:w="70" w:type="dxa"/>
            <w:right w:w="70" w:type="dxa"/>
          </w:tblCellMar>
        </w:tblPrEx>
        <w:trPr>
          <w:trHeight w:val="170"/>
        </w:trPr>
        <w:tc>
          <w:tcPr>
            <w:tcW w:w="1754" w:type="dxa"/>
            <w:vMerge/>
            <w:tcBorders>
              <w:top w:val="nil"/>
              <w:left w:val="nil"/>
              <w:bottom w:val="nil"/>
              <w:right w:val="nil"/>
            </w:tcBorders>
            <w:shd w:val="clear" w:color="auto" w:fill="auto"/>
          </w:tcPr>
          <w:p w14:paraId="0B372341"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5D50373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696371E7" w14:textId="77777777" w:rsidR="009360FA" w:rsidRPr="0067514E" w:rsidRDefault="009360FA" w:rsidP="00FD4372">
            <w:pPr>
              <w:spacing w:after="0"/>
              <w:rPr>
                <w:spacing w:val="-6"/>
              </w:rPr>
            </w:pPr>
            <w:r>
              <w:rPr>
                <w:noProof/>
              </w:rPr>
              <w:drawing>
                <wp:inline distT="0" distB="0" distL="0" distR="0" wp14:anchorId="59DE1EB8" wp14:editId="394D6F62">
                  <wp:extent cx="4600332" cy="34200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9360FA" w:rsidRPr="00E52D45" w14:paraId="2F8C4D31" w14:textId="77777777" w:rsidTr="00FD4372">
        <w:trPr>
          <w:trHeight w:val="170"/>
        </w:trPr>
        <w:tc>
          <w:tcPr>
            <w:tcW w:w="1754" w:type="dxa"/>
            <w:vMerge/>
            <w:tcBorders>
              <w:top w:val="nil"/>
              <w:left w:val="nil"/>
              <w:bottom w:val="nil"/>
              <w:right w:val="nil"/>
            </w:tcBorders>
            <w:shd w:val="clear" w:color="auto" w:fill="auto"/>
            <w:tcMar>
              <w:left w:w="0" w:type="dxa"/>
            </w:tcMar>
          </w:tcPr>
          <w:p w14:paraId="013C4503"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00303B0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554C166" w14:textId="77777777" w:rsidR="009360FA" w:rsidRPr="00E52D45" w:rsidRDefault="009360FA" w:rsidP="00FD4372">
            <w:pPr>
              <w:tabs>
                <w:tab w:val="right" w:pos="7683"/>
              </w:tabs>
              <w:spacing w:after="200"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p>
        </w:tc>
      </w:tr>
      <w:tr w:rsidR="009360FA" w:rsidRPr="00823342" w14:paraId="29A4D136" w14:textId="77777777" w:rsidTr="00FD4372">
        <w:trPr>
          <w:trHeight w:val="170"/>
        </w:trPr>
        <w:tc>
          <w:tcPr>
            <w:tcW w:w="1754" w:type="dxa"/>
            <w:tcBorders>
              <w:top w:val="nil"/>
              <w:left w:val="nil"/>
              <w:bottom w:val="nil"/>
              <w:right w:val="nil"/>
            </w:tcBorders>
            <w:shd w:val="clear" w:color="auto" w:fill="auto"/>
            <w:tcMar>
              <w:left w:w="0" w:type="dxa"/>
            </w:tcMar>
          </w:tcPr>
          <w:p w14:paraId="347A2ACA" w14:textId="77777777" w:rsidR="009360FA" w:rsidRDefault="009360FA" w:rsidP="00FD4372">
            <w:pPr>
              <w:pStyle w:val="Marginlie"/>
              <w:rPr>
                <w:color w:val="0D0D0D" w:themeColor="text1" w:themeTint="F2"/>
              </w:rPr>
            </w:pPr>
            <w:r>
              <w:rPr>
                <w:color w:val="0D0D0D" w:themeColor="text1" w:themeTint="F2"/>
              </w:rPr>
              <w:t>Průmyslovým podnikům rostly meziročně domácí tržby více než tržby z přímého vývozu. V řadě oborů tržby svižně rostly, navzdory poklesu reálné poptávky.</w:t>
            </w:r>
          </w:p>
        </w:tc>
        <w:tc>
          <w:tcPr>
            <w:tcW w:w="185" w:type="dxa"/>
            <w:tcBorders>
              <w:top w:val="nil"/>
              <w:left w:val="nil"/>
              <w:bottom w:val="nil"/>
              <w:right w:val="nil"/>
            </w:tcBorders>
            <w:shd w:val="clear" w:color="auto" w:fill="auto"/>
            <w:tcMar>
              <w:left w:w="0" w:type="dxa"/>
            </w:tcMar>
          </w:tcPr>
          <w:p w14:paraId="4DC866FE" w14:textId="77777777" w:rsidR="009360FA" w:rsidRPr="00B51DC6"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1C23EF6C" w14:textId="77777777" w:rsidR="009360FA" w:rsidRPr="00823342" w:rsidRDefault="009360FA" w:rsidP="00FD4372">
            <w:pPr>
              <w:spacing w:after="200"/>
              <w:rPr>
                <w:color w:val="0D0D0D" w:themeColor="text1" w:themeTint="F2"/>
                <w:spacing w:val="-4"/>
              </w:rPr>
            </w:pPr>
            <w:r w:rsidRPr="003D0325">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6"/>
            </w:r>
            <w:r>
              <w:rPr>
                <w:rFonts w:cs="Arial"/>
                <w:bCs/>
                <w:color w:val="0D0D0D" w:themeColor="text1" w:themeTint="F2"/>
                <w:spacing w:val="-5"/>
                <w:szCs w:val="20"/>
              </w:rPr>
              <w:t xml:space="preserve"> se v 1. čtvrtletí 2023 zvýšily meziročně o rovných 11 %. Růstové tempo tržeb sláblo, což lze z velké části připsat vlivu pozvolna odeznívajícího cenového růstu na straně výrobců, zejména v samotném zpracovatelském průmyslu. Tuzemské tržby posílily o 13,7 % a již sedmý kvartál v řadě tak rostly dynamičtěji než tržby z přímého vývozu. Tato diskrepance souvisí s prudkým cenovým růstem v odvětvích, jejichž produkce tradičně směřuje primárně na domácí trh (energetika, těžba a dobývání či potravinářský průmysl). Celkové tržby se zvýšily nejvíce v těžbě a uhlí (+39 %) a výrobě motorových vozidel (+32 %), naopak v hutnictví propadly o 16 %. V řadě jiných oborů postižených poklesem reálné poptávky však tržby díky přetrvávajícím cenovým vlivům svižně rostly, např. v potravinářství či výrobě nápojů, mírnější navýšení nastalo i ve výrobě stavebních materiálů či kovovýrobě.</w:t>
            </w:r>
          </w:p>
        </w:tc>
      </w:tr>
      <w:tr w:rsidR="009360FA" w:rsidRPr="00FA6878" w14:paraId="3B660BC4" w14:textId="77777777" w:rsidTr="00FD4372">
        <w:trPr>
          <w:trHeight w:val="170"/>
        </w:trPr>
        <w:tc>
          <w:tcPr>
            <w:tcW w:w="1754" w:type="dxa"/>
            <w:tcBorders>
              <w:top w:val="nil"/>
              <w:left w:val="nil"/>
              <w:bottom w:val="nil"/>
              <w:right w:val="nil"/>
            </w:tcBorders>
            <w:shd w:val="clear" w:color="auto" w:fill="auto"/>
            <w:tcMar>
              <w:left w:w="0" w:type="dxa"/>
            </w:tcMar>
          </w:tcPr>
          <w:p w14:paraId="32FAC954" w14:textId="77777777" w:rsidR="009360FA" w:rsidRDefault="009360FA" w:rsidP="00FD4372">
            <w:pPr>
              <w:pStyle w:val="Marginlie"/>
              <w:rPr>
                <w:color w:val="0D0D0D" w:themeColor="text1" w:themeTint="F2"/>
              </w:rPr>
            </w:pPr>
            <w:r>
              <w:rPr>
                <w:color w:val="0D0D0D" w:themeColor="text1" w:themeTint="F2"/>
              </w:rPr>
              <w:t xml:space="preserve">Meziroční růst hodnoty nových zakázek </w:t>
            </w:r>
            <w:r>
              <w:rPr>
                <w:color w:val="0D0D0D" w:themeColor="text1" w:themeTint="F2"/>
              </w:rPr>
              <w:br/>
              <w:t>v 1. čtvrtletí výrazně zvolnil, mezikvartálně došlo dokonce k mírnému poklesu.</w:t>
            </w:r>
          </w:p>
          <w:p w14:paraId="5A0A64A5" w14:textId="77777777" w:rsidR="009360FA" w:rsidRDefault="009360FA" w:rsidP="00FD4372">
            <w:pPr>
              <w:pStyle w:val="Marginlie"/>
              <w:rPr>
                <w:color w:val="0D0D0D" w:themeColor="text1" w:themeTint="F2"/>
              </w:rPr>
            </w:pPr>
          </w:p>
          <w:p w14:paraId="5BC3F292" w14:textId="77777777" w:rsidR="009360FA" w:rsidRDefault="009360FA" w:rsidP="00FD4372">
            <w:pPr>
              <w:pStyle w:val="Marginlie"/>
              <w:rPr>
                <w:color w:val="0D0D0D" w:themeColor="text1" w:themeTint="F2"/>
              </w:rPr>
            </w:pPr>
          </w:p>
          <w:p w14:paraId="073DA2B5" w14:textId="77777777" w:rsidR="009360FA" w:rsidRDefault="009360FA" w:rsidP="00FD4372">
            <w:pPr>
              <w:pStyle w:val="Marginlie"/>
              <w:rPr>
                <w:color w:val="0D0D0D" w:themeColor="text1" w:themeTint="F2"/>
              </w:rPr>
            </w:pPr>
          </w:p>
          <w:p w14:paraId="6297C129" w14:textId="77777777" w:rsidR="009360FA" w:rsidRPr="00B51DC6" w:rsidRDefault="009360FA" w:rsidP="00FD4372">
            <w:pPr>
              <w:pStyle w:val="Marginlie"/>
              <w:rPr>
                <w:color w:val="0D0D0D" w:themeColor="text1" w:themeTint="F2"/>
              </w:rPr>
            </w:pPr>
            <w:r>
              <w:rPr>
                <w:color w:val="0D0D0D" w:themeColor="text1" w:themeTint="F2"/>
              </w:rPr>
              <w:t>Pozitivní signály rostoucí poptávky přetrvávaly v oděvnictví a farmacii.</w:t>
            </w:r>
          </w:p>
        </w:tc>
        <w:tc>
          <w:tcPr>
            <w:tcW w:w="185" w:type="dxa"/>
            <w:tcBorders>
              <w:top w:val="nil"/>
              <w:left w:val="nil"/>
              <w:bottom w:val="nil"/>
              <w:right w:val="nil"/>
            </w:tcBorders>
            <w:shd w:val="clear" w:color="auto" w:fill="auto"/>
            <w:tcMar>
              <w:left w:w="0" w:type="dxa"/>
            </w:tcMar>
          </w:tcPr>
          <w:p w14:paraId="72DA1FB4" w14:textId="77777777" w:rsidR="009360FA" w:rsidRPr="00B51DC6"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4FF261E" w14:textId="77777777" w:rsidR="009360FA" w:rsidRPr="00FA6878" w:rsidRDefault="009360FA" w:rsidP="00FD4372">
            <w:pPr>
              <w:spacing w:after="200"/>
              <w:rPr>
                <w:color w:val="0D0D0D" w:themeColor="text1" w:themeTint="F2"/>
              </w:rPr>
            </w:pPr>
            <w:r>
              <w:rPr>
                <w:color w:val="0D0D0D" w:themeColor="text1" w:themeTint="F2"/>
                <w:spacing w:val="-5"/>
              </w:rPr>
              <w:t>R</w:t>
            </w:r>
            <w:r w:rsidRPr="00030362">
              <w:rPr>
                <w:color w:val="0D0D0D" w:themeColor="text1" w:themeTint="F2"/>
                <w:spacing w:val="-5"/>
              </w:rPr>
              <w:t xml:space="preserve">ůst </w:t>
            </w:r>
            <w:r w:rsidRPr="00485344">
              <w:rPr>
                <w:color w:val="0D0D0D" w:themeColor="text1" w:themeTint="F2"/>
                <w:spacing w:val="-5"/>
              </w:rPr>
              <w:t xml:space="preserve">nominální hodnoty </w:t>
            </w:r>
            <w:r w:rsidRPr="00D97905">
              <w:rPr>
                <w:color w:val="0D0D0D" w:themeColor="text1" w:themeTint="F2"/>
                <w:spacing w:val="-5"/>
              </w:rPr>
              <w:t xml:space="preserve">nových zakázek ve sledovaných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7"/>
            </w:r>
            <w:r>
              <w:rPr>
                <w:color w:val="0D0D0D" w:themeColor="text1" w:themeTint="F2"/>
                <w:spacing w:val="-5"/>
              </w:rPr>
              <w:t xml:space="preserve"> </w:t>
            </w:r>
            <w:r>
              <w:rPr>
                <w:color w:val="0D0D0D" w:themeColor="text1" w:themeTint="F2"/>
                <w:spacing w:val="-5"/>
              </w:rPr>
              <w:br/>
              <w:t>v 1. čtvrtletí 2023 výrazně zvolnil (na 2,1 %) a byl nejslabší za poslední dva a půl roku. Samotné zakázky ze zahraničí se dokonce snížily (o 2 %). Vývoj celkových zakázek byl zásadně ovlivněn situací v automobilovém průmyslu, bez něj by hodnota průmyslových zakázek mírně klesala. Růst zakázek výrobců aut (9,2 %) byl ovlivněn nižší základnou z počátku loňského roku, podobné platí i u objednávek ostatních dopravních prostředků. S přihlédnutím k loňské základně i růstu cen mezivstupů lze jako pozitivní signály hodnotit růst zakázek v oděvnictví a farmacii, na samotném tuzemském trhu pak ve výrobě</w:t>
            </w:r>
            <w:r w:rsidRPr="003E3E35">
              <w:rPr>
                <w:color w:val="0D0D0D" w:themeColor="text1" w:themeTint="F2"/>
                <w:spacing w:val="-5"/>
              </w:rPr>
              <w:t xml:space="preserve"> počítačů, elektronických a optických přístrojů</w:t>
            </w:r>
            <w:r>
              <w:rPr>
                <w:color w:val="0D0D0D" w:themeColor="text1" w:themeTint="F2"/>
                <w:spacing w:val="-5"/>
              </w:rPr>
              <w:t xml:space="preserve">, ve strojírenství a výrobě dopravních prostředků. Méně optimismu přináší srovnání se </w:t>
            </w:r>
            <w:r w:rsidRPr="004B586B">
              <w:rPr>
                <w:color w:val="0D0D0D" w:themeColor="text1" w:themeTint="F2"/>
              </w:rPr>
              <w:t>4.</w:t>
            </w:r>
            <w:r w:rsidRPr="004B586B">
              <w:rPr>
                <w:rFonts w:cs="Arial"/>
                <w:bCs/>
                <w:color w:val="0D0D0D" w:themeColor="text1" w:themeTint="F2"/>
                <w:szCs w:val="20"/>
              </w:rPr>
              <w:t> </w:t>
            </w:r>
            <w:r w:rsidRPr="004B586B">
              <w:rPr>
                <w:color w:val="0D0D0D" w:themeColor="text1" w:themeTint="F2"/>
              </w:rPr>
              <w:t>čtvrtletím 2022</w:t>
            </w:r>
            <w:r w:rsidRPr="004B586B">
              <w:rPr>
                <w:rStyle w:val="Znakapoznpodarou"/>
                <w:color w:val="0D0D0D" w:themeColor="text1" w:themeTint="F2"/>
              </w:rPr>
              <w:footnoteReference w:id="8"/>
            </w:r>
            <w:r w:rsidRPr="004B586B">
              <w:rPr>
                <w:color w:val="0D0D0D" w:themeColor="text1" w:themeTint="F2"/>
              </w:rPr>
              <w:t xml:space="preserve">, naznačující </w:t>
            </w:r>
            <w:r>
              <w:rPr>
                <w:color w:val="0D0D0D" w:themeColor="text1" w:themeTint="F2"/>
              </w:rPr>
              <w:t xml:space="preserve">mírný </w:t>
            </w:r>
            <w:r w:rsidRPr="004B586B">
              <w:rPr>
                <w:color w:val="0D0D0D" w:themeColor="text1" w:themeTint="F2"/>
              </w:rPr>
              <w:t>pokles no</w:t>
            </w:r>
            <w:r>
              <w:rPr>
                <w:color w:val="0D0D0D" w:themeColor="text1" w:themeTint="F2"/>
              </w:rPr>
              <w:t xml:space="preserve">vých </w:t>
            </w:r>
            <w:r>
              <w:rPr>
                <w:color w:val="0D0D0D" w:themeColor="text1" w:themeTint="F2"/>
              </w:rPr>
              <w:lastRenderedPageBreak/>
              <w:t>zakázek ze zahraničí (−4,7 %) i</w:t>
            </w:r>
            <w:r>
              <w:rPr>
                <w:rFonts w:cs="Arial"/>
                <w:bCs/>
                <w:color w:val="0D0D0D" w:themeColor="text1" w:themeTint="F2"/>
                <w:spacing w:val="-5"/>
                <w:szCs w:val="20"/>
              </w:rPr>
              <w:t> </w:t>
            </w:r>
            <w:r>
              <w:rPr>
                <w:color w:val="0D0D0D" w:themeColor="text1" w:themeTint="F2"/>
              </w:rPr>
              <w:t>tuzemska (−1</w:t>
            </w:r>
            <w:r w:rsidRPr="004B586B">
              <w:rPr>
                <w:color w:val="0D0D0D" w:themeColor="text1" w:themeTint="F2"/>
              </w:rPr>
              <w:t>,</w:t>
            </w:r>
            <w:r>
              <w:rPr>
                <w:rFonts w:cs="Arial"/>
                <w:bCs/>
                <w:color w:val="0D0D0D" w:themeColor="text1" w:themeTint="F2"/>
                <w:szCs w:val="20"/>
              </w:rPr>
              <w:t>5</w:t>
            </w:r>
            <w:r w:rsidRPr="004B586B">
              <w:rPr>
                <w:rFonts w:cs="Arial"/>
                <w:bCs/>
                <w:color w:val="0D0D0D" w:themeColor="text1" w:themeTint="F2"/>
                <w:szCs w:val="20"/>
              </w:rPr>
              <w:t> </w:t>
            </w:r>
            <w:r>
              <w:rPr>
                <w:color w:val="0D0D0D" w:themeColor="text1" w:themeTint="F2"/>
              </w:rPr>
              <w:t>%), stejně jako</w:t>
            </w:r>
            <w:r w:rsidRPr="004B586B">
              <w:rPr>
                <w:color w:val="0D0D0D" w:themeColor="text1" w:themeTint="F2"/>
              </w:rPr>
              <w:t xml:space="preserve"> v klíčové výrobě motorových vozidel</w:t>
            </w:r>
            <w:r>
              <w:rPr>
                <w:color w:val="0D0D0D" w:themeColor="text1" w:themeTint="F2"/>
              </w:rPr>
              <w:t xml:space="preserve"> (−4,7 %)</w:t>
            </w:r>
            <w:r w:rsidRPr="004B586B">
              <w:rPr>
                <w:color w:val="0D0D0D" w:themeColor="text1" w:themeTint="F2"/>
              </w:rPr>
              <w:t>.</w:t>
            </w:r>
          </w:p>
        </w:tc>
      </w:tr>
      <w:tr w:rsidR="009360FA" w:rsidRPr="00705C3E" w14:paraId="54411D29" w14:textId="77777777" w:rsidTr="00FD4372">
        <w:trPr>
          <w:trHeight w:val="134"/>
        </w:trPr>
        <w:tc>
          <w:tcPr>
            <w:tcW w:w="1754" w:type="dxa"/>
            <w:vMerge w:val="restart"/>
            <w:tcBorders>
              <w:top w:val="nil"/>
              <w:left w:val="nil"/>
              <w:bottom w:val="nil"/>
              <w:right w:val="nil"/>
            </w:tcBorders>
            <w:shd w:val="clear" w:color="auto" w:fill="auto"/>
            <w:tcMar>
              <w:left w:w="0" w:type="dxa"/>
            </w:tcMar>
          </w:tcPr>
          <w:p w14:paraId="54DE20E3"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68A097A1"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73E5DC4B" w14:textId="77777777" w:rsidR="009360FA" w:rsidRPr="00705C3E" w:rsidRDefault="009360FA" w:rsidP="00FD4372">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9360FA" w:rsidRPr="00705C3E" w14:paraId="1556C246" w14:textId="77777777" w:rsidTr="00FD4372">
        <w:tblPrEx>
          <w:tblCellMar>
            <w:left w:w="70" w:type="dxa"/>
            <w:right w:w="70" w:type="dxa"/>
          </w:tblCellMar>
        </w:tblPrEx>
        <w:trPr>
          <w:trHeight w:val="133"/>
        </w:trPr>
        <w:tc>
          <w:tcPr>
            <w:tcW w:w="1754" w:type="dxa"/>
            <w:vMerge/>
            <w:tcBorders>
              <w:top w:val="nil"/>
              <w:left w:val="nil"/>
              <w:bottom w:val="nil"/>
              <w:right w:val="nil"/>
            </w:tcBorders>
            <w:shd w:val="clear" w:color="auto" w:fill="auto"/>
          </w:tcPr>
          <w:p w14:paraId="610887BB"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1F4C08F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4300EB7C" w14:textId="77777777" w:rsidR="009360FA" w:rsidRPr="00705C3E" w:rsidRDefault="009360FA" w:rsidP="00FD4372">
            <w:pPr>
              <w:spacing w:after="0"/>
              <w:rPr>
                <w:color w:val="0D0D0D" w:themeColor="text1" w:themeTint="F2"/>
                <w:spacing w:val="-5"/>
              </w:rPr>
            </w:pPr>
            <w:r>
              <w:rPr>
                <w:noProof/>
              </w:rPr>
              <w:drawing>
                <wp:inline distT="0" distB="0" distL="0" distR="0" wp14:anchorId="6AB6C3B6" wp14:editId="007F1768">
                  <wp:extent cx="4665980" cy="3456000"/>
                  <wp:effectExtent l="0" t="0" r="127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9360FA" w:rsidRPr="00705C3E" w14:paraId="6B8653E6" w14:textId="77777777" w:rsidTr="00FD4372">
        <w:trPr>
          <w:trHeight w:val="133"/>
        </w:trPr>
        <w:tc>
          <w:tcPr>
            <w:tcW w:w="1754" w:type="dxa"/>
            <w:vMerge/>
            <w:tcBorders>
              <w:top w:val="nil"/>
              <w:left w:val="nil"/>
              <w:bottom w:val="nil"/>
              <w:right w:val="nil"/>
            </w:tcBorders>
            <w:shd w:val="clear" w:color="auto" w:fill="auto"/>
            <w:tcMar>
              <w:left w:w="0" w:type="dxa"/>
            </w:tcMar>
          </w:tcPr>
          <w:p w14:paraId="3C67C32F"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73B7AE0C"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689D099A" w14:textId="77777777" w:rsidR="009360FA" w:rsidRPr="00705C3E" w:rsidRDefault="009360FA" w:rsidP="00FD4372">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Eurostat</w:t>
            </w:r>
          </w:p>
        </w:tc>
      </w:tr>
      <w:tr w:rsidR="009360FA" w:rsidRPr="005A37A7" w14:paraId="041219BD" w14:textId="77777777" w:rsidTr="00FD4372">
        <w:trPr>
          <w:trHeight w:val="170"/>
        </w:trPr>
        <w:tc>
          <w:tcPr>
            <w:tcW w:w="1754" w:type="dxa"/>
            <w:tcBorders>
              <w:top w:val="nil"/>
              <w:left w:val="nil"/>
              <w:bottom w:val="nil"/>
              <w:right w:val="nil"/>
            </w:tcBorders>
            <w:shd w:val="clear" w:color="auto" w:fill="auto"/>
            <w:tcMar>
              <w:left w:w="0" w:type="dxa"/>
            </w:tcMar>
          </w:tcPr>
          <w:p w14:paraId="1B4DA188" w14:textId="77777777" w:rsidR="009360FA" w:rsidRDefault="009360FA" w:rsidP="00FD4372">
            <w:pPr>
              <w:pStyle w:val="Marginlie"/>
              <w:rPr>
                <w:color w:val="0D0D0D" w:themeColor="text1" w:themeTint="F2"/>
                <w:spacing w:val="-4"/>
              </w:rPr>
            </w:pPr>
            <w:r>
              <w:rPr>
                <w:color w:val="0D0D0D" w:themeColor="text1" w:themeTint="F2"/>
                <w:spacing w:val="-4"/>
              </w:rPr>
              <w:t>Na počátku roku stále klesala důvěra podnikatelů v průmyslu, během jara kolísala.</w:t>
            </w:r>
            <w:r>
              <w:rPr>
                <w:spacing w:val="-4"/>
              </w:rPr>
              <w:t xml:space="preserve"> Klíčovou růstovou bariérou je nedostatečná poptávka.</w:t>
            </w:r>
          </w:p>
          <w:p w14:paraId="0C3AA55E" w14:textId="77777777" w:rsidR="009360FA" w:rsidRPr="004B53F7" w:rsidRDefault="009360FA" w:rsidP="00FD4372">
            <w:pPr>
              <w:pStyle w:val="Marginlie"/>
              <w:rPr>
                <w:color w:val="0D0D0D" w:themeColor="text1" w:themeTint="F2"/>
                <w:spacing w:val="-4"/>
              </w:rPr>
            </w:pPr>
          </w:p>
        </w:tc>
        <w:tc>
          <w:tcPr>
            <w:tcW w:w="185" w:type="dxa"/>
            <w:tcBorders>
              <w:top w:val="nil"/>
              <w:left w:val="nil"/>
              <w:bottom w:val="nil"/>
              <w:right w:val="nil"/>
            </w:tcBorders>
            <w:shd w:val="clear" w:color="auto" w:fill="auto"/>
            <w:tcMar>
              <w:left w:w="0" w:type="dxa"/>
            </w:tcMar>
          </w:tcPr>
          <w:p w14:paraId="40E6BB26" w14:textId="77777777" w:rsidR="009360FA" w:rsidRPr="004B53F7"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6EA67CE4" w14:textId="77777777" w:rsidR="009360FA" w:rsidRPr="005A37A7" w:rsidRDefault="009360FA" w:rsidP="00FD4372">
            <w:pPr>
              <w:spacing w:after="200"/>
              <w:rPr>
                <w:color w:val="0D0D0D" w:themeColor="text1" w:themeTint="F2"/>
                <w:spacing w:val="-3"/>
              </w:rPr>
            </w:pPr>
            <w:r w:rsidRPr="005A37A7">
              <w:rPr>
                <w:color w:val="0D0D0D" w:themeColor="text1" w:themeTint="F2"/>
                <w:spacing w:val="-3"/>
              </w:rPr>
              <w:t xml:space="preserve">Důvěra podnikatelů v průmyslu se ve druhé polovině loňského roku v souvislosti se sílícími dopady „energetického šoku“ zhoršovala a letos v únoru tak zde zavládl největší pesimismus od června 2020. Během jara následně nálada v odvětví kolísala bez výraznějšího náznaku pozitivního obratu. Letos </w:t>
            </w:r>
            <w:r>
              <w:rPr>
                <w:color w:val="0D0D0D" w:themeColor="text1" w:themeTint="F2"/>
                <w:spacing w:val="-3"/>
              </w:rPr>
              <w:t xml:space="preserve">v </w:t>
            </w:r>
            <w:r w:rsidRPr="005A37A7">
              <w:rPr>
                <w:color w:val="0D0D0D" w:themeColor="text1" w:themeTint="F2"/>
                <w:spacing w:val="-3"/>
              </w:rPr>
              <w:t>květnu převládal v průmyslu mírný pesimismus ohledně současné poptávky, kterou již více než 40 % podniků</w:t>
            </w:r>
            <w:r w:rsidRPr="005A37A7">
              <w:rPr>
                <w:rStyle w:val="Znakapoznpodarou"/>
                <w:color w:val="0D0D0D" w:themeColor="text1" w:themeTint="F2"/>
                <w:spacing w:val="-3"/>
              </w:rPr>
              <w:footnoteReference w:id="9"/>
            </w:r>
            <w:r w:rsidRPr="005A37A7">
              <w:rPr>
                <w:color w:val="0D0D0D" w:themeColor="text1" w:themeTint="F2"/>
                <w:spacing w:val="-3"/>
              </w:rPr>
              <w:t xml:space="preserve"> vnímá jako významnou růstovou bariéru. </w:t>
            </w:r>
            <w:r w:rsidRPr="005A37A7">
              <w:rPr>
                <w:spacing w:val="-3"/>
              </w:rPr>
              <w:t>Využití výrobních kapacit ve zpracovatelském průmyslu zůstává stále lehce pod průměrem z konjunkturního období (2015</w:t>
            </w:r>
            <w:r>
              <w:rPr>
                <w:spacing w:val="-3"/>
              </w:rPr>
              <w:t>–</w:t>
            </w:r>
            <w:r w:rsidRPr="005A37A7">
              <w:rPr>
                <w:spacing w:val="-3"/>
              </w:rPr>
              <w:t xml:space="preserve">2019). </w:t>
            </w:r>
            <w:r w:rsidRPr="005A37A7">
              <w:rPr>
                <w:color w:val="0D0D0D" w:themeColor="text1" w:themeTint="F2"/>
                <w:spacing w:val="-3"/>
              </w:rPr>
              <w:t>Váznoucí odbyt se projevuje ve vyšším stavu zásob. Přibývající počet firem očekávajících v krátkodobém pohledu pokles výroby (až na 15 %) doprovázely negativní výhledy u zaměstnanosti</w:t>
            </w:r>
            <w:r w:rsidRPr="005A37A7">
              <w:rPr>
                <w:rStyle w:val="Znakapoznpodarou"/>
                <w:color w:val="0D0D0D" w:themeColor="text1" w:themeTint="F2"/>
                <w:spacing w:val="-3"/>
              </w:rPr>
              <w:footnoteReference w:id="10"/>
            </w:r>
            <w:r w:rsidRPr="005A37A7">
              <w:rPr>
                <w:color w:val="0D0D0D" w:themeColor="text1" w:themeTint="F2"/>
                <w:spacing w:val="-3"/>
              </w:rPr>
              <w:t xml:space="preserve">. Podniky však stále hodnotily </w:t>
            </w:r>
            <w:r>
              <w:rPr>
                <w:color w:val="0D0D0D" w:themeColor="text1" w:themeTint="F2"/>
                <w:spacing w:val="-3"/>
              </w:rPr>
              <w:t xml:space="preserve">mírně pozitivně </w:t>
            </w:r>
            <w:r w:rsidRPr="005A37A7">
              <w:rPr>
                <w:color w:val="0D0D0D" w:themeColor="text1" w:themeTint="F2"/>
                <w:spacing w:val="-3"/>
              </w:rPr>
              <w:t>svou očekávanou celkovou ekonomickou situaci v půlročním výhledu</w:t>
            </w:r>
            <w:r>
              <w:rPr>
                <w:color w:val="0D0D0D" w:themeColor="text1" w:themeTint="F2"/>
                <w:spacing w:val="-3"/>
              </w:rPr>
              <w:t>.</w:t>
            </w:r>
            <w:r w:rsidRPr="005A37A7">
              <w:rPr>
                <w:color w:val="0D0D0D" w:themeColor="text1" w:themeTint="F2"/>
                <w:spacing w:val="-3"/>
              </w:rPr>
              <w:t xml:space="preserve"> Očekávání růstu cen vlastní produkce od počátku letošního roku znatelně slábla, což odpovídalo skutečnosti, neboť v řadě průmyslových oborů již z velké části odezněl</w:t>
            </w:r>
            <w:r>
              <w:rPr>
                <w:color w:val="0D0D0D" w:themeColor="text1" w:themeTint="F2"/>
                <w:spacing w:val="-3"/>
              </w:rPr>
              <w:t xml:space="preserve"> nákladový šok</w:t>
            </w:r>
            <w:r w:rsidRPr="005A37A7">
              <w:rPr>
                <w:color w:val="0D0D0D" w:themeColor="text1" w:themeTint="F2"/>
                <w:spacing w:val="-3"/>
              </w:rPr>
              <w:t>.</w:t>
            </w:r>
          </w:p>
        </w:tc>
      </w:tr>
      <w:tr w:rsidR="009360FA" w:rsidRPr="00784EC8" w14:paraId="2252A5B3" w14:textId="77777777" w:rsidTr="00FD4372">
        <w:trPr>
          <w:trHeight w:val="170"/>
        </w:trPr>
        <w:tc>
          <w:tcPr>
            <w:tcW w:w="1754" w:type="dxa"/>
            <w:tcBorders>
              <w:top w:val="nil"/>
              <w:left w:val="nil"/>
              <w:bottom w:val="nil"/>
              <w:right w:val="nil"/>
            </w:tcBorders>
            <w:shd w:val="clear" w:color="auto" w:fill="auto"/>
            <w:tcMar>
              <w:left w:w="0" w:type="dxa"/>
            </w:tcMar>
          </w:tcPr>
          <w:p w14:paraId="45721225" w14:textId="77777777" w:rsidR="009360FA" w:rsidRDefault="009360FA" w:rsidP="00FD4372">
            <w:pPr>
              <w:pStyle w:val="Marginlie"/>
              <w:rPr>
                <w:color w:val="0D0D0D" w:themeColor="text1" w:themeTint="F2"/>
                <w:spacing w:val="-4"/>
              </w:rPr>
            </w:pPr>
            <w:r>
              <w:rPr>
                <w:color w:val="0D0D0D" w:themeColor="text1" w:themeTint="F2"/>
                <w:spacing w:val="-4"/>
              </w:rPr>
              <w:t>Stavebnictví bylo stále zasaženo dopady silného růstu nákladů, citelně se projevovalo ochlazení trhu s novými rezidenčními nemovitostmi.</w:t>
            </w:r>
          </w:p>
          <w:p w14:paraId="442EEEE8" w14:textId="77777777" w:rsidR="009360FA" w:rsidRDefault="009360FA" w:rsidP="00FD4372">
            <w:pPr>
              <w:pStyle w:val="Marginlie"/>
              <w:rPr>
                <w:color w:val="0D0D0D" w:themeColor="text1" w:themeTint="F2"/>
                <w:spacing w:val="-4"/>
              </w:rPr>
            </w:pPr>
          </w:p>
          <w:p w14:paraId="57900F79" w14:textId="77777777" w:rsidR="009360FA" w:rsidRDefault="009360FA" w:rsidP="00FD4372">
            <w:pPr>
              <w:pStyle w:val="Marginlie"/>
              <w:rPr>
                <w:color w:val="0D0D0D" w:themeColor="text1" w:themeTint="F2"/>
                <w:spacing w:val="-4"/>
              </w:rPr>
            </w:pPr>
          </w:p>
          <w:p w14:paraId="4CAE82F4" w14:textId="77777777" w:rsidR="009360FA" w:rsidRDefault="009360FA" w:rsidP="00FD4372">
            <w:pPr>
              <w:pStyle w:val="Marginlie"/>
              <w:rPr>
                <w:color w:val="0D0D0D" w:themeColor="text1" w:themeTint="F2"/>
                <w:spacing w:val="-4"/>
              </w:rPr>
            </w:pPr>
          </w:p>
          <w:p w14:paraId="5DE296FE" w14:textId="77777777" w:rsidR="009360FA" w:rsidRPr="00784EC8" w:rsidRDefault="009360FA" w:rsidP="00FD4372">
            <w:pPr>
              <w:pStyle w:val="Marginlie"/>
              <w:rPr>
                <w:color w:val="0D0D0D" w:themeColor="text1" w:themeTint="F2"/>
                <w:spacing w:val="-4"/>
              </w:rPr>
            </w:pPr>
          </w:p>
          <w:p w14:paraId="58C76BA2" w14:textId="77777777" w:rsidR="009360FA" w:rsidRPr="00784EC8" w:rsidRDefault="009360FA" w:rsidP="00FD4372">
            <w:pPr>
              <w:pStyle w:val="Marginlie"/>
              <w:rPr>
                <w:color w:val="0D0D0D" w:themeColor="text1" w:themeTint="F2"/>
                <w:spacing w:val="-4"/>
              </w:rPr>
            </w:pPr>
            <w:r>
              <w:rPr>
                <w:color w:val="0D0D0D" w:themeColor="text1" w:themeTint="F2"/>
                <w:spacing w:val="-4"/>
              </w:rPr>
              <w:t>I přes výše uvedené faktory se stavební produkce podruhé v řadě mezikvartálně mírně zvýšila.</w:t>
            </w:r>
          </w:p>
        </w:tc>
        <w:tc>
          <w:tcPr>
            <w:tcW w:w="185" w:type="dxa"/>
            <w:tcBorders>
              <w:top w:val="nil"/>
              <w:left w:val="nil"/>
              <w:bottom w:val="nil"/>
              <w:right w:val="nil"/>
            </w:tcBorders>
            <w:shd w:val="clear" w:color="auto" w:fill="auto"/>
            <w:tcMar>
              <w:left w:w="0" w:type="dxa"/>
            </w:tcMar>
          </w:tcPr>
          <w:p w14:paraId="75790C20" w14:textId="77777777" w:rsidR="009360FA" w:rsidRPr="00784EC8"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3FD32581" w14:textId="77777777" w:rsidR="009360FA" w:rsidRPr="00784EC8" w:rsidRDefault="009360FA" w:rsidP="00FD4372">
            <w:pPr>
              <w:spacing w:after="200"/>
              <w:rPr>
                <w:color w:val="0D0D0D" w:themeColor="text1" w:themeTint="F2"/>
                <w:spacing w:val="-6"/>
              </w:rPr>
            </w:pPr>
            <w:r>
              <w:rPr>
                <w:color w:val="0D0D0D" w:themeColor="text1" w:themeTint="F2"/>
                <w:spacing w:val="-6"/>
              </w:rPr>
              <w:t xml:space="preserve">Stavebnictví se i na počátku letošního roku vypořádávalo s nákladovými tlaky. Přestože meziroční růst cen stavebních materiálů slábl, znatelnějšímu poklesu cen stavební výroby bránily sílící pracovní náklady (umocněné chronickým nedostatkem kvalifikované pracovní síly). Rostoucí náklady promítnuté do stavební produkce nacházely stále menší odezvu na poptávkové straně, zejména u rezidenčních nemovitostí (k čemuž významně přispěly vyšší úrokové sazby). K </w:t>
            </w:r>
            <w:r w:rsidRPr="00B63E5E">
              <w:rPr>
                <w:color w:val="0D0D0D" w:themeColor="text1" w:themeTint="F2"/>
                <w:spacing w:val="-6"/>
              </w:rPr>
              <w:t xml:space="preserve">revizi </w:t>
            </w:r>
            <w:r>
              <w:rPr>
                <w:color w:val="0D0D0D" w:themeColor="text1" w:themeTint="F2"/>
                <w:spacing w:val="-6"/>
              </w:rPr>
              <w:t xml:space="preserve">či odkladu </w:t>
            </w:r>
            <w:r w:rsidRPr="00B63E5E">
              <w:rPr>
                <w:color w:val="0D0D0D" w:themeColor="text1" w:themeTint="F2"/>
                <w:spacing w:val="-6"/>
              </w:rPr>
              <w:t>plánovaných investičních akcí</w:t>
            </w:r>
            <w:r>
              <w:rPr>
                <w:color w:val="0D0D0D" w:themeColor="text1" w:themeTint="F2"/>
                <w:spacing w:val="-6"/>
              </w:rPr>
              <w:t xml:space="preserve"> docházelo patrně rovněž u</w:t>
            </w:r>
            <w:r w:rsidRPr="005A37A7">
              <w:rPr>
                <w:spacing w:val="-3"/>
              </w:rPr>
              <w:t> </w:t>
            </w:r>
            <w:r>
              <w:rPr>
                <w:color w:val="0D0D0D" w:themeColor="text1" w:themeTint="F2"/>
                <w:spacing w:val="-6"/>
              </w:rPr>
              <w:t xml:space="preserve">veřejných investorů, především zřejmě u projektů nekrytých prostředky z rozpočtu EU. </w:t>
            </w:r>
            <w:r>
              <w:rPr>
                <w:color w:val="0D0D0D" w:themeColor="text1" w:themeTint="F2"/>
                <w:spacing w:val="-6"/>
              </w:rPr>
              <w:lastRenderedPageBreak/>
              <w:t>Celková stavební produkce</w:t>
            </w:r>
            <w:r w:rsidRPr="00B63E5E">
              <w:rPr>
                <w:rStyle w:val="Znakapoznpodarou"/>
                <w:color w:val="0D0D0D" w:themeColor="text1" w:themeTint="F2"/>
                <w:spacing w:val="-6"/>
              </w:rPr>
              <w:footnoteReference w:id="11"/>
            </w:r>
            <w:r>
              <w:rPr>
                <w:color w:val="0D0D0D" w:themeColor="text1" w:themeTint="F2"/>
                <w:spacing w:val="-6"/>
              </w:rPr>
              <w:t xml:space="preserve"> na počátku roku 2023 pokračovala v mírném mezikvartálním růstu (zhruba o 2 % se zvýšila podruhé v řadě). Meziročně však výkon stavebnictví mírně poklesl (o 1,2 %) a dosáhl nejslabšího tempa od 1. čtvrtletí 2021. Projevil se zde efekt vyšší loňské základny – speciálně v inženýrském stavitelství (kde se letos produkce o více než desetinu propadla). Výkon ve váhově dominantním segmentu – pozemním stavitelství – oproti tomu meziročně stoupl o 1,6 %. Bytová výstavba však růst produkce tohoto segmentu brzdila. Počet zahájených bytů v ČR v 1. čtvrtletí oproti rekordní výstavbě z počátku loňského roku poklesl o 12,2 %, a to téměř výhradně vlivem propadu v oblasti zahajovaných bytů v rodinných domech (RD), rostla naopak poptávka po nástavbách k bytovým domům. Počet bytů v RD byl v rámci 1. čtvrtletí nejnižší za posledních šest let (3,7 tis.). V oblasti finalizace bytů se zatím útlum realitního trhu projevil jen zčásti, počet dokončených bytů se však i zde významně snížil (o 10,4 %), o což se podobnou měrou „zasloužily“ byty v rodinných i bytových domech. </w:t>
            </w:r>
          </w:p>
        </w:tc>
      </w:tr>
      <w:tr w:rsidR="009360FA" w:rsidRPr="00B63E5E" w14:paraId="26CD6A2C" w14:textId="77777777" w:rsidTr="00FD4372">
        <w:trPr>
          <w:trHeight w:val="170"/>
        </w:trPr>
        <w:tc>
          <w:tcPr>
            <w:tcW w:w="1754" w:type="dxa"/>
            <w:tcBorders>
              <w:top w:val="nil"/>
              <w:left w:val="nil"/>
              <w:bottom w:val="nil"/>
              <w:right w:val="nil"/>
            </w:tcBorders>
            <w:shd w:val="clear" w:color="auto" w:fill="auto"/>
            <w:tcMar>
              <w:left w:w="0" w:type="dxa"/>
            </w:tcMar>
          </w:tcPr>
          <w:p w14:paraId="57AB83B7" w14:textId="77777777" w:rsidR="009360FA" w:rsidRPr="00FB2830" w:rsidRDefault="009360FA" w:rsidP="00FD4372">
            <w:pPr>
              <w:pStyle w:val="Marginlie"/>
              <w:rPr>
                <w:color w:val="0D0D0D" w:themeColor="text1" w:themeTint="F2"/>
                <w:spacing w:val="-4"/>
              </w:rPr>
            </w:pPr>
            <w:r>
              <w:rPr>
                <w:color w:val="0D0D0D" w:themeColor="text1" w:themeTint="F2"/>
                <w:spacing w:val="-4"/>
              </w:rPr>
              <w:lastRenderedPageBreak/>
              <w:t>Hodnota nových stavebních zakázek po loňském svižném růstu na počátku letošního roku propadla. V celkové zásobě práce byl patrný pokles soukromé poptávky.</w:t>
            </w:r>
          </w:p>
        </w:tc>
        <w:tc>
          <w:tcPr>
            <w:tcW w:w="185" w:type="dxa"/>
            <w:tcBorders>
              <w:top w:val="nil"/>
              <w:left w:val="nil"/>
              <w:bottom w:val="nil"/>
              <w:right w:val="nil"/>
            </w:tcBorders>
            <w:shd w:val="clear" w:color="auto" w:fill="auto"/>
            <w:tcMar>
              <w:left w:w="0" w:type="dxa"/>
            </w:tcMar>
          </w:tcPr>
          <w:p w14:paraId="69E8EC74" w14:textId="77777777" w:rsidR="009360FA" w:rsidRPr="00FB2830"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27C40A57" w14:textId="77777777" w:rsidR="009360FA" w:rsidRPr="00B63E5E" w:rsidRDefault="009360FA" w:rsidP="00FD4372">
            <w:pPr>
              <w:spacing w:after="200"/>
              <w:rPr>
                <w:color w:val="0D0D0D" w:themeColor="text1" w:themeTint="F2"/>
                <w:spacing w:val="-6"/>
              </w:rPr>
            </w:pPr>
            <w:r w:rsidRPr="009B0AD6">
              <w:rPr>
                <w:rFonts w:cs="Arial"/>
                <w:color w:val="0D0D0D" w:themeColor="text1" w:themeTint="F2"/>
                <w:spacing w:val="-6"/>
              </w:rPr>
              <w:t xml:space="preserve">Hodnota nových stavebních zakázek v tuzemsku </w:t>
            </w:r>
            <w:r w:rsidRPr="001E7777">
              <w:rPr>
                <w:rFonts w:cs="Arial"/>
                <w:color w:val="0D0D0D" w:themeColor="text1" w:themeTint="F2"/>
                <w:spacing w:val="-6"/>
              </w:rPr>
              <w:t>(v podnicích s více než 50 zaměstnanci)</w:t>
            </w:r>
            <w:r>
              <w:rPr>
                <w:rFonts w:cs="Arial"/>
                <w:color w:val="0D0D0D" w:themeColor="text1" w:themeTint="F2"/>
                <w:spacing w:val="-6"/>
              </w:rPr>
              <w:t xml:space="preserve"> v 1. čtvrtletí 2023 poprvé po téměř třech letech meziročně poklesla (o citelných 11,8 %). Po celý loňský rok přitom vykazovala dvojciferná růstová tempa. K letošnímu snížení očekávané poptávky přispěly podobnou intenzitou pozemní stavebnictví i inženýrské stavby. </w:t>
            </w:r>
            <w:r w:rsidRPr="009B0AD6">
              <w:rPr>
                <w:rFonts w:cs="Arial"/>
                <w:color w:val="0D0D0D" w:themeColor="text1" w:themeTint="F2"/>
                <w:spacing w:val="-6"/>
              </w:rPr>
              <w:t xml:space="preserve">Celková zásoba práce </w:t>
            </w:r>
            <w:r>
              <w:rPr>
                <w:rFonts w:cs="Arial"/>
                <w:color w:val="0D0D0D" w:themeColor="text1" w:themeTint="F2"/>
                <w:spacing w:val="-6"/>
              </w:rPr>
              <w:t xml:space="preserve">(ve formě hodnoty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 xml:space="preserve">ch zakázek) </w:t>
            </w:r>
            <w:r w:rsidRPr="003448DB">
              <w:rPr>
                <w:rFonts w:cs="Arial"/>
                <w:color w:val="0D0D0D" w:themeColor="text1" w:themeTint="F2"/>
                <w:spacing w:val="-4"/>
              </w:rPr>
              <w:t>byla</w:t>
            </w:r>
            <w:r>
              <w:rPr>
                <w:rFonts w:cs="Arial"/>
                <w:color w:val="0D0D0D" w:themeColor="text1" w:themeTint="F2"/>
                <w:spacing w:val="-4"/>
              </w:rPr>
              <w:t xml:space="preserve"> letos na konci března meziročně vyšší již jen o 5,4 % (nejnižší tempo za posledních pět let). I přes tento negativní trend stavební podniky letos na počátku 2. čtvrtletí odhadly, že současná zásoba zakázek jim zajišťuje práci v průměru na dalších devět měsíců (podobně tomu bylo i po celý loňský rok). Za pozitivní lze označit i přetrvávající solidní zásobu veřejných tuzemských zakázek (proti loňskému březnu byla vyšší o 16 % a zároveň tvořila skoro dvě třetiny veškeré zásoby </w:t>
            </w:r>
            <w:r w:rsidRPr="00F71F4B">
              <w:rPr>
                <w:rFonts w:cs="Arial"/>
                <w:color w:val="0D0D0D" w:themeColor="text1" w:themeTint="F2"/>
                <w:spacing w:val="-5"/>
              </w:rPr>
              <w:t>práce středních a větších stavebních firem). Pokles poptávky je naopak patrný u soukromých zakázek a v menším segmentu stavebních zakázek v zahraničí (shodně o desetinu).</w:t>
            </w:r>
          </w:p>
        </w:tc>
      </w:tr>
      <w:tr w:rsidR="009360FA" w:rsidRPr="00D232BB" w14:paraId="295CE475" w14:textId="77777777" w:rsidTr="00FD4372">
        <w:trPr>
          <w:trHeight w:val="170"/>
        </w:trPr>
        <w:tc>
          <w:tcPr>
            <w:tcW w:w="1754" w:type="dxa"/>
            <w:vMerge w:val="restart"/>
            <w:tcBorders>
              <w:top w:val="nil"/>
              <w:left w:val="nil"/>
              <w:bottom w:val="nil"/>
              <w:right w:val="nil"/>
            </w:tcBorders>
            <w:shd w:val="clear" w:color="auto" w:fill="auto"/>
            <w:tcMar>
              <w:left w:w="0" w:type="dxa"/>
            </w:tcMar>
          </w:tcPr>
          <w:p w14:paraId="316EE729" w14:textId="77777777" w:rsidR="009360FA" w:rsidRDefault="009360FA" w:rsidP="00FD4372">
            <w:pPr>
              <w:pStyle w:val="Marginlie"/>
            </w:pPr>
          </w:p>
        </w:tc>
        <w:tc>
          <w:tcPr>
            <w:tcW w:w="185" w:type="dxa"/>
            <w:vMerge w:val="restart"/>
            <w:tcBorders>
              <w:top w:val="nil"/>
              <w:left w:val="nil"/>
              <w:bottom w:val="nil"/>
              <w:right w:val="nil"/>
            </w:tcBorders>
            <w:shd w:val="clear" w:color="auto" w:fill="auto"/>
            <w:tcMar>
              <w:left w:w="0" w:type="dxa"/>
            </w:tcMar>
          </w:tcPr>
          <w:p w14:paraId="06A6ED2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CE5DD05" w14:textId="77777777" w:rsidR="009360FA" w:rsidRPr="00D232BB" w:rsidRDefault="009360FA" w:rsidP="00FD4372">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9360FA" w:rsidRPr="0067514E" w14:paraId="4C720295" w14:textId="77777777" w:rsidTr="00FD4372">
        <w:tblPrEx>
          <w:tblCellMar>
            <w:left w:w="70" w:type="dxa"/>
            <w:right w:w="70" w:type="dxa"/>
          </w:tblCellMar>
        </w:tblPrEx>
        <w:trPr>
          <w:trHeight w:val="170"/>
        </w:trPr>
        <w:tc>
          <w:tcPr>
            <w:tcW w:w="1754" w:type="dxa"/>
            <w:vMerge/>
            <w:tcBorders>
              <w:top w:val="nil"/>
              <w:left w:val="nil"/>
              <w:bottom w:val="nil"/>
              <w:right w:val="nil"/>
            </w:tcBorders>
            <w:shd w:val="clear" w:color="auto" w:fill="auto"/>
          </w:tcPr>
          <w:p w14:paraId="6BB51599" w14:textId="77777777" w:rsidR="009360FA" w:rsidRDefault="009360FA" w:rsidP="00FD4372">
            <w:pPr>
              <w:pStyle w:val="Marginlie"/>
            </w:pPr>
          </w:p>
        </w:tc>
        <w:tc>
          <w:tcPr>
            <w:tcW w:w="185" w:type="dxa"/>
            <w:vMerge/>
            <w:tcBorders>
              <w:top w:val="nil"/>
              <w:left w:val="nil"/>
              <w:bottom w:val="nil"/>
              <w:right w:val="nil"/>
            </w:tcBorders>
            <w:shd w:val="clear" w:color="auto" w:fill="auto"/>
          </w:tcPr>
          <w:p w14:paraId="1D0A782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35B06DD3" w14:textId="77777777" w:rsidR="009360FA" w:rsidRPr="0067514E" w:rsidRDefault="009360FA" w:rsidP="00FD4372">
            <w:pPr>
              <w:spacing w:after="0"/>
              <w:rPr>
                <w:spacing w:val="-6"/>
              </w:rPr>
            </w:pPr>
            <w:r>
              <w:rPr>
                <w:noProof/>
              </w:rPr>
              <w:drawing>
                <wp:inline distT="0" distB="0" distL="0" distR="0" wp14:anchorId="26B18EAE" wp14:editId="04BB6EE6">
                  <wp:extent cx="4681855" cy="3456000"/>
                  <wp:effectExtent l="0" t="0" r="444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360FA" w:rsidRPr="008F2BE2" w14:paraId="01F4AC47" w14:textId="77777777" w:rsidTr="00FD4372">
        <w:trPr>
          <w:trHeight w:val="170"/>
        </w:trPr>
        <w:tc>
          <w:tcPr>
            <w:tcW w:w="1754" w:type="dxa"/>
            <w:vMerge/>
            <w:tcBorders>
              <w:top w:val="nil"/>
              <w:left w:val="nil"/>
              <w:bottom w:val="nil"/>
              <w:right w:val="nil"/>
            </w:tcBorders>
            <w:shd w:val="clear" w:color="auto" w:fill="auto"/>
            <w:tcMar>
              <w:left w:w="0" w:type="dxa"/>
            </w:tcMar>
          </w:tcPr>
          <w:p w14:paraId="4CD9DA2E" w14:textId="77777777" w:rsidR="009360FA" w:rsidRDefault="009360FA" w:rsidP="00FD4372">
            <w:pPr>
              <w:pStyle w:val="Marginlie"/>
            </w:pPr>
          </w:p>
        </w:tc>
        <w:tc>
          <w:tcPr>
            <w:tcW w:w="185" w:type="dxa"/>
            <w:vMerge/>
            <w:tcBorders>
              <w:top w:val="nil"/>
              <w:left w:val="nil"/>
              <w:bottom w:val="nil"/>
              <w:right w:val="nil"/>
            </w:tcBorders>
            <w:shd w:val="clear" w:color="auto" w:fill="auto"/>
            <w:tcMar>
              <w:left w:w="0" w:type="dxa"/>
            </w:tcMar>
          </w:tcPr>
          <w:p w14:paraId="5C93FE8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499AAB6" w14:textId="77777777" w:rsidR="009360FA" w:rsidRPr="00883202" w:rsidRDefault="009360FA" w:rsidP="00FD4372">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0636DE24" w14:textId="77777777" w:rsidR="009360FA" w:rsidRPr="008F2BE2" w:rsidRDefault="009360FA" w:rsidP="00FD4372">
            <w:pPr>
              <w:pStyle w:val="Textpoznpodarou"/>
              <w:jc w:val="both"/>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Eurostat</w:t>
            </w:r>
          </w:p>
        </w:tc>
      </w:tr>
      <w:tr w:rsidR="009360FA" w14:paraId="385DDDBA" w14:textId="77777777" w:rsidTr="00FD4372">
        <w:trPr>
          <w:trHeight w:val="170"/>
        </w:trPr>
        <w:tc>
          <w:tcPr>
            <w:tcW w:w="1754" w:type="dxa"/>
            <w:tcBorders>
              <w:top w:val="nil"/>
              <w:left w:val="nil"/>
              <w:bottom w:val="nil"/>
              <w:right w:val="nil"/>
            </w:tcBorders>
            <w:shd w:val="clear" w:color="auto" w:fill="auto"/>
            <w:tcMar>
              <w:left w:w="0" w:type="dxa"/>
            </w:tcMar>
          </w:tcPr>
          <w:p w14:paraId="2281BED1" w14:textId="77777777" w:rsidR="009360FA" w:rsidRDefault="009360FA" w:rsidP="00FD4372">
            <w:pPr>
              <w:pStyle w:val="Marginlie"/>
              <w:rPr>
                <w:color w:val="0D0D0D" w:themeColor="text1" w:themeTint="F2"/>
                <w:spacing w:val="-4"/>
              </w:rPr>
            </w:pPr>
            <w:r>
              <w:rPr>
                <w:color w:val="0D0D0D" w:themeColor="text1" w:themeTint="F2"/>
                <w:spacing w:val="-4"/>
              </w:rPr>
              <w:lastRenderedPageBreak/>
              <w:t>Růst orientační hodnoty povolených staveb byl tažen nebytovými objekty a dopravními stavbami.</w:t>
            </w:r>
          </w:p>
          <w:p w14:paraId="6682130B" w14:textId="77777777" w:rsidR="009360FA" w:rsidRPr="00097A8B" w:rsidRDefault="009360FA" w:rsidP="00FD4372">
            <w:pPr>
              <w:pStyle w:val="Marginlie"/>
              <w:rPr>
                <w:spacing w:val="-4"/>
              </w:rPr>
            </w:pPr>
          </w:p>
        </w:tc>
        <w:tc>
          <w:tcPr>
            <w:tcW w:w="185" w:type="dxa"/>
            <w:tcBorders>
              <w:top w:val="nil"/>
              <w:left w:val="nil"/>
              <w:bottom w:val="nil"/>
              <w:right w:val="nil"/>
            </w:tcBorders>
            <w:shd w:val="clear" w:color="auto" w:fill="auto"/>
            <w:tcMar>
              <w:left w:w="0" w:type="dxa"/>
            </w:tcMar>
          </w:tcPr>
          <w:p w14:paraId="272189E7"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CB434E4" w14:textId="77777777" w:rsidR="009360FA" w:rsidRDefault="009360FA" w:rsidP="00FD4372">
            <w:pPr>
              <w:spacing w:after="200"/>
              <w:rPr>
                <w:rFonts w:cs="Arial"/>
                <w:color w:val="0D0D0D" w:themeColor="text1" w:themeTint="F2"/>
                <w:spacing w:val="-6"/>
              </w:rPr>
            </w:pPr>
            <w:r>
              <w:rPr>
                <w:rFonts w:cs="Arial"/>
                <w:color w:val="0D0D0D" w:themeColor="text1" w:themeTint="F2"/>
                <w:spacing w:val="-4"/>
              </w:rPr>
              <w:t>Relativně příznivě se na počátku roku vyvíjela stavební povolení, jež naznačují investiční aktivitu ve střednědobém horizontu. Hodnota všech povolených staveb vzrostla meziročně skoro o desetinu, a to hlavně díky nové výstavbě i rekonstrukci či modernizaci nebytových budov a také inženýrských dopravních staveb. Naopak u povolení na novou výstavbu bytových budov lze od poloviny loňského roku sledovat útlum očekávané poptávky.</w:t>
            </w:r>
          </w:p>
        </w:tc>
      </w:tr>
      <w:tr w:rsidR="009360FA" w14:paraId="18C13B95" w14:textId="77777777" w:rsidTr="00FD4372">
        <w:trPr>
          <w:trHeight w:val="170"/>
        </w:trPr>
        <w:tc>
          <w:tcPr>
            <w:tcW w:w="1754" w:type="dxa"/>
            <w:tcBorders>
              <w:top w:val="nil"/>
              <w:left w:val="nil"/>
              <w:bottom w:val="nil"/>
              <w:right w:val="nil"/>
            </w:tcBorders>
            <w:shd w:val="clear" w:color="auto" w:fill="auto"/>
            <w:tcMar>
              <w:left w:w="0" w:type="dxa"/>
            </w:tcMar>
          </w:tcPr>
          <w:p w14:paraId="04100CAE" w14:textId="77777777" w:rsidR="009360FA" w:rsidRPr="00097A8B" w:rsidRDefault="009360FA" w:rsidP="00FD4372">
            <w:pPr>
              <w:pStyle w:val="Marginlie"/>
              <w:rPr>
                <w:spacing w:val="-4"/>
              </w:rPr>
            </w:pPr>
            <w:r>
              <w:rPr>
                <w:spacing w:val="-4"/>
              </w:rPr>
              <w:t>Pesimismus podnikatelů ve stavebnictví se letos dále prohluboval. Firmy očekávaly pokles stavební činnosti i</w:t>
            </w:r>
            <w:r>
              <w:rPr>
                <w:color w:val="0D0D0D" w:themeColor="text1" w:themeTint="F2"/>
                <w:spacing w:val="-4"/>
              </w:rPr>
              <w:t> </w:t>
            </w:r>
            <w:r>
              <w:rPr>
                <w:spacing w:val="-4"/>
              </w:rPr>
              <w:t>zaměstnanosti.</w:t>
            </w:r>
          </w:p>
        </w:tc>
        <w:tc>
          <w:tcPr>
            <w:tcW w:w="185" w:type="dxa"/>
            <w:tcBorders>
              <w:top w:val="nil"/>
              <w:left w:val="nil"/>
              <w:bottom w:val="nil"/>
              <w:right w:val="nil"/>
            </w:tcBorders>
            <w:shd w:val="clear" w:color="auto" w:fill="auto"/>
            <w:tcMar>
              <w:left w:w="0" w:type="dxa"/>
            </w:tcMar>
          </w:tcPr>
          <w:p w14:paraId="76C3161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533A156" w14:textId="77777777" w:rsidR="009360FA" w:rsidRDefault="009360FA" w:rsidP="00FD4372">
            <w:pPr>
              <w:spacing w:after="200"/>
              <w:rPr>
                <w:rFonts w:cs="Arial"/>
                <w:color w:val="0D0D0D" w:themeColor="text1" w:themeTint="F2"/>
                <w:spacing w:val="-6"/>
              </w:rPr>
            </w:pPr>
            <w:r>
              <w:rPr>
                <w:rFonts w:cs="Arial"/>
                <w:color w:val="0D0D0D" w:themeColor="text1" w:themeTint="F2"/>
                <w:spacing w:val="-6"/>
              </w:rPr>
              <w:t>Trend slábnoucí podnikatelské důvěry si stavebnictví z 2. pololetí 2022 přeneslo i do letošního roku. V březnu byl tak pesimismus nejvyšší za posledních pět a půl roku. I přes převažující nepříznivý pohled na současnou poptávku hodnotily stavební firmy svou aktuální ekonomickou situaci mírně pozitivně, v půlročním výhledu však převládal pesimismus. Negativní výhledy ve stavební činnosti se letos prohlubovaly, v květnu očekávala (v tříměsíčním výhledu) pokles výroby čtvrtina podniků, pětina plánovala snižovat zaměstnanost. Přes 40 % firem předpokládalo růst cen vlastní stavební produkce. I za těchto okolností zůstává (fakticky již více než čtyři roky) hlavní růstovou bariérou nedostatek pracovníků</w:t>
            </w:r>
            <w:r>
              <w:rPr>
                <w:rStyle w:val="Znakapoznpodarou"/>
                <w:color w:val="0D0D0D" w:themeColor="text1" w:themeTint="F2"/>
                <w:spacing w:val="-6"/>
              </w:rPr>
              <w:footnoteReference w:id="12"/>
            </w:r>
            <w:r>
              <w:rPr>
                <w:rFonts w:cs="Arial"/>
                <w:color w:val="0D0D0D" w:themeColor="text1" w:themeTint="F2"/>
                <w:spacing w:val="-6"/>
              </w:rPr>
              <w:t xml:space="preserve">. </w:t>
            </w:r>
          </w:p>
        </w:tc>
      </w:tr>
      <w:tr w:rsidR="009360FA" w:rsidRPr="00CF0DCE" w14:paraId="5E240039" w14:textId="77777777" w:rsidTr="00FD4372">
        <w:trPr>
          <w:trHeight w:val="170"/>
        </w:trPr>
        <w:tc>
          <w:tcPr>
            <w:tcW w:w="1754" w:type="dxa"/>
            <w:tcBorders>
              <w:top w:val="nil"/>
              <w:left w:val="nil"/>
              <w:bottom w:val="nil"/>
              <w:right w:val="nil"/>
            </w:tcBorders>
            <w:shd w:val="clear" w:color="auto" w:fill="auto"/>
            <w:tcMar>
              <w:left w:w="0" w:type="dxa"/>
            </w:tcMar>
          </w:tcPr>
          <w:p w14:paraId="481786B7" w14:textId="77777777" w:rsidR="009360FA" w:rsidRDefault="009360FA" w:rsidP="00FD4372">
            <w:pPr>
              <w:pStyle w:val="Marginlie"/>
            </w:pPr>
            <w:r>
              <w:t xml:space="preserve">Přetrvával mírný mezikvartální pokles tržeb ve službách započatý loni ve </w:t>
            </w:r>
            <w:r>
              <w:br/>
              <w:t>2. pololetí.</w:t>
            </w:r>
          </w:p>
        </w:tc>
        <w:tc>
          <w:tcPr>
            <w:tcW w:w="185" w:type="dxa"/>
            <w:tcBorders>
              <w:top w:val="nil"/>
              <w:left w:val="nil"/>
              <w:bottom w:val="nil"/>
              <w:right w:val="nil"/>
            </w:tcBorders>
            <w:shd w:val="clear" w:color="auto" w:fill="auto"/>
            <w:tcMar>
              <w:left w:w="0" w:type="dxa"/>
            </w:tcMar>
          </w:tcPr>
          <w:p w14:paraId="4997EE2D"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64990A10" w14:textId="77777777" w:rsidR="009360FA" w:rsidRPr="00CF0DCE" w:rsidRDefault="009360FA" w:rsidP="00FD4372">
            <w:pPr>
              <w:spacing w:after="200"/>
              <w:rPr>
                <w:rFonts w:cs="Arial"/>
                <w:color w:val="0D0D0D" w:themeColor="text1" w:themeTint="F2"/>
                <w:spacing w:val="-6"/>
              </w:rPr>
            </w:pPr>
            <w:r>
              <w:rPr>
                <w:rFonts w:cs="Arial"/>
                <w:color w:val="0D0D0D" w:themeColor="text1" w:themeTint="F2"/>
                <w:spacing w:val="-6"/>
              </w:rPr>
              <w:t>Zastavení hospodářského růstu úzce spojeného s poklesem soukromých spotřebních výdajů se začalo projevovat i ve službách. Mezikvartální růst jejich tržeb</w:t>
            </w:r>
            <w:r w:rsidRPr="00231745">
              <w:rPr>
                <w:color w:val="0D0D0D" w:themeColor="text1" w:themeTint="F2"/>
                <w:spacing w:val="-4"/>
                <w:vertAlign w:val="superscript"/>
              </w:rPr>
              <w:footnoteReference w:id="13"/>
            </w:r>
            <w:r>
              <w:rPr>
                <w:rFonts w:cs="Arial"/>
                <w:color w:val="0D0D0D" w:themeColor="text1" w:themeTint="F2"/>
                <w:spacing w:val="-6"/>
              </w:rPr>
              <w:t>, trvající od počátku roku 2021, se ve druhé polovině loňského roku zastavil a k oživení nedošlo ani po začátku letošního roku (−0,4 %). Na tento méně příznivý vývoj měl zásadní vliv pokles tržeb v dopravě a skladování, prorůstově naopak působil přetrvávající mírný růst poptávky v odvětví p</w:t>
            </w:r>
            <w:r w:rsidRPr="00225452">
              <w:rPr>
                <w:rFonts w:cs="Arial"/>
                <w:color w:val="0D0D0D" w:themeColor="text1" w:themeTint="F2"/>
                <w:spacing w:val="-6"/>
              </w:rPr>
              <w:t>rofesní, vědecké a technické činnosti</w:t>
            </w:r>
            <w:r>
              <w:rPr>
                <w:rFonts w:cs="Arial"/>
                <w:color w:val="0D0D0D" w:themeColor="text1" w:themeTint="F2"/>
                <w:spacing w:val="-6"/>
              </w:rPr>
              <w:t xml:space="preserve">, které typicky zahrnuje sofistikovanější služby pro podniky. </w:t>
            </w:r>
          </w:p>
        </w:tc>
      </w:tr>
      <w:tr w:rsidR="009360FA" w14:paraId="2C20F797" w14:textId="77777777" w:rsidTr="00FD4372">
        <w:trPr>
          <w:trHeight w:val="170"/>
        </w:trPr>
        <w:tc>
          <w:tcPr>
            <w:tcW w:w="1754" w:type="dxa"/>
            <w:tcBorders>
              <w:top w:val="nil"/>
              <w:left w:val="nil"/>
              <w:bottom w:val="nil"/>
              <w:right w:val="nil"/>
            </w:tcBorders>
            <w:shd w:val="clear" w:color="auto" w:fill="auto"/>
            <w:tcMar>
              <w:left w:w="0" w:type="dxa"/>
            </w:tcMar>
          </w:tcPr>
          <w:p w14:paraId="26296094" w14:textId="1D4AC25C" w:rsidR="009360FA" w:rsidRDefault="009360FA" w:rsidP="00FD4372">
            <w:pPr>
              <w:pStyle w:val="Marginlie"/>
            </w:pPr>
            <w:r>
              <w:t xml:space="preserve">Meziroční </w:t>
            </w:r>
            <w:r w:rsidR="00F067B8">
              <w:t>růst tržeb ve službách se po sedm</w:t>
            </w:r>
            <w:r>
              <w:t>i kvartálech zastavil. Rozhodující vliv na to měl prohlubující se pokles poptávky v dopravě a skladování.</w:t>
            </w:r>
          </w:p>
        </w:tc>
        <w:tc>
          <w:tcPr>
            <w:tcW w:w="185" w:type="dxa"/>
            <w:tcBorders>
              <w:top w:val="nil"/>
              <w:left w:val="nil"/>
              <w:bottom w:val="nil"/>
              <w:right w:val="nil"/>
            </w:tcBorders>
            <w:shd w:val="clear" w:color="auto" w:fill="auto"/>
            <w:tcMar>
              <w:left w:w="0" w:type="dxa"/>
            </w:tcMar>
          </w:tcPr>
          <w:p w14:paraId="1C6AC763"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476FEE97" w14:textId="4CB9CCF3" w:rsidR="009360FA" w:rsidRDefault="009360FA" w:rsidP="00F067B8">
            <w:pPr>
              <w:spacing w:after="200"/>
              <w:rPr>
                <w:rFonts w:cs="Arial"/>
                <w:color w:val="0D0D0D" w:themeColor="text1" w:themeTint="F2"/>
                <w:spacing w:val="-6"/>
              </w:rPr>
            </w:pPr>
            <w:r>
              <w:rPr>
                <w:rFonts w:cs="Arial"/>
                <w:color w:val="0D0D0D" w:themeColor="text1" w:themeTint="F2"/>
                <w:spacing w:val="-6"/>
              </w:rPr>
              <w:t xml:space="preserve">V 1. čtvrtletí 2023 se tržby ve službách meziročně nepatrně snížily (o 0,3 %), když k jejich poklesu došlo poprvé za poslední dva roky. Ve většině odvětví služeb se již patrně vyčerpal „efekt postpandemického živení“ poptávky a naopak se začalo významněji projevovat to, že část domácností omezovala své zbytné výdaje. Vedle toho nešlo přehlédnout, že podniková sféra byla vystavena zvýšené potřebě optimalizace výrobních </w:t>
            </w:r>
            <w:r w:rsidR="00F067B8">
              <w:rPr>
                <w:rFonts w:cs="Arial"/>
                <w:color w:val="0D0D0D" w:themeColor="text1" w:themeTint="F2"/>
                <w:spacing w:val="-6"/>
              </w:rPr>
              <w:t xml:space="preserve">nákladů. Za snížením tržeb </w:t>
            </w:r>
            <w:r w:rsidR="00D652EB">
              <w:rPr>
                <w:rFonts w:cs="Arial"/>
                <w:color w:val="0D0D0D" w:themeColor="text1" w:themeTint="F2"/>
                <w:spacing w:val="-6"/>
              </w:rPr>
              <w:t xml:space="preserve">stálo </w:t>
            </w:r>
            <w:r w:rsidR="00F067B8">
              <w:rPr>
                <w:rFonts w:cs="Arial"/>
                <w:color w:val="0D0D0D" w:themeColor="text1" w:themeTint="F2"/>
                <w:spacing w:val="-6"/>
              </w:rPr>
              <w:t>zejména</w:t>
            </w:r>
            <w:r>
              <w:rPr>
                <w:rFonts w:cs="Arial"/>
                <w:color w:val="0D0D0D" w:themeColor="text1" w:themeTint="F2"/>
                <w:spacing w:val="-6"/>
              </w:rPr>
              <w:t xml:space="preserve"> klíčové odvětví dopravy a skladování (přís</w:t>
            </w:r>
            <w:r w:rsidR="00F067B8">
              <w:rPr>
                <w:rFonts w:cs="Arial"/>
                <w:color w:val="0D0D0D" w:themeColor="text1" w:themeTint="F2"/>
                <w:spacing w:val="-6"/>
              </w:rPr>
              <w:t>pěvek k růstu všech služeb −1,3 </w:t>
            </w:r>
            <w:r>
              <w:rPr>
                <w:rFonts w:cs="Arial"/>
                <w:color w:val="0D0D0D" w:themeColor="text1" w:themeTint="F2"/>
                <w:spacing w:val="-6"/>
              </w:rPr>
              <w:t>p. b.). Tržby v pozemní a potrubní dopr</w:t>
            </w:r>
            <w:r w:rsidR="00F067B8">
              <w:rPr>
                <w:rFonts w:cs="Arial"/>
                <w:color w:val="0D0D0D" w:themeColor="text1" w:themeTint="F2"/>
                <w:spacing w:val="-6"/>
              </w:rPr>
              <w:t>avě poklesly o rovná 4</w:t>
            </w:r>
            <w:r>
              <w:rPr>
                <w:rFonts w:cs="Arial"/>
                <w:color w:val="0D0D0D" w:themeColor="text1" w:themeTint="F2"/>
                <w:spacing w:val="-6"/>
              </w:rPr>
              <w:t xml:space="preserve"> %, k čemuž přispěly s</w:t>
            </w:r>
            <w:r w:rsidR="00F067B8">
              <w:rPr>
                <w:rFonts w:cs="Arial"/>
                <w:color w:val="0D0D0D" w:themeColor="text1" w:themeTint="F2"/>
                <w:spacing w:val="-6"/>
              </w:rPr>
              <w:t>labší výkony potrubní dopravy</w:t>
            </w:r>
            <w:r>
              <w:rPr>
                <w:rFonts w:cs="Arial"/>
                <w:color w:val="0D0D0D" w:themeColor="text1" w:themeTint="F2"/>
                <w:spacing w:val="-6"/>
              </w:rPr>
              <w:t xml:space="preserve">. Tržby v silniční dopravě stagnovaly (i vlivem nižší dynamiky zahraničního obchodu, hlavně dovozu), naopak výkony železniční dopravy dále rostly. Zpomalování tempa průmyslové produkce se odrazilo </w:t>
            </w:r>
            <w:r w:rsidRPr="008379CC">
              <w:t>i</w:t>
            </w:r>
            <w:r>
              <w:t> </w:t>
            </w:r>
            <w:r w:rsidRPr="008379CC">
              <w:t>v</w:t>
            </w:r>
            <w:r>
              <w:rPr>
                <w:rFonts w:cs="Arial"/>
                <w:color w:val="0D0D0D" w:themeColor="text1" w:themeTint="F2"/>
                <w:spacing w:val="-6"/>
              </w:rPr>
              <w:t> pokračujícím</w:t>
            </w:r>
            <w:r w:rsidR="00F067B8">
              <w:rPr>
                <w:rFonts w:cs="Arial"/>
                <w:color w:val="0D0D0D" w:themeColor="text1" w:themeTint="F2"/>
                <w:spacing w:val="-6"/>
              </w:rPr>
              <w:t xml:space="preserve"> poklesu tržeb ve skladování (−6,1</w:t>
            </w:r>
            <w:r>
              <w:rPr>
                <w:rFonts w:cs="Arial"/>
                <w:color w:val="0D0D0D" w:themeColor="text1" w:themeTint="F2"/>
                <w:spacing w:val="-6"/>
              </w:rPr>
              <w:t xml:space="preserve"> %). Mírnější, ale rovněž opakovaný meziroční pokles tržeb registrovaly p</w:t>
            </w:r>
            <w:r w:rsidRPr="001818F4">
              <w:rPr>
                <w:rFonts w:cs="Arial"/>
                <w:color w:val="0D0D0D" w:themeColor="text1" w:themeTint="F2"/>
                <w:spacing w:val="-6"/>
              </w:rPr>
              <w:t xml:space="preserve">oštovní a </w:t>
            </w:r>
            <w:r w:rsidRPr="00D64816">
              <w:rPr>
                <w:rFonts w:cs="Arial"/>
                <w:color w:val="0D0D0D" w:themeColor="text1" w:themeTint="F2"/>
                <w:spacing w:val="-6"/>
              </w:rPr>
              <w:t>kurý</w:t>
            </w:r>
            <w:r>
              <w:rPr>
                <w:rFonts w:cs="Arial"/>
                <w:color w:val="0D0D0D" w:themeColor="text1" w:themeTint="F2"/>
                <w:spacing w:val="-6"/>
              </w:rPr>
              <w:t xml:space="preserve">rní činnosti (to úzce souviselo </w:t>
            </w:r>
            <w:r w:rsidRPr="00D64816">
              <w:rPr>
                <w:rFonts w:cs="Arial"/>
                <w:color w:val="0D0D0D" w:themeColor="text1" w:themeTint="F2"/>
                <w:spacing w:val="-6"/>
              </w:rPr>
              <w:t xml:space="preserve">s dlouhodobějším a hlubším poklesem poptávky po internetovém a zásilkovém prodeji). I tak zůstaly tržby těchto činností skoro o čtvrtinu nad úrovní z počátku roku 2019. Naopak tržby letecké a vodní dopravy setrvávají (i přes svižný letošní růst) pod předkrizovou </w:t>
            </w:r>
            <w:r>
              <w:rPr>
                <w:rFonts w:cs="Arial"/>
                <w:color w:val="0D0D0D" w:themeColor="text1" w:themeTint="F2"/>
                <w:spacing w:val="-6"/>
              </w:rPr>
              <w:t>úrovní téměř o čtvrtinu, resp. třetinu.</w:t>
            </w:r>
          </w:p>
        </w:tc>
      </w:tr>
      <w:tr w:rsidR="009360FA" w:rsidRPr="00B56614" w14:paraId="691DD3F7" w14:textId="77777777" w:rsidTr="00FD4372">
        <w:trPr>
          <w:trHeight w:val="170"/>
        </w:trPr>
        <w:tc>
          <w:tcPr>
            <w:tcW w:w="1754" w:type="dxa"/>
            <w:tcBorders>
              <w:top w:val="nil"/>
              <w:left w:val="nil"/>
              <w:bottom w:val="nil"/>
              <w:right w:val="nil"/>
            </w:tcBorders>
            <w:shd w:val="clear" w:color="auto" w:fill="auto"/>
            <w:tcMar>
              <w:left w:w="0" w:type="dxa"/>
            </w:tcMar>
          </w:tcPr>
          <w:p w14:paraId="07C72271" w14:textId="77777777" w:rsidR="009360FA" w:rsidRDefault="009360FA" w:rsidP="00FD4372">
            <w:pPr>
              <w:pStyle w:val="Marginlie"/>
              <w:rPr>
                <w:color w:val="0D0D0D" w:themeColor="text1" w:themeTint="F2"/>
              </w:rPr>
            </w:pPr>
            <w:r>
              <w:rPr>
                <w:color w:val="0D0D0D" w:themeColor="text1" w:themeTint="F2"/>
              </w:rPr>
              <w:t xml:space="preserve">Růst tržeb v ubytování díky oživení turismu sílil. Naopak poptávka ve stravování a pohostinství vlivem zhoršené finanční </w:t>
            </w:r>
            <w:r>
              <w:rPr>
                <w:color w:val="0D0D0D" w:themeColor="text1" w:themeTint="F2"/>
              </w:rPr>
              <w:lastRenderedPageBreak/>
              <w:t>situace tuzemských domácností slábla.</w:t>
            </w:r>
          </w:p>
        </w:tc>
        <w:tc>
          <w:tcPr>
            <w:tcW w:w="185" w:type="dxa"/>
            <w:tcBorders>
              <w:top w:val="nil"/>
              <w:left w:val="nil"/>
              <w:bottom w:val="nil"/>
              <w:right w:val="nil"/>
            </w:tcBorders>
            <w:shd w:val="clear" w:color="auto" w:fill="auto"/>
            <w:tcMar>
              <w:left w:w="0" w:type="dxa"/>
            </w:tcMar>
          </w:tcPr>
          <w:p w14:paraId="7D810092" w14:textId="77777777" w:rsidR="009360FA" w:rsidRPr="00B63E5E"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58FFD1BB" w14:textId="1A0B6621" w:rsidR="009360FA" w:rsidRPr="00B56614" w:rsidRDefault="009360FA" w:rsidP="00FD4372">
            <w:pPr>
              <w:spacing w:after="200"/>
              <w:rPr>
                <w:color w:val="0D0D0D" w:themeColor="text1" w:themeTint="F2"/>
                <w:spacing w:val="-6"/>
              </w:rPr>
            </w:pPr>
            <w:r>
              <w:rPr>
                <w:rFonts w:cs="Arial"/>
                <w:color w:val="0D0D0D" w:themeColor="text1" w:themeTint="F2"/>
                <w:spacing w:val="-6"/>
              </w:rPr>
              <w:t>V </w:t>
            </w:r>
            <w:r w:rsidRPr="00C60BAD">
              <w:rPr>
                <w:color w:val="0D0D0D" w:themeColor="text1" w:themeTint="F2"/>
                <w:spacing w:val="-6"/>
              </w:rPr>
              <w:t>ubytování, stravování a pohostin</w:t>
            </w:r>
            <w:r>
              <w:rPr>
                <w:color w:val="0D0D0D" w:themeColor="text1" w:themeTint="F2"/>
                <w:spacing w:val="-6"/>
              </w:rPr>
              <w:t>ství byly v 1. čtvrtletí (stejně jako na konci loňského roku) tržby meziročně o</w:t>
            </w:r>
            <w:r w:rsidRPr="00C60BAD">
              <w:rPr>
                <w:rFonts w:cs="Arial"/>
                <w:color w:val="0D0D0D" w:themeColor="text1" w:themeTint="F2"/>
                <w:spacing w:val="-6"/>
              </w:rPr>
              <w:t> </w:t>
            </w:r>
            <w:r w:rsidRPr="00C60BAD">
              <w:rPr>
                <w:color w:val="0D0D0D" w:themeColor="text1" w:themeTint="F2"/>
                <w:spacing w:val="-6"/>
              </w:rPr>
              <w:t>dese</w:t>
            </w:r>
            <w:r>
              <w:rPr>
                <w:color w:val="0D0D0D" w:themeColor="text1" w:themeTint="F2"/>
                <w:spacing w:val="-6"/>
              </w:rPr>
              <w:t>tinu vyšší a k souhrnnému růstu služeb přispěl</w:t>
            </w:r>
            <w:r w:rsidR="00F067B8">
              <w:rPr>
                <w:color w:val="0D0D0D" w:themeColor="text1" w:themeTint="F2"/>
                <w:spacing w:val="-6"/>
              </w:rPr>
              <w:t>y nejvíce ze všech odvětví (+0,5</w:t>
            </w:r>
            <w:r w:rsidRPr="00BD4CB3">
              <w:rPr>
                <w:color w:val="0D0D0D" w:themeColor="text1" w:themeTint="F2"/>
                <w:spacing w:val="-6"/>
              </w:rPr>
              <w:t xml:space="preserve"> p. b</w:t>
            </w:r>
            <w:r>
              <w:rPr>
                <w:color w:val="0D0D0D" w:themeColor="text1" w:themeTint="F2"/>
                <w:spacing w:val="-6"/>
              </w:rPr>
              <w:t>.</w:t>
            </w:r>
            <w:r w:rsidRPr="00BD4CB3">
              <w:rPr>
                <w:color w:val="0D0D0D" w:themeColor="text1" w:themeTint="F2"/>
                <w:spacing w:val="-6"/>
              </w:rPr>
              <w:t>). Výrazně tomu pomohlo postupné zotavování příjezdového cestovního ruchu</w:t>
            </w:r>
            <w:r>
              <w:rPr>
                <w:rStyle w:val="Znakapoznpodarou"/>
                <w:color w:val="0D0D0D" w:themeColor="text1" w:themeTint="F2"/>
                <w:spacing w:val="-6"/>
              </w:rPr>
              <w:footnoteReference w:id="14"/>
            </w:r>
            <w:r w:rsidRPr="00BD4CB3">
              <w:rPr>
                <w:color w:val="0D0D0D" w:themeColor="text1" w:themeTint="F2"/>
                <w:spacing w:val="-6"/>
              </w:rPr>
              <w:t xml:space="preserve">. </w:t>
            </w:r>
            <w:r w:rsidRPr="00C60BAD">
              <w:rPr>
                <w:color w:val="0D0D0D" w:themeColor="text1" w:themeTint="F2"/>
                <w:spacing w:val="-6"/>
              </w:rPr>
              <w:t xml:space="preserve">Poptávka </w:t>
            </w:r>
            <w:r>
              <w:rPr>
                <w:color w:val="0D0D0D" w:themeColor="text1" w:themeTint="F2"/>
                <w:spacing w:val="-6"/>
              </w:rPr>
              <w:t>ale stále citelně zaostávala za úrovní z počátku</w:t>
            </w:r>
            <w:r w:rsidRPr="00C60BAD">
              <w:rPr>
                <w:color w:val="0D0D0D" w:themeColor="text1" w:themeTint="F2"/>
                <w:spacing w:val="-6"/>
              </w:rPr>
              <w:t xml:space="preserve"> </w:t>
            </w:r>
            <w:r>
              <w:rPr>
                <w:color w:val="0D0D0D" w:themeColor="text1" w:themeTint="F2"/>
                <w:spacing w:val="-6"/>
              </w:rPr>
              <w:t xml:space="preserve">roku </w:t>
            </w:r>
            <w:r w:rsidRPr="00C60BAD">
              <w:rPr>
                <w:color w:val="0D0D0D" w:themeColor="text1" w:themeTint="F2"/>
                <w:spacing w:val="-6"/>
              </w:rPr>
              <w:t>2019</w:t>
            </w:r>
            <w:r>
              <w:rPr>
                <w:color w:val="0D0D0D" w:themeColor="text1" w:themeTint="F2"/>
                <w:spacing w:val="-6"/>
              </w:rPr>
              <w:t>, a to</w:t>
            </w:r>
            <w:r w:rsidRPr="00C60BAD">
              <w:rPr>
                <w:color w:val="0D0D0D" w:themeColor="text1" w:themeTint="F2"/>
                <w:spacing w:val="-6"/>
              </w:rPr>
              <w:t xml:space="preserve"> </w:t>
            </w:r>
            <w:r>
              <w:rPr>
                <w:color w:val="0D0D0D" w:themeColor="text1" w:themeTint="F2"/>
                <w:spacing w:val="-6"/>
              </w:rPr>
              <w:t xml:space="preserve">hlavně </w:t>
            </w:r>
            <w:r>
              <w:rPr>
                <w:color w:val="0D0D0D" w:themeColor="text1" w:themeTint="F2"/>
                <w:spacing w:val="-6"/>
              </w:rPr>
              <w:lastRenderedPageBreak/>
              <w:t>v ubytování (o</w:t>
            </w:r>
            <w:r>
              <w:rPr>
                <w:rFonts w:cs="Arial"/>
                <w:color w:val="0D0D0D" w:themeColor="text1" w:themeTint="F2"/>
                <w:spacing w:val="-6"/>
              </w:rPr>
              <w:t> </w:t>
            </w:r>
            <w:r w:rsidR="00F067B8">
              <w:rPr>
                <w:color w:val="0D0D0D" w:themeColor="text1" w:themeTint="F2"/>
                <w:spacing w:val="-6"/>
              </w:rPr>
              <w:t>27,9</w:t>
            </w:r>
            <w:r>
              <w:rPr>
                <w:rFonts w:cs="Arial"/>
                <w:color w:val="0D0D0D" w:themeColor="text1" w:themeTint="F2"/>
                <w:spacing w:val="-6"/>
              </w:rPr>
              <w:t> </w:t>
            </w:r>
            <w:r>
              <w:rPr>
                <w:color w:val="0D0D0D" w:themeColor="text1" w:themeTint="F2"/>
                <w:spacing w:val="-6"/>
              </w:rPr>
              <w:t>%),</w:t>
            </w:r>
            <w:r w:rsidRPr="00C60BAD">
              <w:rPr>
                <w:color w:val="0D0D0D" w:themeColor="text1" w:themeTint="F2"/>
                <w:spacing w:val="-6"/>
              </w:rPr>
              <w:t xml:space="preserve"> </w:t>
            </w:r>
            <w:r>
              <w:rPr>
                <w:color w:val="0D0D0D" w:themeColor="text1" w:themeTint="F2"/>
                <w:spacing w:val="-6"/>
              </w:rPr>
              <w:t>ve stravování a pohostinství „jen“ o 17</w:t>
            </w:r>
            <w:r w:rsidR="00F067B8">
              <w:rPr>
                <w:color w:val="0D0D0D" w:themeColor="text1" w:themeTint="F2"/>
                <w:spacing w:val="-6"/>
              </w:rPr>
              <w:t>,4</w:t>
            </w:r>
            <w:r>
              <w:rPr>
                <w:color w:val="0D0D0D" w:themeColor="text1" w:themeTint="F2"/>
                <w:spacing w:val="-6"/>
              </w:rPr>
              <w:t xml:space="preserve"> %. V ubytování růst tržeb sílil, v pohostinství a stravování letos poptávka slábla vinou cenového růstu i zhoršené finanční situace tuzemských spotřebitelů. Tržby zde meziročně vzrostly jen o 6,2 %, mezikvartálně se snížily o 2,2 %. </w:t>
            </w:r>
          </w:p>
        </w:tc>
      </w:tr>
      <w:tr w:rsidR="009360FA" w:rsidRPr="0086408E" w14:paraId="771CE9C4" w14:textId="77777777" w:rsidTr="00FD4372">
        <w:trPr>
          <w:trHeight w:val="170"/>
        </w:trPr>
        <w:tc>
          <w:tcPr>
            <w:tcW w:w="1754" w:type="dxa"/>
            <w:tcBorders>
              <w:top w:val="nil"/>
              <w:left w:val="nil"/>
              <w:bottom w:val="nil"/>
              <w:right w:val="nil"/>
            </w:tcBorders>
            <w:shd w:val="clear" w:color="auto" w:fill="auto"/>
            <w:tcMar>
              <w:left w:w="0" w:type="dxa"/>
            </w:tcMar>
          </w:tcPr>
          <w:p w14:paraId="38598D30" w14:textId="77777777" w:rsidR="009360FA" w:rsidRPr="00B63E5E" w:rsidRDefault="009360FA" w:rsidP="00FD4372">
            <w:pPr>
              <w:pStyle w:val="Marginlie"/>
              <w:rPr>
                <w:color w:val="0D0D0D" w:themeColor="text1" w:themeTint="F2"/>
              </w:rPr>
            </w:pPr>
            <w:r>
              <w:rPr>
                <w:color w:val="0D0D0D" w:themeColor="text1" w:themeTint="F2"/>
              </w:rPr>
              <w:lastRenderedPageBreak/>
              <w:t xml:space="preserve">Růst tržeb v oblasti ICT zvolnil, zejména vinou informačních činností. Silná poptávka však přetrvávala v oblasti programování. </w:t>
            </w:r>
          </w:p>
        </w:tc>
        <w:tc>
          <w:tcPr>
            <w:tcW w:w="185" w:type="dxa"/>
            <w:tcBorders>
              <w:top w:val="nil"/>
              <w:left w:val="nil"/>
              <w:bottom w:val="nil"/>
              <w:right w:val="nil"/>
            </w:tcBorders>
            <w:shd w:val="clear" w:color="auto" w:fill="auto"/>
            <w:tcMar>
              <w:left w:w="0" w:type="dxa"/>
            </w:tcMar>
          </w:tcPr>
          <w:p w14:paraId="5E8A37D6" w14:textId="77777777" w:rsidR="009360FA" w:rsidRPr="00B63E5E"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78CFEEE" w14:textId="0872338B" w:rsidR="009360FA" w:rsidRPr="0086408E" w:rsidRDefault="009360FA" w:rsidP="00FD4372">
            <w:pPr>
              <w:spacing w:after="200"/>
              <w:rPr>
                <w:color w:val="0D0D0D" w:themeColor="text1" w:themeTint="F2"/>
                <w:spacing w:val="-4"/>
              </w:rPr>
            </w:pPr>
            <w:r>
              <w:rPr>
                <w:color w:val="0D0D0D" w:themeColor="text1" w:themeTint="F2"/>
                <w:spacing w:val="-4"/>
              </w:rPr>
              <w:t>Dlouhodobě rozvíjející se odvětví informačních a komunikačních činností zaznamenalo v 1. čtvrtletí mírný meziroční růst tržeb (2,2 %). Pozitivně se zde projevuje stabilně rostoucí poptávka v oblasti programování či poradenství v IT, dařilo se i telekomunikacím. Naproti tomu tržby v informačních činnostech</w:t>
            </w:r>
            <w:r>
              <w:rPr>
                <w:rStyle w:val="Znakapoznpodarou"/>
                <w:color w:val="0D0D0D" w:themeColor="text1" w:themeTint="F2"/>
                <w:spacing w:val="-4"/>
              </w:rPr>
              <w:footnoteReference w:id="15"/>
            </w:r>
            <w:r>
              <w:rPr>
                <w:color w:val="0D0D0D" w:themeColor="text1" w:themeTint="F2"/>
                <w:spacing w:val="-4"/>
              </w:rPr>
              <w:t xml:space="preserve">¨se snížily o 6,1 % a registrovaly nejhlubší pokles od 1. čtvrtletí 2013. Tržby za tvorbu rozhlasových a televizních programů a vysílání klesají již bezmála dva roky, meziročně </w:t>
            </w:r>
            <w:r w:rsidR="00F067B8">
              <w:rPr>
                <w:color w:val="0D0D0D" w:themeColor="text1" w:themeTint="F2"/>
                <w:spacing w:val="-4"/>
              </w:rPr>
              <w:t>nižší poptávku stále zaznamenával</w:t>
            </w:r>
            <w:r>
              <w:rPr>
                <w:color w:val="0D0D0D" w:themeColor="text1" w:themeTint="F2"/>
                <w:spacing w:val="-4"/>
              </w:rPr>
              <w:t xml:space="preserve"> tzv. filmový a hudební průmysl</w:t>
            </w:r>
            <w:r w:rsidRPr="0013531C">
              <w:rPr>
                <w:rStyle w:val="Znakapoznpodarou"/>
                <w:color w:val="0D0D0D" w:themeColor="text1" w:themeTint="F2"/>
                <w:spacing w:val="-6"/>
              </w:rPr>
              <w:footnoteReference w:id="16"/>
            </w:r>
            <w:r>
              <w:rPr>
                <w:color w:val="0D0D0D" w:themeColor="text1" w:themeTint="F2"/>
                <w:spacing w:val="-4"/>
              </w:rPr>
              <w:t xml:space="preserve">, jenž byl zvlášť citelně zasažen restrikcemi v období pandemie. </w:t>
            </w:r>
          </w:p>
        </w:tc>
      </w:tr>
      <w:tr w:rsidR="009360FA" w:rsidRPr="00C32591" w14:paraId="6DCE83C8" w14:textId="77777777" w:rsidTr="00FD4372">
        <w:trPr>
          <w:trHeight w:val="170"/>
        </w:trPr>
        <w:tc>
          <w:tcPr>
            <w:tcW w:w="1754" w:type="dxa"/>
            <w:tcBorders>
              <w:top w:val="nil"/>
              <w:left w:val="nil"/>
              <w:bottom w:val="nil"/>
              <w:right w:val="nil"/>
            </w:tcBorders>
            <w:shd w:val="clear" w:color="auto" w:fill="auto"/>
            <w:tcMar>
              <w:left w:w="0" w:type="dxa"/>
            </w:tcMar>
          </w:tcPr>
          <w:p w14:paraId="2B410767"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78C5D65A"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58BD3607" w14:textId="77777777" w:rsidR="009360FA" w:rsidRPr="00C32591" w:rsidRDefault="009360FA" w:rsidP="00FD4372">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sidRPr="00C32591">
              <w:rPr>
                <w:spacing w:val="-4"/>
              </w:rPr>
              <w:t>(báze 2015=100,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sidRPr="00C32591">
              <w:rPr>
                <w:b/>
                <w:bCs/>
                <w:spacing w:val="-4"/>
              </w:rPr>
              <w:t xml:space="preserve"> a vybrané bariéry růstu**</w:t>
            </w:r>
            <w:r w:rsidRPr="00C32591">
              <w:rPr>
                <w:b/>
                <w:spacing w:val="-4"/>
              </w:rPr>
              <w:t xml:space="preserve"> </w:t>
            </w:r>
            <w:r w:rsidRPr="00C32591">
              <w:rPr>
                <w:spacing w:val="-4"/>
              </w:rPr>
              <w:t xml:space="preserve">(v %, pravá osa) </w:t>
            </w:r>
          </w:p>
        </w:tc>
      </w:tr>
      <w:tr w:rsidR="009360FA" w:rsidRPr="004C1143" w14:paraId="71F7E988" w14:textId="77777777" w:rsidTr="00FD4372">
        <w:tblPrEx>
          <w:tblCellMar>
            <w:left w:w="70" w:type="dxa"/>
            <w:right w:w="70" w:type="dxa"/>
          </w:tblCellMar>
        </w:tblPrEx>
        <w:trPr>
          <w:trHeight w:val="170"/>
        </w:trPr>
        <w:tc>
          <w:tcPr>
            <w:tcW w:w="1754" w:type="dxa"/>
            <w:tcBorders>
              <w:top w:val="nil"/>
              <w:left w:val="nil"/>
              <w:bottom w:val="nil"/>
              <w:right w:val="nil"/>
            </w:tcBorders>
            <w:shd w:val="clear" w:color="auto" w:fill="auto"/>
          </w:tcPr>
          <w:p w14:paraId="26A2764F" w14:textId="77777777" w:rsidR="009360FA" w:rsidRDefault="009360FA" w:rsidP="00FD4372">
            <w:pPr>
              <w:pStyle w:val="Marginlie"/>
            </w:pPr>
          </w:p>
        </w:tc>
        <w:tc>
          <w:tcPr>
            <w:tcW w:w="185" w:type="dxa"/>
            <w:tcBorders>
              <w:top w:val="nil"/>
              <w:left w:val="nil"/>
              <w:bottom w:val="nil"/>
              <w:right w:val="nil"/>
            </w:tcBorders>
            <w:shd w:val="clear" w:color="auto" w:fill="auto"/>
          </w:tcPr>
          <w:p w14:paraId="41A188D8"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6D0B9FA2" w14:textId="77777777" w:rsidR="009360FA" w:rsidRPr="004C1143" w:rsidRDefault="009360FA" w:rsidP="00FD4372">
            <w:pPr>
              <w:spacing w:after="0"/>
              <w:rPr>
                <w:rFonts w:cs="Arial"/>
                <w:sz w:val="14"/>
                <w:szCs w:val="14"/>
              </w:rPr>
            </w:pPr>
            <w:r>
              <w:rPr>
                <w:noProof/>
              </w:rPr>
              <w:drawing>
                <wp:inline distT="0" distB="0" distL="0" distR="0" wp14:anchorId="259A29B0" wp14:editId="263E02A5">
                  <wp:extent cx="4660117" cy="3636780"/>
                  <wp:effectExtent l="0" t="0" r="7620" b="190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360FA" w:rsidRPr="004C1143" w14:paraId="5C56BADA" w14:textId="77777777" w:rsidTr="00FD4372">
        <w:trPr>
          <w:trHeight w:val="170"/>
        </w:trPr>
        <w:tc>
          <w:tcPr>
            <w:tcW w:w="1754" w:type="dxa"/>
            <w:tcBorders>
              <w:top w:val="nil"/>
              <w:left w:val="nil"/>
              <w:bottom w:val="nil"/>
              <w:right w:val="nil"/>
            </w:tcBorders>
            <w:shd w:val="clear" w:color="auto" w:fill="auto"/>
            <w:tcMar>
              <w:left w:w="0" w:type="dxa"/>
            </w:tcMar>
          </w:tcPr>
          <w:p w14:paraId="4EC704F6"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44162344"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2053AFA3" w14:textId="77777777" w:rsidR="009360FA" w:rsidRPr="00C32591" w:rsidRDefault="009360FA" w:rsidP="00FD4372">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4585C214" w14:textId="77777777" w:rsidR="009360FA" w:rsidRPr="00C32591" w:rsidRDefault="009360FA" w:rsidP="00FD4372">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37734625" w14:textId="77777777" w:rsidR="009360FA" w:rsidRPr="004C1143" w:rsidRDefault="009360FA" w:rsidP="00FD4372">
            <w:pPr>
              <w:spacing w:after="200"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Eurostat</w:t>
            </w:r>
          </w:p>
        </w:tc>
      </w:tr>
      <w:tr w:rsidR="009360FA" w:rsidRPr="00F4751F" w14:paraId="23F377ED" w14:textId="77777777" w:rsidTr="00FD4372">
        <w:trPr>
          <w:trHeight w:val="170"/>
        </w:trPr>
        <w:tc>
          <w:tcPr>
            <w:tcW w:w="1754" w:type="dxa"/>
            <w:tcBorders>
              <w:top w:val="nil"/>
              <w:left w:val="nil"/>
              <w:bottom w:val="nil"/>
              <w:right w:val="nil"/>
            </w:tcBorders>
            <w:shd w:val="clear" w:color="auto" w:fill="auto"/>
            <w:tcMar>
              <w:left w:w="0" w:type="dxa"/>
            </w:tcMar>
          </w:tcPr>
          <w:p w14:paraId="064B2CFE" w14:textId="77777777" w:rsidR="009360FA" w:rsidRDefault="009360FA" w:rsidP="00FD4372">
            <w:pPr>
              <w:pStyle w:val="Marginlie"/>
            </w:pPr>
            <w:r>
              <w:t xml:space="preserve">Významná část podnikových služeb, zejména administrativního </w:t>
            </w:r>
            <w:r>
              <w:br/>
            </w:r>
            <w:r>
              <w:lastRenderedPageBreak/>
              <w:t>a podpůrného charakteru, čelila cyklickému útlumu poptávky.</w:t>
            </w:r>
          </w:p>
          <w:p w14:paraId="0D09C00D" w14:textId="77777777" w:rsidR="009360FA" w:rsidRDefault="009360FA" w:rsidP="00FD4372">
            <w:pPr>
              <w:pStyle w:val="Marginlie"/>
            </w:pPr>
          </w:p>
          <w:p w14:paraId="4A1979E7" w14:textId="77777777" w:rsidR="009360FA" w:rsidRDefault="009360FA" w:rsidP="00FD4372">
            <w:pPr>
              <w:pStyle w:val="Marginlie"/>
            </w:pPr>
            <w:r>
              <w:t xml:space="preserve">Tržby za sofistikovanější služby pro podniky rostly mírným, ale stabilním tempem. </w:t>
            </w:r>
          </w:p>
        </w:tc>
        <w:tc>
          <w:tcPr>
            <w:tcW w:w="185" w:type="dxa"/>
            <w:tcBorders>
              <w:top w:val="nil"/>
              <w:left w:val="nil"/>
              <w:bottom w:val="nil"/>
              <w:right w:val="nil"/>
            </w:tcBorders>
            <w:shd w:val="clear" w:color="auto" w:fill="auto"/>
            <w:tcMar>
              <w:left w:w="0" w:type="dxa"/>
            </w:tcMar>
          </w:tcPr>
          <w:p w14:paraId="4E668230" w14:textId="77777777" w:rsidR="009360FA" w:rsidRPr="001844FE" w:rsidRDefault="009360FA" w:rsidP="00FD4372">
            <w:pPr>
              <w:pStyle w:val="Textpoznpodarou"/>
              <w:jc w:val="both"/>
              <w:rPr>
                <w:spacing w:val="-6"/>
              </w:rPr>
            </w:pPr>
          </w:p>
        </w:tc>
        <w:tc>
          <w:tcPr>
            <w:tcW w:w="7700" w:type="dxa"/>
            <w:tcBorders>
              <w:top w:val="nil"/>
              <w:left w:val="nil"/>
              <w:bottom w:val="nil"/>
              <w:right w:val="nil"/>
            </w:tcBorders>
            <w:shd w:val="clear" w:color="auto" w:fill="auto"/>
            <w:tcMar>
              <w:left w:w="0" w:type="dxa"/>
            </w:tcMar>
          </w:tcPr>
          <w:p w14:paraId="4D9D3B29" w14:textId="77777777" w:rsidR="009360FA" w:rsidRPr="00F4751F" w:rsidRDefault="009360FA" w:rsidP="00FD4372">
            <w:pPr>
              <w:spacing w:after="200"/>
              <w:rPr>
                <w:rFonts w:cs="Arial"/>
                <w:color w:val="0D0D0D" w:themeColor="text1" w:themeTint="F2"/>
                <w:spacing w:val="-6"/>
              </w:rPr>
            </w:pPr>
            <w:r>
              <w:rPr>
                <w:rFonts w:cs="Arial"/>
                <w:color w:val="0D0D0D" w:themeColor="text1" w:themeTint="F2"/>
                <w:spacing w:val="-6"/>
              </w:rPr>
              <w:t xml:space="preserve">Oslabení poptávky postihlo významnou část podnikových služeb. Týkalo se primárně odvětví administrativních a podpůrných činností, které přitom ještě v první polovině loňského roku zažívaly dynamický růst tržeb. Ty se však v 1. čtvrtletí 2023 snížily (o meziročních 3,8 %), </w:t>
            </w:r>
            <w:r>
              <w:rPr>
                <w:rFonts w:cs="Arial"/>
                <w:color w:val="0D0D0D" w:themeColor="text1" w:themeTint="F2"/>
                <w:spacing w:val="-6"/>
              </w:rPr>
              <w:lastRenderedPageBreak/>
              <w:t>zejména kvůli slabší poptávce v oblasti cestovních agentur a</w:t>
            </w:r>
            <w:r w:rsidRPr="00EE5738">
              <w:rPr>
                <w:rFonts w:cs="Arial"/>
                <w:color w:val="0D0D0D" w:themeColor="text1" w:themeTint="F2"/>
                <w:spacing w:val="-6"/>
              </w:rPr>
              <w:t xml:space="preserve"> kanceláří</w:t>
            </w:r>
            <w:r>
              <w:rPr>
                <w:rFonts w:cs="Arial"/>
                <w:color w:val="0D0D0D" w:themeColor="text1" w:themeTint="F2"/>
                <w:spacing w:val="-6"/>
              </w:rPr>
              <w:t xml:space="preserve"> (na rozdíl od počátku loňského roku letos nenastal výrazný zájem lidí o</w:t>
            </w:r>
            <w:r>
              <w:rPr>
                <w:color w:val="0D0D0D" w:themeColor="text1" w:themeTint="F2"/>
                <w:spacing w:val="-4"/>
              </w:rPr>
              <w:t> </w:t>
            </w:r>
            <w:r>
              <w:rPr>
                <w:rFonts w:cs="Arial"/>
                <w:color w:val="0D0D0D" w:themeColor="text1" w:themeTint="F2"/>
                <w:spacing w:val="-6"/>
              </w:rPr>
              <w:t xml:space="preserve">časný nákup letních dovolených). Tržby klesly také v </w:t>
            </w:r>
            <w:r w:rsidRPr="00C60BAD">
              <w:rPr>
                <w:rFonts w:cs="Arial"/>
                <w:color w:val="0D0D0D" w:themeColor="text1" w:themeTint="F2"/>
                <w:spacing w:val="-6"/>
              </w:rPr>
              <w:t>oblastech reagujíc</w:t>
            </w:r>
            <w:r>
              <w:rPr>
                <w:rFonts w:cs="Arial"/>
                <w:color w:val="0D0D0D" w:themeColor="text1" w:themeTint="F2"/>
                <w:spacing w:val="-6"/>
              </w:rPr>
              <w:t xml:space="preserve">ích citlivě na hospodářský cyklus, např. </w:t>
            </w:r>
            <w:r w:rsidRPr="00C60BAD">
              <w:rPr>
                <w:rFonts w:cs="Arial"/>
                <w:color w:val="0D0D0D" w:themeColor="text1" w:themeTint="F2"/>
                <w:spacing w:val="-6"/>
              </w:rPr>
              <w:t>u</w:t>
            </w:r>
            <w:r>
              <w:rPr>
                <w:rFonts w:cs="Arial"/>
                <w:color w:val="0D0D0D" w:themeColor="text1" w:themeTint="F2"/>
                <w:spacing w:val="-6"/>
              </w:rPr>
              <w:t xml:space="preserve"> pronájmu a</w:t>
            </w:r>
            <w:r>
              <w:rPr>
                <w:color w:val="0D0D0D" w:themeColor="text1" w:themeTint="F2"/>
                <w:spacing w:val="-4"/>
              </w:rPr>
              <w:t> </w:t>
            </w:r>
            <w:r w:rsidRPr="00C60BAD">
              <w:rPr>
                <w:rFonts w:cs="Arial"/>
                <w:color w:val="0D0D0D" w:themeColor="text1" w:themeTint="F2"/>
                <w:spacing w:val="-6"/>
              </w:rPr>
              <w:t>operativního leasingu (</w:t>
            </w:r>
            <w:r>
              <w:rPr>
                <w:rFonts w:cs="Arial"/>
                <w:color w:val="0D0D0D" w:themeColor="text1" w:themeTint="F2"/>
                <w:spacing w:val="-6"/>
              </w:rPr>
              <w:t xml:space="preserve">zejména </w:t>
            </w:r>
            <w:r w:rsidRPr="00C60BAD">
              <w:rPr>
                <w:rFonts w:cs="Arial"/>
                <w:color w:val="0D0D0D" w:themeColor="text1" w:themeTint="F2"/>
                <w:spacing w:val="-6"/>
              </w:rPr>
              <w:t>automobilů i strojů</w:t>
            </w:r>
            <w:r>
              <w:rPr>
                <w:rFonts w:cs="Arial"/>
                <w:color w:val="0D0D0D" w:themeColor="text1" w:themeTint="F2"/>
                <w:spacing w:val="-6"/>
              </w:rPr>
              <w:t>) o</w:t>
            </w:r>
            <w:r>
              <w:rPr>
                <w:color w:val="0D0D0D" w:themeColor="text1" w:themeTint="F2"/>
                <w:spacing w:val="-6"/>
              </w:rPr>
              <w:t> </w:t>
            </w:r>
            <w:r>
              <w:rPr>
                <w:rFonts w:cs="Arial"/>
                <w:color w:val="0D0D0D" w:themeColor="text1" w:themeTint="F2"/>
                <w:spacing w:val="-6"/>
              </w:rPr>
              <w:t>3,9 %, hlubší, vleklejší útlum postihl pracovní agentury. Poptávka po drtivé většině dílčích oborů v rámci administrativních a podpůrných činností zůstává citelně pod vrcholem z předpandemické éry (nejvíce u pracovních agentur, kde byly tržby oproti 1. čtvrtletí 2019 o více než čtvrtinu nižší, u cestovních agentur skoro o třetinu). Letos i za „pandemického období“ na tom byly lépe sofistikovanější podnikové služby, jejichž jádro tvoří odvětví p</w:t>
            </w:r>
            <w:r w:rsidRPr="00225452">
              <w:rPr>
                <w:rFonts w:cs="Arial"/>
                <w:color w:val="0D0D0D" w:themeColor="text1" w:themeTint="F2"/>
                <w:spacing w:val="-6"/>
              </w:rPr>
              <w:t>rofesní, vědecké a technické činnosti</w:t>
            </w:r>
            <w:r>
              <w:rPr>
                <w:rFonts w:cs="Arial"/>
                <w:color w:val="0D0D0D" w:themeColor="text1" w:themeTint="F2"/>
                <w:spacing w:val="-6"/>
              </w:rPr>
              <w:t>. Tržby se v nich letos (podobně jako po celý loňský rok) zvyšovaly primárně díky architektonickým a inženýrským činnostem. Mírný, ale stabilní růst poptávky je viditelný i  v p</w:t>
            </w:r>
            <w:r w:rsidRPr="00F4751F">
              <w:rPr>
                <w:rFonts w:cs="Arial"/>
                <w:color w:val="0D0D0D" w:themeColor="text1" w:themeTint="F2"/>
                <w:spacing w:val="-6"/>
              </w:rPr>
              <w:t>rávní</w:t>
            </w:r>
            <w:r>
              <w:rPr>
                <w:rFonts w:cs="Arial"/>
                <w:color w:val="0D0D0D" w:themeColor="text1" w:themeTint="F2"/>
                <w:spacing w:val="-6"/>
              </w:rPr>
              <w:t xml:space="preserve">ch a účetnických činnostech či v poradenství v oblasti řízení. Pozitivní bylo, že se zastavil pokles tržeb v oblasti reklamy, trvající po většinu loňského roku (poptávka zde letos rostla i ve srovnání s posledním loňským kvartálem). </w:t>
            </w:r>
          </w:p>
        </w:tc>
      </w:tr>
      <w:tr w:rsidR="009360FA" w:rsidRPr="00460267" w14:paraId="7F52963A" w14:textId="77777777" w:rsidTr="00FD4372">
        <w:trPr>
          <w:trHeight w:val="170"/>
        </w:trPr>
        <w:tc>
          <w:tcPr>
            <w:tcW w:w="1754" w:type="dxa"/>
            <w:tcBorders>
              <w:top w:val="nil"/>
              <w:left w:val="nil"/>
              <w:bottom w:val="nil"/>
              <w:right w:val="nil"/>
            </w:tcBorders>
            <w:shd w:val="clear" w:color="auto" w:fill="auto"/>
            <w:tcMar>
              <w:left w:w="0" w:type="dxa"/>
            </w:tcMar>
          </w:tcPr>
          <w:p w14:paraId="4E4C8561" w14:textId="77777777" w:rsidR="009360FA" w:rsidRPr="00BD3BE9" w:rsidRDefault="009360FA" w:rsidP="00FD4372">
            <w:pPr>
              <w:pStyle w:val="Marginlie"/>
              <w:rPr>
                <w:color w:val="0D0D0D" w:themeColor="text1" w:themeTint="F2"/>
              </w:rPr>
            </w:pPr>
            <w:r>
              <w:rPr>
                <w:color w:val="0D0D0D" w:themeColor="text1" w:themeTint="F2"/>
              </w:rPr>
              <w:lastRenderedPageBreak/>
              <w:t>Mezikvartální</w:t>
            </w:r>
            <w:r w:rsidRPr="00BD3BE9">
              <w:rPr>
                <w:color w:val="0D0D0D" w:themeColor="text1" w:themeTint="F2"/>
              </w:rPr>
              <w:t xml:space="preserve"> pokles malo</w:t>
            </w:r>
            <w:r>
              <w:rPr>
                <w:color w:val="0D0D0D" w:themeColor="text1" w:themeTint="F2"/>
              </w:rPr>
              <w:t xml:space="preserve">obchodních tržeb pokračoval pošesté </w:t>
            </w:r>
            <w:r w:rsidRPr="00BD3BE9">
              <w:rPr>
                <w:color w:val="0D0D0D" w:themeColor="text1" w:themeTint="F2"/>
              </w:rPr>
              <w:t>v řadě.</w:t>
            </w:r>
          </w:p>
          <w:p w14:paraId="68A5C29C" w14:textId="77777777" w:rsidR="009360FA" w:rsidRDefault="009360FA" w:rsidP="00FD4372">
            <w:pPr>
              <w:pStyle w:val="Marginlie"/>
            </w:pPr>
          </w:p>
          <w:p w14:paraId="3A27DBD9" w14:textId="77777777" w:rsidR="009360FA" w:rsidRDefault="009360FA" w:rsidP="00FD4372">
            <w:pPr>
              <w:pStyle w:val="Marginlie"/>
            </w:pPr>
          </w:p>
          <w:p w14:paraId="2629F35E" w14:textId="77777777" w:rsidR="009360FA" w:rsidRDefault="009360FA" w:rsidP="00FD4372">
            <w:pPr>
              <w:pStyle w:val="Marginlie"/>
            </w:pPr>
          </w:p>
          <w:p w14:paraId="326A2754" w14:textId="77777777" w:rsidR="009360FA" w:rsidRDefault="009360FA" w:rsidP="00FD4372">
            <w:pPr>
              <w:pStyle w:val="Marginlie"/>
            </w:pPr>
          </w:p>
          <w:p w14:paraId="2D73949D" w14:textId="77777777" w:rsidR="009360FA" w:rsidRDefault="009360FA" w:rsidP="00FD4372">
            <w:pPr>
              <w:pStyle w:val="Marginlie"/>
            </w:pPr>
          </w:p>
          <w:p w14:paraId="46190F5F" w14:textId="77777777" w:rsidR="009360FA" w:rsidRDefault="009360FA" w:rsidP="00FD4372">
            <w:pPr>
              <w:pStyle w:val="Marginlie"/>
            </w:pPr>
            <w:r>
              <w:t xml:space="preserve">Velmi silný pesimismus spotřebitelů z konce loňského roku se letos postupně snižoval. Na jaře odpadly obavy lidí z růstu cen. </w:t>
            </w:r>
          </w:p>
          <w:p w14:paraId="4A6F7C2A" w14:textId="77777777" w:rsidR="009360FA" w:rsidRDefault="009360FA" w:rsidP="00FD4372">
            <w:pPr>
              <w:pStyle w:val="Marginlie"/>
            </w:pPr>
          </w:p>
          <w:p w14:paraId="31FB2A21" w14:textId="77777777" w:rsidR="009360FA" w:rsidRDefault="009360FA" w:rsidP="00FD4372">
            <w:pPr>
              <w:pStyle w:val="Marginlie"/>
            </w:pPr>
            <w:r>
              <w:t>Důvěra podnikatelů v obchodě byla mnohem vyšší než u spotřebitelů.</w:t>
            </w:r>
          </w:p>
        </w:tc>
        <w:tc>
          <w:tcPr>
            <w:tcW w:w="185" w:type="dxa"/>
            <w:tcBorders>
              <w:top w:val="nil"/>
              <w:left w:val="nil"/>
              <w:bottom w:val="nil"/>
              <w:right w:val="nil"/>
            </w:tcBorders>
            <w:shd w:val="clear" w:color="auto" w:fill="auto"/>
            <w:tcMar>
              <w:left w:w="0" w:type="dxa"/>
            </w:tcMar>
          </w:tcPr>
          <w:p w14:paraId="0B8C09C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66016AD" w14:textId="2B9EBD39" w:rsidR="009360FA" w:rsidRPr="00460267" w:rsidRDefault="009360FA" w:rsidP="008E6E5D">
            <w:pPr>
              <w:spacing w:after="200"/>
              <w:rPr>
                <w:rFonts w:cs="Arial"/>
                <w:color w:val="0D0D0D" w:themeColor="text1" w:themeTint="F2"/>
                <w:spacing w:val="-5"/>
                <w:szCs w:val="20"/>
              </w:rPr>
            </w:pPr>
            <w:r w:rsidRPr="00460267">
              <w:rPr>
                <w:rFonts w:cs="Arial"/>
                <w:color w:val="0D0D0D" w:themeColor="text1" w:themeTint="F2"/>
                <w:spacing w:val="-5"/>
                <w:szCs w:val="20"/>
              </w:rPr>
              <w:t>T</w:t>
            </w:r>
            <w:r w:rsidRPr="00460267">
              <w:rPr>
                <w:rFonts w:cs="Arial"/>
                <w:color w:val="0D0D0D" w:themeColor="text1" w:themeTint="F2"/>
                <w:spacing w:val="-6"/>
                <w:szCs w:val="20"/>
              </w:rPr>
              <w:t>ržby v maloobchodu</w:t>
            </w:r>
            <w:r w:rsidRPr="00460267">
              <w:rPr>
                <w:rStyle w:val="Znakapoznpodarou"/>
                <w:color w:val="0D0D0D" w:themeColor="text1" w:themeTint="F2"/>
                <w:spacing w:val="-6"/>
              </w:rPr>
              <w:footnoteReference w:id="17"/>
            </w:r>
            <w:r w:rsidRPr="00460267">
              <w:rPr>
                <w:rFonts w:cs="Arial"/>
                <w:color w:val="0D0D0D" w:themeColor="text1" w:themeTint="F2"/>
                <w:spacing w:val="-6"/>
                <w:szCs w:val="20"/>
              </w:rPr>
              <w:t xml:space="preserve"> se v 1. čtvrtletí 2023 mezikvartálně </w:t>
            </w:r>
            <w:r>
              <w:rPr>
                <w:rFonts w:cs="Arial"/>
                <w:color w:val="0D0D0D" w:themeColor="text1" w:themeTint="F2"/>
                <w:spacing w:val="-6"/>
                <w:szCs w:val="20"/>
              </w:rPr>
              <w:t>mírně snížily (o 0,7</w:t>
            </w:r>
            <w:r w:rsidRPr="00460267">
              <w:rPr>
                <w:rFonts w:cs="Arial"/>
                <w:color w:val="0D0D0D" w:themeColor="text1" w:themeTint="F2"/>
                <w:spacing w:val="-6"/>
                <w:szCs w:val="20"/>
              </w:rPr>
              <w:t xml:space="preserve"> %), když klesaly ve všech jeho významných segmentech, v</w:t>
            </w:r>
            <w:r>
              <w:rPr>
                <w:rFonts w:cs="Arial"/>
                <w:color w:val="0D0D0D" w:themeColor="text1" w:themeTint="F2"/>
                <w:spacing w:val="-6"/>
                <w:szCs w:val="20"/>
              </w:rPr>
              <w:t>yjma prodeje pohonných hmot</w:t>
            </w:r>
            <w:r w:rsidRPr="00460267">
              <w:rPr>
                <w:rFonts w:cs="Arial"/>
                <w:color w:val="0D0D0D" w:themeColor="text1" w:themeTint="F2"/>
                <w:spacing w:val="-6"/>
                <w:szCs w:val="20"/>
              </w:rPr>
              <w:t xml:space="preserve">. </w:t>
            </w:r>
            <w:r w:rsidR="008E6E5D">
              <w:rPr>
                <w:rFonts w:cs="Arial"/>
                <w:color w:val="0D0D0D" w:themeColor="text1" w:themeTint="F2"/>
                <w:spacing w:val="-6"/>
                <w:szCs w:val="20"/>
              </w:rPr>
              <w:t>Mezičtvrtletní ú</w:t>
            </w:r>
            <w:r w:rsidRPr="00460267">
              <w:rPr>
                <w:rFonts w:cs="Arial"/>
                <w:color w:val="0D0D0D" w:themeColor="text1" w:themeTint="F2"/>
                <w:spacing w:val="-6"/>
                <w:szCs w:val="20"/>
              </w:rPr>
              <w:t xml:space="preserve">tlum poptávky v maloobchodu tak pokračoval šestý kvartál v řadě (shodně jako celkové výdaje domácností na konečnou spotřebu). Rostly naopak spotřební výdaje nerezidentů související s oživením turismu </w:t>
            </w:r>
            <w:r>
              <w:rPr>
                <w:rFonts w:cs="Arial"/>
                <w:color w:val="0D0D0D" w:themeColor="text1" w:themeTint="F2"/>
                <w:spacing w:val="-6"/>
                <w:szCs w:val="20"/>
              </w:rPr>
              <w:t>nebo</w:t>
            </w:r>
            <w:r w:rsidRPr="00460267">
              <w:rPr>
                <w:rFonts w:cs="Arial"/>
                <w:color w:val="0D0D0D" w:themeColor="text1" w:themeTint="F2"/>
                <w:spacing w:val="-6"/>
                <w:szCs w:val="20"/>
              </w:rPr>
              <w:t xml:space="preserve"> uprchlickou vlnou z Ukrajiny (jejich poměr k celkovým spotřebním vydáním tuzemských domácností je však relativně malý a </w:t>
            </w:r>
            <w:r>
              <w:rPr>
                <w:rFonts w:cs="Arial"/>
                <w:color w:val="0D0D0D" w:themeColor="text1" w:themeTint="F2"/>
                <w:spacing w:val="-6"/>
                <w:szCs w:val="20"/>
              </w:rPr>
              <w:t xml:space="preserve">stále nedosahuje </w:t>
            </w:r>
            <w:r w:rsidRPr="00460267">
              <w:rPr>
                <w:rFonts w:cs="Arial"/>
                <w:color w:val="0D0D0D" w:themeColor="text1" w:themeTint="F2"/>
                <w:spacing w:val="-6"/>
                <w:szCs w:val="20"/>
              </w:rPr>
              <w:t>běžné úrovně z období před pandemií). Meziměsíční pokles maloo</w:t>
            </w:r>
            <w:r>
              <w:rPr>
                <w:rFonts w:cs="Arial"/>
                <w:color w:val="0D0D0D" w:themeColor="text1" w:themeTint="F2"/>
                <w:spacing w:val="-6"/>
                <w:szCs w:val="20"/>
              </w:rPr>
              <w:t>bchodu přetrvával i v dubnu (−0,3</w:t>
            </w:r>
            <w:r w:rsidRPr="00460267">
              <w:rPr>
                <w:rFonts w:cs="Arial"/>
                <w:color w:val="0D0D0D" w:themeColor="text1" w:themeTint="F2"/>
                <w:spacing w:val="-6"/>
                <w:szCs w:val="20"/>
              </w:rPr>
              <w:t xml:space="preserve"> %), kdy celkové tržby dosahovaly reálně jen</w:t>
            </w:r>
            <w:r>
              <w:rPr>
                <w:rFonts w:cs="Arial"/>
                <w:color w:val="0D0D0D" w:themeColor="text1" w:themeTint="F2"/>
                <w:spacing w:val="-6"/>
                <w:szCs w:val="20"/>
              </w:rPr>
              <w:t xml:space="preserve"> úrovně z červn</w:t>
            </w:r>
            <w:r w:rsidRPr="00460267">
              <w:rPr>
                <w:rFonts w:cs="Arial"/>
                <w:color w:val="0D0D0D" w:themeColor="text1" w:themeTint="F2"/>
                <w:spacing w:val="-6"/>
                <w:szCs w:val="20"/>
              </w:rPr>
              <w:t>a 2018, v segmentu potravinářského zboží dokonce pouze</w:t>
            </w:r>
            <w:r>
              <w:rPr>
                <w:rFonts w:cs="Arial"/>
                <w:color w:val="0D0D0D" w:themeColor="text1" w:themeTint="F2"/>
                <w:spacing w:val="-6"/>
                <w:szCs w:val="20"/>
              </w:rPr>
              <w:t xml:space="preserve"> února</w:t>
            </w:r>
            <w:r w:rsidRPr="00460267">
              <w:rPr>
                <w:rFonts w:cs="Arial"/>
                <w:color w:val="0D0D0D" w:themeColor="text1" w:themeTint="F2"/>
                <w:spacing w:val="-6"/>
                <w:szCs w:val="20"/>
              </w:rPr>
              <w:t xml:space="preserve"> 2015 (zatímco v běžných cenách byly </w:t>
            </w:r>
            <w:r w:rsidR="008E6E5D">
              <w:rPr>
                <w:rFonts w:cs="Arial"/>
                <w:color w:val="0D0D0D" w:themeColor="text1" w:themeTint="F2"/>
                <w:spacing w:val="-6"/>
                <w:szCs w:val="20"/>
              </w:rPr>
              <w:t xml:space="preserve">v roce 2023 </w:t>
            </w:r>
            <w:r w:rsidRPr="00460267">
              <w:rPr>
                <w:rFonts w:cs="Arial"/>
                <w:color w:val="0D0D0D" w:themeColor="text1" w:themeTint="F2"/>
                <w:spacing w:val="-6"/>
                <w:szCs w:val="20"/>
              </w:rPr>
              <w:t xml:space="preserve">v obou případech takřka na svých historických maximech). Indikátor důvěry spotřebitelů, jenž ještě loni v prosinci dosahoval hodnoty blízké historického minima, doznal následně mírně pozitivního posunu. </w:t>
            </w:r>
            <w:r>
              <w:rPr>
                <w:rFonts w:cs="Arial"/>
                <w:color w:val="0D0D0D" w:themeColor="text1" w:themeTint="F2"/>
                <w:spacing w:val="-6"/>
                <w:szCs w:val="20"/>
              </w:rPr>
              <w:br/>
            </w:r>
            <w:r w:rsidRPr="00460267">
              <w:rPr>
                <w:rFonts w:cs="Arial"/>
                <w:color w:val="0D0D0D" w:themeColor="text1" w:themeTint="F2"/>
                <w:spacing w:val="-6"/>
                <w:szCs w:val="20"/>
              </w:rPr>
              <w:t>I v květnu 2023 však stále převažovalo negativní hodnocení současné i očekáváné finanční situace domácností a lidé tak zůstali dosti opatrní v oblasti plánování velkých nákupů (zejména zboží s dlouhodobé spotřeby či investic). Pozitivní bylo, že se razantně snížil</w:t>
            </w:r>
            <w:r>
              <w:rPr>
                <w:rFonts w:cs="Arial"/>
                <w:color w:val="0D0D0D" w:themeColor="text1" w:themeTint="F2"/>
                <w:spacing w:val="-6"/>
                <w:szCs w:val="20"/>
              </w:rPr>
              <w:t>a</w:t>
            </w:r>
            <w:r w:rsidRPr="00460267">
              <w:rPr>
                <w:rFonts w:cs="Arial"/>
                <w:color w:val="0D0D0D" w:themeColor="text1" w:themeTint="F2"/>
                <w:spacing w:val="-6"/>
                <w:szCs w:val="20"/>
              </w:rPr>
              <w:t xml:space="preserve"> jejich očekávání dalšího růstu cen. To částečně sdíleli i obchodníci. Jejich celková důvěra letos rostla, byla znatelně vyšší než u spotřebitelů a blížila se dlouhodobému průměru</w:t>
            </w:r>
            <w:r w:rsidRPr="00460267">
              <w:rPr>
                <w:rStyle w:val="Znakapoznpodarou"/>
                <w:color w:val="0D0D0D" w:themeColor="text1" w:themeTint="F2"/>
                <w:spacing w:val="-6"/>
                <w:szCs w:val="20"/>
              </w:rPr>
              <w:footnoteReference w:id="18"/>
            </w:r>
            <w:r w:rsidRPr="00460267">
              <w:rPr>
                <w:rFonts w:cs="Arial"/>
                <w:color w:val="0D0D0D" w:themeColor="text1" w:themeTint="F2"/>
                <w:spacing w:val="-6"/>
                <w:szCs w:val="20"/>
              </w:rPr>
              <w:t>.</w:t>
            </w:r>
          </w:p>
        </w:tc>
      </w:tr>
      <w:tr w:rsidR="009360FA" w:rsidRPr="00460267" w14:paraId="2633B6C8" w14:textId="77777777" w:rsidTr="00FD4372">
        <w:trPr>
          <w:trHeight w:val="170"/>
        </w:trPr>
        <w:tc>
          <w:tcPr>
            <w:tcW w:w="1754" w:type="dxa"/>
            <w:tcBorders>
              <w:top w:val="nil"/>
              <w:left w:val="nil"/>
              <w:bottom w:val="nil"/>
              <w:right w:val="nil"/>
            </w:tcBorders>
            <w:shd w:val="clear" w:color="auto" w:fill="auto"/>
            <w:tcMar>
              <w:left w:w="0" w:type="dxa"/>
            </w:tcMar>
          </w:tcPr>
          <w:p w14:paraId="1E5A35CB" w14:textId="77777777" w:rsidR="009360FA" w:rsidRDefault="009360FA" w:rsidP="00FD4372">
            <w:pPr>
              <w:pStyle w:val="Marginlie"/>
            </w:pPr>
            <w:r>
              <w:t>Za hlubokým meziročním poklesem celého maloobchodu stály nižší tržby za nepotravinářské zboží. Slabší poptávku pocítily takřka všechny sortimentní skupiny.</w:t>
            </w:r>
          </w:p>
          <w:p w14:paraId="05CE7701" w14:textId="77777777" w:rsidR="009360FA" w:rsidRDefault="009360FA" w:rsidP="00FD4372">
            <w:pPr>
              <w:pStyle w:val="Marginlie"/>
            </w:pPr>
          </w:p>
          <w:p w14:paraId="5CB81510" w14:textId="77777777" w:rsidR="009360FA" w:rsidRDefault="009360FA" w:rsidP="00FD4372">
            <w:pPr>
              <w:pStyle w:val="Marginlie"/>
            </w:pPr>
          </w:p>
          <w:p w14:paraId="1D0CED64" w14:textId="77777777" w:rsidR="009360FA" w:rsidRDefault="009360FA" w:rsidP="00FD4372">
            <w:pPr>
              <w:pStyle w:val="Marginlie"/>
            </w:pPr>
          </w:p>
          <w:p w14:paraId="13FBE25C" w14:textId="77777777" w:rsidR="009360FA" w:rsidRDefault="009360FA" w:rsidP="00FD4372">
            <w:pPr>
              <w:pStyle w:val="Marginlie"/>
            </w:pPr>
          </w:p>
          <w:p w14:paraId="41278C68" w14:textId="77777777" w:rsidR="009360FA" w:rsidRDefault="009360FA" w:rsidP="00FD4372">
            <w:pPr>
              <w:pStyle w:val="Marginlie"/>
            </w:pPr>
          </w:p>
          <w:p w14:paraId="25425956" w14:textId="77777777" w:rsidR="009360FA" w:rsidRDefault="009360FA" w:rsidP="00FD4372">
            <w:pPr>
              <w:pStyle w:val="Marginlie"/>
            </w:pPr>
          </w:p>
          <w:p w14:paraId="7D69ECC3" w14:textId="77777777" w:rsidR="009360FA" w:rsidRDefault="009360FA" w:rsidP="00FD4372">
            <w:pPr>
              <w:pStyle w:val="Marginlie"/>
            </w:pPr>
          </w:p>
          <w:p w14:paraId="63AD01B4" w14:textId="77777777" w:rsidR="009360FA" w:rsidRDefault="009360FA" w:rsidP="00FD4372">
            <w:pPr>
              <w:pStyle w:val="Marginlie"/>
            </w:pPr>
            <w:r>
              <w:t>K zastavení poklesu tržeb za pohonné hmoty pomohl příznivý vývoj jejich cen pro motoristy.</w:t>
            </w:r>
          </w:p>
          <w:p w14:paraId="7F2742CF" w14:textId="77777777" w:rsidR="009360FA"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203AF909"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11708F3C" w14:textId="77777777" w:rsidR="009360FA" w:rsidRPr="00460267" w:rsidRDefault="009360FA" w:rsidP="00FD4372">
            <w:pPr>
              <w:spacing w:after="200"/>
              <w:rPr>
                <w:rFonts w:cs="Arial"/>
                <w:color w:val="0D0D0D" w:themeColor="text1" w:themeTint="F2"/>
                <w:spacing w:val="-5"/>
                <w:szCs w:val="20"/>
              </w:rPr>
            </w:pPr>
            <w:r>
              <w:rPr>
                <w:rFonts w:cs="Arial"/>
                <w:color w:val="0D0D0D" w:themeColor="text1" w:themeTint="F2"/>
                <w:spacing w:val="-6"/>
              </w:rPr>
              <w:t xml:space="preserve">Maloobchodní tržby byly letos v 1. čtvrtletí meziročně o 7,8 % nižší. Stejně jako ve 2. pololetí 2022 stála za jejich hlubokým poklesem především slabší poptávka po nepotravinářském zboží. Ta se u tohoto zboží projevila ve všech základních sortimentních skupinách (vyjma oděvů, obuvi a koženého zboží, jejichž prodeje však byly nejvíce zasaženy restrikcemi během pandemie, a letošní tržby u </w:t>
            </w:r>
            <w:r w:rsidRPr="0053651E">
              <w:rPr>
                <w:rFonts w:cs="Arial"/>
                <w:color w:val="0D0D0D" w:themeColor="text1" w:themeTint="F2"/>
                <w:spacing w:val="-6"/>
              </w:rPr>
              <w:t xml:space="preserve">nich </w:t>
            </w:r>
            <w:r>
              <w:rPr>
                <w:rFonts w:cs="Arial"/>
                <w:color w:val="0D0D0D" w:themeColor="text1" w:themeTint="F2"/>
                <w:spacing w:val="-6"/>
              </w:rPr>
              <w:t xml:space="preserve">stále zaostávaly skoro o čtvrtinu </w:t>
            </w:r>
            <w:r w:rsidRPr="0053651E">
              <w:rPr>
                <w:rFonts w:cs="Arial"/>
                <w:color w:val="0D0D0D" w:themeColor="text1" w:themeTint="F2"/>
                <w:spacing w:val="-6"/>
              </w:rPr>
              <w:t>za úrovní z 1. čtvrtletí 2019</w:t>
            </w:r>
            <w:r>
              <w:rPr>
                <w:rFonts w:cs="Arial"/>
                <w:color w:val="0D0D0D" w:themeColor="text1" w:themeTint="F2"/>
                <w:spacing w:val="-6"/>
              </w:rPr>
              <w:t xml:space="preserve">). Meziročně zde nejvíce propadly tržby za </w:t>
            </w:r>
            <w:r w:rsidRPr="00B11432">
              <w:rPr>
                <w:rFonts w:cs="Arial"/>
                <w:color w:val="0D0D0D" w:themeColor="text1" w:themeTint="F2"/>
                <w:spacing w:val="-6"/>
              </w:rPr>
              <w:t>výrobky převážně pro domácnost</w:t>
            </w:r>
            <w:r>
              <w:rPr>
                <w:rStyle w:val="Znakapoznpodarou"/>
                <w:color w:val="0D0D0D" w:themeColor="text1" w:themeTint="F2"/>
                <w:spacing w:val="-6"/>
              </w:rPr>
              <w:footnoteReference w:id="19"/>
            </w:r>
            <w:r>
              <w:rPr>
                <w:rFonts w:cs="Arial"/>
                <w:color w:val="0D0D0D" w:themeColor="text1" w:themeTint="F2"/>
                <w:spacing w:val="-6"/>
              </w:rPr>
              <w:t xml:space="preserve"> (−16,8 %). Naopak jen velmi mírný pokles (do 2 %) nastal u počítačového a komunikačního zařízení, farmaceutického a zdravotnického zboží či kosmetických a toaletních výrobků – ve všech těchto kategoriích letošní tržby současně zřetelně převyšovaly předpandemickou úroveň. To stále platilo i pro </w:t>
            </w:r>
            <w:r w:rsidRPr="00632A8A">
              <w:rPr>
                <w:rFonts w:cs="Arial"/>
                <w:color w:val="0D0D0D" w:themeColor="text1" w:themeTint="F2"/>
                <w:spacing w:val="-6"/>
              </w:rPr>
              <w:t>prodeje prostřednictvím internetu nebo zásilkové služby</w:t>
            </w:r>
            <w:r>
              <w:rPr>
                <w:rFonts w:cs="Arial"/>
                <w:color w:val="0D0D0D" w:themeColor="text1" w:themeTint="F2"/>
                <w:spacing w:val="-6"/>
              </w:rPr>
              <w:t xml:space="preserve"> (+35 %), přestože poptávka zde v posledních osmi čtvrtletích nepřetržitě mezikvartálně klesala. Podobně na tom byli v posledních dvou letech také prodejci potravin. Letos zde tržby zaostaly o 8,3 % za úrovní z 1. čtvrtletí 2022 (obdobným tempem klesly jak ve velkých potravinářských řetězcích, tak i v malých specializovaných prodejnách s potravinami). Pokles tržeb za </w:t>
            </w:r>
            <w:r w:rsidRPr="00211F77">
              <w:rPr>
                <w:rFonts w:cs="Arial"/>
                <w:color w:val="0D0D0D" w:themeColor="text1" w:themeTint="F2"/>
                <w:spacing w:val="-6"/>
              </w:rPr>
              <w:t xml:space="preserve">prodej pohonných </w:t>
            </w:r>
            <w:r w:rsidRPr="00211F77">
              <w:rPr>
                <w:rFonts w:cs="Arial"/>
                <w:color w:val="0D0D0D" w:themeColor="text1" w:themeTint="F2"/>
                <w:spacing w:val="-6"/>
              </w:rPr>
              <w:lastRenderedPageBreak/>
              <w:t>hmot</w:t>
            </w:r>
            <w:r>
              <w:rPr>
                <w:rFonts w:cs="Arial"/>
                <w:color w:val="0D0D0D" w:themeColor="text1" w:themeTint="F2"/>
                <w:spacing w:val="-6"/>
              </w:rPr>
              <w:t xml:space="preserve"> již letos v 1. čtvrtletí nepokračoval (+1 %). Přispěl k tomu příznivý vývoj cen pro motoristy (podpořený také dočasně zavedenou nižší sazbou spotřební daně u motorové nafty)</w:t>
            </w:r>
            <w:r>
              <w:rPr>
                <w:rStyle w:val="Znakapoznpodarou"/>
                <w:color w:val="0D0D0D" w:themeColor="text1" w:themeTint="F2"/>
                <w:spacing w:val="-6"/>
              </w:rPr>
              <w:footnoteReference w:id="20"/>
            </w:r>
            <w:r>
              <w:rPr>
                <w:rFonts w:cs="Arial"/>
                <w:color w:val="0D0D0D" w:themeColor="text1" w:themeTint="F2"/>
                <w:spacing w:val="-6"/>
              </w:rPr>
              <w:t xml:space="preserve">. </w:t>
            </w:r>
          </w:p>
        </w:tc>
      </w:tr>
      <w:tr w:rsidR="009360FA" w:rsidRPr="00460267" w14:paraId="3DBA593C" w14:textId="77777777" w:rsidTr="00FD4372">
        <w:trPr>
          <w:trHeight w:val="170"/>
        </w:trPr>
        <w:tc>
          <w:tcPr>
            <w:tcW w:w="1754" w:type="dxa"/>
            <w:tcBorders>
              <w:top w:val="nil"/>
              <w:left w:val="nil"/>
              <w:bottom w:val="nil"/>
              <w:right w:val="nil"/>
            </w:tcBorders>
            <w:shd w:val="clear" w:color="auto" w:fill="auto"/>
            <w:tcMar>
              <w:left w:w="0" w:type="dxa"/>
            </w:tcMar>
          </w:tcPr>
          <w:p w14:paraId="28F7E329" w14:textId="77777777" w:rsidR="009360FA" w:rsidRPr="00632A8A" w:rsidRDefault="009360FA" w:rsidP="00FD4372">
            <w:pPr>
              <w:pStyle w:val="Marginlie"/>
            </w:pPr>
            <w:r>
              <w:lastRenderedPageBreak/>
              <w:t xml:space="preserve">Poptávka </w:t>
            </w:r>
            <w:r w:rsidRPr="00632A8A">
              <w:t>v motoristickém segmentu obchodu</w:t>
            </w:r>
            <w:r>
              <w:t xml:space="preserve"> ožila</w:t>
            </w:r>
            <w:r w:rsidRPr="00632A8A">
              <w:t>, př</w:t>
            </w:r>
            <w:r>
              <w:t>esto za rokem 2019 stále mírně</w:t>
            </w:r>
            <w:r w:rsidRPr="00632A8A">
              <w:t xml:space="preserve"> zaostával</w:t>
            </w:r>
            <w:r>
              <w:t>a</w:t>
            </w:r>
            <w:r w:rsidRPr="00632A8A">
              <w:t>.</w:t>
            </w:r>
          </w:p>
          <w:p w14:paraId="48D260D4" w14:textId="77777777" w:rsidR="009360FA"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49D9830D"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88561FD" w14:textId="77777777" w:rsidR="009360FA" w:rsidRDefault="009360FA" w:rsidP="00FD4372">
            <w:pPr>
              <w:spacing w:after="0"/>
              <w:rPr>
                <w:rFonts w:cs="Arial"/>
                <w:color w:val="0D0D0D" w:themeColor="text1" w:themeTint="F2"/>
                <w:spacing w:val="-6"/>
              </w:rPr>
            </w:pPr>
            <w:r>
              <w:rPr>
                <w:rFonts w:cs="Arial"/>
                <w:color w:val="0D0D0D" w:themeColor="text1" w:themeTint="F2"/>
                <w:spacing w:val="-6"/>
              </w:rPr>
              <w:t>V motoristickém</w:t>
            </w:r>
            <w:r w:rsidRPr="00632A8A">
              <w:rPr>
                <w:rFonts w:cs="Arial"/>
                <w:color w:val="0D0D0D" w:themeColor="text1" w:themeTint="F2"/>
                <w:spacing w:val="-6"/>
              </w:rPr>
              <w:t xml:space="preserve"> segment</w:t>
            </w:r>
            <w:r>
              <w:rPr>
                <w:rFonts w:cs="Arial"/>
                <w:color w:val="0D0D0D" w:themeColor="text1" w:themeTint="F2"/>
                <w:spacing w:val="-6"/>
              </w:rPr>
              <w:t>u</w:t>
            </w:r>
            <w:r w:rsidRPr="00632A8A">
              <w:rPr>
                <w:rFonts w:cs="Arial"/>
                <w:color w:val="0D0D0D" w:themeColor="text1" w:themeTint="F2"/>
                <w:spacing w:val="-6"/>
              </w:rPr>
              <w:t xml:space="preserve"> obchodu</w:t>
            </w:r>
            <w:r>
              <w:rPr>
                <w:rFonts w:cs="Arial"/>
                <w:color w:val="0D0D0D" w:themeColor="text1" w:themeTint="F2"/>
                <w:spacing w:val="-6"/>
              </w:rPr>
              <w:t xml:space="preserve"> se v 1. čtvrtletí 2023 po bezmála dvou letech zastavil meziroční pokles tržeb. K významnějšímu oživení došlo u samotného obchodu s </w:t>
            </w:r>
            <w:r w:rsidRPr="00FC3C94">
              <w:rPr>
                <w:rFonts w:cs="Arial"/>
                <w:color w:val="0D0D0D" w:themeColor="text1" w:themeTint="F2"/>
                <w:spacing w:val="-6"/>
              </w:rPr>
              <w:t>motorovými vozidly, kromě motocyklů</w:t>
            </w:r>
            <w:r>
              <w:rPr>
                <w:rFonts w:cs="Arial"/>
                <w:color w:val="0D0D0D" w:themeColor="text1" w:themeTint="F2"/>
                <w:spacing w:val="-6"/>
              </w:rPr>
              <w:t xml:space="preserve"> (+11 %), naopak poptávka v o</w:t>
            </w:r>
            <w:r w:rsidRPr="00FC3C94">
              <w:rPr>
                <w:rFonts w:cs="Arial"/>
                <w:color w:val="0D0D0D" w:themeColor="text1" w:themeTint="F2"/>
                <w:spacing w:val="-6"/>
              </w:rPr>
              <w:t>bchod</w:t>
            </w:r>
            <w:r>
              <w:rPr>
                <w:rFonts w:cs="Arial"/>
                <w:color w:val="0D0D0D" w:themeColor="text1" w:themeTint="F2"/>
                <w:spacing w:val="-6"/>
              </w:rPr>
              <w:t>u</w:t>
            </w:r>
            <w:r w:rsidRPr="00FC3C94">
              <w:rPr>
                <w:rFonts w:cs="Arial"/>
                <w:color w:val="0D0D0D" w:themeColor="text1" w:themeTint="F2"/>
                <w:spacing w:val="-6"/>
              </w:rPr>
              <w:t xml:space="preserve"> s díly a příslušenstvím</w:t>
            </w:r>
            <w:r>
              <w:rPr>
                <w:rFonts w:cs="Arial"/>
                <w:color w:val="0D0D0D" w:themeColor="text1" w:themeTint="F2"/>
                <w:spacing w:val="-6"/>
              </w:rPr>
              <w:t xml:space="preserve"> se meziročně zhruba o desetinu snížila a podobně zaostala i za rokem 2019. Předpandemické úrovně tržeb však dosud žádná z kategorií z motoristického segmentu obchodu nedosáhla, byť samotný obchod s motorovými vozidly se jí již těsně přiblížil (−0,6 %).</w:t>
            </w:r>
          </w:p>
          <w:p w14:paraId="700CFFB3" w14:textId="77777777" w:rsidR="009360FA" w:rsidRPr="00460267" w:rsidRDefault="009360FA" w:rsidP="00FD4372">
            <w:pPr>
              <w:spacing w:after="0"/>
              <w:rPr>
                <w:rFonts w:cs="Arial"/>
                <w:color w:val="0D0D0D" w:themeColor="text1" w:themeTint="F2"/>
                <w:spacing w:val="-5"/>
                <w:szCs w:val="20"/>
              </w:rPr>
            </w:pPr>
          </w:p>
        </w:tc>
      </w:tr>
      <w:tr w:rsidR="009360FA" w:rsidRPr="00C73A63" w14:paraId="72DAFE10" w14:textId="77777777" w:rsidTr="00FD4372">
        <w:trPr>
          <w:trHeight w:val="170"/>
        </w:trPr>
        <w:tc>
          <w:tcPr>
            <w:tcW w:w="1754" w:type="dxa"/>
            <w:tcBorders>
              <w:top w:val="nil"/>
              <w:left w:val="nil"/>
              <w:bottom w:val="nil"/>
              <w:right w:val="nil"/>
            </w:tcBorders>
            <w:shd w:val="clear" w:color="auto" w:fill="auto"/>
            <w:tcMar>
              <w:left w:w="0" w:type="dxa"/>
            </w:tcMar>
          </w:tcPr>
          <w:p w14:paraId="30FE1928" w14:textId="77777777" w:rsidR="009360FA" w:rsidRPr="00BD3BE9" w:rsidRDefault="009360FA" w:rsidP="00FD4372">
            <w:pPr>
              <w:pStyle w:val="Marginlie"/>
              <w:rPr>
                <w:color w:val="0D0D0D" w:themeColor="text1" w:themeTint="F2"/>
              </w:rPr>
            </w:pPr>
          </w:p>
        </w:tc>
        <w:tc>
          <w:tcPr>
            <w:tcW w:w="185" w:type="dxa"/>
            <w:tcBorders>
              <w:top w:val="nil"/>
              <w:left w:val="nil"/>
              <w:bottom w:val="nil"/>
              <w:right w:val="nil"/>
            </w:tcBorders>
            <w:shd w:val="clear" w:color="auto" w:fill="auto"/>
            <w:tcMar>
              <w:left w:w="0" w:type="dxa"/>
            </w:tcMar>
          </w:tcPr>
          <w:p w14:paraId="1F17DC84" w14:textId="77777777" w:rsidR="009360FA" w:rsidRPr="00BD3BE9" w:rsidRDefault="009360FA" w:rsidP="00FD4372">
            <w:pPr>
              <w:pStyle w:val="Textpoznpodarou"/>
              <w:jc w:val="both"/>
              <w:rPr>
                <w:color w:val="0D0D0D" w:themeColor="text1" w:themeTint="F2"/>
                <w:spacing w:val="-4"/>
              </w:rPr>
            </w:pPr>
          </w:p>
        </w:tc>
        <w:tc>
          <w:tcPr>
            <w:tcW w:w="7700" w:type="dxa"/>
            <w:tcBorders>
              <w:top w:val="nil"/>
              <w:left w:val="nil"/>
              <w:bottom w:val="nil"/>
              <w:right w:val="nil"/>
            </w:tcBorders>
            <w:shd w:val="clear" w:color="auto" w:fill="auto"/>
            <w:tcMar>
              <w:left w:w="0" w:type="dxa"/>
            </w:tcMar>
          </w:tcPr>
          <w:p w14:paraId="71736447" w14:textId="77777777" w:rsidR="009360FA" w:rsidRPr="00C73A63" w:rsidRDefault="009360FA" w:rsidP="00FD4372">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9360FA" w:rsidRPr="004C1143" w14:paraId="6D6AEDA9" w14:textId="77777777" w:rsidTr="00FD4372">
        <w:tblPrEx>
          <w:tblCellMar>
            <w:left w:w="70" w:type="dxa"/>
            <w:right w:w="70" w:type="dxa"/>
          </w:tblCellMar>
        </w:tblPrEx>
        <w:trPr>
          <w:trHeight w:val="170"/>
        </w:trPr>
        <w:tc>
          <w:tcPr>
            <w:tcW w:w="1754" w:type="dxa"/>
            <w:tcBorders>
              <w:top w:val="nil"/>
              <w:left w:val="nil"/>
              <w:bottom w:val="nil"/>
              <w:right w:val="nil"/>
            </w:tcBorders>
            <w:shd w:val="clear" w:color="auto" w:fill="auto"/>
          </w:tcPr>
          <w:p w14:paraId="565198D5" w14:textId="77777777" w:rsidR="009360FA" w:rsidRDefault="009360FA" w:rsidP="00FD4372">
            <w:pPr>
              <w:pStyle w:val="Marginlie"/>
            </w:pPr>
          </w:p>
        </w:tc>
        <w:tc>
          <w:tcPr>
            <w:tcW w:w="185" w:type="dxa"/>
            <w:tcBorders>
              <w:top w:val="nil"/>
              <w:left w:val="nil"/>
              <w:bottom w:val="nil"/>
              <w:right w:val="nil"/>
            </w:tcBorders>
            <w:shd w:val="clear" w:color="auto" w:fill="auto"/>
          </w:tcPr>
          <w:p w14:paraId="1361084F"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Pr>
          <w:p w14:paraId="0C888BE1" w14:textId="77777777" w:rsidR="009360FA" w:rsidRPr="004C1143" w:rsidRDefault="009360FA" w:rsidP="00FD4372">
            <w:pPr>
              <w:spacing w:after="0"/>
              <w:rPr>
                <w:rFonts w:cs="Arial"/>
                <w:sz w:val="14"/>
                <w:szCs w:val="14"/>
              </w:rPr>
            </w:pPr>
            <w:r>
              <w:rPr>
                <w:noProof/>
              </w:rPr>
              <w:drawing>
                <wp:inline distT="0" distB="0" distL="0" distR="0" wp14:anchorId="33F82A87" wp14:editId="5284502D">
                  <wp:extent cx="4788000" cy="3716118"/>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360FA" w:rsidRPr="004C1143" w14:paraId="5819339E" w14:textId="77777777" w:rsidTr="00FD4372">
        <w:trPr>
          <w:trHeight w:val="170"/>
        </w:trPr>
        <w:tc>
          <w:tcPr>
            <w:tcW w:w="1754" w:type="dxa"/>
            <w:tcBorders>
              <w:top w:val="nil"/>
              <w:left w:val="nil"/>
              <w:bottom w:val="nil"/>
              <w:right w:val="nil"/>
            </w:tcBorders>
            <w:shd w:val="clear" w:color="auto" w:fill="auto"/>
            <w:tcMar>
              <w:left w:w="0" w:type="dxa"/>
            </w:tcMar>
          </w:tcPr>
          <w:p w14:paraId="3A2C4BB4" w14:textId="77777777" w:rsidR="009360FA" w:rsidRDefault="009360FA" w:rsidP="00FD4372">
            <w:pPr>
              <w:pStyle w:val="Marginlie"/>
            </w:pPr>
          </w:p>
        </w:tc>
        <w:tc>
          <w:tcPr>
            <w:tcW w:w="185" w:type="dxa"/>
            <w:tcBorders>
              <w:top w:val="nil"/>
              <w:left w:val="nil"/>
              <w:bottom w:val="nil"/>
              <w:right w:val="nil"/>
            </w:tcBorders>
            <w:shd w:val="clear" w:color="auto" w:fill="auto"/>
            <w:tcMar>
              <w:left w:w="0" w:type="dxa"/>
            </w:tcMar>
          </w:tcPr>
          <w:p w14:paraId="50611407" w14:textId="77777777" w:rsidR="009360FA" w:rsidRDefault="009360FA" w:rsidP="00FD4372">
            <w:pPr>
              <w:pStyle w:val="Textpoznpodarou"/>
              <w:jc w:val="both"/>
              <w:rPr>
                <w:spacing w:val="-4"/>
              </w:rPr>
            </w:pPr>
          </w:p>
        </w:tc>
        <w:tc>
          <w:tcPr>
            <w:tcW w:w="7700" w:type="dxa"/>
            <w:tcBorders>
              <w:top w:val="nil"/>
              <w:left w:val="nil"/>
              <w:bottom w:val="nil"/>
              <w:right w:val="nil"/>
            </w:tcBorders>
            <w:shd w:val="clear" w:color="auto" w:fill="auto"/>
            <w:tcMar>
              <w:left w:w="0" w:type="dxa"/>
            </w:tcMar>
          </w:tcPr>
          <w:p w14:paraId="374A3001" w14:textId="77777777" w:rsidR="009360FA" w:rsidRPr="00052ADA" w:rsidRDefault="009360FA" w:rsidP="00FD4372">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34205993" w14:textId="77777777" w:rsidR="009360FA" w:rsidRPr="004C1143" w:rsidRDefault="009360FA" w:rsidP="00FD4372">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237CCCAB" w14:textId="77777777" w:rsidR="00E87D5B" w:rsidRPr="00E42054" w:rsidRDefault="00E87D5B" w:rsidP="00E87D5B">
      <w:pPr>
        <w:pStyle w:val="Nadpis11"/>
        <w:rPr>
          <w:b w:val="0"/>
          <w:sz w:val="2"/>
          <w:szCs w:val="2"/>
        </w:rPr>
      </w:pPr>
    </w:p>
    <w:p w14:paraId="401E4657" w14:textId="77777777" w:rsidR="004A3BE4" w:rsidRPr="001C3855" w:rsidRDefault="004A3BE4" w:rsidP="004A3BE4">
      <w:pPr>
        <w:pStyle w:val="Nadpis11"/>
        <w:rPr>
          <w:sz w:val="2"/>
          <w:szCs w:val="2"/>
        </w:rPr>
      </w:pPr>
      <w:bookmarkStart w:id="7" w:name="_GoBack"/>
      <w:bookmarkEnd w:id="0"/>
      <w:bookmarkEnd w:id="1"/>
      <w:bookmarkEnd w:id="2"/>
      <w:bookmarkEnd w:id="3"/>
      <w:bookmarkEnd w:id="4"/>
      <w:bookmarkEnd w:id="5"/>
      <w:bookmarkEnd w:id="7"/>
    </w:p>
    <w:p w14:paraId="6D687C14" w14:textId="50D73027" w:rsidR="001C3855" w:rsidRPr="001C3855" w:rsidRDefault="001C3855" w:rsidP="00C15537">
      <w:pPr>
        <w:pStyle w:val="Nadpis11"/>
        <w:rPr>
          <w:sz w:val="2"/>
          <w:szCs w:val="2"/>
        </w:rPr>
      </w:pPr>
    </w:p>
    <w:sectPr w:rsidR="001C3855" w:rsidRPr="001C3855" w:rsidSect="001A4E84">
      <w:headerReference w:type="even" r:id="rId17"/>
      <w:headerReference w:type="default" r:id="rId18"/>
      <w:footerReference w:type="even" r:id="rId19"/>
      <w:footerReference w:type="default" r:id="rId20"/>
      <w:pgSz w:w="11906" w:h="16838" w:code="9"/>
      <w:pgMar w:top="1134" w:right="1134" w:bottom="1418" w:left="1134" w:header="680" w:footer="73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D7EE" w14:textId="77777777" w:rsidR="003D20A2" w:rsidRDefault="003D20A2" w:rsidP="00E71A58">
      <w:r>
        <w:separator/>
      </w:r>
    </w:p>
  </w:endnote>
  <w:endnote w:type="continuationSeparator" w:id="0">
    <w:p w14:paraId="0D5A1116" w14:textId="77777777" w:rsidR="003D20A2" w:rsidRDefault="003D20A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A239978" w:rsidR="00D652EB" w:rsidRPr="00932443" w:rsidRDefault="00D652E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A4E84">
      <w:rPr>
        <w:szCs w:val="16"/>
      </w:rPr>
      <w:t>18</w:t>
    </w:r>
    <w:r w:rsidRPr="00932443">
      <w:rPr>
        <w:szCs w:val="16"/>
      </w:rPr>
      <w:fldChar w:fldCharType="end"/>
    </w:r>
    <w:r w:rsidRPr="00932443">
      <w:rPr>
        <w:szCs w:val="16"/>
      </w:rPr>
      <w:tab/>
    </w:r>
    <w:r>
      <w:rPr>
        <w:szCs w:val="16"/>
      </w:rPr>
      <w:t>1.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687BD3AF" w:rsidR="00D652EB" w:rsidRPr="00932443" w:rsidRDefault="00D652EB"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A4E84">
      <w:rPr>
        <w:rStyle w:val="ZpatChar"/>
        <w:szCs w:val="16"/>
      </w:rPr>
      <w:t>19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A1B49" w14:textId="77777777" w:rsidR="003D20A2" w:rsidRDefault="003D20A2" w:rsidP="00A21B4D">
      <w:pPr>
        <w:spacing w:after="0"/>
      </w:pPr>
      <w:r>
        <w:separator/>
      </w:r>
    </w:p>
  </w:footnote>
  <w:footnote w:type="continuationSeparator" w:id="0">
    <w:p w14:paraId="54808614" w14:textId="77777777" w:rsidR="003D20A2" w:rsidRDefault="003D20A2" w:rsidP="00E71A58">
      <w:r>
        <w:continuationSeparator/>
      </w:r>
    </w:p>
  </w:footnote>
  <w:footnote w:id="1">
    <w:p w14:paraId="3904A959" w14:textId="77777777" w:rsidR="00D652EB" w:rsidRPr="007163BD" w:rsidRDefault="00D652EB" w:rsidP="009360FA">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2">
    <w:p w14:paraId="02E19925" w14:textId="77777777" w:rsidR="00D652EB" w:rsidRPr="008C2F46" w:rsidRDefault="00D652EB" w:rsidP="009360FA">
      <w:pPr>
        <w:pStyle w:val="Textpoznpodarou"/>
        <w:rPr>
          <w:spacing w:val="-2"/>
          <w:sz w:val="16"/>
          <w:szCs w:val="16"/>
        </w:rPr>
      </w:pPr>
      <w:r w:rsidRPr="008C2F46">
        <w:rPr>
          <w:rStyle w:val="Znakapoznpodarou"/>
          <w:spacing w:val="-2"/>
          <w:sz w:val="16"/>
          <w:szCs w:val="16"/>
        </w:rPr>
        <w:footnoteRef/>
      </w:r>
      <w:r w:rsidRPr="008C2F46">
        <w:rPr>
          <w:spacing w:val="-2"/>
          <w:sz w:val="16"/>
          <w:szCs w:val="16"/>
        </w:rPr>
        <w:t xml:space="preserve"> V živočišné výrobě pokračoval pokles fyzické výroby masa na jatkách (jenž nastal loni v celém masném segmentu), hlavně u vepřového masa (v důsledku nižších stavů prasat ve výkrmu i snížením průměrné porážk</w:t>
      </w:r>
      <w:r>
        <w:rPr>
          <w:spacing w:val="-2"/>
          <w:sz w:val="16"/>
          <w:szCs w:val="16"/>
        </w:rPr>
        <w:t>ové hmotnosti). Naopak situace v</w:t>
      </w:r>
      <w:r w:rsidRPr="008C2F46">
        <w:rPr>
          <w:spacing w:val="-2"/>
          <w:sz w:val="16"/>
          <w:szCs w:val="16"/>
        </w:rPr>
        <w:t xml:space="preserve">e výrobě hovězího </w:t>
      </w:r>
      <w:r>
        <w:rPr>
          <w:spacing w:val="-2"/>
          <w:sz w:val="16"/>
          <w:szCs w:val="16"/>
        </w:rPr>
        <w:br/>
        <w:t>a</w:t>
      </w:r>
      <w:r w:rsidRPr="008C2F46">
        <w:rPr>
          <w:spacing w:val="-2"/>
          <w:sz w:val="16"/>
          <w:szCs w:val="16"/>
        </w:rPr>
        <w:t xml:space="preserve"> drůbežího masa byla stabilizovaná. Hrubá tuzemská produkce hovězího i drůbežího meziročně nepatrně vzrostla, zároveň se ale prohloubil schodek pohybu přes hranice ČR s těmito druhy masa. U vepřového se hluboký schodek obchodu meziročně zmírnil, došlo </w:t>
      </w:r>
      <w:r>
        <w:rPr>
          <w:spacing w:val="-2"/>
          <w:sz w:val="16"/>
          <w:szCs w:val="16"/>
        </w:rPr>
        <w:br/>
      </w:r>
      <w:r w:rsidRPr="008C2F46">
        <w:rPr>
          <w:spacing w:val="-2"/>
          <w:sz w:val="16"/>
          <w:szCs w:val="16"/>
        </w:rPr>
        <w:t>k poklesu vývozu i dovozu. Pokračoval trend mírného růstu nákupů fyzického množství mléka (od tuzemských producentů). Živočišnou výrobu sužovaly dopady silného růstu nákladů (krmiv, energií) i důsledky šíření chorob zvířat, což se projevovalo klesající rentabilitou chovů.</w:t>
      </w:r>
    </w:p>
  </w:footnote>
  <w:footnote w:id="3">
    <w:p w14:paraId="23BCE3CE" w14:textId="77777777" w:rsidR="00D652EB" w:rsidRPr="008C2F46" w:rsidRDefault="00D652EB" w:rsidP="009360FA">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8C2F46">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4">
    <w:p w14:paraId="207C14A1" w14:textId="77777777" w:rsidR="00D652EB" w:rsidRPr="00AF5F38" w:rsidRDefault="00D652EB" w:rsidP="009360FA">
      <w:pPr>
        <w:pStyle w:val="Textpoznpodarou"/>
        <w:rPr>
          <w:sz w:val="16"/>
          <w:szCs w:val="16"/>
        </w:rPr>
      </w:pPr>
      <w:r w:rsidRPr="008C2F46">
        <w:rPr>
          <w:rStyle w:val="Znakapoznpodarou"/>
          <w:sz w:val="16"/>
          <w:szCs w:val="16"/>
        </w:rPr>
        <w:footnoteRef/>
      </w:r>
      <w:r w:rsidRPr="008C2F46">
        <w:rPr>
          <w:sz w:val="16"/>
          <w:szCs w:val="16"/>
        </w:rPr>
        <w:t xml:space="preserve"> Dle Sdružení</w:t>
      </w:r>
      <w:r w:rsidRPr="00033208">
        <w:rPr>
          <w:sz w:val="16"/>
          <w:szCs w:val="16"/>
        </w:rPr>
        <w:t xml:space="preserve"> automobilového pr</w:t>
      </w:r>
      <w:r>
        <w:rPr>
          <w:sz w:val="16"/>
          <w:szCs w:val="16"/>
        </w:rPr>
        <w:t xml:space="preserve">ůmyslu bylo letos </w:t>
      </w:r>
      <w:r w:rsidRPr="00033208">
        <w:rPr>
          <w:sz w:val="16"/>
          <w:szCs w:val="16"/>
        </w:rPr>
        <w:t xml:space="preserve">v Česku </w:t>
      </w:r>
      <w:r>
        <w:rPr>
          <w:sz w:val="16"/>
          <w:szCs w:val="16"/>
        </w:rPr>
        <w:t>od ledna do dubna</w:t>
      </w:r>
      <w:r w:rsidRPr="00033208">
        <w:rPr>
          <w:sz w:val="16"/>
          <w:szCs w:val="16"/>
        </w:rPr>
        <w:t xml:space="preserve"> </w:t>
      </w:r>
      <w:r>
        <w:rPr>
          <w:sz w:val="16"/>
          <w:szCs w:val="16"/>
        </w:rPr>
        <w:t>vyrobeno 464 tis. osobních automobilů (nejvíce v tomto období za poslední čtyři roky). Výroba meziročně posílila o 29 %, úrovně z rekordního roku 2018 však stále nedosahovala (o 6 %).</w:t>
      </w:r>
      <w:r w:rsidRPr="008C2F46">
        <w:rPr>
          <w:spacing w:val="-3"/>
          <w:sz w:val="16"/>
          <w:szCs w:val="16"/>
        </w:rPr>
        <w:t xml:space="preserve"> </w:t>
      </w:r>
      <w:r>
        <w:rPr>
          <w:spacing w:val="-3"/>
          <w:sz w:val="16"/>
          <w:szCs w:val="16"/>
        </w:rPr>
        <w:t>Již více než osmina vyrobených osobních automobilů</w:t>
      </w:r>
      <w:r w:rsidRPr="00E04667">
        <w:rPr>
          <w:spacing w:val="-3"/>
          <w:sz w:val="16"/>
          <w:szCs w:val="16"/>
        </w:rPr>
        <w:t xml:space="preserve"> </w:t>
      </w:r>
      <w:r>
        <w:rPr>
          <w:spacing w:val="-3"/>
          <w:sz w:val="16"/>
          <w:szCs w:val="16"/>
        </w:rPr>
        <w:t>připadala na elektrická vozidla (vč. vozů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p>
  </w:footnote>
  <w:footnote w:id="5">
    <w:p w14:paraId="53303735" w14:textId="77777777" w:rsidR="00D652EB" w:rsidRPr="00975BF3" w:rsidRDefault="00D652EB" w:rsidP="009360FA">
      <w:pPr>
        <w:pStyle w:val="Textpoznpodarou"/>
        <w:rPr>
          <w:sz w:val="16"/>
          <w:szCs w:val="16"/>
        </w:rPr>
      </w:pPr>
      <w:r w:rsidRPr="00975BF3">
        <w:rPr>
          <w:rStyle w:val="Znakapoznpodarou"/>
          <w:sz w:val="16"/>
          <w:szCs w:val="16"/>
        </w:rPr>
        <w:footnoteRef/>
      </w:r>
      <w:r w:rsidRPr="00975BF3">
        <w:rPr>
          <w:sz w:val="16"/>
          <w:szCs w:val="16"/>
        </w:rPr>
        <w:t xml:space="preserve"> Dle předběžných údajů Energetického regulačního úřadu poklesla v 1. čtvrtletí 2023 celková čistá spotřeba elektřiny v ČR meziročně </w:t>
      </w:r>
      <w:r>
        <w:rPr>
          <w:sz w:val="16"/>
          <w:szCs w:val="16"/>
        </w:rPr>
        <w:br/>
      </w:r>
      <w:r w:rsidRPr="00975BF3">
        <w:rPr>
          <w:sz w:val="16"/>
          <w:szCs w:val="16"/>
        </w:rPr>
        <w:t>o 5,2</w:t>
      </w:r>
      <w:r>
        <w:rPr>
          <w:sz w:val="16"/>
          <w:szCs w:val="16"/>
        </w:rPr>
        <w:t xml:space="preserve"> %. K větším úsporám došlo </w:t>
      </w:r>
      <w:r w:rsidRPr="00975BF3">
        <w:rPr>
          <w:sz w:val="16"/>
          <w:szCs w:val="16"/>
        </w:rPr>
        <w:t xml:space="preserve">u plynu </w:t>
      </w:r>
      <w:r>
        <w:rPr>
          <w:sz w:val="16"/>
          <w:szCs w:val="16"/>
        </w:rPr>
        <w:t>–</w:t>
      </w:r>
      <w:r w:rsidRPr="00975BF3">
        <w:rPr>
          <w:sz w:val="16"/>
          <w:szCs w:val="16"/>
        </w:rPr>
        <w:t xml:space="preserve"> celkově o 13,2 %, po přepočtu na dlouhodobý teplotní normál o 10,8 %.</w:t>
      </w:r>
    </w:p>
  </w:footnote>
  <w:footnote w:id="6">
    <w:p w14:paraId="7BC2DA78" w14:textId="77777777" w:rsidR="00D652EB" w:rsidRPr="00F33536" w:rsidRDefault="00D652EB" w:rsidP="009360FA">
      <w:pPr>
        <w:pStyle w:val="Textpoznpodarou"/>
        <w:jc w:val="both"/>
        <w:rPr>
          <w:spacing w:val="-2"/>
          <w:sz w:val="16"/>
          <w:szCs w:val="16"/>
        </w:rPr>
      </w:pPr>
      <w:r w:rsidRPr="00F33536">
        <w:rPr>
          <w:rStyle w:val="Znakapoznpodarou"/>
          <w:spacing w:val="-2"/>
          <w:sz w:val="16"/>
          <w:szCs w:val="16"/>
        </w:rPr>
        <w:footnoteRef/>
      </w:r>
      <w:r w:rsidRPr="00F33536">
        <w:rPr>
          <w:spacing w:val="-2"/>
          <w:sz w:val="16"/>
          <w:szCs w:val="16"/>
        </w:rPr>
        <w:t xml:space="preserve"> </w:t>
      </w:r>
      <w:r>
        <w:rPr>
          <w:spacing w:val="-2"/>
          <w:sz w:val="16"/>
          <w:szCs w:val="16"/>
        </w:rPr>
        <w:t xml:space="preserve">Jde o tržby z průmyslové činnosti. </w:t>
      </w:r>
      <w:r w:rsidRPr="00F33536">
        <w:rPr>
          <w:rFonts w:cs="Arial"/>
          <w:color w:val="0D0D0D" w:themeColor="text1" w:themeTint="F2"/>
          <w:spacing w:val="-2"/>
          <w:sz w:val="16"/>
          <w:szCs w:val="16"/>
        </w:rPr>
        <w:t>Meziroční tempa tržeb jsou očištěna o kalendářní vlivy.</w:t>
      </w:r>
    </w:p>
  </w:footnote>
  <w:footnote w:id="7">
    <w:p w14:paraId="7D443536" w14:textId="77777777" w:rsidR="00D652EB" w:rsidRPr="00FB58F4" w:rsidRDefault="00D652EB" w:rsidP="009360FA">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sou očištěna o kalendářní vlivy, mezikvartální tempa také o vliv sezónnosti.</w:t>
      </w:r>
    </w:p>
  </w:footnote>
  <w:footnote w:id="8">
    <w:p w14:paraId="3CBA5021" w14:textId="77777777" w:rsidR="00D652EB" w:rsidRPr="006B7619" w:rsidRDefault="00D652EB" w:rsidP="009360FA">
      <w:pPr>
        <w:pStyle w:val="Textpoznpodarou"/>
        <w:rPr>
          <w:sz w:val="16"/>
          <w:szCs w:val="16"/>
        </w:rPr>
      </w:pPr>
      <w:r w:rsidRPr="006B7619">
        <w:rPr>
          <w:rStyle w:val="Znakapoznpodarou"/>
          <w:sz w:val="16"/>
          <w:szCs w:val="16"/>
        </w:rPr>
        <w:footnoteRef/>
      </w:r>
      <w:r w:rsidRPr="006B7619">
        <w:rPr>
          <w:sz w:val="16"/>
          <w:szCs w:val="16"/>
        </w:rPr>
        <w:t xml:space="preserve"> Mezičtvrtletní srovnání by v 1. čtvrtletí 2023 již nemělo být výrazněji zatíženo rušivými cenovými vlivy, neboť </w:t>
      </w:r>
      <w:r>
        <w:rPr>
          <w:sz w:val="16"/>
          <w:szCs w:val="16"/>
        </w:rPr>
        <w:t xml:space="preserve">na přelomu let 2022 </w:t>
      </w:r>
      <w:r>
        <w:rPr>
          <w:sz w:val="16"/>
          <w:szCs w:val="16"/>
        </w:rPr>
        <w:br/>
        <w:t xml:space="preserve">a 2023 stagnovaly </w:t>
      </w:r>
      <w:r w:rsidRPr="006B7619">
        <w:rPr>
          <w:sz w:val="16"/>
          <w:szCs w:val="16"/>
        </w:rPr>
        <w:t>ceny výrobců ve zpracovatelském průmyslu</w:t>
      </w:r>
      <w:r>
        <w:rPr>
          <w:sz w:val="16"/>
          <w:szCs w:val="16"/>
        </w:rPr>
        <w:t>.</w:t>
      </w:r>
    </w:p>
  </w:footnote>
  <w:footnote w:id="9">
    <w:p w14:paraId="52A0D109" w14:textId="77777777" w:rsidR="00D652EB" w:rsidRPr="00AF44D9" w:rsidRDefault="00D652EB" w:rsidP="009360FA">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w:t>
      </w:r>
    </w:p>
  </w:footnote>
  <w:footnote w:id="10">
    <w:p w14:paraId="7E80384F" w14:textId="77777777" w:rsidR="00D652EB" w:rsidRPr="002F35D0" w:rsidRDefault="00D652EB" w:rsidP="009360FA">
      <w:pPr>
        <w:pStyle w:val="Textpoznpodarou"/>
        <w:rPr>
          <w:spacing w:val="-2"/>
          <w:sz w:val="16"/>
          <w:szCs w:val="16"/>
        </w:rPr>
      </w:pPr>
      <w:r w:rsidRPr="002F35D0">
        <w:rPr>
          <w:rStyle w:val="Znakapoznpodarou"/>
          <w:spacing w:val="-2"/>
          <w:sz w:val="16"/>
          <w:szCs w:val="16"/>
        </w:rPr>
        <w:footnoteRef/>
      </w:r>
      <w:r w:rsidRPr="002F35D0">
        <w:rPr>
          <w:spacing w:val="-2"/>
          <w:sz w:val="16"/>
          <w:szCs w:val="16"/>
        </w:rPr>
        <w:t xml:space="preserve"> Ty přetrvávají od konce loňského října. </w:t>
      </w:r>
      <w:r w:rsidRPr="002F35D0">
        <w:rPr>
          <w:sz w:val="16"/>
          <w:szCs w:val="16"/>
        </w:rPr>
        <w:t>To se již začalo projevovat na „tvrdých“ datech – evidenční počet zaměstnanců v</w:t>
      </w:r>
      <w:r>
        <w:rPr>
          <w:sz w:val="16"/>
          <w:szCs w:val="16"/>
        </w:rPr>
        <w:t> průmyslu v</w:t>
      </w:r>
      <w:r w:rsidRPr="002F35D0">
        <w:rPr>
          <w:sz w:val="16"/>
          <w:szCs w:val="16"/>
        </w:rPr>
        <w:t xml:space="preserve"> 1. čtvrtletí 2023 </w:t>
      </w:r>
      <w:r>
        <w:rPr>
          <w:sz w:val="16"/>
          <w:szCs w:val="16"/>
        </w:rPr>
        <w:t>meziročně o 0,7</w:t>
      </w:r>
      <w:r w:rsidRPr="002F35D0">
        <w:rPr>
          <w:sz w:val="16"/>
          <w:szCs w:val="16"/>
        </w:rPr>
        <w:t xml:space="preserve"> % poklesl.</w:t>
      </w:r>
    </w:p>
  </w:footnote>
  <w:footnote w:id="11">
    <w:p w14:paraId="17FD1A13" w14:textId="77777777" w:rsidR="00D652EB" w:rsidRPr="002D2942" w:rsidRDefault="00D652EB" w:rsidP="009360FA">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12">
    <w:p w14:paraId="63DE099E" w14:textId="77777777" w:rsidR="00D652EB" w:rsidRPr="00E62461" w:rsidRDefault="00D652EB" w:rsidP="009360FA">
      <w:pPr>
        <w:pStyle w:val="Textpoznpodarou"/>
        <w:rPr>
          <w:spacing w:val="-2"/>
          <w:sz w:val="16"/>
          <w:szCs w:val="16"/>
        </w:rPr>
      </w:pPr>
      <w:r w:rsidRPr="00E62461">
        <w:rPr>
          <w:rStyle w:val="Znakapoznpodarou"/>
          <w:spacing w:val="-2"/>
          <w:sz w:val="16"/>
          <w:szCs w:val="16"/>
        </w:rPr>
        <w:footnoteRef/>
      </w:r>
      <w:r w:rsidRPr="00E62461">
        <w:rPr>
          <w:spacing w:val="-2"/>
          <w:sz w:val="16"/>
          <w:szCs w:val="16"/>
        </w:rPr>
        <w:t xml:space="preserve"> Ten letos </w:t>
      </w:r>
      <w:r>
        <w:rPr>
          <w:spacing w:val="-2"/>
          <w:sz w:val="16"/>
          <w:szCs w:val="16"/>
        </w:rPr>
        <w:t xml:space="preserve">v </w:t>
      </w:r>
      <w:r w:rsidRPr="00E62461">
        <w:rPr>
          <w:spacing w:val="-2"/>
          <w:sz w:val="16"/>
          <w:szCs w:val="16"/>
        </w:rPr>
        <w:t>dubnu uvedlo jako jednu z růstových bariér 37 % stavebních firem. Tento problém byl zvlášť palčivý v segmentu specializovaných stavebních činností (kde hrají významnou roli malé a střední firmy) a také v inženýrském stavitelství (s dominancí velkých podniků). Naopak ve výstavbě budov sužuje letos podniky nejvíce nedostatečná poptávka (týká se skoro poloviny firem).</w:t>
      </w:r>
    </w:p>
  </w:footnote>
  <w:footnote w:id="13">
    <w:p w14:paraId="5823CD83" w14:textId="77777777" w:rsidR="00D652EB" w:rsidRPr="00E62461" w:rsidRDefault="00D652EB" w:rsidP="009360FA">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14">
    <w:p w14:paraId="708FEFA1" w14:textId="06DF7B61" w:rsidR="00D652EB" w:rsidRDefault="00D652EB" w:rsidP="009360FA">
      <w:pPr>
        <w:pStyle w:val="Textpoznpodarou"/>
        <w:rPr>
          <w:spacing w:val="-2"/>
          <w:sz w:val="16"/>
          <w:szCs w:val="16"/>
        </w:rPr>
      </w:pPr>
      <w:r w:rsidRPr="00E62461">
        <w:rPr>
          <w:rStyle w:val="Znakapoznpodarou"/>
          <w:spacing w:val="-2"/>
          <w:sz w:val="16"/>
          <w:szCs w:val="16"/>
        </w:rPr>
        <w:footnoteRef/>
      </w:r>
      <w:r w:rsidRPr="00E62461">
        <w:rPr>
          <w:spacing w:val="-2"/>
          <w:sz w:val="16"/>
          <w:szCs w:val="16"/>
        </w:rPr>
        <w:t xml:space="preserve"> Počet hostů i jejich přenocování v hromadných ubytovacích zařízeních (HUZ) v ČR se meziročně zvyšoval osmý kvartál v řadě. </w:t>
      </w:r>
      <w:r>
        <w:rPr>
          <w:spacing w:val="-2"/>
          <w:sz w:val="16"/>
          <w:szCs w:val="16"/>
        </w:rPr>
        <w:br/>
      </w:r>
      <w:r w:rsidRPr="00E62461">
        <w:rPr>
          <w:spacing w:val="-2"/>
          <w:sz w:val="16"/>
          <w:szCs w:val="16"/>
        </w:rPr>
        <w:t>V 1.</w:t>
      </w:r>
      <w:r>
        <w:rPr>
          <w:spacing w:val="-2"/>
          <w:sz w:val="16"/>
          <w:szCs w:val="16"/>
        </w:rPr>
        <w:t xml:space="preserve"> čtvrtletí 2023 tak přijelo o 36</w:t>
      </w:r>
      <w:r w:rsidRPr="00E62461">
        <w:rPr>
          <w:spacing w:val="-2"/>
          <w:sz w:val="16"/>
          <w:szCs w:val="16"/>
        </w:rPr>
        <w:t xml:space="preserve"> % hostů více a jejich přenocování přibylo</w:t>
      </w:r>
      <w:r>
        <w:rPr>
          <w:spacing w:val="-2"/>
          <w:sz w:val="16"/>
          <w:szCs w:val="16"/>
        </w:rPr>
        <w:t xml:space="preserve"> o 26 %. K vyšším</w:t>
      </w:r>
      <w:r w:rsidRPr="00E62461">
        <w:rPr>
          <w:spacing w:val="-2"/>
          <w:sz w:val="16"/>
          <w:szCs w:val="16"/>
        </w:rPr>
        <w:t>u počtu přenocování letos (stejně jako po celé 2. pololetí 2022) zásadně přispěli zahraniční hosté, neboť přenocování rezidentů přibylo jen o 2,9 % (nerezidentů o 81,9 %)</w:t>
      </w:r>
      <w:r>
        <w:rPr>
          <w:spacing w:val="-2"/>
          <w:sz w:val="16"/>
          <w:szCs w:val="16"/>
        </w:rPr>
        <w:t>. O meziroční</w:t>
      </w:r>
      <w:r w:rsidRPr="00E62461">
        <w:rPr>
          <w:spacing w:val="-2"/>
          <w:sz w:val="16"/>
          <w:szCs w:val="16"/>
        </w:rPr>
        <w:t xml:space="preserve"> </w:t>
      </w:r>
      <w:r>
        <w:rPr>
          <w:spacing w:val="-2"/>
          <w:sz w:val="16"/>
          <w:szCs w:val="16"/>
        </w:rPr>
        <w:t>růst</w:t>
      </w:r>
      <w:r w:rsidRPr="00E62461">
        <w:rPr>
          <w:spacing w:val="-2"/>
          <w:sz w:val="16"/>
          <w:szCs w:val="16"/>
        </w:rPr>
        <w:t xml:space="preserve"> všech</w:t>
      </w:r>
      <w:r>
        <w:rPr>
          <w:spacing w:val="-2"/>
          <w:sz w:val="16"/>
          <w:szCs w:val="16"/>
        </w:rPr>
        <w:t xml:space="preserve"> přenocování v ČR se ze tří pětin zaslouži</w:t>
      </w:r>
      <w:r w:rsidRPr="00E62461">
        <w:rPr>
          <w:spacing w:val="-2"/>
          <w:sz w:val="16"/>
          <w:szCs w:val="16"/>
        </w:rPr>
        <w:t>la vyšší návštěvnost v sam</w:t>
      </w:r>
      <w:r>
        <w:rPr>
          <w:spacing w:val="-2"/>
          <w:sz w:val="16"/>
          <w:szCs w:val="16"/>
        </w:rPr>
        <w:t>otné Praze, naopak v Libere</w:t>
      </w:r>
      <w:r w:rsidR="00685C8C">
        <w:rPr>
          <w:spacing w:val="-2"/>
          <w:sz w:val="16"/>
          <w:szCs w:val="16"/>
        </w:rPr>
        <w:t>ckém, Královéhrade</w:t>
      </w:r>
      <w:r w:rsidRPr="00E62461">
        <w:rPr>
          <w:spacing w:val="-2"/>
          <w:sz w:val="16"/>
          <w:szCs w:val="16"/>
        </w:rPr>
        <w:t xml:space="preserve">ckém, Olomouckém a Zlínském kraji přenocování nepatrně ubylo </w:t>
      </w:r>
      <w:r>
        <w:rPr>
          <w:spacing w:val="-2"/>
          <w:sz w:val="16"/>
          <w:szCs w:val="16"/>
        </w:rPr>
        <w:t>–</w:t>
      </w:r>
      <w:r w:rsidRPr="00E62461">
        <w:rPr>
          <w:spacing w:val="-2"/>
          <w:sz w:val="16"/>
          <w:szCs w:val="16"/>
        </w:rPr>
        <w:t xml:space="preserve"> výhradně kvůli slabšímu zájmu domácích hostů (v zimní lyžařské sezóně). </w:t>
      </w:r>
      <w:r>
        <w:rPr>
          <w:spacing w:val="-2"/>
          <w:sz w:val="16"/>
          <w:szCs w:val="16"/>
        </w:rPr>
        <w:t>Silný růst turismu v metropoli je spojen i s oživením konferenčního cestovního ruchu. Účastníků konferencí (konaných v HUZ) bylo sice meziročně o</w:t>
      </w:r>
      <w:r w:rsidRPr="00E62461">
        <w:rPr>
          <w:spacing w:val="-2"/>
          <w:sz w:val="16"/>
          <w:szCs w:val="16"/>
        </w:rPr>
        <w:t> </w:t>
      </w:r>
      <w:r>
        <w:rPr>
          <w:spacing w:val="-2"/>
          <w:sz w:val="16"/>
          <w:szCs w:val="16"/>
        </w:rPr>
        <w:t>86</w:t>
      </w:r>
      <w:r w:rsidRPr="00E62461">
        <w:rPr>
          <w:spacing w:val="-2"/>
          <w:sz w:val="16"/>
          <w:szCs w:val="16"/>
        </w:rPr>
        <w:t> </w:t>
      </w:r>
      <w:r>
        <w:rPr>
          <w:spacing w:val="-2"/>
          <w:sz w:val="16"/>
          <w:szCs w:val="16"/>
        </w:rPr>
        <w:t>% více, ovšem jejich počet stále nedosáhl úrovně z 1. čtvrtletí 2019 (−37 %). Méně dynamický rozvoj zažilo zatím letos lázeňství. Byť se zde poptávka zahraniční klientely meziročně zdvojnásobila, zájem ze strany tuzemských hostů pouze stagnoval. Počty přenocování v lázních tak stouply celkově jen o necelou čtvrtinu, mj. i vlivem mírného zkrácení průměrné délky pobytu. Ve srovnání s rokem 2019 byla letos „lázeňská poptávka“ ze strany hostů z Česka o 6 % nižší, u zahraniční klientely dokonce o 32 %.</w:t>
      </w:r>
    </w:p>
    <w:p w14:paraId="5CE8F9E9" w14:textId="519548A5" w:rsidR="00D652EB" w:rsidRPr="00E62461" w:rsidRDefault="00D652EB" w:rsidP="009360FA">
      <w:pPr>
        <w:pStyle w:val="Textpoznpodarou"/>
        <w:rPr>
          <w:spacing w:val="-2"/>
          <w:sz w:val="16"/>
          <w:szCs w:val="16"/>
        </w:rPr>
      </w:pPr>
      <w:r>
        <w:rPr>
          <w:spacing w:val="-2"/>
          <w:sz w:val="16"/>
          <w:szCs w:val="16"/>
        </w:rPr>
        <w:t>Analogické srovnání za všechny segmenty cestovního ruchu v ČR vyznívá o něco pozitivněji – přenocování nerezidentů bylo v 1. čtvrtletí 2023 oproti „předcovidovému“ roku méně o necelou pětinu, naopak poptávka domácích hostů tuto úroveň již mírně převýšila (+5 %). Předkrizovou úroveň překon</w:t>
      </w:r>
      <w:r w:rsidR="00685C8C">
        <w:rPr>
          <w:spacing w:val="-2"/>
          <w:sz w:val="16"/>
          <w:szCs w:val="16"/>
        </w:rPr>
        <w:t>ala celková poptávka v turismu (počet přenocování)</w:t>
      </w:r>
      <w:r>
        <w:rPr>
          <w:spacing w:val="-2"/>
          <w:sz w:val="16"/>
          <w:szCs w:val="16"/>
        </w:rPr>
        <w:t xml:space="preserve"> ve Středo</w:t>
      </w:r>
      <w:r w:rsidR="00685C8C">
        <w:rPr>
          <w:spacing w:val="-2"/>
          <w:sz w:val="16"/>
          <w:szCs w:val="16"/>
        </w:rPr>
        <w:t>českém i Plzeňsk</w:t>
      </w:r>
      <w:r>
        <w:rPr>
          <w:spacing w:val="-2"/>
          <w:sz w:val="16"/>
          <w:szCs w:val="16"/>
        </w:rPr>
        <w:t>ém kraj</w:t>
      </w:r>
      <w:r w:rsidR="00685C8C">
        <w:rPr>
          <w:spacing w:val="-2"/>
          <w:sz w:val="16"/>
          <w:szCs w:val="16"/>
        </w:rPr>
        <w:t xml:space="preserve">i a na Vysočině (shodně zhruba </w:t>
      </w:r>
      <w:r>
        <w:rPr>
          <w:spacing w:val="-2"/>
          <w:sz w:val="16"/>
          <w:szCs w:val="16"/>
        </w:rPr>
        <w:t xml:space="preserve">o 10 %), v rámci celé ČR pak v penzionech, kempech, chatových osadách, ale i ve váhově nejvýznamnější kategorii čtyřhvězdičkových hotelů (+3 %). Z pohledu početně významnějších skupin zahraničních hostů v ČR platilo obdobné pro většinu našich sousedů – Slovensko (+8 %), Rakousko (+6 %), Německo (+2 %), dále zejména pro Ukrajinu (+41 %), Rumunsko (+26 %), ale i pro hosty ze vzdálenějších zemí (Mexiko). Naopak poptávka hostů z řady evropských států zatím významněji zaostává – Španělsko o 20 %, Francie o 28 % (ještě více pak většina severských států). Citelněji chybí přenocování hostů z Blízkého východu (vyjma Izraele) i ze </w:t>
      </w:r>
      <w:r w:rsidR="00685C8C">
        <w:rPr>
          <w:spacing w:val="-2"/>
          <w:sz w:val="16"/>
          <w:szCs w:val="16"/>
        </w:rPr>
        <w:t xml:space="preserve">vzdálenějších asijských zemí – </w:t>
      </w:r>
      <w:r>
        <w:rPr>
          <w:spacing w:val="-2"/>
          <w:sz w:val="16"/>
          <w:szCs w:val="16"/>
        </w:rPr>
        <w:t xml:space="preserve">Tchaj-wanu (−43 %), Jižní Korey (−57 %), Japonska (−67 %), Číny (−82 %). Turistické vztahy s Ruskem byly fakticky přerušeny. Za celý rok 2019 přitom tvořili Rusové 5,2 % všech v Česku ubytovaných zahraničních hostů a na počtu přenocování se analogicky podíleli 8,6 %. </w:t>
      </w:r>
    </w:p>
  </w:footnote>
  <w:footnote w:id="15">
    <w:p w14:paraId="70C83463" w14:textId="77777777" w:rsidR="00D652EB" w:rsidRPr="00880DA8" w:rsidRDefault="00D652EB" w:rsidP="009360FA">
      <w:pPr>
        <w:pStyle w:val="Textpoznpodarou"/>
        <w:rPr>
          <w:sz w:val="16"/>
          <w:szCs w:val="16"/>
        </w:rPr>
      </w:pPr>
      <w:r w:rsidRPr="00880DA8">
        <w:rPr>
          <w:rStyle w:val="Znakapoznpodarou"/>
          <w:sz w:val="16"/>
          <w:szCs w:val="16"/>
        </w:rPr>
        <w:footnoteRef/>
      </w:r>
      <w:r w:rsidRPr="00880DA8">
        <w:rPr>
          <w:sz w:val="16"/>
          <w:szCs w:val="16"/>
        </w:rPr>
        <w:t xml:space="preserve"> Ty zahrnují činnosti související se zpracováním dat a hostingem</w:t>
      </w:r>
      <w:r>
        <w:rPr>
          <w:sz w:val="16"/>
          <w:szCs w:val="16"/>
        </w:rPr>
        <w:t>, webovými portály a dále</w:t>
      </w:r>
      <w:r w:rsidRPr="00880DA8">
        <w:rPr>
          <w:sz w:val="16"/>
          <w:szCs w:val="16"/>
        </w:rPr>
        <w:t xml:space="preserve"> </w:t>
      </w:r>
      <w:r>
        <w:rPr>
          <w:sz w:val="16"/>
          <w:szCs w:val="16"/>
        </w:rPr>
        <w:t>zpravodajské tiskové kanceláře</w:t>
      </w:r>
      <w:r w:rsidRPr="00880DA8">
        <w:rPr>
          <w:sz w:val="16"/>
          <w:szCs w:val="16"/>
        </w:rPr>
        <w:t xml:space="preserve"> a agentur</w:t>
      </w:r>
      <w:r>
        <w:rPr>
          <w:sz w:val="16"/>
          <w:szCs w:val="16"/>
        </w:rPr>
        <w:t>y</w:t>
      </w:r>
      <w:r w:rsidRPr="00880DA8">
        <w:rPr>
          <w:sz w:val="16"/>
          <w:szCs w:val="16"/>
        </w:rPr>
        <w:t>.</w:t>
      </w:r>
    </w:p>
  </w:footnote>
  <w:footnote w:id="16">
    <w:p w14:paraId="4B8EA483" w14:textId="0016B429" w:rsidR="00D652EB" w:rsidRDefault="00D652EB" w:rsidP="009360FA">
      <w:pPr>
        <w:pStyle w:val="Textpoznpodarou"/>
      </w:pPr>
      <w:r w:rsidRPr="002622F6">
        <w:rPr>
          <w:rStyle w:val="Znakapoznpodarou"/>
          <w:sz w:val="16"/>
          <w:szCs w:val="16"/>
        </w:rPr>
        <w:footnoteRef/>
      </w:r>
      <w:r w:rsidRPr="002622F6">
        <w:rPr>
          <w:sz w:val="16"/>
          <w:szCs w:val="16"/>
        </w:rPr>
        <w:t xml:space="preserve"> Lépe se vedlo segmentu filmové distribuce. </w:t>
      </w:r>
      <w:r w:rsidRPr="002622F6">
        <w:rPr>
          <w:rFonts w:cs="Arial"/>
          <w:color w:val="0D0D0D" w:themeColor="text1" w:themeTint="F2"/>
          <w:spacing w:val="-3"/>
          <w:sz w:val="16"/>
          <w:szCs w:val="16"/>
        </w:rPr>
        <w:t>Dle</w:t>
      </w:r>
      <w:r w:rsidRPr="00EB7D87">
        <w:rPr>
          <w:rFonts w:cs="Arial"/>
          <w:color w:val="0D0D0D" w:themeColor="text1" w:themeTint="F2"/>
          <w:spacing w:val="-3"/>
          <w:sz w:val="16"/>
          <w:szCs w:val="16"/>
        </w:rPr>
        <w:t xml:space="preserve"> údajů </w:t>
      </w:r>
      <w:r w:rsidRPr="00EB7D87">
        <w:rPr>
          <w:spacing w:val="-3"/>
          <w:sz w:val="16"/>
          <w:szCs w:val="16"/>
        </w:rPr>
        <w:t xml:space="preserve">Unie filmových distributorů </w:t>
      </w:r>
      <w:r>
        <w:rPr>
          <w:spacing w:val="-3"/>
          <w:sz w:val="16"/>
          <w:szCs w:val="16"/>
        </w:rPr>
        <w:t>vzrostly v 1. čtvrtletí 2023 hrubé nominální tržby provozovatelů tuzemských kin meziročně o 41 % a návštěvnost o 26 %. Ve srovnání s rekordním rokem 2019 ale tržby stále o čtvrtinu zaostávaly (návštěvnost dokonce více než o třetinu, avšak počet odehraných představení byl nižší jen o desetinu).</w:t>
      </w:r>
    </w:p>
  </w:footnote>
  <w:footnote w:id="17">
    <w:p w14:paraId="3A4A1AD2" w14:textId="77777777" w:rsidR="00D652EB" w:rsidRPr="00EB7D87" w:rsidRDefault="00D652EB" w:rsidP="009360FA">
      <w:pPr>
        <w:spacing w:after="0" w:line="240" w:lineRule="auto"/>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18">
    <w:p w14:paraId="47F3ACFA" w14:textId="77777777" w:rsidR="00D652EB" w:rsidRPr="00460267" w:rsidRDefault="00D652EB" w:rsidP="009360FA">
      <w:pPr>
        <w:pStyle w:val="Textpoznpodarou"/>
        <w:rPr>
          <w:sz w:val="16"/>
          <w:szCs w:val="16"/>
        </w:rPr>
      </w:pPr>
      <w:r w:rsidRPr="00460267">
        <w:rPr>
          <w:rStyle w:val="Znakapoznpodarou"/>
          <w:sz w:val="16"/>
          <w:szCs w:val="16"/>
        </w:rPr>
        <w:footnoteRef/>
      </w:r>
      <w:r w:rsidRPr="00460267">
        <w:rPr>
          <w:sz w:val="16"/>
          <w:szCs w:val="16"/>
        </w:rPr>
        <w:t xml:space="preserve"> Pozitivně se projevilo příznivější hodnocení současné i očekávané ekonomické situace podniků, kleslo také množství zásob na skladech. Obchodní firmy nadále plánovaly další nábor pracovníků.</w:t>
      </w:r>
    </w:p>
  </w:footnote>
  <w:footnote w:id="19">
    <w:p w14:paraId="6A3FBF9F" w14:textId="77777777" w:rsidR="00D652EB" w:rsidRPr="00B11432" w:rsidRDefault="00D652EB" w:rsidP="009360FA">
      <w:pPr>
        <w:pStyle w:val="Textpoznpodarou"/>
        <w:rPr>
          <w:sz w:val="16"/>
          <w:szCs w:val="16"/>
        </w:rPr>
      </w:pPr>
      <w:r w:rsidRPr="00B11432">
        <w:rPr>
          <w:rStyle w:val="Znakapoznpodarou"/>
          <w:sz w:val="16"/>
          <w:szCs w:val="16"/>
        </w:rPr>
        <w:footnoteRef/>
      </w:r>
      <w:r w:rsidRPr="00B11432">
        <w:rPr>
          <w:sz w:val="16"/>
          <w:szCs w:val="16"/>
        </w:rPr>
        <w:t xml:space="preserve"> Ty zahrnují zejména maloobchod s textilem, železářským zbožím, barvami, sklem a potřebami pro kutily, koberci, podlahovými krytinami a nástěnnými obklady, elektrospotřebiči a elektronikou, nábytkem a svítidly.</w:t>
      </w:r>
    </w:p>
  </w:footnote>
  <w:footnote w:id="20">
    <w:p w14:paraId="2AA71792" w14:textId="77777777" w:rsidR="00D652EB" w:rsidRPr="00DD228A" w:rsidRDefault="00D652EB" w:rsidP="009360FA">
      <w:pPr>
        <w:pStyle w:val="Textpoznpodarou"/>
        <w:rPr>
          <w:sz w:val="16"/>
          <w:szCs w:val="16"/>
        </w:rPr>
      </w:pPr>
      <w:r w:rsidRPr="00DD228A">
        <w:rPr>
          <w:rStyle w:val="Znakapoznpodarou"/>
          <w:sz w:val="16"/>
          <w:szCs w:val="16"/>
        </w:rPr>
        <w:footnoteRef/>
      </w:r>
      <w:r w:rsidRPr="00DD228A">
        <w:rPr>
          <w:sz w:val="16"/>
          <w:szCs w:val="16"/>
        </w:rPr>
        <w:t xml:space="preserve"> Např. průměrná spotřebitelská cena motorové nafty činila v ČR v letošním 12. týdnu </w:t>
      </w:r>
      <w:r>
        <w:rPr>
          <w:sz w:val="16"/>
          <w:szCs w:val="16"/>
        </w:rPr>
        <w:t>35,56/l a byla</w:t>
      </w:r>
      <w:r w:rsidRPr="00DD228A">
        <w:rPr>
          <w:sz w:val="16"/>
          <w:szCs w:val="16"/>
        </w:rPr>
        <w:t xml:space="preserve"> nejnižší od loňského ledna.</w:t>
      </w:r>
      <w:r>
        <w:rPr>
          <w:sz w:val="16"/>
          <w:szCs w:val="16"/>
        </w:rPr>
        <w:t xml:space="preserve"> Rovněž cena benzínu Natural 95 klesla na úroveň z období těsně před ruskou invazí na Ukrajinu.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652EB" w:rsidRDefault="00D652EB" w:rsidP="00937AE2">
    <w:pPr>
      <w:pStyle w:val="Zhlav"/>
    </w:pPr>
    <w:r>
      <w:t>Vývoj ekonomiky České republiky</w:t>
    </w:r>
  </w:p>
  <w:p w14:paraId="3E881AB3" w14:textId="77777777" w:rsidR="00D652EB" w:rsidRPr="006F5416" w:rsidRDefault="00D652E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652EB" w:rsidRDefault="00D652EB" w:rsidP="00937AE2">
    <w:pPr>
      <w:pStyle w:val="Zhlav"/>
    </w:pPr>
    <w:r>
      <w:t>Vývoj ekonomiky České republiky</w:t>
    </w:r>
  </w:p>
  <w:p w14:paraId="57266714" w14:textId="77777777" w:rsidR="00D652EB" w:rsidRPr="006F5416" w:rsidRDefault="00D652E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84"/>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0A2"/>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5F94"/>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3A"/>
    <w:rsid w:val="00D31537"/>
    <w:rsid w:val="00D31E1E"/>
    <w:rsid w:val="00D322A0"/>
    <w:rsid w:val="00D32824"/>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19CB78C"/>
    <w:rsid w:val="0523CDF2"/>
    <w:rsid w:val="06B1A837"/>
    <w:rsid w:val="0EBE9DEC"/>
    <w:rsid w:val="12650F4E"/>
    <w:rsid w:val="1394E51D"/>
    <w:rsid w:val="17513AF8"/>
    <w:rsid w:val="2A0E9F3A"/>
    <w:rsid w:val="2A2A6298"/>
    <w:rsid w:val="38C72AFC"/>
    <w:rsid w:val="3C7646FC"/>
    <w:rsid w:val="3E4A9713"/>
    <w:rsid w:val="47207A7B"/>
    <w:rsid w:val="48038D4B"/>
    <w:rsid w:val="49E8263C"/>
    <w:rsid w:val="4A567F3C"/>
    <w:rsid w:val="50A35788"/>
    <w:rsid w:val="52944939"/>
    <w:rsid w:val="5536E42E"/>
    <w:rsid w:val="5CF587E8"/>
    <w:rsid w:val="6AEA4E8B"/>
    <w:rsid w:val="6AEC8A78"/>
    <w:rsid w:val="6D951AA9"/>
    <w:rsid w:val="7059F910"/>
    <w:rsid w:val="74EA3077"/>
    <w:rsid w:val="75B5B795"/>
    <w:rsid w:val="78E73CD1"/>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K-V&#253;voj%20ekonomiky-1q2023\Odv&#283;tv&#237;_grafy-1q-2023-ak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123E-2"/>
          <c:y val="1.580477700547989E-2"/>
          <c:w val="0.84419102795189638"/>
          <c:h val="0.70867754321612253"/>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IPP'!$R$27:$AX$27</c:f>
              <c:numCache>
                <c:formatCode>0.0</c:formatCode>
                <c:ptCount val="33"/>
                <c:pt idx="0">
                  <c:v>1.5414336001551832</c:v>
                </c:pt>
                <c:pt idx="1">
                  <c:v>2.1741500812415602</c:v>
                </c:pt>
                <c:pt idx="2">
                  <c:v>2.3807451285231682</c:v>
                </c:pt>
                <c:pt idx="3">
                  <c:v>2.8689756615217954</c:v>
                </c:pt>
                <c:pt idx="4">
                  <c:v>3.3341210196737827</c:v>
                </c:pt>
                <c:pt idx="5">
                  <c:v>2.686672264317759</c:v>
                </c:pt>
                <c:pt idx="6">
                  <c:v>1.4809491976121272</c:v>
                </c:pt>
                <c:pt idx="7">
                  <c:v>1.0295786410238899</c:v>
                </c:pt>
                <c:pt idx="8">
                  <c:v>1.7176851530772048</c:v>
                </c:pt>
                <c:pt idx="9">
                  <c:v>2.162430036953364</c:v>
                </c:pt>
                <c:pt idx="10">
                  <c:v>1.6010808371876544</c:v>
                </c:pt>
                <c:pt idx="11">
                  <c:v>1.6765308689366047</c:v>
                </c:pt>
                <c:pt idx="12">
                  <c:v>0.76463369901420963</c:v>
                </c:pt>
                <c:pt idx="13">
                  <c:v>0.53745054525373026</c:v>
                </c:pt>
                <c:pt idx="14">
                  <c:v>0.24390176608722375</c:v>
                </c:pt>
                <c:pt idx="15">
                  <c:v>0.9714509956838373</c:v>
                </c:pt>
                <c:pt idx="16">
                  <c:v>-0.2265364288412279</c:v>
                </c:pt>
                <c:pt idx="17">
                  <c:v>0.48861091853368632</c:v>
                </c:pt>
                <c:pt idx="18">
                  <c:v>0.80855917746087314</c:v>
                </c:pt>
                <c:pt idx="19">
                  <c:v>-1.0897983527427595</c:v>
                </c:pt>
                <c:pt idx="20">
                  <c:v>-1.5435543851935798</c:v>
                </c:pt>
                <c:pt idx="21">
                  <c:v>-9.4039632081130193</c:v>
                </c:pt>
                <c:pt idx="22">
                  <c:v>-0.18743733484121591</c:v>
                </c:pt>
                <c:pt idx="23">
                  <c:v>2.045187558556731</c:v>
                </c:pt>
                <c:pt idx="24">
                  <c:v>1.8998981300154258</c:v>
                </c:pt>
                <c:pt idx="25">
                  <c:v>10.981696435394754</c:v>
                </c:pt>
                <c:pt idx="26">
                  <c:v>-3.7777447309199412</c:v>
                </c:pt>
                <c:pt idx="27">
                  <c:v>-3.2745552925864541</c:v>
                </c:pt>
                <c:pt idx="28">
                  <c:v>-1.9134308617559561</c:v>
                </c:pt>
                <c:pt idx="29">
                  <c:v>6.734672630518658E-2</c:v>
                </c:pt>
                <c:pt idx="30">
                  <c:v>5.6261275361156633</c:v>
                </c:pt>
                <c:pt idx="31">
                  <c:v>4.0481059565611357</c:v>
                </c:pt>
                <c:pt idx="32">
                  <c:v>4.8707891228657507</c:v>
                </c:pt>
              </c:numCache>
            </c:numRef>
          </c:val>
          <c:extLst>
            <c:ext xmlns:c16="http://schemas.microsoft.com/office/drawing/2014/chart" uri="{C3380CC4-5D6E-409C-BE32-E72D297353CC}">
              <c16:uniqueId val="{00000000-2A82-4AEC-877C-88AF235AF82A}"/>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IPP'!$R$28:$AX$28</c:f>
              <c:numCache>
                <c:formatCode>0.0</c:formatCode>
                <c:ptCount val="33"/>
                <c:pt idx="0">
                  <c:v>1.0327842576995609</c:v>
                </c:pt>
                <c:pt idx="1">
                  <c:v>1.2398193770878796</c:v>
                </c:pt>
                <c:pt idx="2">
                  <c:v>1.4194520754584399</c:v>
                </c:pt>
                <c:pt idx="3">
                  <c:v>0.62945179373892213</c:v>
                </c:pt>
                <c:pt idx="4">
                  <c:v>0.81066950070394839</c:v>
                </c:pt>
                <c:pt idx="5">
                  <c:v>0.15910929112689329</c:v>
                </c:pt>
                <c:pt idx="6">
                  <c:v>0.274308842517692</c:v>
                </c:pt>
                <c:pt idx="7">
                  <c:v>0.42966812397126064</c:v>
                </c:pt>
                <c:pt idx="8">
                  <c:v>0.81190885185629913</c:v>
                </c:pt>
                <c:pt idx="9">
                  <c:v>1.4478162783570212</c:v>
                </c:pt>
                <c:pt idx="10">
                  <c:v>0.86831270392558868</c:v>
                </c:pt>
                <c:pt idx="11">
                  <c:v>1.6467937182997419</c:v>
                </c:pt>
                <c:pt idx="12">
                  <c:v>0.99355825089751959</c:v>
                </c:pt>
                <c:pt idx="13">
                  <c:v>0.32981714268582213</c:v>
                </c:pt>
                <c:pt idx="14">
                  <c:v>0.43066392508053108</c:v>
                </c:pt>
                <c:pt idx="15">
                  <c:v>-5.4042637097958646E-2</c:v>
                </c:pt>
                <c:pt idx="16">
                  <c:v>0.52511448325990218</c:v>
                </c:pt>
                <c:pt idx="17">
                  <c:v>0.41827161057405132</c:v>
                </c:pt>
                <c:pt idx="18">
                  <c:v>0.20321919004157407</c:v>
                </c:pt>
                <c:pt idx="19">
                  <c:v>0.40664545615593123</c:v>
                </c:pt>
                <c:pt idx="20">
                  <c:v>-0.54518803499189361</c:v>
                </c:pt>
                <c:pt idx="21">
                  <c:v>-4.0594843067761026</c:v>
                </c:pt>
                <c:pt idx="22">
                  <c:v>-0.42308415860457282</c:v>
                </c:pt>
                <c:pt idx="23">
                  <c:v>0.57531703991443739</c:v>
                </c:pt>
                <c:pt idx="24">
                  <c:v>0.72127374997619453</c:v>
                </c:pt>
                <c:pt idx="25">
                  <c:v>5.5133080211538497</c:v>
                </c:pt>
                <c:pt idx="26">
                  <c:v>0.63109141066247543</c:v>
                </c:pt>
                <c:pt idx="27">
                  <c:v>-0.40575686667122407</c:v>
                </c:pt>
                <c:pt idx="28">
                  <c:v>9.4281733767757503E-2</c:v>
                </c:pt>
                <c:pt idx="29">
                  <c:v>0.14521370184093618</c:v>
                </c:pt>
                <c:pt idx="30">
                  <c:v>0.5333658281425756</c:v>
                </c:pt>
                <c:pt idx="31">
                  <c:v>0.60873804206286253</c:v>
                </c:pt>
                <c:pt idx="32">
                  <c:v>0.18641575187405532</c:v>
                </c:pt>
              </c:numCache>
            </c:numRef>
          </c:val>
          <c:extLst>
            <c:ext xmlns:c16="http://schemas.microsoft.com/office/drawing/2014/chart" uri="{C3380CC4-5D6E-409C-BE32-E72D297353CC}">
              <c16:uniqueId val="{00000001-2A82-4AEC-877C-88AF235AF82A}"/>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IPP'!$R$29:$AX$29</c:f>
              <c:numCache>
                <c:formatCode>0.0</c:formatCode>
                <c:ptCount val="33"/>
                <c:pt idx="0">
                  <c:v>0.27352741322260526</c:v>
                </c:pt>
                <c:pt idx="1">
                  <c:v>0.29435778863230166</c:v>
                </c:pt>
                <c:pt idx="2">
                  <c:v>0.38381901893821563</c:v>
                </c:pt>
                <c:pt idx="3">
                  <c:v>1.9907538862099929E-2</c:v>
                </c:pt>
                <c:pt idx="4">
                  <c:v>0.36213267281302258</c:v>
                </c:pt>
                <c:pt idx="5">
                  <c:v>-6.5064708510287728E-2</c:v>
                </c:pt>
                <c:pt idx="6">
                  <c:v>0.19502661099256188</c:v>
                </c:pt>
                <c:pt idx="7">
                  <c:v>0.31976595271137093</c:v>
                </c:pt>
                <c:pt idx="8">
                  <c:v>0.36260721751312475</c:v>
                </c:pt>
                <c:pt idx="9">
                  <c:v>1.0676230430151576</c:v>
                </c:pt>
                <c:pt idx="10">
                  <c:v>0.84856622097502876</c:v>
                </c:pt>
                <c:pt idx="11">
                  <c:v>0.8011679796708624</c:v>
                </c:pt>
                <c:pt idx="12">
                  <c:v>0.47154480134890714</c:v>
                </c:pt>
                <c:pt idx="13">
                  <c:v>0.14539794495792607</c:v>
                </c:pt>
                <c:pt idx="14">
                  <c:v>0.18518957990291937</c:v>
                </c:pt>
                <c:pt idx="15">
                  <c:v>-0.19190856298894721</c:v>
                </c:pt>
                <c:pt idx="16">
                  <c:v>0.14248219231403383</c:v>
                </c:pt>
                <c:pt idx="17">
                  <c:v>-2.1421773901395613E-2</c:v>
                </c:pt>
                <c:pt idx="18">
                  <c:v>-0.25698546548398382</c:v>
                </c:pt>
                <c:pt idx="19">
                  <c:v>-0.1385976419695116</c:v>
                </c:pt>
                <c:pt idx="20">
                  <c:v>-0.6967773072729575</c:v>
                </c:pt>
                <c:pt idx="21">
                  <c:v>-2.1434069100206701</c:v>
                </c:pt>
                <c:pt idx="22">
                  <c:v>-0.80071965285565583</c:v>
                </c:pt>
                <c:pt idx="23">
                  <c:v>-0.53337369043417648</c:v>
                </c:pt>
                <c:pt idx="24">
                  <c:v>7.0388429332234756E-2</c:v>
                </c:pt>
                <c:pt idx="25">
                  <c:v>2.1082132332125232</c:v>
                </c:pt>
                <c:pt idx="26">
                  <c:v>0.54002718228061808</c:v>
                </c:pt>
                <c:pt idx="27">
                  <c:v>0.28651169955913558</c:v>
                </c:pt>
                <c:pt idx="28">
                  <c:v>0.38093703992586614</c:v>
                </c:pt>
                <c:pt idx="29">
                  <c:v>0.10479825284280037</c:v>
                </c:pt>
                <c:pt idx="30">
                  <c:v>0.49700568632045161</c:v>
                </c:pt>
                <c:pt idx="31">
                  <c:v>0.65908299677033788</c:v>
                </c:pt>
                <c:pt idx="32">
                  <c:v>0.33463422372860552</c:v>
                </c:pt>
              </c:numCache>
            </c:numRef>
          </c:val>
          <c:extLst>
            <c:ext xmlns:c16="http://schemas.microsoft.com/office/drawing/2014/chart" uri="{C3380CC4-5D6E-409C-BE32-E72D297353CC}">
              <c16:uniqueId val="{00000002-2A82-4AEC-877C-88AF235AF82A}"/>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IPP'!$R$30:$AX$30</c:f>
              <c:numCache>
                <c:formatCode>0.0</c:formatCode>
                <c:ptCount val="33"/>
                <c:pt idx="0">
                  <c:v>0.69497691812608731</c:v>
                </c:pt>
                <c:pt idx="1">
                  <c:v>0.78508725997594397</c:v>
                </c:pt>
                <c:pt idx="2">
                  <c:v>0.99073344247385264</c:v>
                </c:pt>
                <c:pt idx="3">
                  <c:v>0.60112803930591463</c:v>
                </c:pt>
                <c:pt idx="4">
                  <c:v>0.8056510855242317</c:v>
                </c:pt>
                <c:pt idx="5">
                  <c:v>0.37292975928366651</c:v>
                </c:pt>
                <c:pt idx="6">
                  <c:v>0.2287440311870734</c:v>
                </c:pt>
                <c:pt idx="7">
                  <c:v>0.25105221227274938</c:v>
                </c:pt>
                <c:pt idx="8">
                  <c:v>0.39859566543955616</c:v>
                </c:pt>
                <c:pt idx="9">
                  <c:v>0.93860836876068798</c:v>
                </c:pt>
                <c:pt idx="10">
                  <c:v>0.85733344200421968</c:v>
                </c:pt>
                <c:pt idx="11">
                  <c:v>0.96180148351524564</c:v>
                </c:pt>
                <c:pt idx="12">
                  <c:v>0.66382399405022563</c:v>
                </c:pt>
                <c:pt idx="13">
                  <c:v>0.46639173271760581</c:v>
                </c:pt>
                <c:pt idx="14">
                  <c:v>0.40419840691742392</c:v>
                </c:pt>
                <c:pt idx="15">
                  <c:v>0.14440932883616331</c:v>
                </c:pt>
                <c:pt idx="16">
                  <c:v>0.25807569584954493</c:v>
                </c:pt>
                <c:pt idx="17">
                  <c:v>1.4459010693799896E-2</c:v>
                </c:pt>
                <c:pt idx="18">
                  <c:v>-0.25651049213587451</c:v>
                </c:pt>
                <c:pt idx="19">
                  <c:v>-0.34928328908715478</c:v>
                </c:pt>
                <c:pt idx="20">
                  <c:v>-0.60808014688232759</c:v>
                </c:pt>
                <c:pt idx="21">
                  <c:v>-2.0880437771647515</c:v>
                </c:pt>
                <c:pt idx="22">
                  <c:v>-0.5397213489370003</c:v>
                </c:pt>
                <c:pt idx="23">
                  <c:v>0.14511452076092651</c:v>
                </c:pt>
                <c:pt idx="24">
                  <c:v>0.49633095542560124</c:v>
                </c:pt>
                <c:pt idx="25">
                  <c:v>3.0129249260537683</c:v>
                </c:pt>
                <c:pt idx="26">
                  <c:v>0.73648478182030996</c:v>
                </c:pt>
                <c:pt idx="27">
                  <c:v>-5.6080447887036519E-2</c:v>
                </c:pt>
                <c:pt idx="28">
                  <c:v>0.14988190046361907</c:v>
                </c:pt>
                <c:pt idx="29">
                  <c:v>-0.43552695875331848</c:v>
                </c:pt>
                <c:pt idx="30">
                  <c:v>-0.39400819775201079</c:v>
                </c:pt>
                <c:pt idx="31">
                  <c:v>-0.25505671304535282</c:v>
                </c:pt>
                <c:pt idx="32">
                  <c:v>-0.35263162644050428</c:v>
                </c:pt>
              </c:numCache>
            </c:numRef>
          </c:val>
          <c:extLst>
            <c:ext xmlns:c16="http://schemas.microsoft.com/office/drawing/2014/chart" uri="{C3380CC4-5D6E-409C-BE32-E72D297353CC}">
              <c16:uniqueId val="{00000003-2A82-4AEC-877C-88AF235AF82A}"/>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IPP'!$R$31:$AX$31</c:f>
              <c:numCache>
                <c:formatCode>0.0</c:formatCode>
                <c:ptCount val="33"/>
                <c:pt idx="0">
                  <c:v>0.10273275765267503</c:v>
                </c:pt>
                <c:pt idx="1">
                  <c:v>1.7022273503113722E-2</c:v>
                </c:pt>
                <c:pt idx="2">
                  <c:v>3.145167851510499E-2</c:v>
                </c:pt>
                <c:pt idx="3">
                  <c:v>-6.7148299810871809E-2</c:v>
                </c:pt>
                <c:pt idx="4">
                  <c:v>-1.268547666727785E-2</c:v>
                </c:pt>
                <c:pt idx="5">
                  <c:v>7.6588175669582953E-2</c:v>
                </c:pt>
                <c:pt idx="6">
                  <c:v>4.5204856094121497E-2</c:v>
                </c:pt>
                <c:pt idx="7">
                  <c:v>0.16194666355811349</c:v>
                </c:pt>
                <c:pt idx="8">
                  <c:v>0.16169573185966221</c:v>
                </c:pt>
                <c:pt idx="9">
                  <c:v>0.34034954986554095</c:v>
                </c:pt>
                <c:pt idx="10">
                  <c:v>0.22387493834902869</c:v>
                </c:pt>
                <c:pt idx="11">
                  <c:v>0.23474883574173092</c:v>
                </c:pt>
                <c:pt idx="12">
                  <c:v>0.37691682805498294</c:v>
                </c:pt>
                <c:pt idx="13">
                  <c:v>0.16170745152429097</c:v>
                </c:pt>
                <c:pt idx="14">
                  <c:v>0.63541368560223832</c:v>
                </c:pt>
                <c:pt idx="15">
                  <c:v>0.32151776055716946</c:v>
                </c:pt>
                <c:pt idx="16">
                  <c:v>-0.11432204894408447</c:v>
                </c:pt>
                <c:pt idx="17">
                  <c:v>-5.1757146500390386E-2</c:v>
                </c:pt>
                <c:pt idx="18">
                  <c:v>-0.58706510968263637</c:v>
                </c:pt>
                <c:pt idx="19">
                  <c:v>-0.35487188237441109</c:v>
                </c:pt>
                <c:pt idx="20">
                  <c:v>-8.5397778834990529E-2</c:v>
                </c:pt>
                <c:pt idx="21">
                  <c:v>-0.27817734072291866</c:v>
                </c:pt>
                <c:pt idx="22">
                  <c:v>-2.9065624151318071E-3</c:v>
                </c:pt>
                <c:pt idx="23">
                  <c:v>-5.9498285904227809E-3</c:v>
                </c:pt>
                <c:pt idx="24">
                  <c:v>0.12344573775217325</c:v>
                </c:pt>
                <c:pt idx="25">
                  <c:v>0.16503598968244651</c:v>
                </c:pt>
                <c:pt idx="26">
                  <c:v>0.21876908691427957</c:v>
                </c:pt>
                <c:pt idx="27">
                  <c:v>-0.21769009003115003</c:v>
                </c:pt>
                <c:pt idx="28">
                  <c:v>1.678554867539786E-2</c:v>
                </c:pt>
                <c:pt idx="29">
                  <c:v>-1.1662751079334694E-2</c:v>
                </c:pt>
                <c:pt idx="30">
                  <c:v>6.6089208618214476E-2</c:v>
                </c:pt>
                <c:pt idx="31">
                  <c:v>0.43636866713601186</c:v>
                </c:pt>
                <c:pt idx="32">
                  <c:v>0.15580543098934227</c:v>
                </c:pt>
              </c:numCache>
            </c:numRef>
          </c:val>
          <c:extLst>
            <c:ext xmlns:c16="http://schemas.microsoft.com/office/drawing/2014/chart" uri="{C3380CC4-5D6E-409C-BE32-E72D297353CC}">
              <c16:uniqueId val="{00000004-2A82-4AEC-877C-88AF235AF82A}"/>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IPP'!$R$32:$AX$32</c:f>
              <c:numCache>
                <c:formatCode>0.0</c:formatCode>
                <c:ptCount val="33"/>
                <c:pt idx="0">
                  <c:v>7.7208317080078318E-2</c:v>
                </c:pt>
                <c:pt idx="1">
                  <c:v>0.23592866818826699</c:v>
                </c:pt>
                <c:pt idx="2">
                  <c:v>-0.16336143877828874</c:v>
                </c:pt>
                <c:pt idx="3">
                  <c:v>-0.33439989501658035</c:v>
                </c:pt>
                <c:pt idx="4">
                  <c:v>-0.4177951528516321</c:v>
                </c:pt>
                <c:pt idx="5">
                  <c:v>-0.42569819359762062</c:v>
                </c:pt>
                <c:pt idx="6">
                  <c:v>-0.10788089066016884</c:v>
                </c:pt>
                <c:pt idx="7">
                  <c:v>0.23743965472329759</c:v>
                </c:pt>
                <c:pt idx="8">
                  <c:v>0.52311070740015453</c:v>
                </c:pt>
                <c:pt idx="9">
                  <c:v>0.82341422334347292</c:v>
                </c:pt>
                <c:pt idx="10">
                  <c:v>0.65076836480306144</c:v>
                </c:pt>
                <c:pt idx="11">
                  <c:v>0.50493978173151777</c:v>
                </c:pt>
                <c:pt idx="12">
                  <c:v>0.40295639892988133</c:v>
                </c:pt>
                <c:pt idx="13">
                  <c:v>8.055737499204732E-2</c:v>
                </c:pt>
                <c:pt idx="14">
                  <c:v>-5.3154805616806716E-2</c:v>
                </c:pt>
                <c:pt idx="15">
                  <c:v>-6.7994611415210404E-2</c:v>
                </c:pt>
                <c:pt idx="16">
                  <c:v>0.10386183133359356</c:v>
                </c:pt>
                <c:pt idx="17">
                  <c:v>4.7610492592970503E-2</c:v>
                </c:pt>
                <c:pt idx="18">
                  <c:v>0.23071819932128154</c:v>
                </c:pt>
                <c:pt idx="19">
                  <c:v>3.046294307116669E-2</c:v>
                </c:pt>
                <c:pt idx="20">
                  <c:v>-3.1218778316377292E-2</c:v>
                </c:pt>
                <c:pt idx="21">
                  <c:v>-0.54858975903434926</c:v>
                </c:pt>
                <c:pt idx="22">
                  <c:v>-0.21411469460909971</c:v>
                </c:pt>
                <c:pt idx="23">
                  <c:v>0.43233148897113949</c:v>
                </c:pt>
                <c:pt idx="24">
                  <c:v>0.28829426971776539</c:v>
                </c:pt>
                <c:pt idx="25">
                  <c:v>0.79933281321603367</c:v>
                </c:pt>
                <c:pt idx="26">
                  <c:v>0.31192170113272577</c:v>
                </c:pt>
                <c:pt idx="27">
                  <c:v>7.2471498351694683E-2</c:v>
                </c:pt>
                <c:pt idx="28">
                  <c:v>0.25171354682802011</c:v>
                </c:pt>
                <c:pt idx="29">
                  <c:v>0.17148055035811022</c:v>
                </c:pt>
                <c:pt idx="30">
                  <c:v>-8.8890710060444175E-2</c:v>
                </c:pt>
                <c:pt idx="31">
                  <c:v>-0.26763149558872579</c:v>
                </c:pt>
                <c:pt idx="32">
                  <c:v>-0.57314965186051281</c:v>
                </c:pt>
              </c:numCache>
            </c:numRef>
          </c:val>
          <c:extLst>
            <c:ext xmlns:c16="http://schemas.microsoft.com/office/drawing/2014/chart" uri="{C3380CC4-5D6E-409C-BE32-E72D297353CC}">
              <c16:uniqueId val="{00000005-2A82-4AEC-877C-88AF235AF82A}"/>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IPP'!$R$33:$AX$33</c:f>
              <c:numCache>
                <c:formatCode>0.0</c:formatCode>
                <c:ptCount val="33"/>
                <c:pt idx="0">
                  <c:v>0.98358746940884179</c:v>
                </c:pt>
                <c:pt idx="1">
                  <c:v>0.89923246363091291</c:v>
                </c:pt>
                <c:pt idx="2">
                  <c:v>1.0053837817799574</c:v>
                </c:pt>
                <c:pt idx="3">
                  <c:v>-0.1997463926135469</c:v>
                </c:pt>
                <c:pt idx="4">
                  <c:v>0.24329990001740057</c:v>
                </c:pt>
                <c:pt idx="5">
                  <c:v>-0.35930073634947696</c:v>
                </c:pt>
                <c:pt idx="6">
                  <c:v>5.4611870755817526E-2</c:v>
                </c:pt>
                <c:pt idx="7">
                  <c:v>0.57938738739229756</c:v>
                </c:pt>
                <c:pt idx="8">
                  <c:v>0.10796722998385261</c:v>
                </c:pt>
                <c:pt idx="9">
                  <c:v>1.4849667962274018</c:v>
                </c:pt>
                <c:pt idx="10">
                  <c:v>0.76494329225869251</c:v>
                </c:pt>
                <c:pt idx="11">
                  <c:v>0.92981101776031461</c:v>
                </c:pt>
                <c:pt idx="12">
                  <c:v>1.1595945228996394</c:v>
                </c:pt>
                <c:pt idx="13">
                  <c:v>0.67905455733759612</c:v>
                </c:pt>
                <c:pt idx="14">
                  <c:v>1.1071544502276858</c:v>
                </c:pt>
                <c:pt idx="15">
                  <c:v>0.4584448107077318</c:v>
                </c:pt>
                <c:pt idx="16">
                  <c:v>-4.2034374602800031E-2</c:v>
                </c:pt>
                <c:pt idx="17">
                  <c:v>4.7080538912348507E-2</c:v>
                </c:pt>
                <c:pt idx="18">
                  <c:v>-0.67715517865177</c:v>
                </c:pt>
                <c:pt idx="19">
                  <c:v>-0.19783909206023409</c:v>
                </c:pt>
                <c:pt idx="20">
                  <c:v>7.5330777097780674E-2</c:v>
                </c:pt>
                <c:pt idx="21">
                  <c:v>-2.8438492263065807</c:v>
                </c:pt>
                <c:pt idx="22">
                  <c:v>8.887357845023261E-2</c:v>
                </c:pt>
                <c:pt idx="23">
                  <c:v>0.13876281570829024</c:v>
                </c:pt>
                <c:pt idx="24">
                  <c:v>0.21014615403229517</c:v>
                </c:pt>
                <c:pt idx="25">
                  <c:v>5.1936386612240169</c:v>
                </c:pt>
                <c:pt idx="26">
                  <c:v>1.0321859362308055</c:v>
                </c:pt>
                <c:pt idx="27">
                  <c:v>0.89717493659966974</c:v>
                </c:pt>
                <c:pt idx="28">
                  <c:v>1.4486041643537626</c:v>
                </c:pt>
                <c:pt idx="29">
                  <c:v>0.43152950164995907</c:v>
                </c:pt>
                <c:pt idx="30">
                  <c:v>-0.558600562637107</c:v>
                </c:pt>
                <c:pt idx="31">
                  <c:v>-0.67902760551175634</c:v>
                </c:pt>
                <c:pt idx="32">
                  <c:v>-2.2470495992775472</c:v>
                </c:pt>
              </c:numCache>
            </c:numRef>
          </c:val>
          <c:extLst>
            <c:ext xmlns:c16="http://schemas.microsoft.com/office/drawing/2014/chart" uri="{C3380CC4-5D6E-409C-BE32-E72D297353CC}">
              <c16:uniqueId val="{00000006-2A82-4AEC-877C-88AF235AF82A}"/>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IPP'!$R$34:$AX$34</c:f>
              <c:numCache>
                <c:formatCode>0.0</c:formatCode>
                <c:ptCount val="33"/>
                <c:pt idx="0">
                  <c:v>0.1453689780549717</c:v>
                </c:pt>
                <c:pt idx="1">
                  <c:v>-0.33983324755997307</c:v>
                </c:pt>
                <c:pt idx="2">
                  <c:v>-0.39725135811041795</c:v>
                </c:pt>
                <c:pt idx="3">
                  <c:v>-1.114644115487744</c:v>
                </c:pt>
                <c:pt idx="4">
                  <c:v>-0.64587487131351284</c:v>
                </c:pt>
                <c:pt idx="5">
                  <c:v>9.883457535948835E-2</c:v>
                </c:pt>
                <c:pt idx="6">
                  <c:v>-0.47676721369922492</c:v>
                </c:pt>
                <c:pt idx="7">
                  <c:v>0.50385695934700236</c:v>
                </c:pt>
                <c:pt idx="8">
                  <c:v>0.66227118757014181</c:v>
                </c:pt>
                <c:pt idx="9">
                  <c:v>-0.18254891472265236</c:v>
                </c:pt>
                <c:pt idx="10">
                  <c:v>0.77170124339672375</c:v>
                </c:pt>
                <c:pt idx="11">
                  <c:v>0.73276064564397991</c:v>
                </c:pt>
                <c:pt idx="12">
                  <c:v>-0.53888499639537168</c:v>
                </c:pt>
                <c:pt idx="13">
                  <c:v>4.2147847309763065E-3</c:v>
                </c:pt>
                <c:pt idx="14">
                  <c:v>0.78783573859879186</c:v>
                </c:pt>
                <c:pt idx="15">
                  <c:v>0.33124933161720838</c:v>
                </c:pt>
                <c:pt idx="16">
                  <c:v>0.21326825173098618</c:v>
                </c:pt>
                <c:pt idx="17">
                  <c:v>4.5891627194929667E-2</c:v>
                </c:pt>
                <c:pt idx="18">
                  <c:v>-0.66559651426950051</c:v>
                </c:pt>
                <c:pt idx="19">
                  <c:v>-0.33090808889302403</c:v>
                </c:pt>
                <c:pt idx="20">
                  <c:v>-0.97342506810566543</c:v>
                </c:pt>
                <c:pt idx="21">
                  <c:v>-1.5875613971615929</c:v>
                </c:pt>
                <c:pt idx="22">
                  <c:v>-0.71564578738754925</c:v>
                </c:pt>
                <c:pt idx="23">
                  <c:v>-0.69506985368693885</c:v>
                </c:pt>
                <c:pt idx="24">
                  <c:v>0.48072477574831807</c:v>
                </c:pt>
                <c:pt idx="25">
                  <c:v>0.46331760076263345</c:v>
                </c:pt>
                <c:pt idx="26">
                  <c:v>0.2219684606787295</c:v>
                </c:pt>
                <c:pt idx="27">
                  <c:v>0.81349879426535543</c:v>
                </c:pt>
                <c:pt idx="28">
                  <c:v>-0.17516130075846151</c:v>
                </c:pt>
                <c:pt idx="29">
                  <c:v>0.27453065253565601</c:v>
                </c:pt>
                <c:pt idx="30">
                  <c:v>0.37988207575265875</c:v>
                </c:pt>
                <c:pt idx="31">
                  <c:v>-1.3729548731845103</c:v>
                </c:pt>
                <c:pt idx="32">
                  <c:v>-1.2157024788791866</c:v>
                </c:pt>
              </c:numCache>
            </c:numRef>
          </c:val>
          <c:extLst>
            <c:ext xmlns:c16="http://schemas.microsoft.com/office/drawing/2014/chart" uri="{C3380CC4-5D6E-409C-BE32-E72D297353CC}">
              <c16:uniqueId val="{00000007-2A82-4AEC-877C-88AF235AF82A}"/>
            </c:ext>
          </c:extLst>
        </c:ser>
        <c:dLbls>
          <c:showLegendKey val="0"/>
          <c:showVal val="0"/>
          <c:showCatName val="0"/>
          <c:showSerName val="0"/>
          <c:showPercent val="0"/>
          <c:showBubbleSize val="0"/>
        </c:dLbls>
        <c:gapWidth val="15"/>
        <c:overlap val="100"/>
        <c:axId val="122604160"/>
        <c:axId val="125780736"/>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IPP'!$R$35:$AX$35</c:f>
              <c:numCache>
                <c:formatCode>0.0</c:formatCode>
                <c:ptCount val="33"/>
                <c:pt idx="0">
                  <c:v>4.8516197114000104</c:v>
                </c:pt>
                <c:pt idx="1">
                  <c:v>5.3057646647000078</c:v>
                </c:pt>
                <c:pt idx="2">
                  <c:v>5.6509723288000355</c:v>
                </c:pt>
                <c:pt idx="3">
                  <c:v>2.4035243304999891</c:v>
                </c:pt>
                <c:pt idx="4">
                  <c:v>4.4795186778999661</c:v>
                </c:pt>
                <c:pt idx="5">
                  <c:v>2.5440704273000043</c:v>
                </c:pt>
                <c:pt idx="6">
                  <c:v>1.6941973048000025</c:v>
                </c:pt>
                <c:pt idx="7">
                  <c:v>3.5126955949999799</c:v>
                </c:pt>
                <c:pt idx="8">
                  <c:v>4.7458417446999954</c:v>
                </c:pt>
                <c:pt idx="9">
                  <c:v>8.0826593818000028</c:v>
                </c:pt>
                <c:pt idx="10">
                  <c:v>6.5865810428999945</c:v>
                </c:pt>
                <c:pt idx="11">
                  <c:v>7.488554331299988</c:v>
                </c:pt>
                <c:pt idx="12">
                  <c:v>4.2941434987999925</c:v>
                </c:pt>
                <c:pt idx="13">
                  <c:v>2.4045915341999953</c:v>
                </c:pt>
                <c:pt idx="14">
                  <c:v>3.7412027468000111</c:v>
                </c:pt>
                <c:pt idx="15">
                  <c:v>1.9131264158999906</c:v>
                </c:pt>
                <c:pt idx="16">
                  <c:v>0.85990960209994882</c:v>
                </c:pt>
                <c:pt idx="17">
                  <c:v>0.98874527810000035</c:v>
                </c:pt>
                <c:pt idx="18">
                  <c:v>-1.2008161934000359</c:v>
                </c:pt>
                <c:pt idx="19">
                  <c:v>-2.0241899479000005</c:v>
                </c:pt>
                <c:pt idx="20">
                  <c:v>-4.408310722500012</c:v>
                </c:pt>
                <c:pt idx="21">
                  <c:v>-22.953075925300023</c:v>
                </c:pt>
                <c:pt idx="22">
                  <c:v>-2.7947559611999915</c:v>
                </c:pt>
                <c:pt idx="23">
                  <c:v>2.1023200511999862</c:v>
                </c:pt>
                <c:pt idx="24">
                  <c:v>4.2905022020000079</c:v>
                </c:pt>
                <c:pt idx="25">
                  <c:v>28.237467680700014</c:v>
                </c:pt>
                <c:pt idx="26">
                  <c:v>-8.5296171199999882E-2</c:v>
                </c:pt>
                <c:pt idx="27">
                  <c:v>-1.8829755502000003</c:v>
                </c:pt>
                <c:pt idx="28">
                  <c:v>0.25361177150000458</c:v>
                </c:pt>
                <c:pt idx="29">
                  <c:v>0.74770967569999569</c:v>
                </c:pt>
                <c:pt idx="30">
                  <c:v>6.0609708645000007</c:v>
                </c:pt>
                <c:pt idx="31">
                  <c:v>3.1776249752000041</c:v>
                </c:pt>
                <c:pt idx="32">
                  <c:v>1.1591111729999994</c:v>
                </c:pt>
              </c:numCache>
            </c:numRef>
          </c:val>
          <c:smooth val="0"/>
          <c:extLst>
            <c:ext xmlns:c16="http://schemas.microsoft.com/office/drawing/2014/chart" uri="{C3380CC4-5D6E-409C-BE32-E72D297353CC}">
              <c16:uniqueId val="{00000008-2A82-4AEC-877C-88AF235AF82A}"/>
            </c:ext>
          </c:extLst>
        </c:ser>
        <c:dLbls>
          <c:showLegendKey val="0"/>
          <c:showVal val="0"/>
          <c:showCatName val="0"/>
          <c:showSerName val="0"/>
          <c:showPercent val="0"/>
          <c:showBubbleSize val="0"/>
        </c:dLbls>
        <c:marker val="1"/>
        <c:smooth val="0"/>
        <c:axId val="122604160"/>
        <c:axId val="125780736"/>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IPP'!$R$36:$AX$36</c:f>
              <c:numCache>
                <c:formatCode>General</c:formatCode>
                <c:ptCount val="33"/>
              </c:numCache>
            </c:numRef>
          </c:val>
          <c:smooth val="0"/>
          <c:extLst>
            <c:ext xmlns:c16="http://schemas.microsoft.com/office/drawing/2014/chart" uri="{C3380CC4-5D6E-409C-BE32-E72D297353CC}">
              <c16:uniqueId val="{00000009-2A82-4AEC-877C-88AF235AF82A}"/>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IPP'!$R$37:$AX$37</c:f>
              <c:numCache>
                <c:formatCode>##0.0</c:formatCode>
                <c:ptCount val="33"/>
                <c:pt idx="0">
                  <c:v>98.64560247999998</c:v>
                </c:pt>
                <c:pt idx="1">
                  <c:v>100.18242374</c:v>
                </c:pt>
                <c:pt idx="2">
                  <c:v>101.2850845633</c:v>
                </c:pt>
                <c:pt idx="3">
                  <c:v>100.52111345000009</c:v>
                </c:pt>
                <c:pt idx="4">
                  <c:v>103.0563593</c:v>
                </c:pt>
                <c:pt idx="5">
                  <c:v>102.59927942330012</c:v>
                </c:pt>
                <c:pt idx="6">
                  <c:v>102.83954233669982</c:v>
                </c:pt>
                <c:pt idx="7">
                  <c:v>104.07328304329998</c:v>
                </c:pt>
                <c:pt idx="8">
                  <c:v>107.56794223670001</c:v>
                </c:pt>
                <c:pt idx="9">
                  <c:v>110.67653847999986</c:v>
                </c:pt>
                <c:pt idx="10">
                  <c:v>109.9586102967</c:v>
                </c:pt>
                <c:pt idx="11">
                  <c:v>112.16043972999998</c:v>
                </c:pt>
                <c:pt idx="12">
                  <c:v>112.4788675433</c:v>
                </c:pt>
                <c:pt idx="13">
                  <c:v>113.50775882669984</c:v>
                </c:pt>
                <c:pt idx="14">
                  <c:v>114.25384011329984</c:v>
                </c:pt>
                <c:pt idx="15">
                  <c:v>113.88130123669984</c:v>
                </c:pt>
                <c:pt idx="16">
                  <c:v>113.38844283329982</c:v>
                </c:pt>
                <c:pt idx="17">
                  <c:v>115.08486213330001</c:v>
                </c:pt>
                <c:pt idx="18">
                  <c:v>112.53550211669977</c:v>
                </c:pt>
                <c:pt idx="19">
                  <c:v>111.44039929330012</c:v>
                </c:pt>
                <c:pt idx="20">
                  <c:v>108.6749157867</c:v>
                </c:pt>
                <c:pt idx="21">
                  <c:v>88.9758235133</c:v>
                </c:pt>
                <c:pt idx="22">
                  <c:v>109.4050159767</c:v>
                </c:pt>
                <c:pt idx="23">
                  <c:v>113.95534516999992</c:v>
                </c:pt>
                <c:pt idx="24">
                  <c:v>112.29207821329985</c:v>
                </c:pt>
                <c:pt idx="25">
                  <c:v>113.25779428000008</c:v>
                </c:pt>
                <c:pt idx="26">
                  <c:v>110.35191377330008</c:v>
                </c:pt>
                <c:pt idx="27">
                  <c:v>111.22766090330015</c:v>
                </c:pt>
                <c:pt idx="28">
                  <c:v>113.36815870999995</c:v>
                </c:pt>
                <c:pt idx="29">
                  <c:v>114.4453126467</c:v>
                </c:pt>
                <c:pt idx="30">
                  <c:v>116.34945597330002</c:v>
                </c:pt>
                <c:pt idx="31">
                  <c:v>115.05273560999991</c:v>
                </c:pt>
                <c:pt idx="32">
                  <c:v>114.56693029669987</c:v>
                </c:pt>
              </c:numCache>
            </c:numRef>
          </c:val>
          <c:smooth val="0"/>
          <c:extLst>
            <c:ext xmlns:c16="http://schemas.microsoft.com/office/drawing/2014/chart" uri="{C3380CC4-5D6E-409C-BE32-E72D297353CC}">
              <c16:uniqueId val="{0000000A-2A82-4AEC-877C-88AF235AF82A}"/>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IPP'!$R$25:$AX$26</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IPP'!$R$38:$AX$38</c:f>
              <c:numCache>
                <c:formatCode>##0.0</c:formatCode>
                <c:ptCount val="33"/>
                <c:pt idx="0">
                  <c:v>98.928647706699849</c:v>
                </c:pt>
                <c:pt idx="1">
                  <c:v>100.52995774670001</c:v>
                </c:pt>
                <c:pt idx="2">
                  <c:v>100.75502845</c:v>
                </c:pt>
                <c:pt idx="3">
                  <c:v>99.786366096699837</c:v>
                </c:pt>
                <c:pt idx="4">
                  <c:v>100.23325782000002</c:v>
                </c:pt>
                <c:pt idx="5">
                  <c:v>99.062532509999869</c:v>
                </c:pt>
                <c:pt idx="6">
                  <c:v>100.58475803669978</c:v>
                </c:pt>
                <c:pt idx="7">
                  <c:v>103.32601011329984</c:v>
                </c:pt>
                <c:pt idx="8">
                  <c:v>106.91453119329998</c:v>
                </c:pt>
                <c:pt idx="9">
                  <c:v>109.53257710329984</c:v>
                </c:pt>
                <c:pt idx="10">
                  <c:v>107.5092221533</c:v>
                </c:pt>
                <c:pt idx="11">
                  <c:v>109.11652482000002</c:v>
                </c:pt>
                <c:pt idx="12">
                  <c:v>110.0374085</c:v>
                </c:pt>
                <c:pt idx="13">
                  <c:v>110.9731715833</c:v>
                </c:pt>
                <c:pt idx="14">
                  <c:v>113.02880105329984</c:v>
                </c:pt>
                <c:pt idx="15">
                  <c:v>114.48280249</c:v>
                </c:pt>
                <c:pt idx="16">
                  <c:v>113.39006210999995</c:v>
                </c:pt>
                <c:pt idx="17">
                  <c:v>115.27357595669984</c:v>
                </c:pt>
                <c:pt idx="18">
                  <c:v>112.1540635667</c:v>
                </c:pt>
                <c:pt idx="19">
                  <c:v>111.52589050329986</c:v>
                </c:pt>
                <c:pt idx="20">
                  <c:v>109.60384042669986</c:v>
                </c:pt>
                <c:pt idx="21">
                  <c:v>88.713331716699784</c:v>
                </c:pt>
                <c:pt idx="22">
                  <c:v>110.6502057333</c:v>
                </c:pt>
                <c:pt idx="23">
                  <c:v>116.5514529133</c:v>
                </c:pt>
                <c:pt idx="24">
                  <c:v>116.5100608533</c:v>
                </c:pt>
                <c:pt idx="25">
                  <c:v>118.2855516467</c:v>
                </c:pt>
                <c:pt idx="26">
                  <c:v>115.0804897467</c:v>
                </c:pt>
                <c:pt idx="27">
                  <c:v>120.3391553</c:v>
                </c:pt>
                <c:pt idx="28">
                  <c:v>128.3585854833</c:v>
                </c:pt>
                <c:pt idx="29">
                  <c:v>134.50982582329999</c:v>
                </c:pt>
                <c:pt idx="30">
                  <c:v>142.33677741330001</c:v>
                </c:pt>
                <c:pt idx="31">
                  <c:v>140.99427215330002</c:v>
                </c:pt>
                <c:pt idx="32">
                  <c:v>141.9186210933</c:v>
                </c:pt>
              </c:numCache>
            </c:numRef>
          </c:val>
          <c:smooth val="0"/>
          <c:extLst>
            <c:ext xmlns:c16="http://schemas.microsoft.com/office/drawing/2014/chart" uri="{C3380CC4-5D6E-409C-BE32-E72D297353CC}">
              <c16:uniqueId val="{0000000B-2A82-4AEC-877C-88AF235AF82A}"/>
            </c:ext>
          </c:extLst>
        </c:ser>
        <c:dLbls>
          <c:showLegendKey val="0"/>
          <c:showVal val="0"/>
          <c:showCatName val="0"/>
          <c:showSerName val="0"/>
          <c:showPercent val="0"/>
          <c:showBubbleSize val="0"/>
        </c:dLbls>
        <c:marker val="1"/>
        <c:smooth val="0"/>
        <c:axId val="73393280"/>
        <c:axId val="125782656"/>
      </c:lineChart>
      <c:catAx>
        <c:axId val="122604160"/>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25780736"/>
        <c:crosses val="autoZero"/>
        <c:auto val="1"/>
        <c:lblAlgn val="ctr"/>
        <c:lblOffset val="0"/>
        <c:noMultiLvlLbl val="0"/>
      </c:catAx>
      <c:valAx>
        <c:axId val="125780736"/>
        <c:scaling>
          <c:orientation val="minMax"/>
          <c:max val="31.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Průmysl. produkce v dílčích odvětvích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5.1905346109932297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22604160"/>
        <c:crosses val="autoZero"/>
        <c:crossBetween val="between"/>
        <c:majorUnit val="5"/>
      </c:valAx>
      <c:valAx>
        <c:axId val="125782656"/>
        <c:scaling>
          <c:orientation val="minMax"/>
          <c:max val="143"/>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 tržby v průmyslu (báze 2015=100)</a:t>
                </a:r>
              </a:p>
            </c:rich>
          </c:tx>
          <c:layout>
            <c:manualLayout>
              <c:xMode val="edge"/>
              <c:yMode val="edge"/>
              <c:x val="0.9704015901117452"/>
              <c:y val="8.6384138537000027E-2"/>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73393280"/>
        <c:crosses val="max"/>
        <c:crossBetween val="between"/>
        <c:majorUnit val="10"/>
      </c:valAx>
      <c:catAx>
        <c:axId val="73393280"/>
        <c:scaling>
          <c:orientation val="minMax"/>
        </c:scaling>
        <c:delete val="1"/>
        <c:axPos val="b"/>
        <c:numFmt formatCode="General" sourceLinked="1"/>
        <c:majorTickMark val="out"/>
        <c:minorTickMark val="none"/>
        <c:tickLblPos val="none"/>
        <c:crossAx val="12578265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336E-3"/>
          <c:y val="0.8254338599583817"/>
          <c:w val="0.98919860566585194"/>
          <c:h val="0.1675613345282423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79"/>
          <c:h val="0.75063602214308633"/>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2'!$R$36:$AY$36</c:f>
              <c:numCache>
                <c:formatCode>##0.0</c:formatCode>
                <c:ptCount val="34"/>
                <c:pt idx="0">
                  <c:v>8.5353894548000024</c:v>
                </c:pt>
                <c:pt idx="1">
                  <c:v>6.3740032441999945</c:v>
                </c:pt>
                <c:pt idx="2">
                  <c:v>6.0540271236999956</c:v>
                </c:pt>
                <c:pt idx="3">
                  <c:v>5.2610868972999976</c:v>
                </c:pt>
                <c:pt idx="4">
                  <c:v>2.639892480099999</c:v>
                </c:pt>
                <c:pt idx="5">
                  <c:v>7.5233833736999944</c:v>
                </c:pt>
                <c:pt idx="6">
                  <c:v>2.3667401951999927</c:v>
                </c:pt>
                <c:pt idx="7">
                  <c:v>6.6372980220999978</c:v>
                </c:pt>
                <c:pt idx="8">
                  <c:v>7.2642637417000104</c:v>
                </c:pt>
                <c:pt idx="9">
                  <c:v>8.2151073244999964</c:v>
                </c:pt>
                <c:pt idx="10">
                  <c:v>7.9541665196999887</c:v>
                </c:pt>
                <c:pt idx="11">
                  <c:v>7.3518853409999902</c:v>
                </c:pt>
                <c:pt idx="12">
                  <c:v>3.4479253911000001</c:v>
                </c:pt>
                <c:pt idx="13">
                  <c:v>3.7095478141000058</c:v>
                </c:pt>
                <c:pt idx="14">
                  <c:v>3.8047927777000012</c:v>
                </c:pt>
                <c:pt idx="15">
                  <c:v>3.0958525625999997</c:v>
                </c:pt>
                <c:pt idx="16">
                  <c:v>3.2186335616000012</c:v>
                </c:pt>
                <c:pt idx="17">
                  <c:v>1.4218114762000056</c:v>
                </c:pt>
                <c:pt idx="18">
                  <c:v>-0.25322037120000157</c:v>
                </c:pt>
                <c:pt idx="19">
                  <c:v>-3.8029715272000004</c:v>
                </c:pt>
                <c:pt idx="20">
                  <c:v>-2.0918519482000022</c:v>
                </c:pt>
                <c:pt idx="21">
                  <c:v>-27.667187618300005</c:v>
                </c:pt>
                <c:pt idx="22">
                  <c:v>-1.310591588500003</c:v>
                </c:pt>
                <c:pt idx="23">
                  <c:v>7.1560873368999909</c:v>
                </c:pt>
                <c:pt idx="24">
                  <c:v>8.4043556738999996</c:v>
                </c:pt>
                <c:pt idx="25">
                  <c:v>47.896596400900002</c:v>
                </c:pt>
                <c:pt idx="26">
                  <c:v>7.3132490553000107</c:v>
                </c:pt>
                <c:pt idx="27">
                  <c:v>3.5534586679000029</c:v>
                </c:pt>
                <c:pt idx="28">
                  <c:v>6.0319356453999955</c:v>
                </c:pt>
                <c:pt idx="29">
                  <c:v>9.7925018888000057</c:v>
                </c:pt>
                <c:pt idx="30">
                  <c:v>14.894537625000011</c:v>
                </c:pt>
                <c:pt idx="31">
                  <c:v>12.536341527999994</c:v>
                </c:pt>
                <c:pt idx="32">
                  <c:v>2.1304790845999975</c:v>
                </c:pt>
              </c:numCache>
            </c:numRef>
          </c:val>
          <c:extLst>
            <c:ext xmlns:c16="http://schemas.microsoft.com/office/drawing/2014/chart" uri="{C3380CC4-5D6E-409C-BE32-E72D297353CC}">
              <c16:uniqueId val="{00000000-B80A-49CB-88E2-A7D3B51B01BD}"/>
            </c:ext>
          </c:extLst>
        </c:ser>
        <c:dLbls>
          <c:showLegendKey val="0"/>
          <c:showVal val="0"/>
          <c:showCatName val="0"/>
          <c:showSerName val="0"/>
          <c:showPercent val="0"/>
          <c:showBubbleSize val="0"/>
        </c:dLbls>
        <c:gapWidth val="30"/>
        <c:axId val="83249408"/>
        <c:axId val="83267968"/>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2'!$R$37:$AY$37</c:f>
              <c:numCache>
                <c:formatCode>#\ ##0.0</c:formatCode>
                <c:ptCount val="34"/>
                <c:pt idx="0">
                  <c:v>4.3678555677999924</c:v>
                </c:pt>
                <c:pt idx="1">
                  <c:v>9.9380074582000049</c:v>
                </c:pt>
                <c:pt idx="2">
                  <c:v>-2.8625917786000095</c:v>
                </c:pt>
                <c:pt idx="3">
                  <c:v>-0.24449638430000709</c:v>
                </c:pt>
                <c:pt idx="4">
                  <c:v>1.5608556055999958</c:v>
                </c:pt>
                <c:pt idx="5">
                  <c:v>1.4530189575000059</c:v>
                </c:pt>
                <c:pt idx="6">
                  <c:v>0.19507191760000336</c:v>
                </c:pt>
                <c:pt idx="7">
                  <c:v>2.810568046100002</c:v>
                </c:pt>
                <c:pt idx="8">
                  <c:v>12.6195755233</c:v>
                </c:pt>
                <c:pt idx="9">
                  <c:v>15.740843176199999</c:v>
                </c:pt>
                <c:pt idx="10">
                  <c:v>15.881411785300003</c:v>
                </c:pt>
                <c:pt idx="11">
                  <c:v>15.4396235432</c:v>
                </c:pt>
                <c:pt idx="12">
                  <c:v>1.405994336299994</c:v>
                </c:pt>
                <c:pt idx="13">
                  <c:v>2.5119296337000034</c:v>
                </c:pt>
                <c:pt idx="14">
                  <c:v>4.7248831052000071</c:v>
                </c:pt>
                <c:pt idx="15">
                  <c:v>3.5273288478999998</c:v>
                </c:pt>
                <c:pt idx="16">
                  <c:v>8.0476176921000029</c:v>
                </c:pt>
                <c:pt idx="17">
                  <c:v>5.2936390826000004</c:v>
                </c:pt>
                <c:pt idx="18">
                  <c:v>0.41940306940000482</c:v>
                </c:pt>
                <c:pt idx="19">
                  <c:v>-1.345625708499993</c:v>
                </c:pt>
                <c:pt idx="20">
                  <c:v>5.5521264895999956</c:v>
                </c:pt>
                <c:pt idx="21">
                  <c:v>-25.896794335699987</c:v>
                </c:pt>
                <c:pt idx="22">
                  <c:v>-3.0500801793999983</c:v>
                </c:pt>
                <c:pt idx="23">
                  <c:v>6.9104797820000012</c:v>
                </c:pt>
                <c:pt idx="24">
                  <c:v>-2.8106372719999952</c:v>
                </c:pt>
                <c:pt idx="25">
                  <c:v>43.420786243100011</c:v>
                </c:pt>
                <c:pt idx="26">
                  <c:v>9.3034312720000152</c:v>
                </c:pt>
                <c:pt idx="27">
                  <c:v>5.3772359177000055</c:v>
                </c:pt>
                <c:pt idx="28">
                  <c:v>8.2972658596000031</c:v>
                </c:pt>
                <c:pt idx="29">
                  <c:v>15.120667440899993</c:v>
                </c:pt>
                <c:pt idx="30">
                  <c:v>25.937943040799986</c:v>
                </c:pt>
                <c:pt idx="31">
                  <c:v>19.222064994600004</c:v>
                </c:pt>
                <c:pt idx="32">
                  <c:v>11.652223194200005</c:v>
                </c:pt>
              </c:numCache>
            </c:numRef>
          </c:val>
          <c:smooth val="0"/>
          <c:extLst>
            <c:ext xmlns:c16="http://schemas.microsoft.com/office/drawing/2014/chart" uri="{C3380CC4-5D6E-409C-BE32-E72D297353CC}">
              <c16:uniqueId val="{00000001-B80A-49CB-88E2-A7D3B51B01BD}"/>
            </c:ext>
          </c:extLst>
        </c:ser>
        <c:dLbls>
          <c:showLegendKey val="0"/>
          <c:showVal val="0"/>
          <c:showCatName val="0"/>
          <c:showSerName val="0"/>
          <c:showPercent val="0"/>
          <c:showBubbleSize val="0"/>
        </c:dLbls>
        <c:marker val="1"/>
        <c:smooth val="0"/>
        <c:axId val="83249408"/>
        <c:axId val="83267968"/>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2'!$R$38:$AY$38</c:f>
              <c:numCache>
                <c:formatCode>##0.0</c:formatCode>
                <c:ptCount val="34"/>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pt idx="32">
                  <c:v>80.900000000000006</c:v>
                </c:pt>
                <c:pt idx="33">
                  <c:v>83.3</c:v>
                </c:pt>
              </c:numCache>
            </c:numRef>
          </c:val>
          <c:smooth val="0"/>
          <c:extLst>
            <c:ext xmlns:c16="http://schemas.microsoft.com/office/drawing/2014/chart" uri="{C3380CC4-5D6E-409C-BE32-E72D297353CC}">
              <c16:uniqueId val="{00000002-B80A-49CB-88E2-A7D3B51B01BD}"/>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2'!$R$39:$AY$39</c:f>
              <c:numCache>
                <c:formatCode>##0.0</c:formatCode>
                <c:ptCount val="34"/>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numCache>
            </c:numRef>
          </c:val>
          <c:smooth val="0"/>
          <c:extLst>
            <c:ext xmlns:c16="http://schemas.microsoft.com/office/drawing/2014/chart" uri="{C3380CC4-5D6E-409C-BE32-E72D297353CC}">
              <c16:uniqueId val="{00000003-B80A-49CB-88E2-A7D3B51B01BD}"/>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2'!$R$40:$AY$40</c:f>
              <c:numCache>
                <c:formatCode>#\ ##0.0</c:formatCode>
                <c:ptCount val="34"/>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numCache>
            </c:numRef>
          </c:val>
          <c:smooth val="0"/>
          <c:extLst>
            <c:ext xmlns:c16="http://schemas.microsoft.com/office/drawing/2014/chart" uri="{C3380CC4-5D6E-409C-BE32-E72D297353CC}">
              <c16:uniqueId val="{00000004-B80A-49CB-88E2-A7D3B51B01BD}"/>
            </c:ext>
          </c:extLst>
        </c:ser>
        <c:ser>
          <c:idx val="5"/>
          <c:order val="5"/>
          <c:tx>
            <c:strRef>
              <c:f>'výkonnost odvětví 2'!$A$41</c:f>
              <c:strCache>
                <c:ptCount val="1"/>
                <c:pt idx="0">
                  <c:v>Bariéra růstu: nedostatek pracovníků</c:v>
                </c:pt>
              </c:strCache>
            </c:strRef>
          </c:tx>
          <c:spPr>
            <a:ln w="15875">
              <a:solidFill>
                <a:schemeClr val="accent3">
                  <a:lumMod val="75000"/>
                </a:schemeClr>
              </a:solidFill>
              <a:prstDash val="sys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2'!$R$41:$AY$41</c:f>
              <c:numCache>
                <c:formatCode>#\ ##0.0</c:formatCode>
                <c:ptCount val="34"/>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numCache>
            </c:numRef>
          </c:val>
          <c:smooth val="0"/>
          <c:extLst>
            <c:ext xmlns:c16="http://schemas.microsoft.com/office/drawing/2014/chart" uri="{C3380CC4-5D6E-409C-BE32-E72D297353CC}">
              <c16:uniqueId val="{00000005-B80A-49CB-88E2-A7D3B51B01BD}"/>
            </c:ext>
          </c:extLst>
        </c:ser>
        <c:ser>
          <c:idx val="6"/>
          <c:order val="6"/>
          <c:tx>
            <c:strRef>
              <c:f>'výkonnost odvětví 2'!$A$42</c:f>
              <c:strCache>
                <c:ptCount val="1"/>
                <c:pt idx="0">
                  <c:v>Bariéra růstu: nedost. materiálu a zařízení</c:v>
                </c:pt>
              </c:strCache>
            </c:strRef>
          </c:tx>
          <c:spPr>
            <a:ln w="15875">
              <a:solidFill>
                <a:srgbClr val="1EB222"/>
              </a:solidFill>
              <a:prstDash val="dash"/>
            </a:ln>
          </c:spPr>
          <c:marker>
            <c:symbol val="none"/>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2'!$R$42:$AY$42</c:f>
              <c:numCache>
                <c:formatCode>#\ ##0.0</c:formatCode>
                <c:ptCount val="34"/>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numCache>
            </c:numRef>
          </c:val>
          <c:smooth val="0"/>
          <c:extLst>
            <c:ext xmlns:c16="http://schemas.microsoft.com/office/drawing/2014/chart" uri="{C3380CC4-5D6E-409C-BE32-E72D297353CC}">
              <c16:uniqueId val="{00000006-B80A-49CB-88E2-A7D3B51B01BD}"/>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2'!$R$34:$AY$35</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2'!$R$43:$AY$43</c:f>
              <c:numCache>
                <c:formatCode>#\ ##0.0</c:formatCode>
                <c:ptCount val="34"/>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0.30000000000000032</c:v>
                </c:pt>
                <c:pt idx="17">
                  <c:v>-2</c:v>
                </c:pt>
                <c:pt idx="18">
                  <c:v>-3</c:v>
                </c:pt>
                <c:pt idx="19">
                  <c:v>-6.7</c:v>
                </c:pt>
                <c:pt idx="20">
                  <c:v>-5</c:v>
                </c:pt>
                <c:pt idx="21">
                  <c:v>-25</c:v>
                </c:pt>
                <c:pt idx="22">
                  <c:v>-6.3</c:v>
                </c:pt>
                <c:pt idx="23">
                  <c:v>-10</c:v>
                </c:pt>
                <c:pt idx="24">
                  <c:v>-1.3</c:v>
                </c:pt>
                <c:pt idx="25">
                  <c:v>5.3</c:v>
                </c:pt>
                <c:pt idx="26">
                  <c:v>-1.3</c:v>
                </c:pt>
                <c:pt idx="27">
                  <c:v>-5.3</c:v>
                </c:pt>
                <c:pt idx="28">
                  <c:v>-0.30000000000000032</c:v>
                </c:pt>
                <c:pt idx="29">
                  <c:v>8.3000000000000007</c:v>
                </c:pt>
                <c:pt idx="30">
                  <c:v>-1.7</c:v>
                </c:pt>
                <c:pt idx="31">
                  <c:v>-8.3000000000000007</c:v>
                </c:pt>
                <c:pt idx="32">
                  <c:v>-10.1</c:v>
                </c:pt>
                <c:pt idx="33">
                  <c:v>-7</c:v>
                </c:pt>
              </c:numCache>
            </c:numRef>
          </c:val>
          <c:smooth val="0"/>
          <c:extLst>
            <c:ext xmlns:c16="http://schemas.microsoft.com/office/drawing/2014/chart" uri="{C3380CC4-5D6E-409C-BE32-E72D297353CC}">
              <c16:uniqueId val="{00000007-B80A-49CB-88E2-A7D3B51B01BD}"/>
            </c:ext>
          </c:extLst>
        </c:ser>
        <c:dLbls>
          <c:showLegendKey val="0"/>
          <c:showVal val="0"/>
          <c:showCatName val="0"/>
          <c:showSerName val="0"/>
          <c:showPercent val="0"/>
          <c:showBubbleSize val="0"/>
        </c:dLbls>
        <c:marker val="1"/>
        <c:smooth val="0"/>
        <c:axId val="83272064"/>
        <c:axId val="83269888"/>
      </c:lineChart>
      <c:catAx>
        <c:axId val="83249408"/>
        <c:scaling>
          <c:orientation val="minMax"/>
        </c:scaling>
        <c:delete val="0"/>
        <c:axPos val="b"/>
        <c:numFmt formatCode="General" sourceLinked="1"/>
        <c:majorTickMark val="out"/>
        <c:minorTickMark val="none"/>
        <c:tickLblPos val="low"/>
        <c:crossAx val="83267968"/>
        <c:crosses val="autoZero"/>
        <c:auto val="1"/>
        <c:lblAlgn val="ctr"/>
        <c:lblOffset val="0"/>
        <c:noMultiLvlLbl val="0"/>
      </c:catAx>
      <c:valAx>
        <c:axId val="83267968"/>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83249408"/>
        <c:crosses val="autoZero"/>
        <c:crossBetween val="between"/>
        <c:majorUnit val="10"/>
      </c:valAx>
      <c:valAx>
        <c:axId val="83269888"/>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83272064"/>
        <c:crosses val="max"/>
        <c:crossBetween val="between"/>
        <c:majorUnit val="10"/>
      </c:valAx>
      <c:catAx>
        <c:axId val="83272064"/>
        <c:scaling>
          <c:orientation val="minMax"/>
        </c:scaling>
        <c:delete val="1"/>
        <c:axPos val="b"/>
        <c:numFmt formatCode="General" sourceLinked="1"/>
        <c:majorTickMark val="out"/>
        <c:minorTickMark val="none"/>
        <c:tickLblPos val="none"/>
        <c:crossAx val="83269888"/>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6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3E-2"/>
          <c:w val="0.85237839893753009"/>
          <c:h val="0.7541319148337042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3'!$Y$31:$Y$64</c:f>
              <c:numCache>
                <c:formatCode>0.0</c:formatCode>
                <c:ptCount val="34"/>
                <c:pt idx="0">
                  <c:v>6.1608280021117059</c:v>
                </c:pt>
                <c:pt idx="1">
                  <c:v>5.233145758167141</c:v>
                </c:pt>
                <c:pt idx="2">
                  <c:v>0.80759607612224849</c:v>
                </c:pt>
                <c:pt idx="3">
                  <c:v>-1.7801931736017576</c:v>
                </c:pt>
                <c:pt idx="4">
                  <c:v>-4.9260426394610803</c:v>
                </c:pt>
                <c:pt idx="5">
                  <c:v>-5.3893761554105293</c:v>
                </c:pt>
                <c:pt idx="6">
                  <c:v>0.86353074351830095</c:v>
                </c:pt>
                <c:pt idx="7">
                  <c:v>4.024919621283277</c:v>
                </c:pt>
                <c:pt idx="8">
                  <c:v>1.9522274027606881</c:v>
                </c:pt>
                <c:pt idx="9">
                  <c:v>10.53618103638459</c:v>
                </c:pt>
                <c:pt idx="10">
                  <c:v>3.6081127397870398</c:v>
                </c:pt>
                <c:pt idx="11">
                  <c:v>2.5440603272321791</c:v>
                </c:pt>
                <c:pt idx="12">
                  <c:v>13.904954514953625</c:v>
                </c:pt>
                <c:pt idx="13">
                  <c:v>6.2181132474761087</c:v>
                </c:pt>
                <c:pt idx="14">
                  <c:v>7.7210558178298507</c:v>
                </c:pt>
                <c:pt idx="15">
                  <c:v>2.6259550657116648</c:v>
                </c:pt>
                <c:pt idx="16">
                  <c:v>2.9182336777181717</c:v>
                </c:pt>
                <c:pt idx="17">
                  <c:v>2.5364056565930437</c:v>
                </c:pt>
                <c:pt idx="18">
                  <c:v>-0.98563922125675008</c:v>
                </c:pt>
                <c:pt idx="19">
                  <c:v>2.5504281086949971</c:v>
                </c:pt>
                <c:pt idx="20">
                  <c:v>-0.49220764984023602</c:v>
                </c:pt>
                <c:pt idx="21">
                  <c:v>-7.4230457928670921</c:v>
                </c:pt>
                <c:pt idx="22">
                  <c:v>-7.0813271193038139</c:v>
                </c:pt>
                <c:pt idx="23">
                  <c:v>-8.6028814784154495</c:v>
                </c:pt>
                <c:pt idx="24">
                  <c:v>-5.1009695388914045</c:v>
                </c:pt>
                <c:pt idx="25">
                  <c:v>3.056058109370074</c:v>
                </c:pt>
                <c:pt idx="26">
                  <c:v>3.0719025371360345</c:v>
                </c:pt>
                <c:pt idx="27">
                  <c:v>5.9460478744023417</c:v>
                </c:pt>
                <c:pt idx="28">
                  <c:v>7.6838594822945927</c:v>
                </c:pt>
                <c:pt idx="29">
                  <c:v>3.7815035269884545</c:v>
                </c:pt>
                <c:pt idx="30">
                  <c:v>-0.8531291281334038</c:v>
                </c:pt>
                <c:pt idx="31">
                  <c:v>-1.0474224464158697</c:v>
                </c:pt>
                <c:pt idx="32">
                  <c:v>1.2272665989668186</c:v>
                </c:pt>
              </c:numCache>
            </c:numRef>
          </c:val>
          <c:extLst>
            <c:ext xmlns:c16="http://schemas.microsoft.com/office/drawing/2014/chart" uri="{C3380CC4-5D6E-409C-BE32-E72D297353CC}">
              <c16:uniqueId val="{00000000-04DC-4394-9FA2-6A57B0AF0865}"/>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3'!$Z$31:$Z$64</c:f>
              <c:numCache>
                <c:formatCode>0.0</c:formatCode>
                <c:ptCount val="34"/>
                <c:pt idx="0">
                  <c:v>3.0705403267337994</c:v>
                </c:pt>
                <c:pt idx="1">
                  <c:v>6.8741631874170288</c:v>
                </c:pt>
                <c:pt idx="2">
                  <c:v>6.9999177914089774</c:v>
                </c:pt>
                <c:pt idx="3">
                  <c:v>2.7886022034567057</c:v>
                </c:pt>
                <c:pt idx="4">
                  <c:v>-1.1526078736731107</c:v>
                </c:pt>
                <c:pt idx="5">
                  <c:v>-5.3513808653344856</c:v>
                </c:pt>
                <c:pt idx="6">
                  <c:v>-6.6686113975825858</c:v>
                </c:pt>
                <c:pt idx="7">
                  <c:v>-5.6971134882260275</c:v>
                </c:pt>
                <c:pt idx="8">
                  <c:v>-3.3555905673646342</c:v>
                </c:pt>
                <c:pt idx="9">
                  <c:v>-0.90415176747402504</c:v>
                </c:pt>
                <c:pt idx="10">
                  <c:v>-1.376901288471623</c:v>
                </c:pt>
                <c:pt idx="11">
                  <c:v>0.14984865454421994</c:v>
                </c:pt>
                <c:pt idx="12">
                  <c:v>1.8661234617319304</c:v>
                </c:pt>
                <c:pt idx="13">
                  <c:v>1.1653457222281625</c:v>
                </c:pt>
                <c:pt idx="14">
                  <c:v>4.7441915436444759</c:v>
                </c:pt>
                <c:pt idx="15">
                  <c:v>1.6256258958971166</c:v>
                </c:pt>
                <c:pt idx="16">
                  <c:v>0.73895008865178324</c:v>
                </c:pt>
                <c:pt idx="17">
                  <c:v>1.9508614834308369</c:v>
                </c:pt>
                <c:pt idx="18">
                  <c:v>0.52155296100802906</c:v>
                </c:pt>
                <c:pt idx="19">
                  <c:v>0.959676854324787</c:v>
                </c:pt>
                <c:pt idx="20">
                  <c:v>3.1388269340693769</c:v>
                </c:pt>
                <c:pt idx="21">
                  <c:v>1.2056036060568238</c:v>
                </c:pt>
                <c:pt idx="22">
                  <c:v>-1.7953878786263251</c:v>
                </c:pt>
                <c:pt idx="23">
                  <c:v>0.41205027286168161</c:v>
                </c:pt>
                <c:pt idx="24">
                  <c:v>-3.6947321791003282E-2</c:v>
                </c:pt>
                <c:pt idx="25">
                  <c:v>0.86454694955435607</c:v>
                </c:pt>
                <c:pt idx="26">
                  <c:v>-0.16377223085432244</c:v>
                </c:pt>
                <c:pt idx="27">
                  <c:v>-0.95395400670827923</c:v>
                </c:pt>
                <c:pt idx="28">
                  <c:v>3.6242806091187791</c:v>
                </c:pt>
                <c:pt idx="29">
                  <c:v>0.20354154779473321</c:v>
                </c:pt>
                <c:pt idx="30">
                  <c:v>2.9085323617429583E-2</c:v>
                </c:pt>
                <c:pt idx="31">
                  <c:v>0.93686465038909705</c:v>
                </c:pt>
                <c:pt idx="32">
                  <c:v>-2.3821332256416206</c:v>
                </c:pt>
              </c:numCache>
            </c:numRef>
          </c:val>
          <c:extLst>
            <c:ext xmlns:c16="http://schemas.microsoft.com/office/drawing/2014/chart" uri="{C3380CC4-5D6E-409C-BE32-E72D297353CC}">
              <c16:uniqueId val="{00000001-04DC-4394-9FA2-6A57B0AF0865}"/>
            </c:ext>
          </c:extLst>
        </c:ser>
        <c:dLbls>
          <c:showLegendKey val="0"/>
          <c:showVal val="0"/>
          <c:showCatName val="0"/>
          <c:showSerName val="0"/>
          <c:showPercent val="0"/>
          <c:showBubbleSize val="0"/>
        </c:dLbls>
        <c:gapWidth val="30"/>
        <c:overlap val="100"/>
        <c:axId val="89036288"/>
        <c:axId val="89038208"/>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3'!$X$31:$X$64</c:f>
              <c:numCache>
                <c:formatCode>0.0</c:formatCode>
                <c:ptCount val="34"/>
                <c:pt idx="0">
                  <c:v>9.2313683288454893</c:v>
                </c:pt>
                <c:pt idx="1">
                  <c:v>12.107308945584153</c:v>
                </c:pt>
                <c:pt idx="2">
                  <c:v>7.8075138675311901</c:v>
                </c:pt>
                <c:pt idx="3">
                  <c:v>1.0084090298549313</c:v>
                </c:pt>
                <c:pt idx="4">
                  <c:v>-6.0786505131341979</c:v>
                </c:pt>
                <c:pt idx="5">
                  <c:v>-10.740757020745008</c:v>
                </c:pt>
                <c:pt idx="6">
                  <c:v>-5.8050806540642697</c:v>
                </c:pt>
                <c:pt idx="7">
                  <c:v>-1.6721938669427365</c:v>
                </c:pt>
                <c:pt idx="8">
                  <c:v>-1.4033631646039169</c:v>
                </c:pt>
                <c:pt idx="9">
                  <c:v>9.6320292689105482</c:v>
                </c:pt>
                <c:pt idx="10">
                  <c:v>2.2312114513154198</c:v>
                </c:pt>
                <c:pt idx="11">
                  <c:v>2.6939089817763771</c:v>
                </c:pt>
                <c:pt idx="12">
                  <c:v>15.771077976685531</c:v>
                </c:pt>
                <c:pt idx="13">
                  <c:v>7.3834589697042885</c:v>
                </c:pt>
                <c:pt idx="14">
                  <c:v>12.465247361474326</c:v>
                </c:pt>
                <c:pt idx="15">
                  <c:v>4.2515809616087754</c:v>
                </c:pt>
                <c:pt idx="16">
                  <c:v>3.65718376636993</c:v>
                </c:pt>
                <c:pt idx="17">
                  <c:v>4.4872671400238842</c:v>
                </c:pt>
                <c:pt idx="18">
                  <c:v>-0.46408626024870664</c:v>
                </c:pt>
                <c:pt idx="19">
                  <c:v>3.5101049630197987</c:v>
                </c:pt>
                <c:pt idx="20">
                  <c:v>2.6466192842291587</c:v>
                </c:pt>
                <c:pt idx="21">
                  <c:v>-6.2174421868102794</c:v>
                </c:pt>
                <c:pt idx="22">
                  <c:v>-8.8767149979301365</c:v>
                </c:pt>
                <c:pt idx="23">
                  <c:v>-8.1908312055537706</c:v>
                </c:pt>
                <c:pt idx="24">
                  <c:v>-5.1379168606823979</c:v>
                </c:pt>
                <c:pt idx="25">
                  <c:v>3.9206050589244392</c:v>
                </c:pt>
                <c:pt idx="26">
                  <c:v>2.908130306281695</c:v>
                </c:pt>
                <c:pt idx="27">
                  <c:v>4.9920938676940505</c:v>
                </c:pt>
                <c:pt idx="28">
                  <c:v>11.308140091413364</c:v>
                </c:pt>
                <c:pt idx="29">
                  <c:v>3.985045074783212</c:v>
                </c:pt>
                <c:pt idx="30">
                  <c:v>-0.8240438045159667</c:v>
                </c:pt>
                <c:pt idx="31">
                  <c:v>-0.1105577960267822</c:v>
                </c:pt>
                <c:pt idx="32">
                  <c:v>-1.1548666266748029</c:v>
                </c:pt>
              </c:numCache>
            </c:numRef>
          </c:val>
          <c:smooth val="0"/>
          <c:extLst>
            <c:ext xmlns:c16="http://schemas.microsoft.com/office/drawing/2014/chart" uri="{C3380CC4-5D6E-409C-BE32-E72D297353CC}">
              <c16:uniqueId val="{00000002-04DC-4394-9FA2-6A57B0AF0865}"/>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3'!$AA$31:$AA$64</c:f>
              <c:numCache>
                <c:formatCode>0.0</c:formatCode>
                <c:ptCount val="34"/>
                <c:pt idx="0">
                  <c:v>-3.1547956675580053</c:v>
                </c:pt>
                <c:pt idx="1">
                  <c:v>9.7504961091663311</c:v>
                </c:pt>
                <c:pt idx="2">
                  <c:v>-1.0976060227612561</c:v>
                </c:pt>
                <c:pt idx="3">
                  <c:v>-2.3987783410040464</c:v>
                </c:pt>
                <c:pt idx="4">
                  <c:v>-6.6406358945753805</c:v>
                </c:pt>
                <c:pt idx="5">
                  <c:v>-0.49977652269311085</c:v>
                </c:pt>
                <c:pt idx="6">
                  <c:v>-7.0322087253454839</c:v>
                </c:pt>
                <c:pt idx="7">
                  <c:v>10.122126124559955</c:v>
                </c:pt>
                <c:pt idx="8">
                  <c:v>16.177217458847458</c:v>
                </c:pt>
                <c:pt idx="9">
                  <c:v>9.535087898401315</c:v>
                </c:pt>
                <c:pt idx="10">
                  <c:v>-1.2817324431350698</c:v>
                </c:pt>
                <c:pt idx="11">
                  <c:v>15.620806693503823</c:v>
                </c:pt>
                <c:pt idx="12">
                  <c:v>30.106973873688581</c:v>
                </c:pt>
                <c:pt idx="13">
                  <c:v>32.836878110611956</c:v>
                </c:pt>
                <c:pt idx="14">
                  <c:v>5.2768249907951263</c:v>
                </c:pt>
                <c:pt idx="15">
                  <c:v>1.8944565811032299</c:v>
                </c:pt>
                <c:pt idx="16">
                  <c:v>14.157245632065782</c:v>
                </c:pt>
                <c:pt idx="17">
                  <c:v>-9.3849543241233224</c:v>
                </c:pt>
                <c:pt idx="18">
                  <c:v>17.407871000993993</c:v>
                </c:pt>
                <c:pt idx="19">
                  <c:v>5.8323004254463804</c:v>
                </c:pt>
                <c:pt idx="20">
                  <c:v>-12.441635069859252</c:v>
                </c:pt>
                <c:pt idx="21">
                  <c:v>7.4973457220286734</c:v>
                </c:pt>
                <c:pt idx="22">
                  <c:v>2.0599736606932852</c:v>
                </c:pt>
                <c:pt idx="23">
                  <c:v>7.5507850088630155</c:v>
                </c:pt>
                <c:pt idx="24">
                  <c:v>28.856340981154403</c:v>
                </c:pt>
                <c:pt idx="25">
                  <c:v>22.047871359987191</c:v>
                </c:pt>
                <c:pt idx="26">
                  <c:v>10.015015612184271</c:v>
                </c:pt>
                <c:pt idx="27">
                  <c:v>1.0053213537781129</c:v>
                </c:pt>
                <c:pt idx="28">
                  <c:v>13.06747846041786</c:v>
                </c:pt>
                <c:pt idx="29">
                  <c:v>17.619163607261132</c:v>
                </c:pt>
                <c:pt idx="30">
                  <c:v>12.421954480552525</c:v>
                </c:pt>
                <c:pt idx="31">
                  <c:v>13.031852753748723</c:v>
                </c:pt>
                <c:pt idx="32">
                  <c:v>-11.830812069596632</c:v>
                </c:pt>
              </c:numCache>
            </c:numRef>
          </c:val>
          <c:smooth val="0"/>
          <c:extLst>
            <c:ext xmlns:c16="http://schemas.microsoft.com/office/drawing/2014/chart" uri="{C3380CC4-5D6E-409C-BE32-E72D297353CC}">
              <c16:uniqueId val="{00000003-04DC-4394-9FA2-6A57B0AF0865}"/>
            </c:ext>
          </c:extLst>
        </c:ser>
        <c:dLbls>
          <c:showLegendKey val="0"/>
          <c:showVal val="0"/>
          <c:showCatName val="0"/>
          <c:showSerName val="0"/>
          <c:showPercent val="0"/>
          <c:showBubbleSize val="0"/>
        </c:dLbls>
        <c:marker val="1"/>
        <c:smooth val="0"/>
        <c:axId val="89036288"/>
        <c:axId val="89038208"/>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dash"/>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3'!$AB$31:$AB$64</c:f>
              <c:numCache>
                <c:formatCode>#\ ##0.0</c:formatCode>
                <c:ptCount val="34"/>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29.8</c:v>
                </c:pt>
              </c:numCache>
            </c:numRef>
          </c:val>
          <c:smooth val="0"/>
          <c:extLst>
            <c:ext xmlns:c16="http://schemas.microsoft.com/office/drawing/2014/chart" uri="{C3380CC4-5D6E-409C-BE32-E72D297353CC}">
              <c16:uniqueId val="{00000004-04DC-4394-9FA2-6A57B0AF0865}"/>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3'!$AC$31:$AC$64</c:f>
              <c:numCache>
                <c:formatCode>#\ ##0.0</c:formatCode>
                <c:ptCount val="34"/>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c:v>
                </c:pt>
                <c:pt idx="28">
                  <c:v>58</c:v>
                </c:pt>
                <c:pt idx="29">
                  <c:v>44.4</c:v>
                </c:pt>
                <c:pt idx="30">
                  <c:v>39</c:v>
                </c:pt>
                <c:pt idx="31">
                  <c:v>46.7</c:v>
                </c:pt>
                <c:pt idx="32">
                  <c:v>40</c:v>
                </c:pt>
                <c:pt idx="33">
                  <c:v>37.1</c:v>
                </c:pt>
              </c:numCache>
            </c:numRef>
          </c:val>
          <c:smooth val="0"/>
          <c:extLst>
            <c:ext xmlns:c16="http://schemas.microsoft.com/office/drawing/2014/chart" uri="{C3380CC4-5D6E-409C-BE32-E72D297353CC}">
              <c16:uniqueId val="{00000005-04DC-4394-9FA2-6A57B0AF0865}"/>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3'!$AD$31:$AD$64</c:f>
              <c:numCache>
                <c:formatCode>#\ ##0.0</c:formatCode>
                <c:ptCount val="34"/>
                <c:pt idx="0">
                  <c:v>0.1</c:v>
                </c:pt>
                <c:pt idx="1">
                  <c:v>0.4</c:v>
                </c:pt>
                <c:pt idx="2">
                  <c:v>4</c:v>
                </c:pt>
                <c:pt idx="3">
                  <c:v>0.5</c:v>
                </c:pt>
                <c:pt idx="4">
                  <c:v>0.4</c:v>
                </c:pt>
                <c:pt idx="5">
                  <c:v>0.5</c:v>
                </c:pt>
                <c:pt idx="6">
                  <c:v>0.5</c:v>
                </c:pt>
                <c:pt idx="7">
                  <c:v>1.5</c:v>
                </c:pt>
                <c:pt idx="8">
                  <c:v>0.30000000000000032</c:v>
                </c:pt>
                <c:pt idx="9">
                  <c:v>0.30000000000000032</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17.2</c:v>
                </c:pt>
              </c:numCache>
            </c:numRef>
          </c:val>
          <c:smooth val="0"/>
          <c:extLst>
            <c:ext xmlns:c16="http://schemas.microsoft.com/office/drawing/2014/chart" uri="{C3380CC4-5D6E-409C-BE32-E72D297353CC}">
              <c16:uniqueId val="{00000006-04DC-4394-9FA2-6A57B0AF0865}"/>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3'!$V$31:$W$64</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3'!$AE$31:$AE$64</c:f>
              <c:numCache>
                <c:formatCode>0.0</c:formatCode>
                <c:ptCount val="34"/>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numCache>
            </c:numRef>
          </c:val>
          <c:smooth val="0"/>
          <c:extLst>
            <c:ext xmlns:c16="http://schemas.microsoft.com/office/drawing/2014/chart" uri="{C3380CC4-5D6E-409C-BE32-E72D297353CC}">
              <c16:uniqueId val="{00000007-04DC-4394-9FA2-6A57B0AF0865}"/>
            </c:ext>
          </c:extLst>
        </c:ser>
        <c:dLbls>
          <c:showLegendKey val="0"/>
          <c:showVal val="0"/>
          <c:showCatName val="0"/>
          <c:showSerName val="0"/>
          <c:showPercent val="0"/>
          <c:showBubbleSize val="0"/>
        </c:dLbls>
        <c:marker val="1"/>
        <c:smooth val="0"/>
        <c:axId val="89046400"/>
        <c:axId val="89044480"/>
      </c:lineChart>
      <c:catAx>
        <c:axId val="8903628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89038208"/>
        <c:crosses val="autoZero"/>
        <c:auto val="1"/>
        <c:lblAlgn val="ctr"/>
        <c:lblOffset val="0"/>
        <c:noMultiLvlLbl val="0"/>
      </c:catAx>
      <c:valAx>
        <c:axId val="89038208"/>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89036288"/>
        <c:crosses val="autoZero"/>
        <c:crossBetween val="between"/>
        <c:majorUnit val="10"/>
      </c:valAx>
      <c:valAx>
        <c:axId val="89044480"/>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89046400"/>
        <c:crosses val="max"/>
        <c:crossBetween val="between"/>
        <c:majorUnit val="20"/>
      </c:valAx>
      <c:catAx>
        <c:axId val="89046400"/>
        <c:scaling>
          <c:orientation val="minMax"/>
        </c:scaling>
        <c:delete val="1"/>
        <c:axPos val="b"/>
        <c:numFmt formatCode="General" sourceLinked="1"/>
        <c:majorTickMark val="out"/>
        <c:minorTickMark val="none"/>
        <c:tickLblPos val="none"/>
        <c:crossAx val="89044480"/>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63"/>
          <c:w val="0.96925714241885463"/>
          <c:h val="0.13362821778942571"/>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26691729323462E-2"/>
          <c:y val="1.5803328678987486E-2"/>
          <c:w val="0.84775483743554902"/>
          <c:h val="0.69902590308489565"/>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růstu-4'!$D$46:$D$79</c:f>
              <c:numCache>
                <c:formatCode>0.0</c:formatCode>
                <c:ptCount val="34"/>
                <c:pt idx="0">
                  <c:v>0.17627373165999941</c:v>
                </c:pt>
                <c:pt idx="1">
                  <c:v>-4.1398260783598463E-2</c:v>
                </c:pt>
                <c:pt idx="2">
                  <c:v>0.20127676583260184</c:v>
                </c:pt>
                <c:pt idx="3">
                  <c:v>4.2331882175001882E-2</c:v>
                </c:pt>
                <c:pt idx="4">
                  <c:v>0.2604828945619988</c:v>
                </c:pt>
                <c:pt idx="5">
                  <c:v>0.20044719477909853</c:v>
                </c:pt>
                <c:pt idx="6">
                  <c:v>0.14004615678000054</c:v>
                </c:pt>
                <c:pt idx="7">
                  <c:v>0.86059283114800178</c:v>
                </c:pt>
                <c:pt idx="8">
                  <c:v>1.6559965627289979</c:v>
                </c:pt>
                <c:pt idx="9">
                  <c:v>1.0934548874629975</c:v>
                </c:pt>
                <c:pt idx="10">
                  <c:v>1.1374484601479997</c:v>
                </c:pt>
                <c:pt idx="11">
                  <c:v>0.60470809717900065</c:v>
                </c:pt>
                <c:pt idx="12">
                  <c:v>1.7518533558899998</c:v>
                </c:pt>
                <c:pt idx="13">
                  <c:v>1.9191714775479998</c:v>
                </c:pt>
                <c:pt idx="14">
                  <c:v>1.4689069805629973</c:v>
                </c:pt>
                <c:pt idx="15">
                  <c:v>0.49822211685500084</c:v>
                </c:pt>
                <c:pt idx="16">
                  <c:v>0.75210969494300206</c:v>
                </c:pt>
                <c:pt idx="17">
                  <c:v>-7.8943058121998602E-2</c:v>
                </c:pt>
                <c:pt idx="18">
                  <c:v>-0.6761559609970017</c:v>
                </c:pt>
                <c:pt idx="19">
                  <c:v>-0.53883087511919936</c:v>
                </c:pt>
                <c:pt idx="20">
                  <c:v>-1.7873099078691976</c:v>
                </c:pt>
                <c:pt idx="21">
                  <c:v>-6.8790162520431002</c:v>
                </c:pt>
                <c:pt idx="22">
                  <c:v>-4.2156758486249952</c:v>
                </c:pt>
                <c:pt idx="23">
                  <c:v>-1.7596921701599977</c:v>
                </c:pt>
                <c:pt idx="24">
                  <c:v>-0.15017138784059986</c:v>
                </c:pt>
                <c:pt idx="25">
                  <c:v>6.9506599035744063</c:v>
                </c:pt>
                <c:pt idx="26">
                  <c:v>4.0996709945155994</c:v>
                </c:pt>
                <c:pt idx="27">
                  <c:v>4.5444705336066278</c:v>
                </c:pt>
                <c:pt idx="28">
                  <c:v>4.6413485285034968</c:v>
                </c:pt>
                <c:pt idx="29">
                  <c:v>4.79781831301898</c:v>
                </c:pt>
                <c:pt idx="30">
                  <c:v>3.7715119455304738</c:v>
                </c:pt>
                <c:pt idx="31">
                  <c:v>-0.10260527547599925</c:v>
                </c:pt>
                <c:pt idx="32">
                  <c:v>-1.4</c:v>
                </c:pt>
              </c:numCache>
            </c:numRef>
          </c:val>
          <c:extLst>
            <c:ext xmlns:c16="http://schemas.microsoft.com/office/drawing/2014/chart" uri="{C3380CC4-5D6E-409C-BE32-E72D297353CC}">
              <c16:uniqueId val="{00000000-80A6-4A4F-B9C5-178F1F0259CA}"/>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růstu-4'!$E$46:$E$79</c:f>
              <c:numCache>
                <c:formatCode>0.0</c:formatCode>
                <c:ptCount val="34"/>
                <c:pt idx="0">
                  <c:v>0.23064326026020021</c:v>
                </c:pt>
                <c:pt idx="1">
                  <c:v>0.65490030172000013</c:v>
                </c:pt>
                <c:pt idx="2">
                  <c:v>0.65615704203699965</c:v>
                </c:pt>
                <c:pt idx="3">
                  <c:v>0.40198126828160063</c:v>
                </c:pt>
                <c:pt idx="4">
                  <c:v>0.47264498177679992</c:v>
                </c:pt>
                <c:pt idx="5">
                  <c:v>0.16809598308499996</c:v>
                </c:pt>
                <c:pt idx="6">
                  <c:v>0.5678502803826001</c:v>
                </c:pt>
                <c:pt idx="7">
                  <c:v>0.60026021753880165</c:v>
                </c:pt>
                <c:pt idx="8">
                  <c:v>0.90716175756749962</c:v>
                </c:pt>
                <c:pt idx="9">
                  <c:v>1.2351843183735998</c:v>
                </c:pt>
                <c:pt idx="10">
                  <c:v>0.55372633890920031</c:v>
                </c:pt>
                <c:pt idx="11">
                  <c:v>0.45414701226059928</c:v>
                </c:pt>
                <c:pt idx="12">
                  <c:v>0.20562277238639989</c:v>
                </c:pt>
                <c:pt idx="13">
                  <c:v>4.6481198053399876E-2</c:v>
                </c:pt>
                <c:pt idx="14">
                  <c:v>5.8790755202600173E-2</c:v>
                </c:pt>
                <c:pt idx="15">
                  <c:v>-3.8611122396599751E-2</c:v>
                </c:pt>
                <c:pt idx="16">
                  <c:v>0.19877668230760023</c:v>
                </c:pt>
                <c:pt idx="17">
                  <c:v>0.19106550885020049</c:v>
                </c:pt>
                <c:pt idx="18">
                  <c:v>-2.1031638824599953E-2</c:v>
                </c:pt>
                <c:pt idx="19">
                  <c:v>-1.888187224559985E-2</c:v>
                </c:pt>
                <c:pt idx="20">
                  <c:v>-1.1578648579121595</c:v>
                </c:pt>
                <c:pt idx="21">
                  <c:v>-4.9674966649835008</c:v>
                </c:pt>
                <c:pt idx="22">
                  <c:v>-1.9520417393251044</c:v>
                </c:pt>
                <c:pt idx="23">
                  <c:v>-4.5017067627894294</c:v>
                </c:pt>
                <c:pt idx="24">
                  <c:v>-3.6933845036437498</c:v>
                </c:pt>
                <c:pt idx="25">
                  <c:v>1.3724082127149835</c:v>
                </c:pt>
                <c:pt idx="26">
                  <c:v>0.63617916285750042</c:v>
                </c:pt>
                <c:pt idx="27">
                  <c:v>2.8391165022808131</c:v>
                </c:pt>
                <c:pt idx="28">
                  <c:v>2.9561078391668976</c:v>
                </c:pt>
                <c:pt idx="29">
                  <c:v>2.6813701390722935</c:v>
                </c:pt>
                <c:pt idx="30">
                  <c:v>-0.42126370124067852</c:v>
                </c:pt>
                <c:pt idx="31">
                  <c:v>0.60066614945780028</c:v>
                </c:pt>
                <c:pt idx="32">
                  <c:v>0.56153839511549952</c:v>
                </c:pt>
              </c:numCache>
            </c:numRef>
          </c:val>
          <c:extLst>
            <c:ext xmlns:c16="http://schemas.microsoft.com/office/drawing/2014/chart" uri="{C3380CC4-5D6E-409C-BE32-E72D297353CC}">
              <c16:uniqueId val="{00000001-80A6-4A4F-B9C5-178F1F0259CA}"/>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růstu-4'!$F$46:$F$79</c:f>
              <c:numCache>
                <c:formatCode>0.0</c:formatCode>
                <c:ptCount val="34"/>
                <c:pt idx="0">
                  <c:v>1.4083798915137009</c:v>
                </c:pt>
                <c:pt idx="1">
                  <c:v>0.82540650715499952</c:v>
                </c:pt>
                <c:pt idx="2">
                  <c:v>0.80424272675400077</c:v>
                </c:pt>
                <c:pt idx="3">
                  <c:v>1.3174140502479976</c:v>
                </c:pt>
                <c:pt idx="4">
                  <c:v>0.35985664064800132</c:v>
                </c:pt>
                <c:pt idx="5">
                  <c:v>0.15751383681999903</c:v>
                </c:pt>
                <c:pt idx="6">
                  <c:v>0.32598498922400054</c:v>
                </c:pt>
                <c:pt idx="7">
                  <c:v>0.17761340848900084</c:v>
                </c:pt>
                <c:pt idx="8">
                  <c:v>0.76438636704000096</c:v>
                </c:pt>
                <c:pt idx="9">
                  <c:v>0.98207704425299869</c:v>
                </c:pt>
                <c:pt idx="10">
                  <c:v>0.77093881661000296</c:v>
                </c:pt>
                <c:pt idx="11">
                  <c:v>0.58294315828299859</c:v>
                </c:pt>
                <c:pt idx="12">
                  <c:v>1.4398200028309975</c:v>
                </c:pt>
                <c:pt idx="13">
                  <c:v>0.76531943813199965</c:v>
                </c:pt>
                <c:pt idx="14">
                  <c:v>1.415831001736001</c:v>
                </c:pt>
                <c:pt idx="15">
                  <c:v>0.98684323348800218</c:v>
                </c:pt>
                <c:pt idx="16">
                  <c:v>1.2348474246800001</c:v>
                </c:pt>
                <c:pt idx="17">
                  <c:v>1.1603884990620001</c:v>
                </c:pt>
                <c:pt idx="18">
                  <c:v>0.91591834325400012</c:v>
                </c:pt>
                <c:pt idx="19">
                  <c:v>1.1621880049516033</c:v>
                </c:pt>
                <c:pt idx="20">
                  <c:v>0.8191341781949999</c:v>
                </c:pt>
                <c:pt idx="21">
                  <c:v>1.3223529237600397E-2</c:v>
                </c:pt>
                <c:pt idx="22">
                  <c:v>-0.20840783961800008</c:v>
                </c:pt>
                <c:pt idx="23">
                  <c:v>-0.5414248305480025</c:v>
                </c:pt>
                <c:pt idx="24">
                  <c:v>0.71316924858200104</c:v>
                </c:pt>
                <c:pt idx="25">
                  <c:v>1.5486406955901637</c:v>
                </c:pt>
                <c:pt idx="26">
                  <c:v>1.4405780988855996</c:v>
                </c:pt>
                <c:pt idx="27">
                  <c:v>1.9065499671602741</c:v>
                </c:pt>
                <c:pt idx="28">
                  <c:v>1.4241015860772992</c:v>
                </c:pt>
                <c:pt idx="29">
                  <c:v>0.86579080876800141</c:v>
                </c:pt>
                <c:pt idx="30">
                  <c:v>0.69569690090645042</c:v>
                </c:pt>
                <c:pt idx="31">
                  <c:v>0.23551368312941123</c:v>
                </c:pt>
                <c:pt idx="32">
                  <c:v>0.54555719892637056</c:v>
                </c:pt>
              </c:numCache>
            </c:numRef>
          </c:val>
          <c:extLst>
            <c:ext xmlns:c16="http://schemas.microsoft.com/office/drawing/2014/chart" uri="{C3380CC4-5D6E-409C-BE32-E72D297353CC}">
              <c16:uniqueId val="{00000002-80A6-4A4F-B9C5-178F1F0259CA}"/>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růstu-4'!$G$46:$G$79</c:f>
              <c:numCache>
                <c:formatCode>0.0</c:formatCode>
                <c:ptCount val="34"/>
                <c:pt idx="0">
                  <c:v>4.7588818498199945E-2</c:v>
                </c:pt>
                <c:pt idx="1">
                  <c:v>-7.3007550905993864E-3</c:v>
                </c:pt>
                <c:pt idx="2">
                  <c:v>0.12810762983039936</c:v>
                </c:pt>
                <c:pt idx="3">
                  <c:v>2.4617916117599496E-2</c:v>
                </c:pt>
                <c:pt idx="4">
                  <c:v>0.25752090895740043</c:v>
                </c:pt>
                <c:pt idx="5">
                  <c:v>-4.2228184845005514E-3</c:v>
                </c:pt>
                <c:pt idx="6">
                  <c:v>0.14993183101380086</c:v>
                </c:pt>
                <c:pt idx="7">
                  <c:v>-6.6530028186599505E-2</c:v>
                </c:pt>
                <c:pt idx="8">
                  <c:v>0.20977398058900046</c:v>
                </c:pt>
                <c:pt idx="9">
                  <c:v>0.44953617213779962</c:v>
                </c:pt>
                <c:pt idx="10">
                  <c:v>-2.2338348474500537E-2</c:v>
                </c:pt>
                <c:pt idx="11">
                  <c:v>0.1398472309374002</c:v>
                </c:pt>
                <c:pt idx="12">
                  <c:v>2.6966101253399585E-2</c:v>
                </c:pt>
                <c:pt idx="13">
                  <c:v>-0.24884766500039995</c:v>
                </c:pt>
                <c:pt idx="14">
                  <c:v>-0.12645184379759991</c:v>
                </c:pt>
                <c:pt idx="15">
                  <c:v>-0.22378801642200069</c:v>
                </c:pt>
                <c:pt idx="16">
                  <c:v>0.14753986907940045</c:v>
                </c:pt>
                <c:pt idx="17">
                  <c:v>-7.3797086292003771E-3</c:v>
                </c:pt>
                <c:pt idx="18">
                  <c:v>-0.23287434101939941</c:v>
                </c:pt>
                <c:pt idx="19">
                  <c:v>-0.10147037326200042</c:v>
                </c:pt>
                <c:pt idx="20">
                  <c:v>0.42431890762080143</c:v>
                </c:pt>
                <c:pt idx="21">
                  <c:v>-0.29919163957060046</c:v>
                </c:pt>
                <c:pt idx="22">
                  <c:v>-0.26426338474666694</c:v>
                </c:pt>
                <c:pt idx="23">
                  <c:v>-0.23118426949069976</c:v>
                </c:pt>
                <c:pt idx="24">
                  <c:v>-0.20085438476490086</c:v>
                </c:pt>
                <c:pt idx="25">
                  <c:v>0.43434705815385077</c:v>
                </c:pt>
                <c:pt idx="26">
                  <c:v>2.9423998310004196E-3</c:v>
                </c:pt>
                <c:pt idx="27">
                  <c:v>0.23837123738399993</c:v>
                </c:pt>
                <c:pt idx="28">
                  <c:v>0.9317798842872006</c:v>
                </c:pt>
                <c:pt idx="29">
                  <c:v>0.47103938028000031</c:v>
                </c:pt>
                <c:pt idx="30">
                  <c:v>0.24148183282894767</c:v>
                </c:pt>
                <c:pt idx="31">
                  <c:v>0.36276827915000054</c:v>
                </c:pt>
                <c:pt idx="32">
                  <c:v>-2.7953795071999868E-2</c:v>
                </c:pt>
              </c:numCache>
            </c:numRef>
          </c:val>
          <c:extLst>
            <c:ext xmlns:c16="http://schemas.microsoft.com/office/drawing/2014/chart" uri="{C3380CC4-5D6E-409C-BE32-E72D297353CC}">
              <c16:uniqueId val="{00000003-80A6-4A4F-B9C5-178F1F0259CA}"/>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růstu-4'!$H$46:$H$79</c:f>
              <c:numCache>
                <c:formatCode>0.0</c:formatCode>
                <c:ptCount val="34"/>
                <c:pt idx="0">
                  <c:v>1.0468505532869989</c:v>
                </c:pt>
                <c:pt idx="1">
                  <c:v>0.72007462620000062</c:v>
                </c:pt>
                <c:pt idx="2">
                  <c:v>1.0906393004399988</c:v>
                </c:pt>
                <c:pt idx="3">
                  <c:v>-4.2990021238901499E-2</c:v>
                </c:pt>
                <c:pt idx="4">
                  <c:v>-0.43098075353700155</c:v>
                </c:pt>
                <c:pt idx="5">
                  <c:v>-1.3389465804999978</c:v>
                </c:pt>
                <c:pt idx="6">
                  <c:v>3.0728374200130306E-4</c:v>
                </c:pt>
                <c:pt idx="7">
                  <c:v>-0.31210716654949938</c:v>
                </c:pt>
                <c:pt idx="8">
                  <c:v>0.95807798756000062</c:v>
                </c:pt>
                <c:pt idx="9">
                  <c:v>0.59447839488779908</c:v>
                </c:pt>
                <c:pt idx="10">
                  <c:v>0.3086369056209004</c:v>
                </c:pt>
                <c:pt idx="11">
                  <c:v>0.42814590144940118</c:v>
                </c:pt>
                <c:pt idx="12">
                  <c:v>1.0521629274265001</c:v>
                </c:pt>
                <c:pt idx="13">
                  <c:v>0.5501113250554992</c:v>
                </c:pt>
                <c:pt idx="14">
                  <c:v>0.3596254694963989</c:v>
                </c:pt>
                <c:pt idx="15">
                  <c:v>-0.26680052765060186</c:v>
                </c:pt>
                <c:pt idx="16">
                  <c:v>0.7098884861869007</c:v>
                </c:pt>
                <c:pt idx="17">
                  <c:v>0.59156625867139978</c:v>
                </c:pt>
                <c:pt idx="18">
                  <c:v>-0.77754044718210102</c:v>
                </c:pt>
                <c:pt idx="19">
                  <c:v>-0.56889162352000111</c:v>
                </c:pt>
                <c:pt idx="20">
                  <c:v>-0.86298756252779962</c:v>
                </c:pt>
                <c:pt idx="21">
                  <c:v>-3.1826786933129987</c:v>
                </c:pt>
                <c:pt idx="22">
                  <c:v>-1.4951268594295066</c:v>
                </c:pt>
                <c:pt idx="23">
                  <c:v>-1.5495215129057982</c:v>
                </c:pt>
                <c:pt idx="24">
                  <c:v>-1.5897570854689647</c:v>
                </c:pt>
                <c:pt idx="25">
                  <c:v>2.7177633580318044</c:v>
                </c:pt>
                <c:pt idx="26">
                  <c:v>1.7630975025485993</c:v>
                </c:pt>
                <c:pt idx="27">
                  <c:v>2.09303101369794</c:v>
                </c:pt>
                <c:pt idx="28">
                  <c:v>2.2703464324547982</c:v>
                </c:pt>
                <c:pt idx="29">
                  <c:v>1.2338620529777751</c:v>
                </c:pt>
                <c:pt idx="30">
                  <c:v>1.0045707012391294</c:v>
                </c:pt>
                <c:pt idx="31">
                  <c:v>3.1260807364285555E-2</c:v>
                </c:pt>
                <c:pt idx="32">
                  <c:v>0.5025630523211545</c:v>
                </c:pt>
              </c:numCache>
            </c:numRef>
          </c:val>
          <c:extLst>
            <c:ext xmlns:c16="http://schemas.microsoft.com/office/drawing/2014/chart" uri="{C3380CC4-5D6E-409C-BE32-E72D297353CC}">
              <c16:uniqueId val="{00000004-80A6-4A4F-B9C5-178F1F0259CA}"/>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růstu-4'!$I$46:$I$79</c:f>
              <c:numCache>
                <c:formatCode>0.0</c:formatCode>
                <c:ptCount val="34"/>
                <c:pt idx="0">
                  <c:v>0.51550370389649958</c:v>
                </c:pt>
                <c:pt idx="1">
                  <c:v>0.62101310773750029</c:v>
                </c:pt>
                <c:pt idx="2">
                  <c:v>0.43506961802500077</c:v>
                </c:pt>
                <c:pt idx="3">
                  <c:v>0.50168865387910011</c:v>
                </c:pt>
                <c:pt idx="4">
                  <c:v>0.4550707532813994</c:v>
                </c:pt>
                <c:pt idx="5">
                  <c:v>0.16398578688570092</c:v>
                </c:pt>
                <c:pt idx="6">
                  <c:v>0.26977885261849965</c:v>
                </c:pt>
                <c:pt idx="7">
                  <c:v>0.51378188366290034</c:v>
                </c:pt>
                <c:pt idx="8">
                  <c:v>1.320133173034</c:v>
                </c:pt>
                <c:pt idx="9">
                  <c:v>1.0879288678140993</c:v>
                </c:pt>
                <c:pt idx="10">
                  <c:v>0.64134107873250068</c:v>
                </c:pt>
                <c:pt idx="11">
                  <c:v>0.30531118010650082</c:v>
                </c:pt>
                <c:pt idx="12">
                  <c:v>0.53332072309840062</c:v>
                </c:pt>
                <c:pt idx="13">
                  <c:v>0.37840292387820118</c:v>
                </c:pt>
                <c:pt idx="14">
                  <c:v>0.43569101400389965</c:v>
                </c:pt>
                <c:pt idx="15">
                  <c:v>-1.3079338160200678E-2</c:v>
                </c:pt>
                <c:pt idx="16">
                  <c:v>0.47288540072630031</c:v>
                </c:pt>
                <c:pt idx="17">
                  <c:v>0.12968213694649991</c:v>
                </c:pt>
                <c:pt idx="18">
                  <c:v>-0.1232239748115999</c:v>
                </c:pt>
                <c:pt idx="19">
                  <c:v>-0.21537552647130034</c:v>
                </c:pt>
                <c:pt idx="20">
                  <c:v>-1.1051686942919998</c:v>
                </c:pt>
                <c:pt idx="21">
                  <c:v>-4.3129281059486004</c:v>
                </c:pt>
                <c:pt idx="22">
                  <c:v>-4.4460675231578994</c:v>
                </c:pt>
                <c:pt idx="23">
                  <c:v>-2.3716048373777987</c:v>
                </c:pt>
                <c:pt idx="24">
                  <c:v>-1.4732703403763998</c:v>
                </c:pt>
                <c:pt idx="25">
                  <c:v>1.7697809683939403</c:v>
                </c:pt>
                <c:pt idx="26">
                  <c:v>1.8505450464600017</c:v>
                </c:pt>
                <c:pt idx="27">
                  <c:v>1.0498709638992363</c:v>
                </c:pt>
                <c:pt idx="28">
                  <c:v>1.8422319047019373</c:v>
                </c:pt>
                <c:pt idx="29">
                  <c:v>2.1447223452546753</c:v>
                </c:pt>
                <c:pt idx="30">
                  <c:v>1.8858572291093003</c:v>
                </c:pt>
                <c:pt idx="31">
                  <c:v>0.46980802110480013</c:v>
                </c:pt>
                <c:pt idx="32">
                  <c:v>-0.37389504541899959</c:v>
                </c:pt>
              </c:numCache>
            </c:numRef>
          </c:val>
          <c:extLst>
            <c:ext xmlns:c16="http://schemas.microsoft.com/office/drawing/2014/chart" uri="{C3380CC4-5D6E-409C-BE32-E72D297353CC}">
              <c16:uniqueId val="{00000005-80A6-4A4F-B9C5-178F1F0259CA}"/>
            </c:ext>
          </c:extLst>
        </c:ser>
        <c:dLbls>
          <c:showLegendKey val="0"/>
          <c:showVal val="0"/>
          <c:showCatName val="0"/>
          <c:showSerName val="0"/>
          <c:showPercent val="0"/>
          <c:showBubbleSize val="0"/>
        </c:dLbls>
        <c:gapWidth val="20"/>
        <c:overlap val="100"/>
        <c:axId val="98854784"/>
        <c:axId val="98856320"/>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růstu-4'!$C$46:$C$79</c:f>
              <c:numCache>
                <c:formatCode>0.0</c:formatCode>
                <c:ptCount val="34"/>
                <c:pt idx="0">
                  <c:v>3.3387856580999942</c:v>
                </c:pt>
                <c:pt idx="1">
                  <c:v>2.7067375338999993</c:v>
                </c:pt>
                <c:pt idx="2">
                  <c:v>3.2734904207</c:v>
                </c:pt>
                <c:pt idx="3">
                  <c:v>2.2083913160000073</c:v>
                </c:pt>
                <c:pt idx="4">
                  <c:v>1.3295921479000015</c:v>
                </c:pt>
                <c:pt idx="5">
                  <c:v>-0.87633228709999855</c:v>
                </c:pt>
                <c:pt idx="6">
                  <c:v>1.4335470749000061</c:v>
                </c:pt>
                <c:pt idx="7">
                  <c:v>1.6242102724999938</c:v>
                </c:pt>
                <c:pt idx="8">
                  <c:v>5.6462151451000011</c:v>
                </c:pt>
                <c:pt idx="9">
                  <c:v>5.4476828922000093</c:v>
                </c:pt>
                <c:pt idx="10">
                  <c:v>3.4016118395999939</c:v>
                </c:pt>
                <c:pt idx="11">
                  <c:v>2.5063195031000021</c:v>
                </c:pt>
                <c:pt idx="12">
                  <c:v>5.0712886034999984</c:v>
                </c:pt>
                <c:pt idx="13">
                  <c:v>3.4823349595999984</c:v>
                </c:pt>
                <c:pt idx="14">
                  <c:v>3.6926675579999992</c:v>
                </c:pt>
                <c:pt idx="15">
                  <c:v>1.0671514554999946</c:v>
                </c:pt>
                <c:pt idx="16">
                  <c:v>3.5777212416000079</c:v>
                </c:pt>
                <c:pt idx="17">
                  <c:v>1.9765133558999959</c:v>
                </c:pt>
                <c:pt idx="18">
                  <c:v>-0.81695782319999988</c:v>
                </c:pt>
                <c:pt idx="19">
                  <c:v>-0.15568719549999369</c:v>
                </c:pt>
                <c:pt idx="20">
                  <c:v>-3.6980250129000041</c:v>
                </c:pt>
                <c:pt idx="21">
                  <c:v>-19.64534524879997</c:v>
                </c:pt>
                <c:pt idx="22">
                  <c:v>-12.600965308100001</c:v>
                </c:pt>
                <c:pt idx="23">
                  <c:v>-10.912584080000014</c:v>
                </c:pt>
                <c:pt idx="24">
                  <c:v>-6.3942684535126197</c:v>
                </c:pt>
                <c:pt idx="25">
                  <c:v>14.793600196459142</c:v>
                </c:pt>
                <c:pt idx="26">
                  <c:v>9.7930132050982976</c:v>
                </c:pt>
                <c:pt idx="27">
                  <c:v>12.671410218028901</c:v>
                </c:pt>
                <c:pt idx="28">
                  <c:v>14.067469931718723</c:v>
                </c:pt>
                <c:pt idx="29">
                  <c:v>12.196508720194068</c:v>
                </c:pt>
                <c:pt idx="30">
                  <c:v>7.176695304149308</c:v>
                </c:pt>
                <c:pt idx="31">
                  <c:v>1.6035828199999997</c:v>
                </c:pt>
                <c:pt idx="32">
                  <c:v>-0.26171959730000088</c:v>
                </c:pt>
              </c:numCache>
            </c:numRef>
          </c:val>
          <c:smooth val="0"/>
          <c:extLst>
            <c:ext xmlns:c16="http://schemas.microsoft.com/office/drawing/2014/chart" uri="{C3380CC4-5D6E-409C-BE32-E72D297353CC}">
              <c16:uniqueId val="{00000006-80A6-4A4F-B9C5-178F1F0259CA}"/>
            </c:ext>
          </c:extLst>
        </c:ser>
        <c:dLbls>
          <c:showLegendKey val="0"/>
          <c:showVal val="0"/>
          <c:showCatName val="0"/>
          <c:showSerName val="0"/>
          <c:showPercent val="0"/>
          <c:showBubbleSize val="0"/>
        </c:dLbls>
        <c:marker val="1"/>
        <c:smooth val="0"/>
        <c:axId val="98854784"/>
        <c:axId val="98856320"/>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růstu-4'!$J$46:$J$79</c:f>
              <c:numCache>
                <c:formatCode>#\ ##0.0</c:formatCode>
                <c:ptCount val="34"/>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numCache>
            </c:numRef>
          </c:val>
          <c:smooth val="0"/>
          <c:extLst>
            <c:ext xmlns:c16="http://schemas.microsoft.com/office/drawing/2014/chart" uri="{C3380CC4-5D6E-409C-BE32-E72D297353CC}">
              <c16:uniqueId val="{00000007-80A6-4A4F-B9C5-178F1F0259CA}"/>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růstu-4'!$K$46:$K$79</c:f>
              <c:numCache>
                <c:formatCode>#\ ##0.0</c:formatCode>
                <c:ptCount val="34"/>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pt idx="31">
                  <c:v>17.600000000000001</c:v>
                </c:pt>
                <c:pt idx="32">
                  <c:v>25.4</c:v>
                </c:pt>
                <c:pt idx="33">
                  <c:v>19.100000000000001</c:v>
                </c:pt>
              </c:numCache>
            </c:numRef>
          </c:val>
          <c:smooth val="0"/>
          <c:extLst>
            <c:ext xmlns:c16="http://schemas.microsoft.com/office/drawing/2014/chart" uri="{C3380CC4-5D6E-409C-BE32-E72D297353CC}">
              <c16:uniqueId val="{00000008-80A6-4A4F-B9C5-178F1F0259CA}"/>
            </c:ext>
          </c:extLst>
        </c:ser>
        <c:ser>
          <c:idx val="9"/>
          <c:order val="9"/>
          <c:tx>
            <c:strRef>
              <c:f>'Služby-příspěvkyk růstu-4'!$L$33</c:f>
              <c:strCache>
                <c:ptCount val="1"/>
                <c:pt idx="0">
                  <c:v>Bariéra růstu: nedostatek pracovníků</c:v>
                </c:pt>
              </c:strCache>
            </c:strRef>
          </c:tx>
          <c:spPr>
            <a:ln w="15875">
              <a:solidFill>
                <a:srgbClr val="CA945E"/>
              </a:solidFill>
              <a:prstDash val="lgDash"/>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růstu-4'!$L$46:$L$79</c:f>
              <c:numCache>
                <c:formatCode>#\ ##0.0</c:formatCode>
                <c:ptCount val="34"/>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9.7000000000000011</c:v>
                </c:pt>
              </c:numCache>
            </c:numRef>
          </c:val>
          <c:smooth val="0"/>
          <c:extLst>
            <c:ext xmlns:c16="http://schemas.microsoft.com/office/drawing/2014/chart" uri="{C3380CC4-5D6E-409C-BE32-E72D297353CC}">
              <c16:uniqueId val="{00000009-80A6-4A4F-B9C5-178F1F0259CA}"/>
            </c:ext>
          </c:extLst>
        </c:ser>
        <c:ser>
          <c:idx val="10"/>
          <c:order val="10"/>
          <c:tx>
            <c:strRef>
              <c:f>'Služby-příspěvkyk růstu-4'!$M$33</c:f>
              <c:strCache>
                <c:ptCount val="1"/>
                <c:pt idx="0">
                  <c:v>Tržby celkem (báze 2015=100, stálé ceny)</c:v>
                </c:pt>
              </c:strCache>
            </c:strRef>
          </c:tx>
          <c:spPr>
            <a:ln w="15875">
              <a:solidFill>
                <a:schemeClr val="tx1"/>
              </a:solidFill>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růstu-4'!$M$46:$M$79</c:f>
              <c:numCache>
                <c:formatCode>0.0</c:formatCode>
                <c:ptCount val="34"/>
                <c:pt idx="0">
                  <c:v>98.905869400000086</c:v>
                </c:pt>
                <c:pt idx="1">
                  <c:v>99.939744966700005</c:v>
                </c:pt>
                <c:pt idx="2">
                  <c:v>100.46069412999999</c:v>
                </c:pt>
                <c:pt idx="3">
                  <c:v>100.69369150670001</c:v>
                </c:pt>
                <c:pt idx="4">
                  <c:v>99.506269490000136</c:v>
                </c:pt>
                <c:pt idx="5">
                  <c:v>99.882932769999869</c:v>
                </c:pt>
                <c:pt idx="6">
                  <c:v>101.6454132667</c:v>
                </c:pt>
                <c:pt idx="7">
                  <c:v>103.1425757933</c:v>
                </c:pt>
                <c:pt idx="8">
                  <c:v>103.7536856167</c:v>
                </c:pt>
                <c:pt idx="9">
                  <c:v>105.19867788669984</c:v>
                </c:pt>
                <c:pt idx="10">
                  <c:v>105.3356622867</c:v>
                </c:pt>
                <c:pt idx="11">
                  <c:v>106.72097377670001</c:v>
                </c:pt>
                <c:pt idx="12">
                  <c:v>107.91535113669984</c:v>
                </c:pt>
                <c:pt idx="13">
                  <c:v>108.70616911330002</c:v>
                </c:pt>
                <c:pt idx="14">
                  <c:v>109.37278169669978</c:v>
                </c:pt>
                <c:pt idx="15">
                  <c:v>108.88805681669976</c:v>
                </c:pt>
                <c:pt idx="16">
                  <c:v>110.44627128330015</c:v>
                </c:pt>
                <c:pt idx="17">
                  <c:v>110.87756216</c:v>
                </c:pt>
                <c:pt idx="18">
                  <c:v>109.16473103669982</c:v>
                </c:pt>
                <c:pt idx="19">
                  <c:v>108.93584104999998</c:v>
                </c:pt>
                <c:pt idx="20">
                  <c:v>105.36793023669986</c:v>
                </c:pt>
                <c:pt idx="21">
                  <c:v>90.203880829999989</c:v>
                </c:pt>
                <c:pt idx="22">
                  <c:v>97.528267896699859</c:v>
                </c:pt>
                <c:pt idx="23">
                  <c:v>95.952761640000006</c:v>
                </c:pt>
                <c:pt idx="24">
                  <c:v>97.5220549533</c:v>
                </c:pt>
                <c:pt idx="25">
                  <c:v>102.23534626670001</c:v>
                </c:pt>
                <c:pt idx="26">
                  <c:v>106.43087342000008</c:v>
                </c:pt>
                <c:pt idx="27">
                  <c:v>109.46740578000015</c:v>
                </c:pt>
                <c:pt idx="28">
                  <c:v>111.59700395669998</c:v>
                </c:pt>
                <c:pt idx="29">
                  <c:v>113.97800418670001</c:v>
                </c:pt>
                <c:pt idx="30">
                  <c:v>113.21268741999998</c:v>
                </c:pt>
                <c:pt idx="31">
                  <c:v>111.91387392000009</c:v>
                </c:pt>
                <c:pt idx="32">
                  <c:v>111.49306566670013</c:v>
                </c:pt>
              </c:numCache>
            </c:numRef>
          </c:val>
          <c:smooth val="0"/>
          <c:extLst>
            <c:ext xmlns:c16="http://schemas.microsoft.com/office/drawing/2014/chart" uri="{C3380CC4-5D6E-409C-BE32-E72D297353CC}">
              <c16:uniqueId val="{0000000A-80A6-4A4F-B9C5-178F1F0259CA}"/>
            </c:ext>
          </c:extLst>
        </c:ser>
        <c:ser>
          <c:idx val="11"/>
          <c:order val="11"/>
          <c:tx>
            <c:strRef>
              <c:f>'Služby-příspěvkyk růstu-4'!$N$33</c:f>
              <c:strCache>
                <c:ptCount val="1"/>
                <c:pt idx="0">
                  <c:v>Tržby celkem (báze 2015=100, běžné ceny)</c:v>
                </c:pt>
              </c:strCache>
            </c:strRef>
          </c:tx>
          <c:spPr>
            <a:ln w="15875">
              <a:solidFill>
                <a:schemeClr val="bg2">
                  <a:lumMod val="25000"/>
                </a:schemeClr>
              </a:solidFill>
              <a:prstDash val="sysDash"/>
            </a:ln>
          </c:spPr>
          <c:marker>
            <c:symbol val="none"/>
          </c:marker>
          <c:cat>
            <c:multiLvlStrRef>
              <c:f>'Služby-příspěvkyk růstu-4'!$A$46:$B$79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růstu-4'!$N$46:$N$79</c:f>
              <c:numCache>
                <c:formatCode>0.0</c:formatCode>
                <c:ptCount val="34"/>
                <c:pt idx="0">
                  <c:v>98.878809526699783</c:v>
                </c:pt>
                <c:pt idx="1">
                  <c:v>99.932801119999837</c:v>
                </c:pt>
                <c:pt idx="2">
                  <c:v>100.47612456000009</c:v>
                </c:pt>
                <c:pt idx="3">
                  <c:v>100.71226479000015</c:v>
                </c:pt>
                <c:pt idx="4">
                  <c:v>99.601623460000141</c:v>
                </c:pt>
                <c:pt idx="5">
                  <c:v>100.2234790433</c:v>
                </c:pt>
                <c:pt idx="6">
                  <c:v>102.13593757999986</c:v>
                </c:pt>
                <c:pt idx="7">
                  <c:v>103.9538192433001</c:v>
                </c:pt>
                <c:pt idx="8">
                  <c:v>105.28339829999992</c:v>
                </c:pt>
                <c:pt idx="9">
                  <c:v>107.13280340670001</c:v>
                </c:pt>
                <c:pt idx="10">
                  <c:v>107.78245525</c:v>
                </c:pt>
                <c:pt idx="11">
                  <c:v>109.74135017</c:v>
                </c:pt>
                <c:pt idx="12">
                  <c:v>111.4458726133</c:v>
                </c:pt>
                <c:pt idx="13">
                  <c:v>112.96754313330008</c:v>
                </c:pt>
                <c:pt idx="14">
                  <c:v>114.32754983669984</c:v>
                </c:pt>
                <c:pt idx="15">
                  <c:v>114.67629783669977</c:v>
                </c:pt>
                <c:pt idx="16">
                  <c:v>116.72200621330001</c:v>
                </c:pt>
                <c:pt idx="17">
                  <c:v>118.4237964933</c:v>
                </c:pt>
                <c:pt idx="18">
                  <c:v>117.19000776670001</c:v>
                </c:pt>
                <c:pt idx="19">
                  <c:v>117.1905607767</c:v>
                </c:pt>
                <c:pt idx="20">
                  <c:v>113.2309142367</c:v>
                </c:pt>
                <c:pt idx="21">
                  <c:v>96.647774276699849</c:v>
                </c:pt>
                <c:pt idx="22">
                  <c:v>105.48850793</c:v>
                </c:pt>
                <c:pt idx="23">
                  <c:v>103.67207354999985</c:v>
                </c:pt>
                <c:pt idx="24">
                  <c:v>105.51279886669982</c:v>
                </c:pt>
                <c:pt idx="25">
                  <c:v>111.35872837999985</c:v>
                </c:pt>
                <c:pt idx="26">
                  <c:v>117.05419338670002</c:v>
                </c:pt>
                <c:pt idx="27">
                  <c:v>121.5423597267</c:v>
                </c:pt>
                <c:pt idx="28">
                  <c:v>126.6919922467</c:v>
                </c:pt>
                <c:pt idx="29">
                  <c:v>132.1707957666998</c:v>
                </c:pt>
                <c:pt idx="30">
                  <c:v>134.22968942329999</c:v>
                </c:pt>
                <c:pt idx="31">
                  <c:v>134.84061227669997</c:v>
                </c:pt>
                <c:pt idx="32">
                  <c:v>136.83023030000024</c:v>
                </c:pt>
              </c:numCache>
            </c:numRef>
          </c:val>
          <c:smooth val="0"/>
          <c:extLst>
            <c:ext xmlns:c16="http://schemas.microsoft.com/office/drawing/2014/chart" uri="{C3380CC4-5D6E-409C-BE32-E72D297353CC}">
              <c16:uniqueId val="{0000000B-80A6-4A4F-B9C5-178F1F0259CA}"/>
            </c:ext>
          </c:extLst>
        </c:ser>
        <c:dLbls>
          <c:showLegendKey val="0"/>
          <c:showVal val="0"/>
          <c:showCatName val="0"/>
          <c:showSerName val="0"/>
          <c:showPercent val="0"/>
          <c:showBubbleSize val="0"/>
        </c:dLbls>
        <c:marker val="1"/>
        <c:smooth val="0"/>
        <c:axId val="98897280"/>
        <c:axId val="98895360"/>
      </c:lineChart>
      <c:catAx>
        <c:axId val="98854784"/>
        <c:scaling>
          <c:orientation val="minMax"/>
        </c:scaling>
        <c:delete val="0"/>
        <c:axPos val="b"/>
        <c:numFmt formatCode="General" sourceLinked="0"/>
        <c:majorTickMark val="out"/>
        <c:minorTickMark val="none"/>
        <c:tickLblPos val="low"/>
        <c:txPr>
          <a:bodyPr/>
          <a:lstStyle/>
          <a:p>
            <a:pPr>
              <a:defRPr sz="800"/>
            </a:pPr>
            <a:endParaRPr lang="cs-CZ"/>
          </a:p>
        </c:txPr>
        <c:crossAx val="98856320"/>
        <c:crosses val="autoZero"/>
        <c:auto val="1"/>
        <c:lblAlgn val="ctr"/>
        <c:lblOffset val="0"/>
        <c:noMultiLvlLbl val="0"/>
      </c:catAx>
      <c:valAx>
        <c:axId val="98856320"/>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98854784"/>
        <c:crosses val="autoZero"/>
        <c:crossBetween val="between"/>
        <c:majorUnit val="5"/>
      </c:valAx>
      <c:valAx>
        <c:axId val="98895360"/>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celkem (báze 2015=100)</a:t>
                </a:r>
                <a:r>
                  <a:rPr lang="cs-CZ" sz="700" b="0" i="1"/>
                  <a:t>,Saldo důvěry, bariéry růstu</a:t>
                </a:r>
              </a:p>
            </c:rich>
          </c:tx>
          <c:layout>
            <c:manualLayout>
              <c:xMode val="edge"/>
              <c:yMode val="edge"/>
              <c:x val="0.97059971540629864"/>
              <c:y val="1.8415267943787519E-2"/>
            </c:manualLayout>
          </c:layout>
          <c:overlay val="0"/>
        </c:title>
        <c:numFmt formatCode="0" sourceLinked="0"/>
        <c:majorTickMark val="out"/>
        <c:minorTickMark val="none"/>
        <c:tickLblPos val="nextTo"/>
        <c:txPr>
          <a:bodyPr/>
          <a:lstStyle/>
          <a:p>
            <a:pPr>
              <a:defRPr sz="800"/>
            </a:pPr>
            <a:endParaRPr lang="cs-CZ"/>
          </a:p>
        </c:txPr>
        <c:crossAx val="98897280"/>
        <c:crosses val="max"/>
        <c:crossBetween val="between"/>
        <c:majorUnit val="10"/>
      </c:valAx>
      <c:catAx>
        <c:axId val="98897280"/>
        <c:scaling>
          <c:orientation val="minMax"/>
        </c:scaling>
        <c:delete val="1"/>
        <c:axPos val="b"/>
        <c:numFmt formatCode="General" sourceLinked="1"/>
        <c:majorTickMark val="out"/>
        <c:minorTickMark val="none"/>
        <c:tickLblPos val="none"/>
        <c:crossAx val="98895360"/>
        <c:crosses val="autoZero"/>
        <c:auto val="1"/>
        <c:lblAlgn val="ctr"/>
        <c:lblOffset val="100"/>
        <c:noMultiLvlLbl val="0"/>
      </c:catAx>
      <c:spPr>
        <a:ln>
          <a:solidFill>
            <a:schemeClr val="tx1"/>
          </a:solidFill>
        </a:ln>
      </c:spPr>
    </c:plotArea>
    <c:legend>
      <c:legendPos val="r"/>
      <c:layout>
        <c:manualLayout>
          <c:xMode val="edge"/>
          <c:yMode val="edge"/>
          <c:x val="2.7894149438737292E-3"/>
          <c:y val="0.80683901693256188"/>
          <c:w val="0.9922935411278293"/>
          <c:h val="0.18952404020147051"/>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86E-2"/>
          <c:w val="0.8508210133571954"/>
          <c:h val="0.74167997750452452"/>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5a'!$E$67:$E$100</c:f>
              <c:numCache>
                <c:formatCode>#\ ##0.0</c:formatCode>
                <c:ptCount val="34"/>
                <c:pt idx="0">
                  <c:v>1.7968525782652036</c:v>
                </c:pt>
                <c:pt idx="1">
                  <c:v>1.1791224568789191</c:v>
                </c:pt>
                <c:pt idx="2">
                  <c:v>1.9051719303199939</c:v>
                </c:pt>
                <c:pt idx="3">
                  <c:v>1.4451215295824835</c:v>
                </c:pt>
                <c:pt idx="4">
                  <c:v>1.7447279503492539</c:v>
                </c:pt>
                <c:pt idx="5">
                  <c:v>1.4640451669330623</c:v>
                </c:pt>
                <c:pt idx="6">
                  <c:v>0.97147083630208386</c:v>
                </c:pt>
                <c:pt idx="7">
                  <c:v>-7.50691330187373E-2</c:v>
                </c:pt>
                <c:pt idx="8">
                  <c:v>0.73425778243231121</c:v>
                </c:pt>
                <c:pt idx="9">
                  <c:v>1.3336221651849498</c:v>
                </c:pt>
                <c:pt idx="10">
                  <c:v>1.148264067935566</c:v>
                </c:pt>
                <c:pt idx="11">
                  <c:v>0.8954293037390092</c:v>
                </c:pt>
                <c:pt idx="12">
                  <c:v>1.5129556035207505</c:v>
                </c:pt>
                <c:pt idx="13">
                  <c:v>0.53724684179172877</c:v>
                </c:pt>
                <c:pt idx="14">
                  <c:v>0.98097838613194488</c:v>
                </c:pt>
                <c:pt idx="15">
                  <c:v>0.45895493544282662</c:v>
                </c:pt>
                <c:pt idx="16">
                  <c:v>0.67460527770247813</c:v>
                </c:pt>
                <c:pt idx="17">
                  <c:v>1.1938610134109726</c:v>
                </c:pt>
                <c:pt idx="18">
                  <c:v>0.63015847733735963</c:v>
                </c:pt>
                <c:pt idx="19">
                  <c:v>0.62923634699872177</c:v>
                </c:pt>
                <c:pt idx="20">
                  <c:v>0.9469594125582842</c:v>
                </c:pt>
                <c:pt idx="21">
                  <c:v>-1.1878021201060334</c:v>
                </c:pt>
                <c:pt idx="22">
                  <c:v>-0.39836946074768959</c:v>
                </c:pt>
                <c:pt idx="23">
                  <c:v>0.24484515142503174</c:v>
                </c:pt>
                <c:pt idx="24">
                  <c:v>-0.44870069660916562</c:v>
                </c:pt>
                <c:pt idx="25">
                  <c:v>0.43470456459783874</c:v>
                </c:pt>
                <c:pt idx="26">
                  <c:v>-0.30638524812564877</c:v>
                </c:pt>
                <c:pt idx="27">
                  <c:v>-0.18456896753972324</c:v>
                </c:pt>
                <c:pt idx="28">
                  <c:v>-0.2644332124970542</c:v>
                </c:pt>
                <c:pt idx="29">
                  <c:v>-1.298273733857183</c:v>
                </c:pt>
                <c:pt idx="30">
                  <c:v>-2.2978022374091576</c:v>
                </c:pt>
                <c:pt idx="31">
                  <c:v>-3.2183996089311866</c:v>
                </c:pt>
                <c:pt idx="32">
                  <c:v>-3.0564813105890587</c:v>
                </c:pt>
              </c:numCache>
            </c:numRef>
          </c:val>
          <c:extLst>
            <c:ext xmlns:c16="http://schemas.microsoft.com/office/drawing/2014/chart" uri="{C3380CC4-5D6E-409C-BE32-E72D297353CC}">
              <c16:uniqueId val="{00000000-B659-4398-B92E-69FC3BE8765F}"/>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5a'!$F$67:$F$100</c:f>
              <c:numCache>
                <c:formatCode>#\ ##0.0</c:formatCode>
                <c:ptCount val="34"/>
                <c:pt idx="0">
                  <c:v>3.5337647628605238</c:v>
                </c:pt>
                <c:pt idx="1">
                  <c:v>4.0403269648807054</c:v>
                </c:pt>
                <c:pt idx="2">
                  <c:v>2.8414781046087616</c:v>
                </c:pt>
                <c:pt idx="3">
                  <c:v>3.7696029154089437</c:v>
                </c:pt>
                <c:pt idx="4">
                  <c:v>2.8247932220754692</c:v>
                </c:pt>
                <c:pt idx="5">
                  <c:v>2.6799731375621909</c:v>
                </c:pt>
                <c:pt idx="6">
                  <c:v>3.347941642924769</c:v>
                </c:pt>
                <c:pt idx="7">
                  <c:v>3.6402362968460404</c:v>
                </c:pt>
                <c:pt idx="8">
                  <c:v>4.3767111447936236</c:v>
                </c:pt>
                <c:pt idx="9">
                  <c:v>4.6063896710500005</c:v>
                </c:pt>
                <c:pt idx="10">
                  <c:v>4.1933467197549064</c:v>
                </c:pt>
                <c:pt idx="11">
                  <c:v>4.8248475939610485</c:v>
                </c:pt>
                <c:pt idx="12">
                  <c:v>4.1828625238720027</c:v>
                </c:pt>
                <c:pt idx="13">
                  <c:v>3.5054484803167876</c:v>
                </c:pt>
                <c:pt idx="14">
                  <c:v>2.819438974679537</c:v>
                </c:pt>
                <c:pt idx="15">
                  <c:v>3.9553867638573244</c:v>
                </c:pt>
                <c:pt idx="16">
                  <c:v>4.4354535369958406</c:v>
                </c:pt>
                <c:pt idx="17">
                  <c:v>3.3723462442148215</c:v>
                </c:pt>
                <c:pt idx="18">
                  <c:v>3.7256703958918869</c:v>
                </c:pt>
                <c:pt idx="19">
                  <c:v>3.4440592495195479</c:v>
                </c:pt>
                <c:pt idx="20">
                  <c:v>-2.8251709833996521E-2</c:v>
                </c:pt>
                <c:pt idx="21">
                  <c:v>0.37120321946990481</c:v>
                </c:pt>
                <c:pt idx="22">
                  <c:v>1.7529788946207687</c:v>
                </c:pt>
                <c:pt idx="23">
                  <c:v>-1.0606589154268835</c:v>
                </c:pt>
                <c:pt idx="24">
                  <c:v>1.1032352547156199</c:v>
                </c:pt>
                <c:pt idx="25">
                  <c:v>5.7270426184807475</c:v>
                </c:pt>
                <c:pt idx="26">
                  <c:v>3.8044410655375258</c:v>
                </c:pt>
                <c:pt idx="27">
                  <c:v>5.2471277682417368</c:v>
                </c:pt>
                <c:pt idx="28">
                  <c:v>5.410120611589333</c:v>
                </c:pt>
                <c:pt idx="29">
                  <c:v>-1.1295059503721878</c:v>
                </c:pt>
                <c:pt idx="30">
                  <c:v>-3.8961561368469937</c:v>
                </c:pt>
                <c:pt idx="31">
                  <c:v>-5.6070211315812966</c:v>
                </c:pt>
                <c:pt idx="32">
                  <c:v>-4.816448415200453</c:v>
                </c:pt>
              </c:numCache>
            </c:numRef>
          </c:val>
          <c:extLst>
            <c:ext xmlns:c16="http://schemas.microsoft.com/office/drawing/2014/chart" uri="{C3380CC4-5D6E-409C-BE32-E72D297353CC}">
              <c16:uniqueId val="{00000001-B659-4398-B92E-69FC3BE8765F}"/>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5a'!$G$67:$G$100</c:f>
              <c:numCache>
                <c:formatCode>#\ ##0.0</c:formatCode>
                <c:ptCount val="34"/>
                <c:pt idx="0">
                  <c:v>0.75359194510045113</c:v>
                </c:pt>
                <c:pt idx="1">
                  <c:v>0.58821183102713259</c:v>
                </c:pt>
                <c:pt idx="2">
                  <c:v>0.79399459687356078</c:v>
                </c:pt>
                <c:pt idx="3">
                  <c:v>0.93961068819571214</c:v>
                </c:pt>
                <c:pt idx="4">
                  <c:v>0.69214098521927592</c:v>
                </c:pt>
                <c:pt idx="5">
                  <c:v>0.70440464135882064</c:v>
                </c:pt>
                <c:pt idx="6">
                  <c:v>0.62814320050368755</c:v>
                </c:pt>
                <c:pt idx="7">
                  <c:v>0.6256127692880088</c:v>
                </c:pt>
                <c:pt idx="8">
                  <c:v>0.51956983975724591</c:v>
                </c:pt>
                <c:pt idx="9">
                  <c:v>0.77336135806484263</c:v>
                </c:pt>
                <c:pt idx="10">
                  <c:v>0.84841829183324158</c:v>
                </c:pt>
                <c:pt idx="11">
                  <c:v>0.68454565742255236</c:v>
                </c:pt>
                <c:pt idx="12">
                  <c:v>0.67561195848099143</c:v>
                </c:pt>
                <c:pt idx="13">
                  <c:v>0.59075079613408388</c:v>
                </c:pt>
                <c:pt idx="14">
                  <c:v>0.37399713498271248</c:v>
                </c:pt>
                <c:pt idx="15">
                  <c:v>0.42674113172704531</c:v>
                </c:pt>
                <c:pt idx="16">
                  <c:v>0.55629349987096377</c:v>
                </c:pt>
                <c:pt idx="17">
                  <c:v>0.26295616202476968</c:v>
                </c:pt>
                <c:pt idx="18">
                  <c:v>0.19423130649799952</c:v>
                </c:pt>
                <c:pt idx="19">
                  <c:v>5.5904565164944207E-2</c:v>
                </c:pt>
                <c:pt idx="20">
                  <c:v>-0.75350296737444378</c:v>
                </c:pt>
                <c:pt idx="21">
                  <c:v>-2.0525680822481127</c:v>
                </c:pt>
                <c:pt idx="22">
                  <c:v>-4.8140542119499467E-2</c:v>
                </c:pt>
                <c:pt idx="23">
                  <c:v>-1.2048671034914455</c:v>
                </c:pt>
                <c:pt idx="24">
                  <c:v>-0.81267731005197164</c:v>
                </c:pt>
                <c:pt idx="25">
                  <c:v>1.0340829352131833</c:v>
                </c:pt>
                <c:pt idx="26">
                  <c:v>0.39031023614333382</c:v>
                </c:pt>
                <c:pt idx="27">
                  <c:v>0.99584083683099534</c:v>
                </c:pt>
                <c:pt idx="28">
                  <c:v>1.3779403028643198</c:v>
                </c:pt>
                <c:pt idx="29">
                  <c:v>-0.54234422696138462</c:v>
                </c:pt>
                <c:pt idx="30">
                  <c:v>-1.2771841004606979</c:v>
                </c:pt>
                <c:pt idx="31">
                  <c:v>-0.33373215205594292</c:v>
                </c:pt>
                <c:pt idx="32">
                  <c:v>0.10826874514024805</c:v>
                </c:pt>
              </c:numCache>
            </c:numRef>
          </c:val>
          <c:extLst>
            <c:ext xmlns:c16="http://schemas.microsoft.com/office/drawing/2014/chart" uri="{C3380CC4-5D6E-409C-BE32-E72D297353CC}">
              <c16:uniqueId val="{00000002-B659-4398-B92E-69FC3BE8765F}"/>
            </c:ext>
          </c:extLst>
        </c:ser>
        <c:dLbls>
          <c:showLegendKey val="0"/>
          <c:showVal val="0"/>
          <c:showCatName val="0"/>
          <c:showSerName val="0"/>
          <c:showPercent val="0"/>
          <c:showBubbleSize val="0"/>
        </c:dLbls>
        <c:gapWidth val="31"/>
        <c:overlap val="100"/>
        <c:axId val="100301824"/>
        <c:axId val="100603008"/>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5a'!$D$67:$D$100</c:f>
              <c:numCache>
                <c:formatCode>#\ ##0.0</c:formatCode>
                <c:ptCount val="34"/>
                <c:pt idx="0">
                  <c:v>5.9636205444000012</c:v>
                </c:pt>
                <c:pt idx="1">
                  <c:v>5.5921884395999859</c:v>
                </c:pt>
                <c:pt idx="2">
                  <c:v>5.5022460545000094</c:v>
                </c:pt>
                <c:pt idx="3">
                  <c:v>6.0250321769999902</c:v>
                </c:pt>
                <c:pt idx="4">
                  <c:v>5.2059376710999956</c:v>
                </c:pt>
                <c:pt idx="5">
                  <c:v>4.7779836855000095</c:v>
                </c:pt>
                <c:pt idx="6">
                  <c:v>4.7634220096000064</c:v>
                </c:pt>
                <c:pt idx="7">
                  <c:v>3.906217172500007</c:v>
                </c:pt>
                <c:pt idx="8">
                  <c:v>5.3191682382000067</c:v>
                </c:pt>
                <c:pt idx="9">
                  <c:v>6.4643894589999977</c:v>
                </c:pt>
                <c:pt idx="10">
                  <c:v>5.9751578491999968</c:v>
                </c:pt>
                <c:pt idx="11">
                  <c:v>6.1621326275999886</c:v>
                </c:pt>
                <c:pt idx="12">
                  <c:v>6.3390670470000003</c:v>
                </c:pt>
                <c:pt idx="13">
                  <c:v>4.6648962080999912</c:v>
                </c:pt>
                <c:pt idx="14">
                  <c:v>4.1971443662999803</c:v>
                </c:pt>
                <c:pt idx="15">
                  <c:v>4.8161135707999883</c:v>
                </c:pt>
                <c:pt idx="16">
                  <c:v>5.653718841799992</c:v>
                </c:pt>
                <c:pt idx="17">
                  <c:v>4.8265636037999968</c:v>
                </c:pt>
                <c:pt idx="18">
                  <c:v>4.5452014837000041</c:v>
                </c:pt>
                <c:pt idx="19">
                  <c:v>4.1996486233999963</c:v>
                </c:pt>
                <c:pt idx="20">
                  <c:v>6.0491738300001492E-2</c:v>
                </c:pt>
                <c:pt idx="21">
                  <c:v>-2.8962995720000038</c:v>
                </c:pt>
                <c:pt idx="22">
                  <c:v>1.3291675252000061</c:v>
                </c:pt>
                <c:pt idx="23">
                  <c:v>-2.0263752827000019</c:v>
                </c:pt>
                <c:pt idx="24">
                  <c:v>-0.18412703469999786</c:v>
                </c:pt>
                <c:pt idx="25">
                  <c:v>7.2801836781999976</c:v>
                </c:pt>
                <c:pt idx="26">
                  <c:v>3.9051822130000033</c:v>
                </c:pt>
                <c:pt idx="27">
                  <c:v>6.1725521779999974</c:v>
                </c:pt>
                <c:pt idx="28">
                  <c:v>6.5204449565999925</c:v>
                </c:pt>
                <c:pt idx="29">
                  <c:v>-2.9691285236000047</c:v>
                </c:pt>
                <c:pt idx="30">
                  <c:v>-7.4711265697000044</c:v>
                </c:pt>
                <c:pt idx="31">
                  <c:v>-9.1638267598000027</c:v>
                </c:pt>
                <c:pt idx="32">
                  <c:v>-7.767397049299996</c:v>
                </c:pt>
              </c:numCache>
            </c:numRef>
          </c:val>
          <c:smooth val="0"/>
          <c:extLst>
            <c:ext xmlns:c16="http://schemas.microsoft.com/office/drawing/2014/chart" uri="{C3380CC4-5D6E-409C-BE32-E72D297353CC}">
              <c16:uniqueId val="{00000003-B659-4398-B92E-69FC3BE8765F}"/>
            </c:ext>
          </c:extLst>
        </c:ser>
        <c:dLbls>
          <c:showLegendKey val="0"/>
          <c:showVal val="0"/>
          <c:showCatName val="0"/>
          <c:showSerName val="0"/>
          <c:showPercent val="0"/>
          <c:showBubbleSize val="0"/>
        </c:dLbls>
        <c:marker val="1"/>
        <c:smooth val="0"/>
        <c:axId val="100301824"/>
        <c:axId val="100603008"/>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5a'!$H$67:$H$100</c:f>
              <c:numCache>
                <c:formatCode>#\ ##0.0</c:formatCode>
                <c:ptCount val="34"/>
                <c:pt idx="0">
                  <c:v>98.108903473300003</c:v>
                </c:pt>
                <c:pt idx="1">
                  <c:v>99.176423353299839</c:v>
                </c:pt>
                <c:pt idx="2">
                  <c:v>100.24040488000009</c:v>
                </c:pt>
                <c:pt idx="3">
                  <c:v>102.4742682967</c:v>
                </c:pt>
                <c:pt idx="4">
                  <c:v>103.00654075999998</c:v>
                </c:pt>
                <c:pt idx="5">
                  <c:v>104.00728415330002</c:v>
                </c:pt>
                <c:pt idx="6">
                  <c:v>105.24950234329998</c:v>
                </c:pt>
                <c:pt idx="7">
                  <c:v>106.61154646670002</c:v>
                </c:pt>
                <c:pt idx="8">
                  <c:v>108.19528997</c:v>
                </c:pt>
                <c:pt idx="9">
                  <c:v>110.67867867999986</c:v>
                </c:pt>
                <c:pt idx="10">
                  <c:v>111.78129380670002</c:v>
                </c:pt>
                <c:pt idx="11">
                  <c:v>113.06724078329999</c:v>
                </c:pt>
                <c:pt idx="12">
                  <c:v>114.63997826000001</c:v>
                </c:pt>
                <c:pt idx="13">
                  <c:v>116.12165418330002</c:v>
                </c:pt>
                <c:pt idx="14">
                  <c:v>116.8100051867</c:v>
                </c:pt>
                <c:pt idx="15">
                  <c:v>118.44840057330002</c:v>
                </c:pt>
                <c:pt idx="16">
                  <c:v>120.62811213669976</c:v>
                </c:pt>
                <c:pt idx="17">
                  <c:v>122.0140614733001</c:v>
                </c:pt>
                <c:pt idx="18">
                  <c:v>122.34251458330009</c:v>
                </c:pt>
                <c:pt idx="19">
                  <c:v>123.45318212669984</c:v>
                </c:pt>
                <c:pt idx="20">
                  <c:v>120.2493864533</c:v>
                </c:pt>
                <c:pt idx="21">
                  <c:v>118.9229640667</c:v>
                </c:pt>
                <c:pt idx="22">
                  <c:v>124.49863366330017</c:v>
                </c:pt>
                <c:pt idx="23">
                  <c:v>120.66876724669984</c:v>
                </c:pt>
                <c:pt idx="24">
                  <c:v>118.25474940330002</c:v>
                </c:pt>
                <c:pt idx="25">
                  <c:v>127.38867849330001</c:v>
                </c:pt>
                <c:pt idx="26">
                  <c:v>129.80928313329997</c:v>
                </c:pt>
                <c:pt idx="27">
                  <c:v>128.80356586329995</c:v>
                </c:pt>
                <c:pt idx="28">
                  <c:v>126.72073771669976</c:v>
                </c:pt>
                <c:pt idx="29">
                  <c:v>123.39598482669984</c:v>
                </c:pt>
                <c:pt idx="30">
                  <c:v>120.08919012669986</c:v>
                </c:pt>
                <c:pt idx="31">
                  <c:v>117.7011379333</c:v>
                </c:pt>
                <c:pt idx="32">
                  <c:v>116.92540507669985</c:v>
                </c:pt>
              </c:numCache>
            </c:numRef>
          </c:val>
          <c:smooth val="0"/>
          <c:extLst>
            <c:ext xmlns:c16="http://schemas.microsoft.com/office/drawing/2014/chart" uri="{C3380CC4-5D6E-409C-BE32-E72D297353CC}">
              <c16:uniqueId val="{00000004-B659-4398-B92E-69FC3BE8765F}"/>
            </c:ext>
          </c:extLst>
        </c:ser>
        <c:ser>
          <c:idx val="2"/>
          <c:order val="5"/>
          <c:tx>
            <c:strRef>
              <c:f>'výkonnost odvětví 5a'!$I$66</c:f>
              <c:strCache>
                <c:ptCount val="1"/>
                <c:pt idx="0">
                  <c:v>z toho: maloobchod.prodej PHM (2015=100)</c:v>
                </c:pt>
              </c:strCache>
            </c:strRef>
          </c:tx>
          <c:spPr>
            <a:ln w="15875">
              <a:solidFill>
                <a:schemeClr val="bg2">
                  <a:lumMod val="50000"/>
                </a:schemeClr>
              </a:solidFill>
              <a:prstDash val="sysDash"/>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5a'!$I$67:$I$100</c:f>
              <c:numCache>
                <c:formatCode>#\ ##0.0</c:formatCode>
                <c:ptCount val="34"/>
                <c:pt idx="0">
                  <c:v>98.902861683300088</c:v>
                </c:pt>
                <c:pt idx="1">
                  <c:v>98.641762076699848</c:v>
                </c:pt>
                <c:pt idx="2">
                  <c:v>99.862770576699759</c:v>
                </c:pt>
                <c:pt idx="3">
                  <c:v>102.5926056600001</c:v>
                </c:pt>
                <c:pt idx="4">
                  <c:v>103.82853170329984</c:v>
                </c:pt>
                <c:pt idx="5">
                  <c:v>104.32379246999992</c:v>
                </c:pt>
                <c:pt idx="6">
                  <c:v>104.52213576669986</c:v>
                </c:pt>
                <c:pt idx="7">
                  <c:v>107.60230518329986</c:v>
                </c:pt>
                <c:pt idx="8">
                  <c:v>108.05029219669984</c:v>
                </c:pt>
                <c:pt idx="9">
                  <c:v>110.91734060330012</c:v>
                </c:pt>
                <c:pt idx="10">
                  <c:v>110.9835808433</c:v>
                </c:pt>
                <c:pt idx="11">
                  <c:v>114.18133894999991</c:v>
                </c:pt>
                <c:pt idx="12">
                  <c:v>114.0189565133</c:v>
                </c:pt>
                <c:pt idx="13">
                  <c:v>116.6800979633</c:v>
                </c:pt>
                <c:pt idx="14">
                  <c:v>114.09303906000002</c:v>
                </c:pt>
                <c:pt idx="15">
                  <c:v>117.57587906329985</c:v>
                </c:pt>
                <c:pt idx="16">
                  <c:v>119.19948671329986</c:v>
                </c:pt>
                <c:pt idx="17">
                  <c:v>120.02304511669982</c:v>
                </c:pt>
                <c:pt idx="18">
                  <c:v>115.19566012999998</c:v>
                </c:pt>
                <c:pt idx="19">
                  <c:v>118.16034126999998</c:v>
                </c:pt>
                <c:pt idx="20">
                  <c:v>111.22961624330009</c:v>
                </c:pt>
                <c:pt idx="21">
                  <c:v>100.07614873329985</c:v>
                </c:pt>
                <c:pt idx="22">
                  <c:v>114.00860915</c:v>
                </c:pt>
                <c:pt idx="23">
                  <c:v>104.65409344000008</c:v>
                </c:pt>
                <c:pt idx="24">
                  <c:v>102.30890399</c:v>
                </c:pt>
                <c:pt idx="25">
                  <c:v>111.00930954330002</c:v>
                </c:pt>
                <c:pt idx="26">
                  <c:v>117.89445022000002</c:v>
                </c:pt>
                <c:pt idx="27">
                  <c:v>114.65352857329987</c:v>
                </c:pt>
                <c:pt idx="28">
                  <c:v>114.8749677533</c:v>
                </c:pt>
                <c:pt idx="29">
                  <c:v>106.01158791</c:v>
                </c:pt>
                <c:pt idx="30">
                  <c:v>106.00076005669985</c:v>
                </c:pt>
                <c:pt idx="31">
                  <c:v>111.11192865330008</c:v>
                </c:pt>
                <c:pt idx="32">
                  <c:v>115.3853039</c:v>
                </c:pt>
              </c:numCache>
            </c:numRef>
          </c:val>
          <c:smooth val="0"/>
          <c:extLst>
            <c:ext xmlns:c16="http://schemas.microsoft.com/office/drawing/2014/chart" uri="{C3380CC4-5D6E-409C-BE32-E72D297353CC}">
              <c16:uniqueId val="{00000005-B659-4398-B92E-69FC3BE8765F}"/>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5a'!$J$67:$J$100</c:f>
              <c:numCache>
                <c:formatCode>#\ ##0.0</c:formatCode>
                <c:ptCount val="34"/>
                <c:pt idx="0">
                  <c:v>95.674913026699883</c:v>
                </c:pt>
                <c:pt idx="1">
                  <c:v>98.560016843300005</c:v>
                </c:pt>
                <c:pt idx="2">
                  <c:v>101.31104914330002</c:v>
                </c:pt>
                <c:pt idx="3">
                  <c:v>104.45402098330017</c:v>
                </c:pt>
                <c:pt idx="4">
                  <c:v>105.0998844667</c:v>
                </c:pt>
                <c:pt idx="5">
                  <c:v>106.74665345330017</c:v>
                </c:pt>
                <c:pt idx="6">
                  <c:v>108.98378878</c:v>
                </c:pt>
                <c:pt idx="7">
                  <c:v>109.86758091</c:v>
                </c:pt>
                <c:pt idx="8">
                  <c:v>110.82769768000009</c:v>
                </c:pt>
                <c:pt idx="9">
                  <c:v>111.38559074669986</c:v>
                </c:pt>
                <c:pt idx="10">
                  <c:v>109.70167963000009</c:v>
                </c:pt>
                <c:pt idx="11">
                  <c:v>112.16470216999991</c:v>
                </c:pt>
                <c:pt idx="12">
                  <c:v>110.27402299000002</c:v>
                </c:pt>
                <c:pt idx="13">
                  <c:v>109.89581527670001</c:v>
                </c:pt>
                <c:pt idx="14">
                  <c:v>109.13033198669984</c:v>
                </c:pt>
                <c:pt idx="15">
                  <c:v>106.65518173999986</c:v>
                </c:pt>
                <c:pt idx="16">
                  <c:v>109.01463176999999</c:v>
                </c:pt>
                <c:pt idx="17">
                  <c:v>110.7507360833</c:v>
                </c:pt>
                <c:pt idx="18">
                  <c:v>109.87685177329986</c:v>
                </c:pt>
                <c:pt idx="19">
                  <c:v>110.48031871000001</c:v>
                </c:pt>
                <c:pt idx="20">
                  <c:v>95.676395003299874</c:v>
                </c:pt>
                <c:pt idx="21">
                  <c:v>77.407445156699865</c:v>
                </c:pt>
                <c:pt idx="22">
                  <c:v>101.0189567533</c:v>
                </c:pt>
                <c:pt idx="23">
                  <c:v>102.6341597167</c:v>
                </c:pt>
                <c:pt idx="24">
                  <c:v>101.92430179</c:v>
                </c:pt>
                <c:pt idx="25">
                  <c:v>104.87521292999998</c:v>
                </c:pt>
                <c:pt idx="26">
                  <c:v>99.9690871233</c:v>
                </c:pt>
                <c:pt idx="27">
                  <c:v>98.537373770000002</c:v>
                </c:pt>
                <c:pt idx="28">
                  <c:v>98.585045013299847</c:v>
                </c:pt>
                <c:pt idx="29">
                  <c:v>97.510469470000118</c:v>
                </c:pt>
                <c:pt idx="30">
                  <c:v>96.69633564999998</c:v>
                </c:pt>
                <c:pt idx="31">
                  <c:v>97.851096823299883</c:v>
                </c:pt>
                <c:pt idx="32">
                  <c:v>102.8269633867</c:v>
                </c:pt>
              </c:numCache>
            </c:numRef>
          </c:val>
          <c:smooth val="0"/>
          <c:extLst>
            <c:ext xmlns:c16="http://schemas.microsoft.com/office/drawing/2014/chart" uri="{C3380CC4-5D6E-409C-BE32-E72D297353CC}">
              <c16:uniqueId val="{00000006-B659-4398-B92E-69FC3BE8765F}"/>
            </c:ext>
          </c:extLst>
        </c:ser>
        <c:ser>
          <c:idx val="7"/>
          <c:order val="7"/>
          <c:tx>
            <c:strRef>
              <c:f>'výkonnost odvětví 5a'!$K$66</c:f>
              <c:strCache>
                <c:ptCount val="1"/>
              </c:strCache>
            </c:strRef>
          </c:tx>
          <c:spPr>
            <a:ln w="3175">
              <a:noFill/>
              <a:prstDash val="sysDash"/>
            </a:ln>
          </c:spPr>
          <c:marker>
            <c:symbol val="none"/>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5a'!$K$67:$K$100</c:f>
              <c:numCache>
                <c:formatCode>General</c:formatCode>
                <c:ptCount val="34"/>
              </c:numCache>
            </c:numRef>
          </c:val>
          <c:smooth val="0"/>
          <c:extLst>
            <c:ext xmlns:c16="http://schemas.microsoft.com/office/drawing/2014/chart" uri="{C3380CC4-5D6E-409C-BE32-E72D297353CC}">
              <c16:uniqueId val="{00000007-B659-4398-B92E-69FC3BE8765F}"/>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5a'!$L$67:$L$100</c:f>
              <c:numCache>
                <c:formatCode>0.0</c:formatCode>
                <c:ptCount val="34"/>
                <c:pt idx="0">
                  <c:v>-1.75</c:v>
                </c:pt>
                <c:pt idx="1">
                  <c:v>0.25</c:v>
                </c:pt>
                <c:pt idx="2">
                  <c:v>-3.75</c:v>
                </c:pt>
                <c:pt idx="3">
                  <c:v>-0.25</c:v>
                </c:pt>
                <c:pt idx="4">
                  <c:v>-1.5</c:v>
                </c:pt>
                <c:pt idx="5">
                  <c:v>0</c:v>
                </c:pt>
                <c:pt idx="6">
                  <c:v>-2.25</c:v>
                </c:pt>
                <c:pt idx="7">
                  <c:v>0.75000000000000078</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numCache>
            </c:numRef>
          </c:val>
          <c:smooth val="0"/>
          <c:extLst>
            <c:ext xmlns:c16="http://schemas.microsoft.com/office/drawing/2014/chart" uri="{C3380CC4-5D6E-409C-BE32-E72D297353CC}">
              <c16:uniqueId val="{00000008-B659-4398-B92E-69FC3BE8765F}"/>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5a'!$B$67:$C$100</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5a'!$M$67:$M$100</c:f>
              <c:numCache>
                <c:formatCode>0.0</c:formatCode>
                <c:ptCount val="34"/>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numCache>
            </c:numRef>
          </c:val>
          <c:smooth val="0"/>
          <c:extLst>
            <c:ext xmlns:c16="http://schemas.microsoft.com/office/drawing/2014/chart" uri="{C3380CC4-5D6E-409C-BE32-E72D297353CC}">
              <c16:uniqueId val="{00000009-B659-4398-B92E-69FC3BE8765F}"/>
            </c:ext>
          </c:extLst>
        </c:ser>
        <c:dLbls>
          <c:showLegendKey val="0"/>
          <c:showVal val="0"/>
          <c:showCatName val="0"/>
          <c:showSerName val="0"/>
          <c:showPercent val="0"/>
          <c:showBubbleSize val="0"/>
        </c:dLbls>
        <c:marker val="1"/>
        <c:smooth val="0"/>
        <c:axId val="100660352"/>
        <c:axId val="100604928"/>
      </c:lineChart>
      <c:catAx>
        <c:axId val="100301824"/>
        <c:scaling>
          <c:orientation val="minMax"/>
        </c:scaling>
        <c:delete val="0"/>
        <c:axPos val="b"/>
        <c:numFmt formatCode="General" sourceLinked="0"/>
        <c:majorTickMark val="out"/>
        <c:minorTickMark val="none"/>
        <c:tickLblPos val="low"/>
        <c:txPr>
          <a:bodyPr/>
          <a:lstStyle/>
          <a:p>
            <a:pPr>
              <a:defRPr sz="800"/>
            </a:pPr>
            <a:endParaRPr lang="cs-CZ"/>
          </a:p>
        </c:txPr>
        <c:crossAx val="100603008"/>
        <c:crosses val="autoZero"/>
        <c:auto val="1"/>
        <c:lblAlgn val="ctr"/>
        <c:lblOffset val="0"/>
        <c:noMultiLvlLbl val="0"/>
      </c:catAx>
      <c:valAx>
        <c:axId val="100603008"/>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9011E-3"/>
              <c:y val="0.18186950815930633"/>
            </c:manualLayout>
          </c:layout>
          <c:overlay val="0"/>
        </c:title>
        <c:numFmt formatCode="0" sourceLinked="0"/>
        <c:majorTickMark val="out"/>
        <c:minorTickMark val="none"/>
        <c:tickLblPos val="nextTo"/>
        <c:txPr>
          <a:bodyPr/>
          <a:lstStyle/>
          <a:p>
            <a:pPr>
              <a:defRPr sz="800"/>
            </a:pPr>
            <a:endParaRPr lang="cs-CZ"/>
          </a:p>
        </c:txPr>
        <c:crossAx val="100301824"/>
        <c:crosses val="autoZero"/>
        <c:crossBetween val="between"/>
        <c:majorUnit val="2"/>
      </c:valAx>
      <c:valAx>
        <c:axId val="100604928"/>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100660352"/>
        <c:crosses val="max"/>
        <c:crossBetween val="between"/>
        <c:majorUnit val="10"/>
      </c:valAx>
      <c:catAx>
        <c:axId val="100660352"/>
        <c:scaling>
          <c:orientation val="minMax"/>
        </c:scaling>
        <c:delete val="1"/>
        <c:axPos val="b"/>
        <c:numFmt formatCode="General" sourceLinked="1"/>
        <c:majorTickMark val="out"/>
        <c:minorTickMark val="none"/>
        <c:tickLblPos val="none"/>
        <c:crossAx val="100604928"/>
        <c:crosses val="autoZero"/>
        <c:auto val="1"/>
        <c:lblAlgn val="ctr"/>
        <c:lblOffset val="100"/>
        <c:noMultiLvlLbl val="0"/>
      </c:catAx>
      <c:spPr>
        <a:ln>
          <a:solidFill>
            <a:schemeClr val="tx1"/>
          </a:solidFill>
        </a:ln>
      </c:spPr>
    </c:plotArea>
    <c:legend>
      <c:legendPos val="r"/>
      <c:layout>
        <c:manualLayout>
          <c:xMode val="edge"/>
          <c:yMode val="edge"/>
          <c:x val="7.8026315789473683E-3"/>
          <c:y val="0.83721607601948378"/>
          <c:w val="0.98158751044277359"/>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9CF98-99E9-4511-B63C-314B96C70CB6}">
  <ds:schemaRefs>
    <ds:schemaRef ds:uri="http://schemas.openxmlformats.org/officeDocument/2006/bibliography"/>
  </ds:schemaRefs>
</ds:datastoreItem>
</file>

<file path=customXml/itemProps5.xml><?xml version="1.0" encoding="utf-8"?>
<ds:datastoreItem xmlns:ds="http://schemas.openxmlformats.org/officeDocument/2006/customXml" ds:itemID="{9513B496-B4D8-4158-A0AF-64BC62A1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9</Pages>
  <Words>4137</Words>
  <Characters>24413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2023-06-15T09:42:00Z</dcterms:created>
  <dcterms:modified xsi:type="dcterms:W3CDTF">2023-06-15T09:50:00Z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