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D71C" w14:textId="77777777" w:rsidR="00A75E40" w:rsidRPr="009110F7" w:rsidRDefault="00BF4329" w:rsidP="006C3495">
      <w:pPr>
        <w:jc w:val="center"/>
        <w:rPr>
          <w:lang w:eastAsia="ar-SA"/>
        </w:rPr>
        <w:sectPr w:rsidR="00A75E40" w:rsidRPr="009110F7" w:rsidSect="0085114D">
          <w:headerReference w:type="even" r:id="rId12"/>
          <w:headerReference w:type="default" r:id="rId13"/>
          <w:footerReference w:type="even" r:id="rId14"/>
          <w:footerReference w:type="default" r:id="rId15"/>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511DD5DE" wp14:editId="00A28F14">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http://schemas.microsoft.com/office/drawing/2014/main" xmlns:c="http://schemas.openxmlformats.org/drawingml/2006/chart"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07FED41">
              <v:group id="Group 24" style="position:absolute;margin-left:45pt;margin-top:36.75pt;width:177.15pt;height:43.65pt;z-index:251657728;mso-position-horizontal-relative:page;mso-position-vertical-relative:page" coordsize="2714,667" coordorigin="567,851" o:spid="_x0000_s1026" w14:anchorId="6B642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">
                <o:lock v:ext="edit" aspectratio="t"/>
                <v:rect id="Rectangle 9" style="position:absolute;left:1215;top:901;width:676;height:154;visibility:visible;mso-wrap-style:square;v-text-anchor:top" o:spid="_x0000_s1027"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o:lock v:ext="edit" aspectratio="t"/>
                </v:rect>
                <v:rect id="Rectangle 10" style="position:absolute;left:567;top:1131;width:1324;height:154;visibility:visible;mso-wrap-style:square;v-text-anchor:top" o:spid="_x0000_s1028"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o:lock v:ext="edit" aspectratio="t"/>
                </v:rect>
                <v:rect id="Rectangle 11" style="position:absolute;left:1288;top:1361;width:603;height:153;visibility:visible;mso-wrap-style:square;v-text-anchor:top" o:spid="_x0000_s1029"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o:lock v:ext="edit" aspectratio="t"/>
                </v:rect>
                <v:shape id="Freeform 12" style="position:absolute;left:1969;top:1311;width:600;height:207;visibility:visible;mso-wrap-style:square;v-text-anchor:top" coordsize="1200,415" o:spid="_x0000_s1030" fillcolor="#bd1b21" stroked="f"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verticies="t" aspectratio="t"/>
                </v:shape>
                <v:shape id="Freeform 13" style="position:absolute;left:1962;top:1081;width:1319;height:208;visibility:visible;mso-wrap-style:square;v-text-anchor:top" coordsize="2637,416" o:spid="_x0000_s1031" fillcolor="#bd1b21" stroked="f"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verticies="t" aspectratio="t"/>
                </v:shape>
                <v:shape id="Freeform 14" style="position:absolute;left:1962;top:851;width:679;height:208;visibility:visible;mso-wrap-style:square;v-text-anchor:top" coordsize="1358,416" o:spid="_x0000_s1032" fillcolor="#bd1b21" stroked="f"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verticies="t" aspectratio="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757952E" wp14:editId="7602F846">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77777777" w:rsidR="00D652EB" w:rsidRDefault="00D652EB" w:rsidP="004924DC">
                            <w:r>
                              <w:t>Z</w:t>
                            </w:r>
                            <w:r w:rsidRPr="006C5577">
                              <w:t xml:space="preserve">pracoval: </w:t>
                            </w:r>
                            <w:r>
                              <w:t>o</w:t>
                            </w:r>
                            <w:r w:rsidRPr="006C5577">
                              <w:t>dbor</w:t>
                            </w:r>
                            <w:r>
                              <w:t xml:space="preserve"> Kancelář předsedy</w:t>
                            </w:r>
                          </w:p>
                          <w:p w14:paraId="6CC24131" w14:textId="77777777" w:rsidR="00D652EB" w:rsidRPr="006C5577" w:rsidRDefault="00D652EB" w:rsidP="004924DC">
                            <w:r w:rsidRPr="006C5577">
                              <w:t xml:space="preserve">Ředitel odboru: </w:t>
                            </w:r>
                            <w:r>
                              <w:t>Egor Sidorov, Ph.D.</w:t>
                            </w:r>
                          </w:p>
                          <w:p w14:paraId="734BD5FB" w14:textId="77777777" w:rsidR="00D652EB" w:rsidRPr="006C5577" w:rsidRDefault="00D652EB"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" filled="f" stroked="f">
                <v:textbox inset="0,0,0,0">
                  <w:txbxContent>
                    <w:p w14:paraId="71628CD8" w14:textId="77777777" w:rsidR="00D652EB" w:rsidRDefault="00D652EB" w:rsidP="004924DC">
                      <w:r>
                        <w:t>Z</w:t>
                      </w:r>
                      <w:r w:rsidRPr="006C5577">
                        <w:t xml:space="preserve">pracoval: </w:t>
                      </w:r>
                      <w:r>
                        <w:t>o</w:t>
                      </w:r>
                      <w:r w:rsidRPr="006C5577">
                        <w:t>dbor</w:t>
                      </w:r>
                      <w:r>
                        <w:t xml:space="preserve"> Kancelář předsedy</w:t>
                      </w:r>
                    </w:p>
                    <w:p w14:paraId="6CC24131" w14:textId="77777777" w:rsidR="00D652EB" w:rsidRPr="006C5577" w:rsidRDefault="00D652EB" w:rsidP="004924DC">
                      <w:r w:rsidRPr="006C5577">
                        <w:t xml:space="preserve">Ředitel odboru: </w:t>
                      </w:r>
                      <w:r>
                        <w:t>Egor Sidorov, Ph.D.</w:t>
                      </w:r>
                    </w:p>
                    <w:p w14:paraId="734BD5FB" w14:textId="77777777" w:rsidR="00D652EB" w:rsidRPr="006C5577" w:rsidRDefault="00D652EB"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48DE" w14:textId="32168C0B" w:rsidR="00D652EB" w:rsidRPr="004924DC" w:rsidRDefault="00D652EB" w:rsidP="004924DC">
                            <w:pPr>
                              <w:pStyle w:val="TLIdentifikace-sted"/>
                            </w:pPr>
                            <w:r>
                              <w:t>Souhrnná data o České republice</w:t>
                            </w:r>
                          </w:p>
                          <w:p w14:paraId="02C46271" w14:textId="24B3031C" w:rsidR="00D652EB" w:rsidRPr="004924DC" w:rsidRDefault="00D652EB" w:rsidP="004924DC">
                            <w:pPr>
                              <w:pStyle w:val="TLIdentifikace-sted"/>
                            </w:pPr>
                            <w:r>
                              <w:t>Praha, 16. 6. 2023</w:t>
                            </w:r>
                          </w:p>
                          <w:p w14:paraId="43012AD8" w14:textId="6198DD00" w:rsidR="00D652EB" w:rsidRPr="00B23E6E" w:rsidRDefault="00D652EB" w:rsidP="004924DC">
                            <w:pPr>
                              <w:pStyle w:val="TLIdentifikace-sted"/>
                            </w:pPr>
                            <w:r w:rsidRPr="00B23E6E">
                              <w:t>Kód publikace: 320193-2</w:t>
                            </w:r>
                            <w:r>
                              <w:t>3</w:t>
                            </w:r>
                          </w:p>
                          <w:p w14:paraId="1ED5773E" w14:textId="441A9571" w:rsidR="00D652EB" w:rsidRPr="00474646" w:rsidRDefault="00D652EB" w:rsidP="004924DC">
                            <w:pPr>
                              <w:pStyle w:val="TLIdentifikace-sted"/>
                              <w:rPr>
                                <w:rFonts w:cs="Arial"/>
                              </w:rPr>
                            </w:pPr>
                            <w:r w:rsidRPr="00ED0F73">
                              <w:rPr>
                                <w:rFonts w:cs="Arial"/>
                              </w:rPr>
                              <w:t xml:space="preserve">Č. j.: </w:t>
                            </w:r>
                            <w:r w:rsidR="00010107" w:rsidRPr="00010107">
                              <w:t>CSU-007459/2023-11</w:t>
                            </w:r>
                          </w:p>
                          <w:p w14:paraId="7E4C36AC" w14:textId="399CEC6F" w:rsidR="00D652EB" w:rsidRPr="004924DC" w:rsidRDefault="00D652EB" w:rsidP="004924DC">
                            <w:pPr>
                              <w:pStyle w:val="TLIdentifikace-sted"/>
                            </w:pPr>
                            <w:r w:rsidRPr="004924DC">
                              <w:t>Pořadové číslo v</w:t>
                            </w:r>
                            <w:r>
                              <w:t> </w:t>
                            </w:r>
                            <w:r w:rsidRPr="004924DC">
                              <w:t xml:space="preserve">roce: </w:t>
                            </w:r>
                            <w:r>
                              <w:t>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14:paraId="6B3C48DE" w14:textId="32168C0B" w:rsidR="00D652EB" w:rsidRPr="004924DC" w:rsidRDefault="00D652EB" w:rsidP="004924DC">
                      <w:pPr>
                        <w:pStyle w:val="TLIdentifikace-sted"/>
                      </w:pPr>
                      <w:r>
                        <w:t>Souhrnná data o České republice</w:t>
                      </w:r>
                    </w:p>
                    <w:p w14:paraId="02C46271" w14:textId="24B3031C" w:rsidR="00D652EB" w:rsidRPr="004924DC" w:rsidRDefault="00D652EB" w:rsidP="004924DC">
                      <w:pPr>
                        <w:pStyle w:val="TLIdentifikace-sted"/>
                      </w:pPr>
                      <w:r>
                        <w:t>Praha, 16. 6. 2023</w:t>
                      </w:r>
                    </w:p>
                    <w:p w14:paraId="43012AD8" w14:textId="6198DD00" w:rsidR="00D652EB" w:rsidRPr="00B23E6E" w:rsidRDefault="00D652EB" w:rsidP="004924DC">
                      <w:pPr>
                        <w:pStyle w:val="TLIdentifikace-sted"/>
                      </w:pPr>
                      <w:r w:rsidRPr="00B23E6E">
                        <w:t>Kód publikace: 320193-2</w:t>
                      </w:r>
                      <w:r>
                        <w:t>3</w:t>
                      </w:r>
                    </w:p>
                    <w:p w14:paraId="1ED5773E" w14:textId="441A9571" w:rsidR="00D652EB" w:rsidRPr="00474646" w:rsidRDefault="00D652EB" w:rsidP="004924DC">
                      <w:pPr>
                        <w:pStyle w:val="TLIdentifikace-sted"/>
                        <w:rPr>
                          <w:rFonts w:cs="Arial"/>
                        </w:rPr>
                      </w:pPr>
                      <w:r w:rsidRPr="00ED0F73">
                        <w:rPr>
                          <w:rFonts w:cs="Arial"/>
                        </w:rPr>
                        <w:t xml:space="preserve">Č. j.: </w:t>
                      </w:r>
                      <w:r w:rsidR="00010107" w:rsidRPr="00010107">
                        <w:t>CSU-007459/2023-11</w:t>
                      </w:r>
                    </w:p>
                    <w:p w14:paraId="7E4C36AC" w14:textId="399CEC6F" w:rsidR="00D652EB" w:rsidRPr="004924DC" w:rsidRDefault="00D652EB" w:rsidP="004924DC">
                      <w:pPr>
                        <w:pStyle w:val="TLIdentifikace-sted"/>
                      </w:pPr>
                      <w:r w:rsidRPr="004924DC">
                        <w:t>Pořadové číslo v</w:t>
                      </w:r>
                      <w:r>
                        <w:t> </w:t>
                      </w:r>
                      <w:r w:rsidRPr="004924DC">
                        <w:t xml:space="preserve">roce: </w:t>
                      </w:r>
                      <w:r>
                        <w:t>1</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77777777" w:rsidR="00D652EB" w:rsidRPr="000E6FBD" w:rsidRDefault="00D652EB" w:rsidP="000E6FBD">
                            <w:pPr>
                              <w:pStyle w:val="Nzev"/>
                            </w:pPr>
                            <w:r>
                              <w:t>Vývoj ekonomiky české republiky</w:t>
                            </w:r>
                          </w:p>
                          <w:p w14:paraId="6EF7822F" w14:textId="77777777" w:rsidR="00D652EB" w:rsidRPr="0012192F" w:rsidRDefault="00D652EB" w:rsidP="0012192F">
                            <w:pPr>
                              <w:pStyle w:val="Podnadpis"/>
                            </w:pPr>
                          </w:p>
                          <w:p w14:paraId="284A2D4D" w14:textId="3D3D5526" w:rsidR="00D652EB" w:rsidRPr="0012192F" w:rsidRDefault="00D652EB" w:rsidP="00CB3605">
                            <w:pPr>
                              <w:pStyle w:val="Podnadpis"/>
                            </w:pPr>
                            <w:r>
                              <w:t>1. čtvrtletí 2023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" filled="f" stroked="f">
                <v:textbox style="mso-fit-shape-to-text:t" inset="0,0,0,0">
                  <w:txbxContent>
                    <w:p w14:paraId="723B7B56" w14:textId="77777777" w:rsidR="00D652EB" w:rsidRPr="000E6FBD" w:rsidRDefault="00D652EB" w:rsidP="000E6FBD">
                      <w:pPr>
                        <w:pStyle w:val="Nzev"/>
                      </w:pPr>
                      <w:r>
                        <w:t>Vývoj ekonomiky české republiky</w:t>
                      </w:r>
                    </w:p>
                    <w:p w14:paraId="6EF7822F" w14:textId="77777777" w:rsidR="00D652EB" w:rsidRPr="0012192F" w:rsidRDefault="00D652EB" w:rsidP="0012192F">
                      <w:pPr>
                        <w:pStyle w:val="Podnadpis"/>
                      </w:pPr>
                    </w:p>
                    <w:p w14:paraId="284A2D4D" w14:textId="3D3D5526" w:rsidR="00D652EB" w:rsidRPr="0012192F" w:rsidRDefault="00D652EB" w:rsidP="00CB3605">
                      <w:pPr>
                        <w:pStyle w:val="Podnadpis"/>
                      </w:pPr>
                      <w:r>
                        <w:t>1. čtvrtletí 2023</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080F437A" w:rsidR="00D652EB" w:rsidRPr="004924DC" w:rsidRDefault="00D652EB" w:rsidP="004924DC">
                            <w:r w:rsidRPr="004924DC">
                              <w:t xml:space="preserve">© Český statistický úřad, </w:t>
                            </w:r>
                            <w:r>
                              <w:t>Praha</w:t>
                            </w:r>
                            <w:r w:rsidRPr="004924DC">
                              <w:t xml:space="preserve">, </w:t>
                            </w:r>
                            <w:r>
                              <w:t>2023</w:t>
                            </w:r>
                          </w:p>
                          <w:p w14:paraId="622736FE" w14:textId="77777777" w:rsidR="00D652EB" w:rsidRPr="005251DD" w:rsidRDefault="00D652EB" w:rsidP="00665BA4"/>
                          <w:p w14:paraId="157588CA" w14:textId="77777777" w:rsidR="00D652EB" w:rsidRPr="005251DD" w:rsidRDefault="00D652EB" w:rsidP="00FC684B"/>
                          <w:p w14:paraId="590D710B" w14:textId="77777777" w:rsidR="00D652EB" w:rsidRDefault="00D652EB"/>
                          <w:p w14:paraId="73B68DA8" w14:textId="77777777" w:rsidR="00D652EB" w:rsidRPr="00097407" w:rsidRDefault="00D652EB"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D652EB" w:rsidRPr="005251DD" w:rsidRDefault="00D652EB" w:rsidP="00665BA4"/>
                          <w:p w14:paraId="74D3ABC4" w14:textId="77777777" w:rsidR="00D652EB" w:rsidRPr="005251DD" w:rsidRDefault="00D652EB"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Mkug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FRi&#10;kyS6AgAAtgUAAA4AAAAAAAAAAAAAAAAALgIAAGRycy9lMm9Eb2MueG1sUEsBAi0AFAAGAAgAAAAh&#10;AAdlcHfhAAAADgEAAA8AAAAAAAAAAAAAAAAAFAUAAGRycy9kb3ducmV2LnhtbFBLBQYAAAAABAAE&#10;APMAAAAiBgAAAAA=&#10;" filled="f" stroked="f">
                <v:textbox inset="0,0,0,0">
                  <w:txbxContent>
                    <w:p w14:paraId="0841DF7B" w14:textId="080F437A" w:rsidR="00D652EB" w:rsidRPr="004924DC" w:rsidRDefault="00D652EB" w:rsidP="004924DC">
                      <w:r w:rsidRPr="004924DC">
                        <w:t xml:space="preserve">© Český statistický úřad, </w:t>
                      </w:r>
                      <w:r>
                        <w:t>Praha</w:t>
                      </w:r>
                      <w:r w:rsidRPr="004924DC">
                        <w:t xml:space="preserve">, </w:t>
                      </w:r>
                      <w:r>
                        <w:t>2023</w:t>
                      </w:r>
                    </w:p>
                    <w:p w14:paraId="622736FE" w14:textId="77777777" w:rsidR="00D652EB" w:rsidRPr="005251DD" w:rsidRDefault="00D652EB" w:rsidP="00665BA4"/>
                    <w:p w14:paraId="157588CA" w14:textId="77777777" w:rsidR="00D652EB" w:rsidRPr="005251DD" w:rsidRDefault="00D652EB" w:rsidP="00FC684B"/>
                    <w:p w14:paraId="590D710B" w14:textId="77777777" w:rsidR="00D652EB" w:rsidRDefault="00D652EB"/>
                    <w:p w14:paraId="73B68DA8" w14:textId="77777777" w:rsidR="00D652EB" w:rsidRPr="00097407" w:rsidRDefault="00D652EB"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D652EB" w:rsidRPr="005251DD" w:rsidRDefault="00D652EB" w:rsidP="00665BA4"/>
                    <w:p w14:paraId="74D3ABC4" w14:textId="77777777" w:rsidR="00D652EB" w:rsidRPr="005251DD" w:rsidRDefault="00D652EB"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http://schemas.microsoft.com/office/drawing/2014/main" xmlns:c="http://schemas.openxmlformats.org/drawingml/2006/chart"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F0136F">
              <v:line id="Přímá spojnice 33"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o:spid="_x0000_s1026" o:allowincell="f" strokecolor="windowText" strokeweight="1pt" from="134.65pt,737.1pt" to="538.6pt,737.1pt" w14:anchorId="6E67B4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77777777" w:rsidR="00D652EB" w:rsidRPr="006F5416" w:rsidRDefault="00D652EB" w:rsidP="006F5416">
                            <w:pPr>
                              <w:pStyle w:val="TLKontaktyerven"/>
                            </w:pPr>
                            <w:r w:rsidRPr="006F5416">
                              <w:t>KONTAKTY V ÚSTŘEDÍ</w:t>
                            </w:r>
                          </w:p>
                          <w:p w14:paraId="3BEEAF5F" w14:textId="77777777" w:rsidR="00D652EB" w:rsidRPr="007D40DF" w:rsidRDefault="00D652EB"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D652EB" w:rsidRPr="00D235B7" w:rsidRDefault="00D652EB"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D652EB" w:rsidRPr="00D235B7" w:rsidRDefault="00D652EB"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D652EB" w:rsidRPr="00D235B7" w:rsidRDefault="00D652EB"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D652EB" w:rsidRPr="00D235B7" w:rsidRDefault="00D652EB"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D652EB" w:rsidRPr="004A61C5" w:rsidRDefault="00D652EB" w:rsidP="00825C4D">
                            <w:pPr>
                              <w:pStyle w:val="TLKontakty"/>
                              <w:spacing w:after="80" w:line="240" w:lineRule="auto"/>
                              <w:contextualSpacing w:val="0"/>
                              <w:rPr>
                                <w:color w:val="auto"/>
                              </w:rPr>
                            </w:pPr>
                          </w:p>
                          <w:p w14:paraId="29C57B67" w14:textId="77777777" w:rsidR="00D652EB" w:rsidRPr="00D66223" w:rsidRDefault="00D652EB" w:rsidP="00D66223">
                            <w:pPr>
                              <w:pStyle w:val="TLKontaktyerven"/>
                            </w:pPr>
                            <w:r w:rsidRPr="00D66223">
                              <w:t>INFORMAČNÍ SLUŽBY V REGIONECH</w:t>
                            </w:r>
                          </w:p>
                          <w:p w14:paraId="181BE30E" w14:textId="77777777" w:rsidR="00D652EB" w:rsidRPr="00992CF3" w:rsidRDefault="00D652EB"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D652EB" w:rsidRPr="00992CF3" w:rsidRDefault="00D652EB"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D652EB" w:rsidRPr="004A61C5" w:rsidRDefault="00D652EB" w:rsidP="00825C4D">
                            <w:pPr>
                              <w:pStyle w:val="TLKontakty"/>
                              <w:spacing w:after="80" w:line="240" w:lineRule="auto"/>
                              <w:rPr>
                                <w:color w:val="auto"/>
                              </w:rPr>
                            </w:pPr>
                          </w:p>
                          <w:p w14:paraId="39B5FB82" w14:textId="77777777" w:rsidR="00D652EB" w:rsidRPr="00992CF3" w:rsidRDefault="00D652EB"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D652EB" w:rsidRPr="00992CF3" w:rsidRDefault="00D652EB"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D652EB" w:rsidRPr="004A61C5" w:rsidRDefault="00D652EB" w:rsidP="00825C4D">
                            <w:pPr>
                              <w:pStyle w:val="TLKontakty"/>
                              <w:spacing w:after="80" w:line="240" w:lineRule="auto"/>
                              <w:rPr>
                                <w:color w:val="auto"/>
                              </w:rPr>
                            </w:pPr>
                          </w:p>
                          <w:p w14:paraId="5AF27889" w14:textId="77777777" w:rsidR="00D652EB" w:rsidRPr="00992CF3" w:rsidRDefault="00D652EB"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D652EB" w:rsidRPr="00992CF3" w:rsidRDefault="00D652EB"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D652EB" w:rsidRPr="004A61C5" w:rsidRDefault="00D652EB" w:rsidP="00825C4D">
                            <w:pPr>
                              <w:pStyle w:val="TLKontakty"/>
                              <w:spacing w:after="80" w:line="240" w:lineRule="auto"/>
                              <w:rPr>
                                <w:color w:val="auto"/>
                              </w:rPr>
                            </w:pPr>
                          </w:p>
                          <w:p w14:paraId="0065AFA0" w14:textId="77777777" w:rsidR="00D652EB" w:rsidRPr="00BC731E" w:rsidRDefault="00D652EB"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D652EB" w:rsidRPr="004A61C5" w:rsidRDefault="00D652EB" w:rsidP="00825C4D">
                            <w:pPr>
                              <w:pStyle w:val="TLKontakty"/>
                              <w:spacing w:after="80" w:line="240" w:lineRule="auto"/>
                              <w:rPr>
                                <w:color w:val="auto"/>
                              </w:rPr>
                            </w:pPr>
                          </w:p>
                          <w:p w14:paraId="345F7961" w14:textId="77777777" w:rsidR="00D652EB" w:rsidRPr="004A61C5" w:rsidRDefault="00D652EB"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D652EB" w:rsidRPr="004A61C5" w:rsidRDefault="00D652EB" w:rsidP="00825C4D">
                            <w:pPr>
                              <w:pStyle w:val="TLKontakty"/>
                              <w:spacing w:after="80" w:line="240" w:lineRule="auto"/>
                              <w:rPr>
                                <w:color w:val="auto"/>
                              </w:rPr>
                            </w:pPr>
                          </w:p>
                          <w:p w14:paraId="766F2288" w14:textId="77777777" w:rsidR="00D652EB" w:rsidRPr="004A61C5" w:rsidRDefault="00D652EB"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D652EB" w:rsidRPr="004A61C5" w:rsidRDefault="00D652EB" w:rsidP="00825C4D">
                            <w:pPr>
                              <w:pStyle w:val="TLKontakty"/>
                              <w:spacing w:after="80" w:line="240" w:lineRule="auto"/>
                              <w:rPr>
                                <w:color w:val="auto"/>
                              </w:rPr>
                            </w:pPr>
                          </w:p>
                          <w:p w14:paraId="0D4652E6" w14:textId="77777777" w:rsidR="00D652EB" w:rsidRPr="004A61C5" w:rsidRDefault="00D652EB"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D652EB" w:rsidRPr="004A61C5" w:rsidRDefault="00D652EB" w:rsidP="00825C4D">
                            <w:pPr>
                              <w:pStyle w:val="TLKontakty"/>
                              <w:spacing w:after="80" w:line="240" w:lineRule="auto"/>
                              <w:rPr>
                                <w:b w:val="0"/>
                                <w:color w:val="auto"/>
                              </w:rPr>
                            </w:pPr>
                          </w:p>
                          <w:p w14:paraId="231AC323" w14:textId="77777777" w:rsidR="00D652EB" w:rsidRPr="004A61C5" w:rsidRDefault="00D652EB"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D652EB" w:rsidRPr="004A61C5" w:rsidRDefault="00D652EB" w:rsidP="00825C4D">
                            <w:pPr>
                              <w:pStyle w:val="TLKontakty"/>
                              <w:spacing w:after="80" w:line="240" w:lineRule="auto"/>
                              <w:rPr>
                                <w:color w:val="auto"/>
                              </w:rPr>
                            </w:pPr>
                          </w:p>
                          <w:p w14:paraId="64319B27" w14:textId="77777777" w:rsidR="00D652EB" w:rsidRPr="004A61C5" w:rsidRDefault="00D652EB"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D652EB" w:rsidRPr="004A61C5" w:rsidRDefault="00D652EB" w:rsidP="00825C4D">
                            <w:pPr>
                              <w:pStyle w:val="TLKontakty"/>
                              <w:spacing w:after="80" w:line="240" w:lineRule="auto"/>
                              <w:rPr>
                                <w:b w:val="0"/>
                                <w:color w:val="auto"/>
                              </w:rPr>
                            </w:pPr>
                          </w:p>
                          <w:p w14:paraId="4068B566" w14:textId="77777777" w:rsidR="00D652EB" w:rsidRPr="004A61C5" w:rsidRDefault="00D652EB"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D652EB" w:rsidRDefault="00D652EB" w:rsidP="00825C4D">
                            <w:pPr>
                              <w:pStyle w:val="TLKontakty"/>
                              <w:spacing w:after="80" w:line="240" w:lineRule="auto"/>
                            </w:pPr>
                          </w:p>
                          <w:p w14:paraId="63ACC352" w14:textId="77777777" w:rsidR="00D652EB" w:rsidRPr="00BC731E" w:rsidRDefault="00D652EB"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D652EB" w:rsidRPr="004A61C5" w:rsidRDefault="00D652EB"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D652EB" w:rsidRPr="004A61C5" w:rsidRDefault="00D652EB" w:rsidP="00825C4D">
                            <w:pPr>
                              <w:pStyle w:val="TLKontakty"/>
                              <w:spacing w:after="80" w:line="240" w:lineRule="auto"/>
                              <w:rPr>
                                <w:b w:val="0"/>
                                <w:color w:val="auto"/>
                              </w:rPr>
                            </w:pPr>
                          </w:p>
                          <w:p w14:paraId="71AC5E72" w14:textId="77777777" w:rsidR="00D652EB" w:rsidRPr="005E7C78" w:rsidRDefault="00D652EB"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D652EB" w:rsidRPr="005E7C78" w:rsidRDefault="00D652EB"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D652EB" w:rsidRPr="005E7C78" w:rsidRDefault="00D652EB" w:rsidP="00825C4D">
                            <w:pPr>
                              <w:pStyle w:val="TLKontakty"/>
                              <w:spacing w:after="80" w:line="240" w:lineRule="auto"/>
                              <w:rPr>
                                <w:b w:val="0"/>
                                <w:color w:val="auto"/>
                              </w:rPr>
                            </w:pPr>
                          </w:p>
                          <w:p w14:paraId="00E77B80" w14:textId="77777777" w:rsidR="00D652EB" w:rsidRPr="005E7C78" w:rsidRDefault="00D652EB"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D652EB" w:rsidRDefault="00D652EB"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D652EB" w:rsidRPr="005E7C78" w:rsidRDefault="00D652EB" w:rsidP="00095135">
                            <w:pPr>
                              <w:pStyle w:val="TLKontakty"/>
                              <w:spacing w:after="80" w:line="240" w:lineRule="auto"/>
                              <w:rPr>
                                <w:b w:val="0"/>
                                <w:color w:val="auto"/>
                              </w:rPr>
                            </w:pPr>
                          </w:p>
                          <w:p w14:paraId="0275618D" w14:textId="77777777" w:rsidR="00D652EB" w:rsidRPr="005E7C78" w:rsidRDefault="00D652EB"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D652EB" w:rsidRPr="00095135" w:rsidRDefault="00D652EB"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0RmbGr0CAAC3BQAADgAAAAAAAAAAAAAAAAAuAgAAZHJzL2Uyb0RvYy54bWxQSwECLQAUAAYACAAA&#10;ACEArRpGXOAAAAANAQAADwAAAAAAAAAAAAAAAAAXBQAAZHJzL2Rvd25yZXYueG1sUEsFBgAAAAAE&#10;AAQA8wAAACQGAAAAAA==&#10;" filled="f" stroked="f">
                <v:textbox style="mso-fit-shape-to-text:t" inset="0,0,0,0">
                  <w:txbxContent>
                    <w:p w14:paraId="57F70E5B" w14:textId="77777777" w:rsidR="00D652EB" w:rsidRPr="006F5416" w:rsidRDefault="00D652EB" w:rsidP="006F5416">
                      <w:pPr>
                        <w:pStyle w:val="TLKontaktyerven"/>
                      </w:pPr>
                      <w:r w:rsidRPr="006F5416">
                        <w:t>KONTAKTY V ÚSTŘEDÍ</w:t>
                      </w:r>
                    </w:p>
                    <w:p w14:paraId="3BEEAF5F" w14:textId="77777777" w:rsidR="00D652EB" w:rsidRPr="007D40DF" w:rsidRDefault="00D652EB"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D652EB" w:rsidRPr="00D235B7" w:rsidRDefault="00D652EB"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D652EB" w:rsidRPr="00D235B7" w:rsidRDefault="00D652EB"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D652EB" w:rsidRPr="00D235B7" w:rsidRDefault="00D652EB"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D652EB" w:rsidRPr="00D235B7" w:rsidRDefault="00D652EB"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D652EB" w:rsidRPr="004A61C5" w:rsidRDefault="00D652EB" w:rsidP="00825C4D">
                      <w:pPr>
                        <w:pStyle w:val="TLKontakty"/>
                        <w:spacing w:after="80" w:line="240" w:lineRule="auto"/>
                        <w:contextualSpacing w:val="0"/>
                        <w:rPr>
                          <w:color w:val="auto"/>
                        </w:rPr>
                      </w:pPr>
                    </w:p>
                    <w:p w14:paraId="29C57B67" w14:textId="77777777" w:rsidR="00D652EB" w:rsidRPr="00D66223" w:rsidRDefault="00D652EB" w:rsidP="00D66223">
                      <w:pPr>
                        <w:pStyle w:val="TLKontaktyerven"/>
                      </w:pPr>
                      <w:r w:rsidRPr="00D66223">
                        <w:t>INFORMAČNÍ SLUŽBY V REGIONECH</w:t>
                      </w:r>
                    </w:p>
                    <w:p w14:paraId="181BE30E" w14:textId="77777777" w:rsidR="00D652EB" w:rsidRPr="00992CF3" w:rsidRDefault="00D652EB"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D652EB" w:rsidRPr="00992CF3" w:rsidRDefault="00D652EB"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D652EB" w:rsidRPr="004A61C5" w:rsidRDefault="00D652EB" w:rsidP="00825C4D">
                      <w:pPr>
                        <w:pStyle w:val="TLKontakty"/>
                        <w:spacing w:after="80" w:line="240" w:lineRule="auto"/>
                        <w:rPr>
                          <w:color w:val="auto"/>
                        </w:rPr>
                      </w:pPr>
                    </w:p>
                    <w:p w14:paraId="39B5FB82" w14:textId="77777777" w:rsidR="00D652EB" w:rsidRPr="00992CF3" w:rsidRDefault="00D652EB"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D652EB" w:rsidRPr="00992CF3" w:rsidRDefault="00D652EB"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D652EB" w:rsidRPr="004A61C5" w:rsidRDefault="00D652EB" w:rsidP="00825C4D">
                      <w:pPr>
                        <w:pStyle w:val="TLKontakty"/>
                        <w:spacing w:after="80" w:line="240" w:lineRule="auto"/>
                        <w:rPr>
                          <w:color w:val="auto"/>
                        </w:rPr>
                      </w:pPr>
                    </w:p>
                    <w:p w14:paraId="5AF27889" w14:textId="77777777" w:rsidR="00D652EB" w:rsidRPr="00992CF3" w:rsidRDefault="00D652EB"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D652EB" w:rsidRPr="00992CF3" w:rsidRDefault="00D652EB"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D652EB" w:rsidRPr="004A61C5" w:rsidRDefault="00D652EB" w:rsidP="00825C4D">
                      <w:pPr>
                        <w:pStyle w:val="TLKontakty"/>
                        <w:spacing w:after="80" w:line="240" w:lineRule="auto"/>
                        <w:rPr>
                          <w:color w:val="auto"/>
                        </w:rPr>
                      </w:pPr>
                    </w:p>
                    <w:p w14:paraId="0065AFA0" w14:textId="77777777" w:rsidR="00D652EB" w:rsidRPr="00BC731E" w:rsidRDefault="00D652EB"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D652EB" w:rsidRPr="004A61C5" w:rsidRDefault="00D652EB" w:rsidP="00825C4D">
                      <w:pPr>
                        <w:pStyle w:val="TLKontakty"/>
                        <w:spacing w:after="80" w:line="240" w:lineRule="auto"/>
                        <w:rPr>
                          <w:color w:val="auto"/>
                        </w:rPr>
                      </w:pPr>
                    </w:p>
                    <w:p w14:paraId="345F7961" w14:textId="77777777" w:rsidR="00D652EB" w:rsidRPr="004A61C5" w:rsidRDefault="00D652EB"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D652EB" w:rsidRPr="004A61C5" w:rsidRDefault="00D652EB" w:rsidP="00825C4D">
                      <w:pPr>
                        <w:pStyle w:val="TLKontakty"/>
                        <w:spacing w:after="80" w:line="240" w:lineRule="auto"/>
                        <w:rPr>
                          <w:color w:val="auto"/>
                        </w:rPr>
                      </w:pPr>
                    </w:p>
                    <w:p w14:paraId="766F2288" w14:textId="77777777" w:rsidR="00D652EB" w:rsidRPr="004A61C5" w:rsidRDefault="00D652EB"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D652EB" w:rsidRPr="004A61C5" w:rsidRDefault="00D652EB" w:rsidP="00825C4D">
                      <w:pPr>
                        <w:pStyle w:val="TLKontakty"/>
                        <w:spacing w:after="80" w:line="240" w:lineRule="auto"/>
                        <w:rPr>
                          <w:color w:val="auto"/>
                        </w:rPr>
                      </w:pPr>
                    </w:p>
                    <w:p w14:paraId="0D4652E6" w14:textId="77777777" w:rsidR="00D652EB" w:rsidRPr="004A61C5" w:rsidRDefault="00D652EB"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D652EB" w:rsidRPr="004A61C5" w:rsidRDefault="00D652EB" w:rsidP="00825C4D">
                      <w:pPr>
                        <w:pStyle w:val="TLKontakty"/>
                        <w:spacing w:after="80" w:line="240" w:lineRule="auto"/>
                        <w:rPr>
                          <w:b w:val="0"/>
                          <w:color w:val="auto"/>
                        </w:rPr>
                      </w:pPr>
                    </w:p>
                    <w:p w14:paraId="231AC323" w14:textId="77777777" w:rsidR="00D652EB" w:rsidRPr="004A61C5" w:rsidRDefault="00D652EB"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D652EB" w:rsidRPr="004A61C5" w:rsidRDefault="00D652EB" w:rsidP="00825C4D">
                      <w:pPr>
                        <w:pStyle w:val="TLKontakty"/>
                        <w:spacing w:after="80" w:line="240" w:lineRule="auto"/>
                        <w:rPr>
                          <w:color w:val="auto"/>
                        </w:rPr>
                      </w:pPr>
                    </w:p>
                    <w:p w14:paraId="64319B27" w14:textId="77777777" w:rsidR="00D652EB" w:rsidRPr="004A61C5" w:rsidRDefault="00D652EB"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D652EB" w:rsidRPr="004A61C5" w:rsidRDefault="00D652EB" w:rsidP="00825C4D">
                      <w:pPr>
                        <w:pStyle w:val="TLKontakty"/>
                        <w:spacing w:after="80" w:line="240" w:lineRule="auto"/>
                        <w:rPr>
                          <w:b w:val="0"/>
                          <w:color w:val="auto"/>
                        </w:rPr>
                      </w:pPr>
                    </w:p>
                    <w:p w14:paraId="4068B566" w14:textId="77777777" w:rsidR="00D652EB" w:rsidRPr="004A61C5" w:rsidRDefault="00D652EB"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D652EB" w:rsidRPr="004A61C5" w:rsidRDefault="00D652EB"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D652EB" w:rsidRDefault="00D652EB" w:rsidP="00825C4D">
                      <w:pPr>
                        <w:pStyle w:val="TLKontakty"/>
                        <w:spacing w:after="80" w:line="240" w:lineRule="auto"/>
                      </w:pPr>
                    </w:p>
                    <w:p w14:paraId="63ACC352" w14:textId="77777777" w:rsidR="00D652EB" w:rsidRPr="00BC731E" w:rsidRDefault="00D652EB"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D652EB" w:rsidRPr="004A61C5" w:rsidRDefault="00D652EB"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D652EB" w:rsidRPr="004A61C5" w:rsidRDefault="00D652EB" w:rsidP="00825C4D">
                      <w:pPr>
                        <w:pStyle w:val="TLKontakty"/>
                        <w:spacing w:after="80" w:line="240" w:lineRule="auto"/>
                        <w:rPr>
                          <w:b w:val="0"/>
                          <w:color w:val="auto"/>
                        </w:rPr>
                      </w:pPr>
                    </w:p>
                    <w:p w14:paraId="71AC5E72" w14:textId="77777777" w:rsidR="00D652EB" w:rsidRPr="005E7C78" w:rsidRDefault="00D652EB"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D652EB" w:rsidRPr="005E7C78" w:rsidRDefault="00D652EB"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D652EB" w:rsidRPr="005E7C78" w:rsidRDefault="00D652EB" w:rsidP="00825C4D">
                      <w:pPr>
                        <w:pStyle w:val="TLKontakty"/>
                        <w:spacing w:after="80" w:line="240" w:lineRule="auto"/>
                        <w:rPr>
                          <w:b w:val="0"/>
                          <w:color w:val="auto"/>
                        </w:rPr>
                      </w:pPr>
                    </w:p>
                    <w:p w14:paraId="00E77B80" w14:textId="77777777" w:rsidR="00D652EB" w:rsidRPr="005E7C78" w:rsidRDefault="00D652EB"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D652EB" w:rsidRDefault="00D652EB"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D652EB" w:rsidRPr="005E7C78" w:rsidRDefault="00D652EB" w:rsidP="00095135">
                      <w:pPr>
                        <w:pStyle w:val="TLKontakty"/>
                        <w:spacing w:after="80" w:line="240" w:lineRule="auto"/>
                        <w:rPr>
                          <w:b w:val="0"/>
                          <w:color w:val="auto"/>
                        </w:rPr>
                      </w:pPr>
                    </w:p>
                    <w:p w14:paraId="0275618D" w14:textId="77777777" w:rsidR="00D652EB" w:rsidRPr="005E7C78" w:rsidRDefault="00D652EB"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D652EB" w:rsidRPr="00095135" w:rsidRDefault="00D652EB"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2371D5AC" w:rsidR="00D652EB" w:rsidRPr="00321924" w:rsidRDefault="00D652EB" w:rsidP="00A16E1D">
                            <w:pPr>
                              <w:jc w:val="left"/>
                            </w:pPr>
                            <w:r w:rsidRPr="00321924">
                              <w:br/>
                              <w:t xml:space="preserve">© Český statistický úřad, </w:t>
                            </w:r>
                            <w:r>
                              <w:t>Praha, 2023</w:t>
                            </w:r>
                          </w:p>
                          <w:p w14:paraId="314CB98A" w14:textId="77777777" w:rsidR="00D652EB" w:rsidRDefault="00D652EB"/>
                          <w:p w14:paraId="6776AB5D" w14:textId="77777777" w:rsidR="00D652EB" w:rsidRPr="00841D9F" w:rsidRDefault="00D652EB"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D652EB" w:rsidRPr="00AF2852" w:rsidRDefault="00D652EB"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NbuQ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" filled="f" stroked="f">
                <v:textbox inset="0,0,0,0">
                  <w:txbxContent>
                    <w:p w14:paraId="45ED07B0" w14:textId="2371D5AC" w:rsidR="00D652EB" w:rsidRPr="00321924" w:rsidRDefault="00D652EB" w:rsidP="00A16E1D">
                      <w:pPr>
                        <w:jc w:val="left"/>
                      </w:pPr>
                      <w:r w:rsidRPr="00321924">
                        <w:br/>
                        <w:t xml:space="preserve">© Český statistický úřad, </w:t>
                      </w:r>
                      <w:r>
                        <w:t>Praha, 2023</w:t>
                      </w:r>
                    </w:p>
                    <w:p w14:paraId="314CB98A" w14:textId="77777777" w:rsidR="00D652EB" w:rsidRDefault="00D652EB"/>
                    <w:p w14:paraId="6776AB5D" w14:textId="77777777" w:rsidR="00D652EB" w:rsidRPr="00841D9F" w:rsidRDefault="00D652EB"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D652EB" w:rsidRPr="00AF2852" w:rsidRDefault="00D652EB"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D4D1" w14:textId="77777777" w:rsidR="00D652EB" w:rsidRPr="009A1902" w:rsidRDefault="00D652EB"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" filled="f" stroked="f">
                <v:textbox style="mso-fit-shape-to-text:t" inset="0,0,0,0">
                  <w:txbxContent>
                    <w:p w14:paraId="054ED4D1" w14:textId="77777777" w:rsidR="00D652EB" w:rsidRPr="009A1902" w:rsidRDefault="00D652EB"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597230E6" w14:textId="77777777" w:rsidR="00867DAB" w:rsidRPr="009110F7" w:rsidRDefault="00867DAB" w:rsidP="00867DAB">
          <w:pPr>
            <w:pStyle w:val="Obsah"/>
          </w:pPr>
          <w:r w:rsidRPr="009110F7">
            <w:t>Obsah</w:t>
          </w:r>
        </w:p>
        <w:p w14:paraId="78DB9BAD" w14:textId="41D61281" w:rsidR="007C1A03"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137721908" w:history="1">
            <w:r w:rsidR="007C1A03" w:rsidRPr="005B6AA1">
              <w:rPr>
                <w:rStyle w:val="Hypertextovodkaz"/>
                <w:noProof/>
              </w:rPr>
              <w:t>1. Shrnutí</w:t>
            </w:r>
            <w:r w:rsidR="007C1A03">
              <w:rPr>
                <w:noProof/>
                <w:webHidden/>
              </w:rPr>
              <w:tab/>
            </w:r>
            <w:r w:rsidR="007C1A03">
              <w:rPr>
                <w:noProof/>
                <w:webHidden/>
              </w:rPr>
              <w:fldChar w:fldCharType="begin"/>
            </w:r>
            <w:r w:rsidR="007C1A03">
              <w:rPr>
                <w:noProof/>
                <w:webHidden/>
              </w:rPr>
              <w:instrText xml:space="preserve"> PAGEREF _Toc137721908 \h </w:instrText>
            </w:r>
            <w:r w:rsidR="007C1A03">
              <w:rPr>
                <w:noProof/>
                <w:webHidden/>
              </w:rPr>
            </w:r>
            <w:r w:rsidR="007C1A03">
              <w:rPr>
                <w:noProof/>
                <w:webHidden/>
              </w:rPr>
              <w:fldChar w:fldCharType="separate"/>
            </w:r>
            <w:r w:rsidR="007C1A03">
              <w:rPr>
                <w:noProof/>
                <w:webHidden/>
              </w:rPr>
              <w:t>4</w:t>
            </w:r>
            <w:r w:rsidR="007C1A03">
              <w:rPr>
                <w:noProof/>
                <w:webHidden/>
              </w:rPr>
              <w:fldChar w:fldCharType="end"/>
            </w:r>
          </w:hyperlink>
        </w:p>
        <w:p w14:paraId="1BF0226D" w14:textId="2D985C1C" w:rsidR="007C1A03" w:rsidRDefault="007C1A03">
          <w:pPr>
            <w:pStyle w:val="Obsah1"/>
            <w:rPr>
              <w:rFonts w:asciiTheme="minorHAnsi" w:eastAsiaTheme="minorEastAsia" w:hAnsiTheme="minorHAnsi" w:cstheme="minorBidi"/>
              <w:noProof/>
              <w:sz w:val="22"/>
              <w:szCs w:val="22"/>
            </w:rPr>
          </w:pPr>
          <w:hyperlink w:anchor="_Toc137721909" w:history="1">
            <w:r w:rsidRPr="005B6AA1">
              <w:rPr>
                <w:rStyle w:val="Hypertextovodkaz"/>
                <w:noProof/>
              </w:rPr>
              <w:t>2. Souhrnná výkonnost</w:t>
            </w:r>
            <w:r>
              <w:rPr>
                <w:noProof/>
                <w:webHidden/>
              </w:rPr>
              <w:tab/>
            </w:r>
            <w:r>
              <w:rPr>
                <w:noProof/>
                <w:webHidden/>
              </w:rPr>
              <w:fldChar w:fldCharType="begin"/>
            </w:r>
            <w:r>
              <w:rPr>
                <w:noProof/>
                <w:webHidden/>
              </w:rPr>
              <w:instrText xml:space="preserve"> PAGEREF _Toc137721909 \h </w:instrText>
            </w:r>
            <w:r>
              <w:rPr>
                <w:noProof/>
                <w:webHidden/>
              </w:rPr>
            </w:r>
            <w:r>
              <w:rPr>
                <w:noProof/>
                <w:webHidden/>
              </w:rPr>
              <w:fldChar w:fldCharType="separate"/>
            </w:r>
            <w:r>
              <w:rPr>
                <w:noProof/>
                <w:webHidden/>
              </w:rPr>
              <w:t>6</w:t>
            </w:r>
            <w:r>
              <w:rPr>
                <w:noProof/>
                <w:webHidden/>
              </w:rPr>
              <w:fldChar w:fldCharType="end"/>
            </w:r>
          </w:hyperlink>
        </w:p>
        <w:p w14:paraId="66657CB2" w14:textId="29142C26" w:rsidR="007C1A03" w:rsidRDefault="007C1A03">
          <w:pPr>
            <w:pStyle w:val="Obsah1"/>
            <w:rPr>
              <w:rFonts w:asciiTheme="minorHAnsi" w:eastAsiaTheme="minorEastAsia" w:hAnsiTheme="minorHAnsi" w:cstheme="minorBidi"/>
              <w:noProof/>
              <w:sz w:val="22"/>
              <w:szCs w:val="22"/>
            </w:rPr>
          </w:pPr>
          <w:hyperlink w:anchor="_Toc137721910" w:history="1">
            <w:r w:rsidRPr="005B6AA1">
              <w:rPr>
                <w:rStyle w:val="Hypertextovodkaz"/>
                <w:noProof/>
              </w:rPr>
              <w:t>3. Výkonnost odvětví</w:t>
            </w:r>
            <w:r>
              <w:rPr>
                <w:noProof/>
                <w:webHidden/>
              </w:rPr>
              <w:tab/>
            </w:r>
            <w:r>
              <w:rPr>
                <w:noProof/>
                <w:webHidden/>
              </w:rPr>
              <w:fldChar w:fldCharType="begin"/>
            </w:r>
            <w:r>
              <w:rPr>
                <w:noProof/>
                <w:webHidden/>
              </w:rPr>
              <w:instrText xml:space="preserve"> PAGEREF _Toc137721910 \h </w:instrText>
            </w:r>
            <w:r>
              <w:rPr>
                <w:noProof/>
                <w:webHidden/>
              </w:rPr>
            </w:r>
            <w:r>
              <w:rPr>
                <w:noProof/>
                <w:webHidden/>
              </w:rPr>
              <w:fldChar w:fldCharType="separate"/>
            </w:r>
            <w:r>
              <w:rPr>
                <w:noProof/>
                <w:webHidden/>
              </w:rPr>
              <w:t>11</w:t>
            </w:r>
            <w:r>
              <w:rPr>
                <w:noProof/>
                <w:webHidden/>
              </w:rPr>
              <w:fldChar w:fldCharType="end"/>
            </w:r>
          </w:hyperlink>
        </w:p>
        <w:p w14:paraId="5E6DB558" w14:textId="7737593C" w:rsidR="007C1A03" w:rsidRDefault="007C1A03">
          <w:pPr>
            <w:pStyle w:val="Obsah1"/>
            <w:rPr>
              <w:rFonts w:asciiTheme="minorHAnsi" w:eastAsiaTheme="minorEastAsia" w:hAnsiTheme="minorHAnsi" w:cstheme="minorBidi"/>
              <w:noProof/>
              <w:sz w:val="22"/>
              <w:szCs w:val="22"/>
            </w:rPr>
          </w:pPr>
          <w:hyperlink w:anchor="_Toc137721911" w:history="1">
            <w:r w:rsidRPr="005B6AA1">
              <w:rPr>
                <w:rStyle w:val="Hypertextovodkaz"/>
                <w:noProof/>
              </w:rPr>
              <w:t>4. Vnější vztahy</w:t>
            </w:r>
            <w:r>
              <w:rPr>
                <w:noProof/>
                <w:webHidden/>
              </w:rPr>
              <w:tab/>
            </w:r>
            <w:r>
              <w:rPr>
                <w:noProof/>
                <w:webHidden/>
              </w:rPr>
              <w:fldChar w:fldCharType="begin"/>
            </w:r>
            <w:r>
              <w:rPr>
                <w:noProof/>
                <w:webHidden/>
              </w:rPr>
              <w:instrText xml:space="preserve"> PAGEREF _Toc137721911 \h </w:instrText>
            </w:r>
            <w:r>
              <w:rPr>
                <w:noProof/>
                <w:webHidden/>
              </w:rPr>
            </w:r>
            <w:r>
              <w:rPr>
                <w:noProof/>
                <w:webHidden/>
              </w:rPr>
              <w:fldChar w:fldCharType="separate"/>
            </w:r>
            <w:r>
              <w:rPr>
                <w:noProof/>
                <w:webHidden/>
              </w:rPr>
              <w:t>20</w:t>
            </w:r>
            <w:r>
              <w:rPr>
                <w:noProof/>
                <w:webHidden/>
              </w:rPr>
              <w:fldChar w:fldCharType="end"/>
            </w:r>
          </w:hyperlink>
        </w:p>
        <w:p w14:paraId="31D2D466" w14:textId="6A4F2840" w:rsidR="007C1A03" w:rsidRDefault="007C1A03">
          <w:pPr>
            <w:pStyle w:val="Obsah1"/>
            <w:rPr>
              <w:rFonts w:asciiTheme="minorHAnsi" w:eastAsiaTheme="minorEastAsia" w:hAnsiTheme="minorHAnsi" w:cstheme="minorBidi"/>
              <w:noProof/>
              <w:sz w:val="22"/>
              <w:szCs w:val="22"/>
            </w:rPr>
          </w:pPr>
          <w:hyperlink w:anchor="_Toc137721912" w:history="1">
            <w:r w:rsidRPr="005B6AA1">
              <w:rPr>
                <w:rStyle w:val="Hypertextovodkaz"/>
                <w:noProof/>
              </w:rPr>
              <w:t>5. Ceny</w:t>
            </w:r>
            <w:r>
              <w:rPr>
                <w:noProof/>
                <w:webHidden/>
              </w:rPr>
              <w:tab/>
            </w:r>
            <w:r>
              <w:rPr>
                <w:noProof/>
                <w:webHidden/>
              </w:rPr>
              <w:fldChar w:fldCharType="begin"/>
            </w:r>
            <w:r>
              <w:rPr>
                <w:noProof/>
                <w:webHidden/>
              </w:rPr>
              <w:instrText xml:space="preserve"> PAGEREF _Toc137721912 \h </w:instrText>
            </w:r>
            <w:r>
              <w:rPr>
                <w:noProof/>
                <w:webHidden/>
              </w:rPr>
            </w:r>
            <w:r>
              <w:rPr>
                <w:noProof/>
                <w:webHidden/>
              </w:rPr>
              <w:fldChar w:fldCharType="separate"/>
            </w:r>
            <w:r>
              <w:rPr>
                <w:noProof/>
                <w:webHidden/>
              </w:rPr>
              <w:t>23</w:t>
            </w:r>
            <w:r>
              <w:rPr>
                <w:noProof/>
                <w:webHidden/>
              </w:rPr>
              <w:fldChar w:fldCharType="end"/>
            </w:r>
          </w:hyperlink>
        </w:p>
        <w:p w14:paraId="002B2852" w14:textId="3F30BB8B" w:rsidR="007C1A03" w:rsidRDefault="007C1A03">
          <w:pPr>
            <w:pStyle w:val="Obsah1"/>
            <w:rPr>
              <w:rFonts w:asciiTheme="minorHAnsi" w:eastAsiaTheme="minorEastAsia" w:hAnsiTheme="minorHAnsi" w:cstheme="minorBidi"/>
              <w:noProof/>
              <w:sz w:val="22"/>
              <w:szCs w:val="22"/>
            </w:rPr>
          </w:pPr>
          <w:hyperlink w:anchor="_Toc137721913" w:history="1">
            <w:r w:rsidRPr="005B6AA1">
              <w:rPr>
                <w:rStyle w:val="Hypertextovodkaz"/>
                <w:noProof/>
              </w:rPr>
              <w:t>6. Trh práce</w:t>
            </w:r>
            <w:r>
              <w:rPr>
                <w:noProof/>
                <w:webHidden/>
              </w:rPr>
              <w:tab/>
            </w:r>
            <w:r>
              <w:rPr>
                <w:noProof/>
                <w:webHidden/>
              </w:rPr>
              <w:fldChar w:fldCharType="begin"/>
            </w:r>
            <w:r>
              <w:rPr>
                <w:noProof/>
                <w:webHidden/>
              </w:rPr>
              <w:instrText xml:space="preserve"> PAGEREF _Toc137721913 \h </w:instrText>
            </w:r>
            <w:r>
              <w:rPr>
                <w:noProof/>
                <w:webHidden/>
              </w:rPr>
            </w:r>
            <w:r>
              <w:rPr>
                <w:noProof/>
                <w:webHidden/>
              </w:rPr>
              <w:fldChar w:fldCharType="separate"/>
            </w:r>
            <w:r>
              <w:rPr>
                <w:noProof/>
                <w:webHidden/>
              </w:rPr>
              <w:t>29</w:t>
            </w:r>
            <w:r>
              <w:rPr>
                <w:noProof/>
                <w:webHidden/>
              </w:rPr>
              <w:fldChar w:fldCharType="end"/>
            </w:r>
          </w:hyperlink>
        </w:p>
        <w:p w14:paraId="12B68E69" w14:textId="4697D90D" w:rsidR="007C1A03" w:rsidRDefault="007C1A03">
          <w:pPr>
            <w:pStyle w:val="Obsah1"/>
            <w:rPr>
              <w:rFonts w:asciiTheme="minorHAnsi" w:eastAsiaTheme="minorEastAsia" w:hAnsiTheme="minorHAnsi" w:cstheme="minorBidi"/>
              <w:noProof/>
              <w:sz w:val="22"/>
              <w:szCs w:val="22"/>
            </w:rPr>
          </w:pPr>
          <w:hyperlink w:anchor="_Toc137721914" w:history="1">
            <w:r w:rsidRPr="005B6AA1">
              <w:rPr>
                <w:rStyle w:val="Hypertextovodkaz"/>
                <w:noProof/>
              </w:rPr>
              <w:t>7. Měnové podmínky</w:t>
            </w:r>
            <w:r>
              <w:rPr>
                <w:noProof/>
                <w:webHidden/>
              </w:rPr>
              <w:tab/>
            </w:r>
            <w:r>
              <w:rPr>
                <w:noProof/>
                <w:webHidden/>
              </w:rPr>
              <w:fldChar w:fldCharType="begin"/>
            </w:r>
            <w:r>
              <w:rPr>
                <w:noProof/>
                <w:webHidden/>
              </w:rPr>
              <w:instrText xml:space="preserve"> PAGEREF _Toc137721914 \h </w:instrText>
            </w:r>
            <w:r>
              <w:rPr>
                <w:noProof/>
                <w:webHidden/>
              </w:rPr>
            </w:r>
            <w:r>
              <w:rPr>
                <w:noProof/>
                <w:webHidden/>
              </w:rPr>
              <w:fldChar w:fldCharType="separate"/>
            </w:r>
            <w:r>
              <w:rPr>
                <w:noProof/>
                <w:webHidden/>
              </w:rPr>
              <w:t>35</w:t>
            </w:r>
            <w:r>
              <w:rPr>
                <w:noProof/>
                <w:webHidden/>
              </w:rPr>
              <w:fldChar w:fldCharType="end"/>
            </w:r>
          </w:hyperlink>
        </w:p>
        <w:p w14:paraId="0082039A" w14:textId="7799AF5A" w:rsidR="007C1A03" w:rsidRDefault="007C1A03">
          <w:pPr>
            <w:pStyle w:val="Obsah1"/>
            <w:rPr>
              <w:rFonts w:asciiTheme="minorHAnsi" w:eastAsiaTheme="minorEastAsia" w:hAnsiTheme="minorHAnsi" w:cstheme="minorBidi"/>
              <w:noProof/>
              <w:sz w:val="22"/>
              <w:szCs w:val="22"/>
            </w:rPr>
          </w:pPr>
          <w:hyperlink w:anchor="_Toc137721915" w:history="1">
            <w:r w:rsidRPr="005B6AA1">
              <w:rPr>
                <w:rStyle w:val="Hypertextovodkaz"/>
                <w:noProof/>
              </w:rPr>
              <w:t>8. Státní rozpočet</w:t>
            </w:r>
            <w:r>
              <w:rPr>
                <w:noProof/>
                <w:webHidden/>
              </w:rPr>
              <w:tab/>
            </w:r>
            <w:r>
              <w:rPr>
                <w:noProof/>
                <w:webHidden/>
              </w:rPr>
              <w:fldChar w:fldCharType="begin"/>
            </w:r>
            <w:r>
              <w:rPr>
                <w:noProof/>
                <w:webHidden/>
              </w:rPr>
              <w:instrText xml:space="preserve"> PAGEREF _Toc137721915 \h </w:instrText>
            </w:r>
            <w:r>
              <w:rPr>
                <w:noProof/>
                <w:webHidden/>
              </w:rPr>
            </w:r>
            <w:r>
              <w:rPr>
                <w:noProof/>
                <w:webHidden/>
              </w:rPr>
              <w:fldChar w:fldCharType="separate"/>
            </w:r>
            <w:r>
              <w:rPr>
                <w:noProof/>
                <w:webHidden/>
              </w:rPr>
              <w:t>37</w:t>
            </w:r>
            <w:r>
              <w:rPr>
                <w:noProof/>
                <w:webHidden/>
              </w:rPr>
              <w:fldChar w:fldCharType="end"/>
            </w:r>
          </w:hyperlink>
        </w:p>
        <w:p w14:paraId="39BB97E5" w14:textId="5600D441" w:rsidR="00867DAB" w:rsidRPr="009110F7" w:rsidRDefault="007D42E5">
          <w:r w:rsidRPr="009110F7">
            <w:fldChar w:fldCharType="end"/>
          </w:r>
        </w:p>
      </w:sdtContent>
    </w:sdt>
    <w:p w14:paraId="6CBF0906" w14:textId="77777777" w:rsidR="00003F5C" w:rsidRPr="009110F7" w:rsidRDefault="00003F5C" w:rsidP="00003F5C">
      <w:pPr>
        <w:pStyle w:val="Textpoznpodarou"/>
        <w:jc w:val="both"/>
        <w:rPr>
          <w:rFonts w:cs="Arial"/>
          <w:color w:val="000000"/>
        </w:rPr>
      </w:pPr>
    </w:p>
    <w:p w14:paraId="77CA2D67" w14:textId="77777777" w:rsidR="00003F5C" w:rsidRPr="009110F7" w:rsidRDefault="00003F5C" w:rsidP="00003F5C">
      <w:pPr>
        <w:pStyle w:val="Textpoznpodarou"/>
        <w:jc w:val="both"/>
        <w:rPr>
          <w:rFonts w:cs="Arial"/>
          <w:color w:val="000000"/>
        </w:rPr>
      </w:pPr>
    </w:p>
    <w:p w14:paraId="223CBCEF" w14:textId="77777777" w:rsidR="00003F5C" w:rsidRPr="009110F7" w:rsidRDefault="00003F5C" w:rsidP="00003F5C">
      <w:pPr>
        <w:pStyle w:val="Textpoznpodarou"/>
        <w:jc w:val="both"/>
        <w:rPr>
          <w:rFonts w:cs="Arial"/>
          <w:color w:val="000000"/>
        </w:rPr>
      </w:pPr>
      <w:bookmarkStart w:id="0" w:name="_GoBack"/>
      <w:bookmarkEnd w:id="0"/>
    </w:p>
    <w:p w14:paraId="0F28E1B0" w14:textId="77777777" w:rsidR="00003F5C" w:rsidRPr="009110F7" w:rsidRDefault="00003F5C" w:rsidP="00003F5C">
      <w:pPr>
        <w:pStyle w:val="Textpoznpodarou"/>
        <w:jc w:val="both"/>
        <w:rPr>
          <w:rFonts w:cs="Arial"/>
          <w:color w:val="000000"/>
        </w:rPr>
      </w:pPr>
    </w:p>
    <w:p w14:paraId="2E66CDA4" w14:textId="77777777" w:rsidR="00003F5C" w:rsidRPr="009110F7" w:rsidRDefault="00003F5C" w:rsidP="00003F5C">
      <w:pPr>
        <w:pStyle w:val="Textpoznpodarou"/>
        <w:jc w:val="both"/>
        <w:rPr>
          <w:rFonts w:cs="Arial"/>
          <w:color w:val="000000"/>
        </w:rPr>
      </w:pPr>
    </w:p>
    <w:p w14:paraId="38EBE8F7" w14:textId="77777777" w:rsidR="00003F5C" w:rsidRPr="009110F7" w:rsidRDefault="00003F5C" w:rsidP="00003F5C">
      <w:pPr>
        <w:pStyle w:val="Textpoznpodarou"/>
        <w:jc w:val="both"/>
        <w:rPr>
          <w:rFonts w:cs="Arial"/>
          <w:color w:val="000000"/>
        </w:rPr>
      </w:pPr>
    </w:p>
    <w:p w14:paraId="4D552425" w14:textId="6F4027CD" w:rsidR="00003F5C" w:rsidRPr="009110F7" w:rsidRDefault="00ED0F73" w:rsidP="00003F5C">
      <w:pPr>
        <w:pStyle w:val="Textpoznpodarou"/>
        <w:jc w:val="both"/>
        <w:rPr>
          <w:rFonts w:cs="Arial"/>
          <w:color w:val="000000"/>
        </w:rPr>
      </w:pPr>
      <w:r>
        <w:rPr>
          <w:rFonts w:cs="Arial"/>
          <w:color w:val="000000"/>
        </w:rPr>
        <w:t>Hlavní z</w:t>
      </w:r>
      <w:r w:rsidR="00003F5C" w:rsidRPr="009110F7">
        <w:rPr>
          <w:rFonts w:cs="Arial"/>
          <w:color w:val="000000"/>
        </w:rPr>
        <w:t>droje dat v celé analýze: ČSÚ, MF</w:t>
      </w:r>
      <w:r w:rsidR="00A45489" w:rsidRPr="009110F7">
        <w:rPr>
          <w:rFonts w:cs="Arial"/>
          <w:color w:val="000000"/>
        </w:rPr>
        <w:t> </w:t>
      </w:r>
      <w:r w:rsidR="00003F5C" w:rsidRPr="009110F7">
        <w:rPr>
          <w:rFonts w:cs="Arial"/>
          <w:color w:val="000000"/>
        </w:rPr>
        <w:t xml:space="preserve">ČR, ČNB, MPSV, ČSSZ, </w:t>
      </w:r>
      <w:proofErr w:type="spellStart"/>
      <w:r w:rsidR="00003F5C" w:rsidRPr="009110F7">
        <w:rPr>
          <w:rFonts w:cs="Arial"/>
          <w:color w:val="000000"/>
        </w:rPr>
        <w:t>Eurostat</w:t>
      </w:r>
      <w:proofErr w:type="spellEnd"/>
      <w:r w:rsidR="00003F5C" w:rsidRPr="009110F7">
        <w:rPr>
          <w:rFonts w:cs="Arial"/>
          <w:color w:val="000000"/>
        </w:rPr>
        <w:t>, propočty ČSÚ.</w:t>
      </w:r>
    </w:p>
    <w:p w14:paraId="5658862B" w14:textId="4F6E6E41"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57A76" w:rsidRPr="009110F7">
        <w:rPr>
          <w:rFonts w:cs="Arial"/>
          <w:color w:val="000000"/>
        </w:rPr>
        <w:t>pocházejí z</w:t>
      </w:r>
      <w:r w:rsidR="00DE27CD">
        <w:rPr>
          <w:rFonts w:cs="Arial"/>
          <w:color w:val="000000"/>
        </w:rPr>
        <w:t>e</w:t>
      </w:r>
      <w:r w:rsidR="00D23A99">
        <w:rPr>
          <w:rFonts w:cs="Arial"/>
          <w:color w:val="000000"/>
        </w:rPr>
        <w:t xml:space="preserve"> </w:t>
      </w:r>
      <w:r w:rsidR="00DE27CD">
        <w:rPr>
          <w:rFonts w:cs="Arial"/>
          <w:color w:val="000000"/>
        </w:rPr>
        <w:t>14</w:t>
      </w:r>
      <w:r w:rsidR="00D23A99">
        <w:rPr>
          <w:rFonts w:cs="Arial"/>
          <w:color w:val="000000"/>
        </w:rPr>
        <w:t xml:space="preserve">. </w:t>
      </w:r>
      <w:r w:rsidR="00CB3605">
        <w:rPr>
          <w:rFonts w:cs="Arial"/>
          <w:color w:val="000000"/>
        </w:rPr>
        <w:t>červn</w:t>
      </w:r>
      <w:r w:rsidR="002E631B">
        <w:rPr>
          <w:rFonts w:cs="Arial"/>
          <w:color w:val="000000"/>
        </w:rPr>
        <w:t>a</w:t>
      </w:r>
      <w:r w:rsidR="00D23A99">
        <w:rPr>
          <w:rFonts w:cs="Arial"/>
          <w:color w:val="000000"/>
        </w:rPr>
        <w:t xml:space="preserve"> 202</w:t>
      </w:r>
      <w:r w:rsidR="002E631B">
        <w:rPr>
          <w:rFonts w:cs="Arial"/>
          <w:color w:val="000000"/>
        </w:rPr>
        <w:t>3</w:t>
      </w:r>
      <w:r w:rsidRPr="009110F7">
        <w:rPr>
          <w:rFonts w:cs="Arial"/>
          <w:color w:val="000000"/>
        </w:rPr>
        <w:t>.</w:t>
      </w:r>
    </w:p>
    <w:p w14:paraId="1D1FFA96" w14:textId="77777777" w:rsidR="002F1D56" w:rsidRDefault="002F1D56" w:rsidP="00003F5C">
      <w:pPr>
        <w:pStyle w:val="Textpoznpodarou"/>
        <w:jc w:val="both"/>
        <w:rPr>
          <w:rFonts w:cs="Arial"/>
          <w:color w:val="000000"/>
        </w:rPr>
      </w:pPr>
    </w:p>
    <w:p w14:paraId="6EDD1399" w14:textId="77777777" w:rsidR="002F1D56" w:rsidRPr="002F1D56" w:rsidRDefault="002F1D56" w:rsidP="00003F5C">
      <w:pPr>
        <w:pStyle w:val="Textpoznpodarou"/>
        <w:jc w:val="both"/>
        <w:rPr>
          <w:rFonts w:cs="Arial"/>
        </w:rPr>
      </w:pPr>
    </w:p>
    <w:p w14:paraId="7CD2B948" w14:textId="77777777" w:rsidR="001777BA" w:rsidRPr="00AF7277" w:rsidRDefault="00087F2B" w:rsidP="001777BA">
      <w:pPr>
        <w:pStyle w:val="Nadpis1"/>
      </w:pPr>
      <w:r w:rsidRPr="002F1D56">
        <w:rPr>
          <w:color w:val="auto"/>
        </w:rPr>
        <w:br w:type="page"/>
      </w:r>
      <w:bookmarkStart w:id="1" w:name="_Toc97736114"/>
      <w:bookmarkStart w:id="2" w:name="_Toc444112494"/>
      <w:bookmarkStart w:id="3" w:name="_Toc511215208"/>
      <w:bookmarkStart w:id="4" w:name="_Toc26865017"/>
      <w:bookmarkStart w:id="5" w:name="_Toc74643854"/>
      <w:bookmarkStart w:id="6" w:name="_Toc66719928"/>
      <w:bookmarkStart w:id="7" w:name="_Toc19090676"/>
      <w:bookmarkStart w:id="8" w:name="_Toc58605372"/>
    </w:p>
    <w:p w14:paraId="662D769E" w14:textId="77777777" w:rsidR="00993ECA" w:rsidRDefault="00993ECA" w:rsidP="00993ECA">
      <w:pPr>
        <w:pStyle w:val="Nadpis1"/>
      </w:pPr>
      <w:bookmarkStart w:id="9" w:name="_Toc114134045"/>
      <w:bookmarkStart w:id="10" w:name="_Toc58605374"/>
      <w:bookmarkStart w:id="11" w:name="_Toc66719930"/>
      <w:bookmarkStart w:id="12" w:name="_Toc532558287"/>
      <w:bookmarkStart w:id="13" w:name="_Toc58605375"/>
      <w:bookmarkStart w:id="14" w:name="_Toc82508186"/>
      <w:bookmarkStart w:id="15" w:name="_Toc114134047"/>
      <w:bookmarkStart w:id="16" w:name="_Toc114134048"/>
      <w:bookmarkStart w:id="17" w:name="_Toc97736119"/>
      <w:bookmarkStart w:id="18" w:name="_Toc74643859"/>
      <w:bookmarkStart w:id="19" w:name="_Toc90395915"/>
      <w:bookmarkStart w:id="20" w:name="_Toc98245446"/>
      <w:bookmarkStart w:id="21" w:name="_Toc74643860"/>
      <w:bookmarkStart w:id="22" w:name="_Toc137721908"/>
      <w:bookmarkEnd w:id="1"/>
      <w:bookmarkEnd w:id="2"/>
      <w:bookmarkEnd w:id="3"/>
      <w:bookmarkEnd w:id="4"/>
      <w:bookmarkEnd w:id="5"/>
      <w:bookmarkEnd w:id="6"/>
      <w:bookmarkEnd w:id="7"/>
      <w:bookmarkEnd w:id="8"/>
      <w:r>
        <w:lastRenderedPageBreak/>
        <w:t>1. Shrnutí</w:t>
      </w:r>
      <w:bookmarkEnd w:id="22"/>
    </w:p>
    <w:p w14:paraId="792C7A24" w14:textId="77777777" w:rsidR="00993ECA" w:rsidRDefault="00993ECA" w:rsidP="00993ECA">
      <w:pPr>
        <w:pStyle w:val="Normalodrka"/>
        <w:spacing w:after="120"/>
        <w:rPr>
          <w:spacing w:val="-6"/>
        </w:rPr>
      </w:pPr>
      <w:r>
        <w:rPr>
          <w:spacing w:val="-6"/>
        </w:rPr>
        <w:t>Hrubý domácí produkt (HDP) se v 1. čtvrtletí 2023 meziročně snížil o 0,4 %</w:t>
      </w:r>
      <w:r>
        <w:rPr>
          <w:rStyle w:val="Znakapoznpodarou"/>
          <w:spacing w:val="-6"/>
          <w:szCs w:val="20"/>
        </w:rPr>
        <w:footnoteReference w:id="1"/>
      </w:r>
      <w:r>
        <w:rPr>
          <w:spacing w:val="-6"/>
        </w:rPr>
        <w:t>. Šlo o první meziroční pokles od začátku roku 2021. Meziročně se propadala spotřeba domácností i kapitálové výdaje. Naopak spotřeba vládních institucí a zahraniční poptávka působily ve směru růstu HDP. Mezičtvrtletně HDP stagnoval, přičemž podobně jako v meziročním srovnání v protichůdném směru působila domácí a zahraniční poptávka – klesala spotřeba i kapitálové výdaje, ale reálně rostl vývoz. Česká ekonomika v rámci EU patřila k zemím s podprůměrnou dynamikou HDP. Hrubý domácí produkt v EU v 1. čtvrtletí meziročně rostl o 1,0 % a mezičtvrtletně se zvýšil o 0,1 %.</w:t>
      </w:r>
    </w:p>
    <w:p w14:paraId="3A56A2C0" w14:textId="77777777" w:rsidR="00993ECA" w:rsidRDefault="00993ECA" w:rsidP="00993ECA">
      <w:pPr>
        <w:pStyle w:val="Normalodrka"/>
        <w:rPr>
          <w:spacing w:val="-6"/>
        </w:rPr>
      </w:pPr>
      <w:r>
        <w:t>Hrubá přidaná hodnota (HPH) meziročně vzrostla o 1,1 %. K růstu přispíval zejména zpracovatelský průmysl, kde HPH vzrostla o 4,4 %. V</w:t>
      </w:r>
      <w:r w:rsidRPr="003A32DB">
        <w:rPr>
          <w:spacing w:val="-6"/>
        </w:rPr>
        <w:t>ýrazně negativně působilo uskupení obchod, doprava, ubytování a</w:t>
      </w:r>
      <w:r>
        <w:rPr>
          <w:spacing w:val="-6"/>
        </w:rPr>
        <w:t> </w:t>
      </w:r>
      <w:r w:rsidRPr="003A32DB">
        <w:rPr>
          <w:spacing w:val="-6"/>
        </w:rPr>
        <w:t xml:space="preserve">pohostinství, kde došlo k meziročnímu propadu o 2,8 %. </w:t>
      </w:r>
      <w:r>
        <w:rPr>
          <w:spacing w:val="-6"/>
        </w:rPr>
        <w:t>Kromě toho ale m</w:t>
      </w:r>
      <w:r>
        <w:t>eziročně rostla HPH řady služeb včetně těch navázaných na podnikovou sféru nebo obecně celkový ekonomický růst. Mezičtvrtletně se HPH zvýšila o 0,8 %.</w:t>
      </w:r>
      <w:r w:rsidRPr="003A32DB">
        <w:rPr>
          <w:spacing w:val="-6"/>
        </w:rPr>
        <w:t xml:space="preserve"> Mezičtvrtletní růst HPH byl výrazně podpořen vývojem ve zpracovatelském průmyslu (růst o 2,0 %). </w:t>
      </w:r>
      <w:r>
        <w:rPr>
          <w:spacing w:val="-6"/>
        </w:rPr>
        <w:t>K</w:t>
      </w:r>
      <w:r w:rsidRPr="003A32DB">
        <w:rPr>
          <w:spacing w:val="-6"/>
        </w:rPr>
        <w:t xml:space="preserve"> mezičtvrtletnímu růstu HPH přispívaly</w:t>
      </w:r>
      <w:r>
        <w:rPr>
          <w:spacing w:val="-6"/>
        </w:rPr>
        <w:t xml:space="preserve"> také služby</w:t>
      </w:r>
      <w:r w:rsidRPr="003A32DB">
        <w:rPr>
          <w:spacing w:val="-6"/>
        </w:rPr>
        <w:t>. Jediným oborem, kde HPH mezičtvrtletně klesla, bylo peněžnictví a pojišťovnictví.</w:t>
      </w:r>
    </w:p>
    <w:p w14:paraId="28AE7A57" w14:textId="26AC1E6D" w:rsidR="00993ECA" w:rsidRDefault="00993ECA" w:rsidP="00993ECA">
      <w:pPr>
        <w:pStyle w:val="Normalodrka"/>
      </w:pPr>
      <w:r w:rsidRPr="001D6B3F">
        <w:t>Vývoz zboží a služeb v prvním čtvrtletí reálně meziročně vzrostl o 9,5 %</w:t>
      </w:r>
      <w:r>
        <w:rPr>
          <w:rStyle w:val="Znakapoznpodarou"/>
          <w:spacing w:val="-6"/>
        </w:rPr>
        <w:footnoteReference w:id="2"/>
      </w:r>
      <w:r w:rsidRPr="001D6B3F">
        <w:t xml:space="preserve"> a mezičtvrtletně o 2,5 %. Dynamika dovozu byla mírnější – import byl reálně meziročně vyšší o 3,3 % a mezičtvrtletně klesl </w:t>
      </w:r>
      <w:r>
        <w:br/>
      </w:r>
      <w:r w:rsidRPr="001D6B3F">
        <w:t>o 1,3</w:t>
      </w:r>
      <w:r>
        <w:t> </w:t>
      </w:r>
      <w:r w:rsidRPr="001D6B3F">
        <w:t>%. Bilance zahraničního obchodu se zbožím a službami v běžných cenách dosáhla v 1. čtvrtletí přebytku 93,7</w:t>
      </w:r>
      <w:r>
        <w:t> </w:t>
      </w:r>
      <w:r w:rsidRPr="001D6B3F">
        <w:t xml:space="preserve">mld. korun a </w:t>
      </w:r>
      <w:r>
        <w:t xml:space="preserve">ten se tak </w:t>
      </w:r>
      <w:r w:rsidRPr="001D6B3F">
        <w:t>meziročně zlepšil o 92,</w:t>
      </w:r>
      <w:r w:rsidR="0022521D">
        <w:t>7</w:t>
      </w:r>
      <w:r w:rsidRPr="001D6B3F">
        <w:t xml:space="preserve"> mld. K meziročnímu zlepšení </w:t>
      </w:r>
      <w:r>
        <w:t>bilance obchodu se zbožím n</w:t>
      </w:r>
      <w:r w:rsidRPr="001D6B3F">
        <w:t>ejvíce</w:t>
      </w:r>
      <w:r>
        <w:t xml:space="preserve"> přispívalo zlepše</w:t>
      </w:r>
      <w:r w:rsidRPr="001D6B3F">
        <w:t xml:space="preserve">ní </w:t>
      </w:r>
      <w:r>
        <w:t xml:space="preserve">přebytku </w:t>
      </w:r>
      <w:r w:rsidRPr="001D6B3F">
        <w:t xml:space="preserve">zahraničního obchodu </w:t>
      </w:r>
      <w:r>
        <w:t xml:space="preserve">s </w:t>
      </w:r>
      <w:r w:rsidRPr="001D6B3F">
        <w:t>motorov</w:t>
      </w:r>
      <w:r>
        <w:t>ými</w:t>
      </w:r>
      <w:r w:rsidRPr="001D6B3F">
        <w:t xml:space="preserve"> vozidl</w:t>
      </w:r>
      <w:r>
        <w:t xml:space="preserve">y </w:t>
      </w:r>
      <w:r>
        <w:br/>
        <w:t xml:space="preserve">a zmírnění deficitu obchodu s </w:t>
      </w:r>
      <w:r w:rsidRPr="001D6B3F">
        <w:t>ropou a zemním plynem</w:t>
      </w:r>
      <w:r>
        <w:t>. Naopak pokles cen vedl k meziročnímu zhoršení bilance obchodu s </w:t>
      </w:r>
      <w:r w:rsidRPr="001D6B3F">
        <w:t>elektřinou, plynem, párou a klimatizovaným vzduchem</w:t>
      </w:r>
      <w:r>
        <w:t>.</w:t>
      </w:r>
    </w:p>
    <w:p w14:paraId="4898263C" w14:textId="77777777" w:rsidR="00993ECA" w:rsidRPr="001D6B3F" w:rsidRDefault="00993ECA" w:rsidP="00993ECA">
      <w:pPr>
        <w:pStyle w:val="Normalodrka"/>
      </w:pPr>
      <w:r w:rsidRPr="001D6B3F">
        <w:t xml:space="preserve">Celková cenová hladina se </w:t>
      </w:r>
      <w:r>
        <w:t xml:space="preserve">v 1. čtvrtletí </w:t>
      </w:r>
      <w:r w:rsidRPr="001D6B3F">
        <w:t xml:space="preserve">(podle deflátoru HDP) </w:t>
      </w:r>
      <w:r>
        <w:t xml:space="preserve">meziročně </w:t>
      </w:r>
      <w:r w:rsidRPr="001D6B3F">
        <w:t xml:space="preserve">zvýšila o </w:t>
      </w:r>
      <w:r>
        <w:t>12,2 % a mezičtvrtletně vzrostla o 5,7 %. Meziroční růst s</w:t>
      </w:r>
      <w:r w:rsidRPr="001D6B3F">
        <w:t>potřebitelsk</w:t>
      </w:r>
      <w:r>
        <w:t>ých</w:t>
      </w:r>
      <w:r w:rsidRPr="001D6B3F">
        <w:t xml:space="preserve"> cen</w:t>
      </w:r>
      <w:r>
        <w:t xml:space="preserve"> zrychlil na 16,4 % a mezičtvrtletně byly ceny vyšší o 6,9 %. K meziročnímu růstu spotřebitelských cen, stejně jako k jeho zrychlení, nejvíce přispívaly ceny bydlení a energií. Velmi silný příspěvek stále měly i potraviny a nealkoholické nápoje. Významně přispělo i stravování a ubytování a rekreace a kultura. U většiny oddílů spotřebního koše ale meziroční dynamika vlivem vysoké srovnávací základny spíše zvolňovala. Mírnější byl meziroční růst cen průmyslových výrobců (15,0 %), tržních služeb (5,8 %) i cen zemědělských výrobců (19,4 %). </w:t>
      </w:r>
      <w:r w:rsidRPr="001D6B3F">
        <w:t xml:space="preserve"> </w:t>
      </w:r>
    </w:p>
    <w:p w14:paraId="0FFFA258" w14:textId="77777777" w:rsidR="00993ECA" w:rsidRDefault="00993ECA" w:rsidP="00993ECA">
      <w:pPr>
        <w:pStyle w:val="Normalodrka"/>
        <w:spacing w:after="120"/>
        <w:rPr>
          <w:spacing w:val="-6"/>
        </w:rPr>
      </w:pPr>
      <w:proofErr w:type="spellStart"/>
      <w:r>
        <w:rPr>
          <w:spacing w:val="-6"/>
        </w:rPr>
        <w:t>Měnověpolitické</w:t>
      </w:r>
      <w:proofErr w:type="spellEnd"/>
      <w:r>
        <w:rPr>
          <w:spacing w:val="-6"/>
        </w:rPr>
        <w:t xml:space="preserve"> úrokové sazby zůstaly v 1. čtvrtletí na stejné úrovni, jakou měly ve druhé polovině roku 2022. To vedlo k zastavení růstu tržních sazeb i k úročení vkladů. U spotřebitelských úvěrů úrokové sazby klesly, zatímco úvěry na bydlení dál zdražovaly. Pokračoval příliv prostředků na termínované vklady.</w:t>
      </w:r>
    </w:p>
    <w:p w14:paraId="5D03B593" w14:textId="51FCC85B" w:rsidR="00993ECA" w:rsidRPr="00D418E9" w:rsidRDefault="00993ECA" w:rsidP="00993ECA">
      <w:pPr>
        <w:pStyle w:val="Normalodrka"/>
        <w:spacing w:after="120"/>
        <w:rPr>
          <w:spacing w:val="-6"/>
        </w:rPr>
      </w:pPr>
      <w:r w:rsidRPr="00D418E9">
        <w:rPr>
          <w:spacing w:val="-6"/>
        </w:rPr>
        <w:t>Celková zaměstnanost</w:t>
      </w:r>
      <w:r w:rsidRPr="00D418E9">
        <w:rPr>
          <w:rStyle w:val="Znakapoznpodarou"/>
          <w:spacing w:val="-6"/>
        </w:rPr>
        <w:footnoteReference w:id="3"/>
      </w:r>
      <w:r w:rsidRPr="00D418E9">
        <w:rPr>
          <w:spacing w:val="-6"/>
        </w:rPr>
        <w:t xml:space="preserve"> </w:t>
      </w:r>
      <w:r>
        <w:rPr>
          <w:spacing w:val="-6"/>
        </w:rPr>
        <w:t>v 1. čtvrtletí meziročně vzrostla o 1,4 % a mezičtvrtletně došlo k oživení o 0,4 %.</w:t>
      </w:r>
      <w:r w:rsidRPr="00D418E9">
        <w:rPr>
          <w:spacing w:val="-6"/>
        </w:rPr>
        <w:t xml:space="preserve"> </w:t>
      </w:r>
      <w:r>
        <w:rPr>
          <w:spacing w:val="-6"/>
        </w:rPr>
        <w:t>Na začátku roku bylo patrné mírné navýšení o</w:t>
      </w:r>
      <w:r w:rsidRPr="00D418E9">
        <w:rPr>
          <w:color w:val="0D0D0D" w:themeColor="text1" w:themeTint="F2"/>
          <w:spacing w:val="-4"/>
        </w:rPr>
        <w:t>becn</w:t>
      </w:r>
      <w:r>
        <w:rPr>
          <w:color w:val="0D0D0D" w:themeColor="text1" w:themeTint="F2"/>
          <w:spacing w:val="-4"/>
        </w:rPr>
        <w:t>é</w:t>
      </w:r>
      <w:r w:rsidRPr="00D418E9">
        <w:rPr>
          <w:color w:val="0D0D0D" w:themeColor="text1" w:themeTint="F2"/>
          <w:spacing w:val="-4"/>
        </w:rPr>
        <w:t xml:space="preserve"> mí</w:t>
      </w:r>
      <w:r>
        <w:rPr>
          <w:color w:val="0D0D0D" w:themeColor="text1" w:themeTint="F2"/>
          <w:spacing w:val="-4"/>
        </w:rPr>
        <w:t>ry</w:t>
      </w:r>
      <w:r w:rsidRPr="00D418E9">
        <w:rPr>
          <w:color w:val="0D0D0D" w:themeColor="text1" w:themeTint="F2"/>
          <w:spacing w:val="-4"/>
        </w:rPr>
        <w:t xml:space="preserve"> nezaměstnanosti</w:t>
      </w:r>
      <w:r>
        <w:rPr>
          <w:color w:val="0D0D0D" w:themeColor="text1" w:themeTint="F2"/>
          <w:spacing w:val="-4"/>
        </w:rPr>
        <w:t xml:space="preserve"> na</w:t>
      </w:r>
      <w:r w:rsidR="001A164B">
        <w:rPr>
          <w:color w:val="0D0D0D" w:themeColor="text1" w:themeTint="F2"/>
          <w:spacing w:val="-4"/>
        </w:rPr>
        <w:t xml:space="preserve"> březnová 2,5 %, stále ale šlo </w:t>
      </w:r>
      <w:r>
        <w:rPr>
          <w:color w:val="0D0D0D" w:themeColor="text1" w:themeTint="F2"/>
          <w:spacing w:val="-4"/>
        </w:rPr>
        <w:t>i</w:t>
      </w:r>
      <w:r w:rsidR="001A164B">
        <w:rPr>
          <w:color w:val="0D0D0D" w:themeColor="text1" w:themeTint="F2"/>
          <w:spacing w:val="-4"/>
        </w:rPr>
        <w:t> </w:t>
      </w:r>
      <w:r>
        <w:rPr>
          <w:color w:val="0D0D0D" w:themeColor="text1" w:themeTint="F2"/>
          <w:spacing w:val="-4"/>
        </w:rPr>
        <w:t>mezinárodně o rekordně nízkou hodnotu.</w:t>
      </w:r>
      <w:r w:rsidRPr="00D418E9">
        <w:rPr>
          <w:color w:val="1D1B11" w:themeColor="background2" w:themeShade="1A"/>
          <w:spacing w:val="-6"/>
        </w:rPr>
        <w:t xml:space="preserve"> </w:t>
      </w:r>
      <w:r w:rsidRPr="00D418E9">
        <w:rPr>
          <w:color w:val="0D0D0D" w:themeColor="text1" w:themeTint="F2"/>
          <w:spacing w:val="-6"/>
        </w:rPr>
        <w:t xml:space="preserve">Průměrná hrubá měsíční nominální mzda </w:t>
      </w:r>
      <w:r>
        <w:rPr>
          <w:color w:val="0D0D0D" w:themeColor="text1" w:themeTint="F2"/>
          <w:spacing w:val="-6"/>
        </w:rPr>
        <w:t>v 1. čtvrtletí nominálně meziročně vzrostla o 8,6 % a dosáhla 41 265 korun. V</w:t>
      </w:r>
      <w:r w:rsidRPr="00D418E9">
        <w:rPr>
          <w:color w:val="0D0D0D" w:themeColor="text1" w:themeTint="F2"/>
          <w:spacing w:val="-6"/>
        </w:rPr>
        <w:t>zhledem k</w:t>
      </w:r>
      <w:r>
        <w:rPr>
          <w:color w:val="0D0D0D" w:themeColor="text1" w:themeTint="F2"/>
          <w:spacing w:val="-6"/>
        </w:rPr>
        <w:t xml:space="preserve"> pokračujícímu </w:t>
      </w:r>
      <w:r w:rsidRPr="00D418E9">
        <w:rPr>
          <w:color w:val="0D0D0D" w:themeColor="text1" w:themeTint="F2"/>
          <w:spacing w:val="-6"/>
        </w:rPr>
        <w:t xml:space="preserve">silnému růstu spotřebitelských cen se ale </w:t>
      </w:r>
      <w:r>
        <w:rPr>
          <w:color w:val="0D0D0D" w:themeColor="text1" w:themeTint="F2"/>
          <w:spacing w:val="-6"/>
        </w:rPr>
        <w:t>r</w:t>
      </w:r>
      <w:r w:rsidRPr="00D418E9">
        <w:rPr>
          <w:color w:val="0D0D0D" w:themeColor="text1" w:themeTint="F2"/>
          <w:spacing w:val="-6"/>
        </w:rPr>
        <w:t xml:space="preserve">eálně propadla o </w:t>
      </w:r>
      <w:r>
        <w:rPr>
          <w:color w:val="0D0D0D" w:themeColor="text1" w:themeTint="F2"/>
          <w:spacing w:val="-6"/>
        </w:rPr>
        <w:t>6,7</w:t>
      </w:r>
      <w:r w:rsidRPr="00D418E9">
        <w:rPr>
          <w:color w:val="0D0D0D" w:themeColor="text1" w:themeTint="F2"/>
          <w:spacing w:val="-6"/>
        </w:rPr>
        <w:t xml:space="preserve"> %. </w:t>
      </w:r>
      <w:r>
        <w:rPr>
          <w:color w:val="0D0D0D" w:themeColor="text1" w:themeTint="F2"/>
          <w:spacing w:val="-6"/>
        </w:rPr>
        <w:t xml:space="preserve">Mezičtvrtletní nominální navýšení </w:t>
      </w:r>
      <w:r w:rsidRPr="00D418E9">
        <w:rPr>
          <w:color w:val="0D0D0D" w:themeColor="text1" w:themeTint="F2"/>
          <w:spacing w:val="-6"/>
        </w:rPr>
        <w:t>průměrn</w:t>
      </w:r>
      <w:r>
        <w:rPr>
          <w:color w:val="0D0D0D" w:themeColor="text1" w:themeTint="F2"/>
          <w:spacing w:val="-6"/>
        </w:rPr>
        <w:t>é</w:t>
      </w:r>
      <w:r w:rsidRPr="00D418E9">
        <w:rPr>
          <w:color w:val="0D0D0D" w:themeColor="text1" w:themeTint="F2"/>
          <w:spacing w:val="-6"/>
        </w:rPr>
        <w:t xml:space="preserve"> mzd</w:t>
      </w:r>
      <w:r>
        <w:rPr>
          <w:color w:val="0D0D0D" w:themeColor="text1" w:themeTint="F2"/>
          <w:spacing w:val="-6"/>
        </w:rPr>
        <w:t>y činilo 2,2 %.</w:t>
      </w:r>
    </w:p>
    <w:p w14:paraId="7259BDAA" w14:textId="77777777" w:rsidR="00993ECA" w:rsidRPr="00861EB6" w:rsidRDefault="00993ECA" w:rsidP="00993ECA">
      <w:pPr>
        <w:pStyle w:val="Normalodrka"/>
        <w:spacing w:after="0"/>
        <w:rPr>
          <w:spacing w:val="-6"/>
        </w:rPr>
      </w:pPr>
      <w:r>
        <w:rPr>
          <w:spacing w:val="-6"/>
        </w:rPr>
        <w:t xml:space="preserve">Schodek </w:t>
      </w:r>
      <w:r w:rsidRPr="004F601B">
        <w:rPr>
          <w:spacing w:val="-6"/>
        </w:rPr>
        <w:t>hospodaření státního rozpočtu</w:t>
      </w:r>
      <w:r>
        <w:rPr>
          <w:spacing w:val="-6"/>
        </w:rPr>
        <w:t xml:space="preserve"> se v 1. čtvrtletí prudce navýšil na </w:t>
      </w:r>
      <w:r w:rsidRPr="004F601B">
        <w:rPr>
          <w:spacing w:val="-6"/>
        </w:rPr>
        <w:t xml:space="preserve">rekordních 166,2 mld. korun. </w:t>
      </w:r>
      <w:r>
        <w:rPr>
          <w:spacing w:val="-6"/>
        </w:rPr>
        <w:t xml:space="preserve">Zhoršení deficitu bylo zčásti ovlivněno loňským omezením </w:t>
      </w:r>
      <w:r w:rsidRPr="004F601B">
        <w:rPr>
          <w:spacing w:val="-6"/>
        </w:rPr>
        <w:t xml:space="preserve">čerpání běžných i kapitálových výdajů </w:t>
      </w:r>
      <w:r>
        <w:rPr>
          <w:spacing w:val="-6"/>
        </w:rPr>
        <w:t xml:space="preserve">v rámci </w:t>
      </w:r>
      <w:r w:rsidRPr="004F601B">
        <w:rPr>
          <w:spacing w:val="-6"/>
        </w:rPr>
        <w:t>rozpočtov</w:t>
      </w:r>
      <w:r>
        <w:rPr>
          <w:spacing w:val="-6"/>
        </w:rPr>
        <w:t>ého</w:t>
      </w:r>
      <w:r w:rsidRPr="004F601B">
        <w:rPr>
          <w:spacing w:val="-6"/>
        </w:rPr>
        <w:t xml:space="preserve"> provizori</w:t>
      </w:r>
      <w:r>
        <w:rPr>
          <w:spacing w:val="-6"/>
        </w:rPr>
        <w:t>a</w:t>
      </w:r>
      <w:r w:rsidRPr="004F601B">
        <w:rPr>
          <w:spacing w:val="-6"/>
        </w:rPr>
        <w:t xml:space="preserve"> a leto</w:t>
      </w:r>
      <w:r>
        <w:rPr>
          <w:spacing w:val="-6"/>
        </w:rPr>
        <w:t xml:space="preserve">šním </w:t>
      </w:r>
      <w:r w:rsidRPr="004F601B">
        <w:rPr>
          <w:spacing w:val="-6"/>
        </w:rPr>
        <w:t>vyšším předfinancování</w:t>
      </w:r>
      <w:r>
        <w:rPr>
          <w:spacing w:val="-6"/>
        </w:rPr>
        <w:t>m</w:t>
      </w:r>
      <w:r w:rsidRPr="004F601B">
        <w:rPr>
          <w:spacing w:val="-6"/>
        </w:rPr>
        <w:t xml:space="preserve"> u dotací, zejména v sociální oblasti, školství či výzkumu a vývoji. </w:t>
      </w:r>
      <w:r>
        <w:rPr>
          <w:spacing w:val="-6"/>
        </w:rPr>
        <w:t xml:space="preserve">Do </w:t>
      </w:r>
      <w:r w:rsidRPr="004F601B">
        <w:rPr>
          <w:spacing w:val="-6"/>
        </w:rPr>
        <w:t>silné</w:t>
      </w:r>
      <w:r>
        <w:rPr>
          <w:spacing w:val="-6"/>
        </w:rPr>
        <w:t>ho</w:t>
      </w:r>
      <w:r w:rsidRPr="004F601B">
        <w:rPr>
          <w:spacing w:val="-6"/>
        </w:rPr>
        <w:t xml:space="preserve"> růstu výdajů SR </w:t>
      </w:r>
      <w:r>
        <w:rPr>
          <w:spacing w:val="-6"/>
        </w:rPr>
        <w:t xml:space="preserve">se </w:t>
      </w:r>
      <w:r w:rsidRPr="004F601B">
        <w:rPr>
          <w:spacing w:val="-6"/>
        </w:rPr>
        <w:t xml:space="preserve">na počátku letošního roku promítala pomoc státu související s vysokými cenami energií </w:t>
      </w:r>
      <w:r>
        <w:rPr>
          <w:spacing w:val="-6"/>
        </w:rPr>
        <w:t xml:space="preserve">i </w:t>
      </w:r>
      <w:r w:rsidRPr="004F601B">
        <w:rPr>
          <w:spacing w:val="-6"/>
        </w:rPr>
        <w:t>dopady přetrvávající pádivé inflace</w:t>
      </w:r>
      <w:r>
        <w:rPr>
          <w:spacing w:val="-6"/>
        </w:rPr>
        <w:t xml:space="preserve">, tedy </w:t>
      </w:r>
      <w:r w:rsidRPr="004F601B">
        <w:rPr>
          <w:spacing w:val="-6"/>
        </w:rPr>
        <w:t>valorizace důchodů, vyšší objem vyplacených sociálních dávek</w:t>
      </w:r>
      <w:r>
        <w:rPr>
          <w:spacing w:val="-6"/>
        </w:rPr>
        <w:t xml:space="preserve"> nebo</w:t>
      </w:r>
      <w:r w:rsidRPr="004F601B">
        <w:rPr>
          <w:spacing w:val="-6"/>
        </w:rPr>
        <w:t xml:space="preserve"> rostoucí splátky státního dluhu. Kromě toho měl na prohlubující se schodek SR vliv i slábnoucí výkon tuzemské ekonomiky, který ovlivňoval inkaso některých váhově významných rozpočtových příjmů</w:t>
      </w:r>
      <w:r>
        <w:rPr>
          <w:spacing w:val="-6"/>
        </w:rPr>
        <w:t>.</w:t>
      </w:r>
      <w:bookmarkStart w:id="23" w:name="_Toc98245441"/>
      <w:bookmarkStart w:id="24" w:name="_Toc90395910"/>
    </w:p>
    <w:p w14:paraId="77CE06DC" w14:textId="77777777" w:rsidR="00993ECA" w:rsidRPr="00C10805" w:rsidRDefault="00993ECA" w:rsidP="00993ECA">
      <w:pPr>
        <w:pStyle w:val="Normalodrka"/>
        <w:numPr>
          <w:ilvl w:val="0"/>
          <w:numId w:val="0"/>
        </w:numPr>
        <w:spacing w:after="0"/>
        <w:rPr>
          <w:b/>
          <w:sz w:val="2"/>
          <w:szCs w:val="2"/>
        </w:rPr>
      </w:pPr>
      <w:r>
        <w:rPr>
          <w:spacing w:val="-4"/>
        </w:rPr>
        <w:t xml:space="preserve"> </w:t>
      </w:r>
      <w:bookmarkEnd w:id="23"/>
      <w:bookmarkEnd w:id="24"/>
    </w:p>
    <w:p w14:paraId="35EA198A" w14:textId="77777777" w:rsidR="00993ECA" w:rsidRPr="00C10805" w:rsidRDefault="00993ECA" w:rsidP="00993ECA">
      <w:pPr>
        <w:pStyle w:val="Normalodrka"/>
        <w:numPr>
          <w:ilvl w:val="0"/>
          <w:numId w:val="0"/>
        </w:numPr>
        <w:spacing w:after="0"/>
        <w:rPr>
          <w:b/>
          <w:sz w:val="2"/>
          <w:szCs w:val="2"/>
        </w:rPr>
      </w:pPr>
      <w:r w:rsidRPr="00F1152E">
        <w:rPr>
          <w:noProof/>
        </w:rPr>
        <w:lastRenderedPageBreak/>
        <w:drawing>
          <wp:inline distT="0" distB="0" distL="0" distR="0" wp14:anchorId="021AC234" wp14:editId="579908C6">
            <wp:extent cx="5857875" cy="8829675"/>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8829675"/>
                    </a:xfrm>
                    <a:prstGeom prst="rect">
                      <a:avLst/>
                    </a:prstGeom>
                    <a:noFill/>
                    <a:ln>
                      <a:noFill/>
                    </a:ln>
                  </pic:spPr>
                </pic:pic>
              </a:graphicData>
            </a:graphic>
          </wp:inline>
        </w:drawing>
      </w:r>
    </w:p>
    <w:p w14:paraId="2CA4A59E" w14:textId="7F7C0696" w:rsidR="004E1DB2" w:rsidRPr="009110F7" w:rsidRDefault="004E1DB2" w:rsidP="004E1DB2">
      <w:pPr>
        <w:pStyle w:val="Nadpis1"/>
      </w:pPr>
      <w:bookmarkStart w:id="25" w:name="_Toc137721909"/>
      <w:bookmarkEnd w:id="9"/>
      <w:bookmarkEnd w:id="10"/>
      <w:bookmarkEnd w:id="11"/>
      <w:bookmarkEnd w:id="12"/>
      <w:bookmarkEnd w:id="13"/>
      <w:bookmarkEnd w:id="14"/>
      <w:bookmarkEnd w:id="15"/>
      <w:r w:rsidRPr="0077605B">
        <w:lastRenderedPageBreak/>
        <w:t>2</w:t>
      </w:r>
      <w:r>
        <w:t>. </w:t>
      </w:r>
      <w:r w:rsidRPr="0077605B">
        <w:t>Souhrnná výkonnost</w:t>
      </w:r>
      <w:bookmarkEnd w:id="25"/>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4E1DB2" w:rsidRPr="009110F7" w14:paraId="77D65B92" w14:textId="77777777" w:rsidTr="004E1DB2">
        <w:trPr>
          <w:trHeight w:val="145"/>
        </w:trPr>
        <w:tc>
          <w:tcPr>
            <w:tcW w:w="1806" w:type="dxa"/>
            <w:shd w:val="clear" w:color="auto" w:fill="auto"/>
            <w:tcMar>
              <w:left w:w="0" w:type="dxa"/>
            </w:tcMar>
          </w:tcPr>
          <w:p w14:paraId="437277CA" w14:textId="77777777" w:rsidR="004E1DB2" w:rsidRDefault="004E1DB2" w:rsidP="004E1DB2">
            <w:pPr>
              <w:pStyle w:val="Marginlie"/>
            </w:pPr>
            <w:r>
              <w:t>Česká ekonomika mezičtvrtletně stagnovala.</w:t>
            </w:r>
          </w:p>
        </w:tc>
        <w:tc>
          <w:tcPr>
            <w:tcW w:w="223" w:type="dxa"/>
            <w:shd w:val="clear" w:color="auto" w:fill="auto"/>
            <w:tcMar>
              <w:left w:w="0" w:type="dxa"/>
            </w:tcMar>
          </w:tcPr>
          <w:p w14:paraId="196A4E9C" w14:textId="77777777" w:rsidR="004E1DB2" w:rsidRDefault="004E1DB2" w:rsidP="004E1DB2">
            <w:pPr>
              <w:pStyle w:val="Textpoznpodarou"/>
              <w:jc w:val="both"/>
              <w:rPr>
                <w:spacing w:val="-4"/>
              </w:rPr>
            </w:pPr>
          </w:p>
        </w:tc>
        <w:tc>
          <w:tcPr>
            <w:tcW w:w="7610" w:type="dxa"/>
            <w:shd w:val="clear" w:color="auto" w:fill="auto"/>
            <w:tcMar>
              <w:left w:w="0" w:type="dxa"/>
            </w:tcMar>
          </w:tcPr>
          <w:p w14:paraId="1E56826D" w14:textId="77777777" w:rsidR="004E1DB2" w:rsidRPr="00014ED0" w:rsidRDefault="004E1DB2" w:rsidP="004E1DB2">
            <w:pPr>
              <w:rPr>
                <w:spacing w:val="-2"/>
              </w:rPr>
            </w:pPr>
            <w:r>
              <w:rPr>
                <w:spacing w:val="-2"/>
              </w:rPr>
              <w:t xml:space="preserve">Česká ekonomika v 1. čtvrtletí 2023 </w:t>
            </w:r>
            <w:proofErr w:type="spellStart"/>
            <w:r>
              <w:rPr>
                <w:spacing w:val="-2"/>
              </w:rPr>
              <w:t>mezikvartálně</w:t>
            </w:r>
            <w:proofErr w:type="spellEnd"/>
            <w:r>
              <w:rPr>
                <w:spacing w:val="-2"/>
              </w:rPr>
              <w:t xml:space="preserve"> stagnovala. Tato stagnace navázala na předchozí dva poklesy hrubého domácího produktu (HDP)</w:t>
            </w:r>
            <w:r w:rsidRPr="00014ED0">
              <w:rPr>
                <w:rStyle w:val="Znakapoznpodarou"/>
                <w:rFonts w:cs="Arial"/>
                <w:spacing w:val="-2"/>
              </w:rPr>
              <w:footnoteReference w:id="4"/>
            </w:r>
            <w:r>
              <w:rPr>
                <w:spacing w:val="-2"/>
              </w:rPr>
              <w:t xml:space="preserve">. Ve směru mezičtvrtletního růstu HDP působila především zahraniční poptávka a také spotřeba vládních institucí. Dál ale trval propad spotřeby domácností a nižší byly i kapitálové výdaje. Meziročně HDP zaostával o 0,4 %. Šlo o první meziroční pokles od 1. kvartálu 2021. Na snížení měl největší podíl propad výdajů na tvorbu hrubého kapitálu. Vlivem propadající se spotřeby domácností meziročně zaostávala i spotřeba, oproti tomu spotřeba sektoru vládních institucí naopak rostla. Meziroční vývoj HDP ovlivňovala pozitivně také zahraniční poptávka.   </w:t>
            </w:r>
          </w:p>
        </w:tc>
      </w:tr>
      <w:tr w:rsidR="004E1DB2" w:rsidRPr="009110F7" w14:paraId="44DA19A2" w14:textId="77777777" w:rsidTr="004E1DB2">
        <w:trPr>
          <w:trHeight w:val="145"/>
        </w:trPr>
        <w:tc>
          <w:tcPr>
            <w:tcW w:w="1806" w:type="dxa"/>
            <w:shd w:val="clear" w:color="auto" w:fill="auto"/>
            <w:tcMar>
              <w:left w:w="0" w:type="dxa"/>
            </w:tcMar>
          </w:tcPr>
          <w:p w14:paraId="7583F748" w14:textId="77777777" w:rsidR="004E1DB2" w:rsidRDefault="004E1DB2" w:rsidP="004E1DB2">
            <w:pPr>
              <w:pStyle w:val="Marginlie"/>
            </w:pPr>
            <w:r>
              <w:t>Hrubý domácí produkt v EU mírně rostl.</w:t>
            </w:r>
          </w:p>
        </w:tc>
        <w:tc>
          <w:tcPr>
            <w:tcW w:w="223" w:type="dxa"/>
            <w:shd w:val="clear" w:color="auto" w:fill="auto"/>
            <w:tcMar>
              <w:left w:w="0" w:type="dxa"/>
            </w:tcMar>
          </w:tcPr>
          <w:p w14:paraId="62B2801D" w14:textId="77777777" w:rsidR="004E1DB2" w:rsidRDefault="004E1DB2" w:rsidP="004E1DB2">
            <w:pPr>
              <w:pStyle w:val="Textpoznpodarou"/>
              <w:jc w:val="both"/>
              <w:rPr>
                <w:spacing w:val="-4"/>
              </w:rPr>
            </w:pPr>
          </w:p>
        </w:tc>
        <w:tc>
          <w:tcPr>
            <w:tcW w:w="7610" w:type="dxa"/>
            <w:shd w:val="clear" w:color="auto" w:fill="auto"/>
            <w:tcMar>
              <w:left w:w="0" w:type="dxa"/>
            </w:tcMar>
          </w:tcPr>
          <w:p w14:paraId="74E9B538" w14:textId="222C8A71" w:rsidR="004E1DB2" w:rsidRDefault="004E1DB2" w:rsidP="0062415E">
            <w:pPr>
              <w:spacing w:after="160" w:line="259" w:lineRule="auto"/>
              <w:rPr>
                <w:spacing w:val="-2"/>
              </w:rPr>
            </w:pPr>
            <w:r>
              <w:rPr>
                <w:bCs/>
              </w:rPr>
              <w:t xml:space="preserve">Hrubý domácí produkt v EU </w:t>
            </w:r>
            <w:r w:rsidRPr="001A41C8">
              <w:rPr>
                <w:bCs/>
              </w:rPr>
              <w:t xml:space="preserve">v 1. </w:t>
            </w:r>
            <w:r>
              <w:rPr>
                <w:bCs/>
              </w:rPr>
              <w:t>kvartálu</w:t>
            </w:r>
            <w:r w:rsidRPr="001A41C8">
              <w:rPr>
                <w:bCs/>
              </w:rPr>
              <w:t xml:space="preserve"> vzrostl mezičtvrtletně o 0,</w:t>
            </w:r>
            <w:r w:rsidR="00F1152E">
              <w:rPr>
                <w:bCs/>
              </w:rPr>
              <w:t>1</w:t>
            </w:r>
            <w:r w:rsidRPr="001A41C8">
              <w:rPr>
                <w:bCs/>
              </w:rPr>
              <w:t xml:space="preserve"> %</w:t>
            </w:r>
            <w:r>
              <w:rPr>
                <w:bCs/>
              </w:rPr>
              <w:t>.</w:t>
            </w:r>
            <w:r w:rsidRPr="001A41C8">
              <w:t xml:space="preserve"> U</w:t>
            </w:r>
            <w:r>
              <w:t>nie</w:t>
            </w:r>
            <w:r w:rsidRPr="001A41C8">
              <w:t xml:space="preserve"> se tak vyhnula technické recesi (na konci roku 2022 zde HDP mezičtvrtletně poklesl)</w:t>
            </w:r>
            <w:r>
              <w:t xml:space="preserve"> </w:t>
            </w:r>
            <w:r>
              <w:br/>
              <w:t>a v řadě zemí došlo v 1. čtvrtletí k oživení ekonomického růstu po předchozím poklesu. Nejvíce mezičtvrtletně rostly ekonomiky Polska (3,8 %), Lucemburska (2,0 %) a Portugalska (1,6 %). Naopak HDP klesal v Irsku (−</w:t>
            </w:r>
            <w:r w:rsidR="00F1152E">
              <w:t>4,6</w:t>
            </w:r>
            <w:r>
              <w:t xml:space="preserve"> %), Litvě (−2,1 %), Nizozemsku (−0,7 %)</w:t>
            </w:r>
            <w:r w:rsidR="00F1152E">
              <w:t>, Estonsku (</w:t>
            </w:r>
            <w:r w:rsidR="00DE27CD">
              <w:t>−</w:t>
            </w:r>
            <w:r w:rsidR="00F1152E">
              <w:t>0,6 %)</w:t>
            </w:r>
            <w:r>
              <w:t>, na Maltě (−0,5 %)</w:t>
            </w:r>
            <w:r w:rsidR="00F1152E">
              <w:t>, v Maďarsku (</w:t>
            </w:r>
            <w:r w:rsidR="00DE27CD">
              <w:t>−</w:t>
            </w:r>
            <w:r w:rsidR="00F1152E">
              <w:t xml:space="preserve">0,3 %), </w:t>
            </w:r>
            <w:r>
              <w:t>Německu (−0,3 %)</w:t>
            </w:r>
            <w:r w:rsidR="00F1152E">
              <w:t xml:space="preserve"> a v Řecku (</w:t>
            </w:r>
            <w:r w:rsidR="00DE27CD">
              <w:t>−</w:t>
            </w:r>
            <w:r w:rsidR="00F1152E">
              <w:t>0,1 %)</w:t>
            </w:r>
            <w:r>
              <w:t xml:space="preserve">. </w:t>
            </w:r>
            <w:r w:rsidRPr="001A41C8">
              <w:rPr>
                <w:bCs/>
              </w:rPr>
              <w:t xml:space="preserve">Meziročně </w:t>
            </w:r>
            <w:r>
              <w:rPr>
                <w:bCs/>
              </w:rPr>
              <w:t>HDP v EU narostl o 1,</w:t>
            </w:r>
            <w:r w:rsidR="00F1152E">
              <w:rPr>
                <w:bCs/>
              </w:rPr>
              <w:t>0</w:t>
            </w:r>
            <w:r>
              <w:rPr>
                <w:bCs/>
              </w:rPr>
              <w:t> </w:t>
            </w:r>
            <w:r w:rsidRPr="001A41C8">
              <w:rPr>
                <w:bCs/>
              </w:rPr>
              <w:t>%</w:t>
            </w:r>
            <w:r w:rsidRPr="001A41C8">
              <w:t>. Většina ekonomik EU dál alespoň mírně rostla.</w:t>
            </w:r>
            <w:r>
              <w:t xml:space="preserve"> Nejvýrazněji vzrostl HDP ve Španělsku (3,8 %), na Kypru (3,4 %) a na Maltě (3,2 %). Meziročně nižší byl HDP v</w:t>
            </w:r>
            <w:r w:rsidR="00F1152E">
              <w:t> Estonsku (</w:t>
            </w:r>
            <w:r w:rsidR="00DE27CD">
              <w:t>−</w:t>
            </w:r>
            <w:r w:rsidR="00F1152E">
              <w:t xml:space="preserve">3,7 %), </w:t>
            </w:r>
            <w:r>
              <w:t xml:space="preserve">Litvě (−2,7 %), </w:t>
            </w:r>
            <w:r w:rsidR="00F1152E">
              <w:t>Maďarsku (</w:t>
            </w:r>
            <w:r w:rsidR="00DE27CD">
              <w:t>−</w:t>
            </w:r>
            <w:r w:rsidR="00F1152E">
              <w:t xml:space="preserve">1,1 %), </w:t>
            </w:r>
            <w:r>
              <w:t>Německu (−0,5 %), Lucembursku (−0,4 %), Česku (−0,4 %)</w:t>
            </w:r>
            <w:r w:rsidR="00F1152E">
              <w:t xml:space="preserve">, </w:t>
            </w:r>
            <w:r>
              <w:t>ve Finsku (−0,3 %)</w:t>
            </w:r>
            <w:r w:rsidR="00F1152E">
              <w:t xml:space="preserve"> a v Irsku (</w:t>
            </w:r>
            <w:r w:rsidR="00DE27CD">
              <w:t>−</w:t>
            </w:r>
            <w:r w:rsidR="00F1152E">
              <w:t>0,3 %)</w:t>
            </w:r>
            <w:r>
              <w:t xml:space="preserve">. </w:t>
            </w:r>
            <w:r w:rsidRPr="001A41C8">
              <w:t xml:space="preserve"> </w:t>
            </w:r>
          </w:p>
        </w:tc>
      </w:tr>
      <w:tr w:rsidR="004E1DB2" w:rsidRPr="009110F7" w14:paraId="15284612" w14:textId="77777777" w:rsidTr="004E1DB2">
        <w:trPr>
          <w:trHeight w:val="170"/>
        </w:trPr>
        <w:tc>
          <w:tcPr>
            <w:tcW w:w="1806" w:type="dxa"/>
            <w:vMerge w:val="restart"/>
            <w:shd w:val="clear" w:color="auto" w:fill="auto"/>
            <w:tcMar>
              <w:left w:w="0" w:type="dxa"/>
            </w:tcMar>
          </w:tcPr>
          <w:p w14:paraId="7E163217" w14:textId="77777777" w:rsidR="004E1DB2" w:rsidRDefault="004E1DB2" w:rsidP="004E1DB2">
            <w:pPr>
              <w:pStyle w:val="Marginlie"/>
            </w:pPr>
          </w:p>
        </w:tc>
        <w:tc>
          <w:tcPr>
            <w:tcW w:w="223" w:type="dxa"/>
            <w:vMerge w:val="restart"/>
            <w:shd w:val="clear" w:color="auto" w:fill="auto"/>
            <w:tcMar>
              <w:left w:w="0" w:type="dxa"/>
            </w:tcMar>
          </w:tcPr>
          <w:p w14:paraId="348C9F2E" w14:textId="77777777" w:rsidR="004E1DB2" w:rsidRDefault="004E1DB2" w:rsidP="004E1DB2">
            <w:pPr>
              <w:pStyle w:val="Textpoznpodarou"/>
              <w:jc w:val="both"/>
              <w:rPr>
                <w:spacing w:val="-4"/>
              </w:rPr>
            </w:pPr>
          </w:p>
        </w:tc>
        <w:tc>
          <w:tcPr>
            <w:tcW w:w="7610" w:type="dxa"/>
            <w:shd w:val="clear" w:color="auto" w:fill="auto"/>
            <w:tcMar>
              <w:left w:w="0" w:type="dxa"/>
            </w:tcMar>
          </w:tcPr>
          <w:p w14:paraId="11C3873F" w14:textId="77777777" w:rsidR="004E1DB2" w:rsidRPr="00D721B4" w:rsidRDefault="004E1DB2" w:rsidP="004E1DB2">
            <w:pPr>
              <w:spacing w:after="0"/>
              <w:rPr>
                <w:b/>
                <w:szCs w:val="20"/>
              </w:rPr>
            </w:pPr>
            <w:r w:rsidRPr="00D721B4">
              <w:rPr>
                <w:rFonts w:cs="Arial"/>
                <w:b/>
                <w:bCs/>
                <w:color w:val="000000"/>
                <w:szCs w:val="20"/>
              </w:rPr>
              <w:t>Graf č. 1</w:t>
            </w:r>
            <w:r>
              <w:rPr>
                <w:rFonts w:cs="Arial"/>
                <w:b/>
                <w:bCs/>
                <w:color w:val="000000"/>
                <w:szCs w:val="20"/>
              </w:rPr>
              <w:t xml:space="preserve"> </w:t>
            </w:r>
            <w:r w:rsidRPr="00D721B4">
              <w:rPr>
                <w:rFonts w:cs="Arial"/>
                <w:b/>
                <w:szCs w:val="20"/>
                <w:lang w:eastAsia="en-US"/>
              </w:rPr>
              <w:t xml:space="preserve">HDP </w:t>
            </w:r>
            <w:r w:rsidRPr="00D721B4">
              <w:rPr>
                <w:rFonts w:cs="Arial"/>
                <w:bCs/>
                <w:szCs w:val="20"/>
                <w:lang w:eastAsia="en-US"/>
              </w:rPr>
              <w:t>(objemové indexy, očištěno o sezónní a kalendářní vlivy, v %)</w:t>
            </w:r>
          </w:p>
        </w:tc>
      </w:tr>
      <w:tr w:rsidR="004E1DB2" w:rsidRPr="009110F7" w14:paraId="3BB04D6E" w14:textId="77777777" w:rsidTr="004E1DB2">
        <w:tblPrEx>
          <w:tblCellMar>
            <w:left w:w="70" w:type="dxa"/>
            <w:right w:w="70" w:type="dxa"/>
          </w:tblCellMar>
        </w:tblPrEx>
        <w:trPr>
          <w:trHeight w:val="170"/>
        </w:trPr>
        <w:tc>
          <w:tcPr>
            <w:tcW w:w="1806" w:type="dxa"/>
            <w:vMerge/>
          </w:tcPr>
          <w:p w14:paraId="4514CD45" w14:textId="77777777" w:rsidR="004E1DB2" w:rsidRPr="009110F7" w:rsidRDefault="004E1DB2" w:rsidP="004E1DB2">
            <w:pPr>
              <w:pStyle w:val="Marginlie"/>
            </w:pPr>
          </w:p>
        </w:tc>
        <w:tc>
          <w:tcPr>
            <w:tcW w:w="223" w:type="dxa"/>
            <w:vMerge/>
          </w:tcPr>
          <w:p w14:paraId="4A13BAC4" w14:textId="77777777" w:rsidR="004E1DB2" w:rsidRPr="009110F7" w:rsidRDefault="004E1DB2" w:rsidP="004E1DB2">
            <w:pPr>
              <w:pStyle w:val="Textpoznpodarou"/>
              <w:jc w:val="both"/>
              <w:rPr>
                <w:spacing w:val="-4"/>
              </w:rPr>
            </w:pPr>
          </w:p>
        </w:tc>
        <w:tc>
          <w:tcPr>
            <w:tcW w:w="7610" w:type="dxa"/>
            <w:shd w:val="clear" w:color="auto" w:fill="auto"/>
          </w:tcPr>
          <w:p w14:paraId="71F0BDDA" w14:textId="77777777" w:rsidR="004E1DB2" w:rsidRPr="009110F7" w:rsidRDefault="004E1DB2" w:rsidP="004E1DB2">
            <w:pPr>
              <w:spacing w:after="0"/>
            </w:pPr>
            <w:r>
              <w:rPr>
                <w:noProof/>
              </w:rPr>
              <w:drawing>
                <wp:inline distT="0" distB="0" distL="0" distR="0" wp14:anchorId="5D37DA36" wp14:editId="42BB276D">
                  <wp:extent cx="4737600" cy="3553200"/>
                  <wp:effectExtent l="0" t="0" r="6350" b="0"/>
                  <wp:docPr id="21" name="Graf 2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4E1DB2" w:rsidRPr="009110F7" w14:paraId="3B2E62CD" w14:textId="77777777" w:rsidTr="004E1DB2">
        <w:trPr>
          <w:trHeight w:val="170"/>
        </w:trPr>
        <w:tc>
          <w:tcPr>
            <w:tcW w:w="1806" w:type="dxa"/>
            <w:vMerge/>
            <w:tcMar>
              <w:left w:w="0" w:type="dxa"/>
            </w:tcMar>
          </w:tcPr>
          <w:p w14:paraId="75974AE7" w14:textId="77777777" w:rsidR="004E1DB2" w:rsidRPr="009110F7" w:rsidRDefault="004E1DB2" w:rsidP="004E1DB2">
            <w:pPr>
              <w:pStyle w:val="Marginlie"/>
            </w:pPr>
          </w:p>
        </w:tc>
        <w:tc>
          <w:tcPr>
            <w:tcW w:w="223" w:type="dxa"/>
            <w:vMerge/>
            <w:tcMar>
              <w:left w:w="0" w:type="dxa"/>
            </w:tcMar>
          </w:tcPr>
          <w:p w14:paraId="482166DF" w14:textId="77777777" w:rsidR="004E1DB2" w:rsidRPr="009110F7" w:rsidRDefault="004E1DB2" w:rsidP="004E1DB2">
            <w:pPr>
              <w:pStyle w:val="Textpoznpodarou"/>
              <w:jc w:val="both"/>
              <w:rPr>
                <w:spacing w:val="-4"/>
              </w:rPr>
            </w:pPr>
          </w:p>
        </w:tc>
        <w:tc>
          <w:tcPr>
            <w:tcW w:w="7610" w:type="dxa"/>
            <w:shd w:val="clear" w:color="auto" w:fill="auto"/>
            <w:tcMar>
              <w:left w:w="0" w:type="dxa"/>
            </w:tcMar>
          </w:tcPr>
          <w:p w14:paraId="447442AB" w14:textId="77777777" w:rsidR="004E1DB2" w:rsidRPr="009110F7" w:rsidRDefault="004E1DB2" w:rsidP="004E1DB2">
            <w:pPr>
              <w:spacing w:after="220"/>
              <w:rPr>
                <w:sz w:val="14"/>
                <w:szCs w:val="14"/>
              </w:rPr>
            </w:pPr>
            <w:r>
              <w:rPr>
                <w:sz w:val="14"/>
                <w:szCs w:val="14"/>
              </w:rPr>
              <w:t xml:space="preserve">Zdroj: ČSÚ, </w:t>
            </w:r>
            <w:proofErr w:type="spellStart"/>
            <w:r>
              <w:rPr>
                <w:sz w:val="14"/>
                <w:szCs w:val="14"/>
              </w:rPr>
              <w:t>Eurostat</w:t>
            </w:r>
            <w:proofErr w:type="spellEnd"/>
          </w:p>
        </w:tc>
      </w:tr>
      <w:tr w:rsidR="004E1DB2" w:rsidRPr="009110F7" w14:paraId="3DC84D09" w14:textId="77777777" w:rsidTr="004E1DB2">
        <w:trPr>
          <w:trHeight w:val="145"/>
        </w:trPr>
        <w:tc>
          <w:tcPr>
            <w:tcW w:w="1806" w:type="dxa"/>
            <w:shd w:val="clear" w:color="auto" w:fill="auto"/>
            <w:tcMar>
              <w:left w:w="0" w:type="dxa"/>
            </w:tcMar>
          </w:tcPr>
          <w:p w14:paraId="7D9133A7" w14:textId="77777777" w:rsidR="004E1DB2" w:rsidRDefault="004E1DB2" w:rsidP="004E1DB2">
            <w:pPr>
              <w:pStyle w:val="Marginlie"/>
            </w:pPr>
            <w:r>
              <w:t xml:space="preserve">Objem mezd a platů výrazně meziročně nominálně rostl. Reálně však poklesl. </w:t>
            </w:r>
          </w:p>
        </w:tc>
        <w:tc>
          <w:tcPr>
            <w:tcW w:w="223" w:type="dxa"/>
            <w:shd w:val="clear" w:color="auto" w:fill="auto"/>
            <w:tcMar>
              <w:left w:w="0" w:type="dxa"/>
            </w:tcMar>
          </w:tcPr>
          <w:p w14:paraId="46777E0F" w14:textId="77777777" w:rsidR="004E1DB2" w:rsidRDefault="004E1DB2" w:rsidP="004E1DB2">
            <w:pPr>
              <w:pStyle w:val="Textpoznpodarou"/>
              <w:jc w:val="both"/>
              <w:rPr>
                <w:spacing w:val="-4"/>
              </w:rPr>
            </w:pPr>
          </w:p>
        </w:tc>
        <w:tc>
          <w:tcPr>
            <w:tcW w:w="7610" w:type="dxa"/>
            <w:shd w:val="clear" w:color="auto" w:fill="auto"/>
            <w:tcMar>
              <w:left w:w="0" w:type="dxa"/>
            </w:tcMar>
          </w:tcPr>
          <w:p w14:paraId="712BF0F8" w14:textId="77777777" w:rsidR="004E1DB2" w:rsidRPr="00014ED0" w:rsidRDefault="004E1DB2" w:rsidP="004E1DB2">
            <w:r>
              <w:t>Pnutí na trhu práce a tlak na dorovnání inflace trval a nominální dynamika objemu vyplacených mezd a platů v 1. čtvrtletí zůstala silná. Meziročně se mzdy a platy zvýšily o 10,2 % za současného nárůstu celkové zaměstnanosti o 1,4 %</w:t>
            </w:r>
            <w:r w:rsidRPr="00014ED0">
              <w:rPr>
                <w:rStyle w:val="Znakapoznpodarou"/>
                <w:spacing w:val="-2"/>
              </w:rPr>
              <w:footnoteReference w:id="5"/>
            </w:r>
            <w:r>
              <w:t xml:space="preserve">. Po očištění o vliv </w:t>
            </w:r>
            <w:r>
              <w:lastRenderedPageBreak/>
              <w:t>silného růstu cenové hladiny mzdy a platy reálně klesly o 4,7 %</w:t>
            </w:r>
            <w:r>
              <w:rPr>
                <w:rStyle w:val="Znakapoznpodarou"/>
                <w:spacing w:val="-2"/>
              </w:rPr>
              <w:footnoteReference w:id="6"/>
            </w:r>
            <w:r>
              <w:t>. Mezera mezi meziročním nominálním růstem mezd a navýšením cen se tak oproti předchozím čtvrtletím zmírnila. Meziroční dynamika mezd a platů byla silná napříč celou ekonomikou a s výjimkou peněžnictví a pojišťovnictví (3,6 % při současném růstu zaměstnanosti o 1,9 %) se přírůstek u všech ostatních odvětví pohyboval okolo 10 % (další výjimkou v opačném směru byly činnosti v oblasti nemovitostí – 24,1 % při růstu zaměstnanosti o 1,5 %). Nejvíce k celkovému růstu objemu mezd a platů přispívaly obory s velkým počtem zaměstnanců – veřejná správa a obrana, vzdělávání, zdravotní a sociální péče (10,2 %, zaměstnanost byla vyšší o 2,8 %), zpracovatelský průmysl (9,4 %, zaměstnanost vzrostla o 0,2 %) a uskupení obchod, doprava, ubytování a pohostinství (10,0 %, zaměstnanost byla vyšší o 0,3 %). Výrazný růst zaměstnanosti podpořil nárůst objemu mezd a platů v informačních a komunikačních činnostech (11,0 %, zaměstnanost o 5,4 %) a stavebnictví (10,0 %, zaměstnanost o 3,5 %). Přes mírně klesající zaměstnanost (−0,6 %) byl naopak výrazný růst mezd a platů v ostatních činnostech</w:t>
            </w:r>
            <w:r>
              <w:rPr>
                <w:rStyle w:val="Znakapoznpodarou"/>
                <w:spacing w:val="-2"/>
              </w:rPr>
              <w:footnoteReference w:id="7"/>
            </w:r>
            <w:r>
              <w:t xml:space="preserve"> (12,2 %).</w:t>
            </w:r>
          </w:p>
        </w:tc>
      </w:tr>
      <w:tr w:rsidR="004E1DB2" w:rsidRPr="009110F7" w14:paraId="2E1E52D7" w14:textId="77777777" w:rsidTr="004E1DB2">
        <w:trPr>
          <w:trHeight w:val="145"/>
        </w:trPr>
        <w:tc>
          <w:tcPr>
            <w:tcW w:w="1806" w:type="dxa"/>
            <w:shd w:val="clear" w:color="auto" w:fill="auto"/>
            <w:tcMar>
              <w:left w:w="0" w:type="dxa"/>
            </w:tcMar>
          </w:tcPr>
          <w:p w14:paraId="48401E52" w14:textId="77777777" w:rsidR="004E1DB2" w:rsidRDefault="004E1DB2" w:rsidP="004E1DB2">
            <w:pPr>
              <w:pStyle w:val="Marginlie"/>
            </w:pPr>
            <w:r>
              <w:lastRenderedPageBreak/>
              <w:t xml:space="preserve">Nominální mzdy a platy klesly jen v peněžnictví </w:t>
            </w:r>
            <w:r>
              <w:br/>
              <w:t xml:space="preserve">a pojišťovnictví. </w:t>
            </w:r>
          </w:p>
        </w:tc>
        <w:tc>
          <w:tcPr>
            <w:tcW w:w="223" w:type="dxa"/>
            <w:shd w:val="clear" w:color="auto" w:fill="auto"/>
            <w:tcMar>
              <w:left w:w="0" w:type="dxa"/>
            </w:tcMar>
          </w:tcPr>
          <w:p w14:paraId="5ED817A3" w14:textId="77777777" w:rsidR="004E1DB2" w:rsidRDefault="004E1DB2" w:rsidP="004E1DB2">
            <w:pPr>
              <w:pStyle w:val="Textpoznpodarou"/>
              <w:jc w:val="both"/>
              <w:rPr>
                <w:spacing w:val="-4"/>
              </w:rPr>
            </w:pPr>
          </w:p>
        </w:tc>
        <w:tc>
          <w:tcPr>
            <w:tcW w:w="7610" w:type="dxa"/>
            <w:shd w:val="clear" w:color="auto" w:fill="auto"/>
            <w:tcMar>
              <w:left w:w="0" w:type="dxa"/>
            </w:tcMar>
          </w:tcPr>
          <w:p w14:paraId="230FBEFA" w14:textId="77777777" w:rsidR="004E1DB2" w:rsidRDefault="004E1DB2" w:rsidP="004E1DB2">
            <w:r>
              <w:t>Také mezičtvrtletní nominální přírůstek mezd a platů byl rovněž poměrně vysoký (3,1 %). Celková zaměstnanost mezičtvrtletně vzrostla o 0,4 %. Silné navýšení mezd a platů nejvíce ovlivnila aktualizace platových tarifů v odvětvích s převahou vládního sektoru</w:t>
            </w:r>
            <w:r>
              <w:rPr>
                <w:rStyle w:val="Znakapoznpodarou"/>
                <w:spacing w:val="-2"/>
              </w:rPr>
              <w:footnoteReference w:id="8"/>
            </w:r>
            <w:r>
              <w:t xml:space="preserve"> (4,8 %). Oproti tomu byla mzdová dynamika mírnější ve zpracovatelském průmyslu (2,2 %) i v uskupení obchod, doprava, ubytování a pohostinství (2,4 %). V profesních, vědeckých, technických a administrativních činnostech výdělky narostly o 3,1 %. Nadprůměrný byl přírůstek mezd a platů v činnostech v oblasti nemovitostí (10,8 %), v ostatních činnostech (6,2 %) a ve stavebnictví (4,9 %). Naopak mírný růst vykázaly informační a komunikační činnosti (1,5 %) a zemědělství, lesnictví a rybářství (1,3 %). V peněžnictví a pojišťovnictví došlo k mezičtvrtletnímu poklesu objemu vyplacených mezd a platů o 3,9 %. </w:t>
            </w:r>
          </w:p>
        </w:tc>
      </w:tr>
      <w:tr w:rsidR="004E1DB2" w:rsidRPr="009110F7" w14:paraId="2B8C25EE" w14:textId="77777777" w:rsidTr="004E1DB2">
        <w:trPr>
          <w:trHeight w:val="145"/>
        </w:trPr>
        <w:tc>
          <w:tcPr>
            <w:tcW w:w="1806" w:type="dxa"/>
            <w:shd w:val="clear" w:color="auto" w:fill="auto"/>
            <w:tcMar>
              <w:left w:w="0" w:type="dxa"/>
            </w:tcMar>
          </w:tcPr>
          <w:p w14:paraId="5C5CC9A9" w14:textId="77777777" w:rsidR="004E1DB2" w:rsidRDefault="004E1DB2" w:rsidP="004E1DB2">
            <w:pPr>
              <w:pStyle w:val="Marginlie"/>
            </w:pPr>
            <w:r>
              <w:t>Spotřeba domácností se nadále snižovala.</w:t>
            </w:r>
          </w:p>
        </w:tc>
        <w:tc>
          <w:tcPr>
            <w:tcW w:w="223" w:type="dxa"/>
            <w:shd w:val="clear" w:color="auto" w:fill="auto"/>
            <w:tcMar>
              <w:left w:w="0" w:type="dxa"/>
            </w:tcMar>
          </w:tcPr>
          <w:p w14:paraId="6EB14424" w14:textId="77777777" w:rsidR="004E1DB2" w:rsidRDefault="004E1DB2" w:rsidP="004E1DB2">
            <w:pPr>
              <w:pStyle w:val="Textpoznpodarou"/>
              <w:jc w:val="both"/>
              <w:rPr>
                <w:spacing w:val="-4"/>
              </w:rPr>
            </w:pPr>
          </w:p>
        </w:tc>
        <w:tc>
          <w:tcPr>
            <w:tcW w:w="7610" w:type="dxa"/>
            <w:shd w:val="clear" w:color="auto" w:fill="auto"/>
            <w:tcMar>
              <w:left w:w="0" w:type="dxa"/>
            </w:tcMar>
          </w:tcPr>
          <w:p w14:paraId="218FFA90" w14:textId="77777777" w:rsidR="004E1DB2" w:rsidRDefault="004E1DB2" w:rsidP="004E1DB2">
            <w:pPr>
              <w:rPr>
                <w:spacing w:val="-2"/>
              </w:rPr>
            </w:pPr>
            <w:r>
              <w:rPr>
                <w:spacing w:val="-2"/>
              </w:rPr>
              <w:t xml:space="preserve">Výdaje na konečnou spotřebu byly v 1. čtvrtletí meziročně nižší o 3,2 % a ve směru poklesu HDP působily 2,2 </w:t>
            </w:r>
            <w:proofErr w:type="gramStart"/>
            <w:r>
              <w:rPr>
                <w:spacing w:val="-2"/>
              </w:rPr>
              <w:t>p. b.</w:t>
            </w:r>
            <w:r w:rsidRPr="00014ED0">
              <w:rPr>
                <w:rStyle w:val="Znakapoznpodarou"/>
                <w:spacing w:val="-2"/>
              </w:rPr>
              <w:footnoteReference w:id="9"/>
            </w:r>
            <w:r>
              <w:rPr>
                <w:spacing w:val="-2"/>
              </w:rPr>
              <w:t>.</w:t>
            </w:r>
            <w:proofErr w:type="gramEnd"/>
            <w:r>
              <w:rPr>
                <w:spacing w:val="-2"/>
              </w:rPr>
              <w:t xml:space="preserve"> Propadala se jen spotřeba domácností (−6,4 %), zatímco vládní výdaje byly meziročně vyšší (3,9 %). Trval netypicky hluboký meziroční propad výdajů na předměty krátkodobé spotřeby (−8,4 %)</w:t>
            </w:r>
            <w:r>
              <w:rPr>
                <w:rStyle w:val="Znakapoznpodarou"/>
              </w:rPr>
              <w:footnoteReference w:id="10"/>
            </w:r>
            <w:r>
              <w:rPr>
                <w:spacing w:val="-2"/>
              </w:rPr>
              <w:t xml:space="preserve"> a poprvé od 1. kvartálu 2021 ovlivněného pandemií byla meziročně nižší i spotřeba služeb (−1,1 %). Zmírnil se meziroční pokles střednědobé (−5,0 %) i dlouhodobé (−14,4 %) spotřeby. Mezičtvrtletně se celkové výdaje na konečnou spotřebu snížily o 0,3 %. Přitom spotřeba domácností klesla o 1,2 %, pošesté v řadě. V rámci dostupné časové řady (od r. 1996) jde o nejdelší sekvenci poklesů. Spotřeba vlády byla mezičtvrtletně vyšší o 1,9 %. V 1. čtvrtletí dál mezičtvrtletně klesala spotřeba netrvanlivého zboží (−0,3 %) i služeb (−1,4 %). U trvanlivého zboží se ale spotřeba opět oživila. V případě zboží dlouhodobé spotřeby byly výdaje vyšší o 1,3 % a u střednědobé spotřeby přírůstek zrychlil na 1,3 %.        </w:t>
            </w:r>
          </w:p>
        </w:tc>
      </w:tr>
      <w:tr w:rsidR="004E1DB2" w:rsidRPr="009110F7" w14:paraId="4C1DEC8A" w14:textId="77777777" w:rsidTr="004E1DB2">
        <w:trPr>
          <w:trHeight w:val="145"/>
        </w:trPr>
        <w:tc>
          <w:tcPr>
            <w:tcW w:w="1806" w:type="dxa"/>
            <w:shd w:val="clear" w:color="auto" w:fill="auto"/>
            <w:tcMar>
              <w:left w:w="0" w:type="dxa"/>
            </w:tcMar>
          </w:tcPr>
          <w:p w14:paraId="3A97D71B" w14:textId="77777777" w:rsidR="004E1DB2" w:rsidRDefault="004E1DB2" w:rsidP="004E1DB2">
            <w:pPr>
              <w:pStyle w:val="Marginlie"/>
            </w:pPr>
            <w:r>
              <w:t>Vývoj investic nepřímo ukazuje na zvýšenou investiční aktivitu podniků.</w:t>
            </w:r>
          </w:p>
        </w:tc>
        <w:tc>
          <w:tcPr>
            <w:tcW w:w="223" w:type="dxa"/>
            <w:shd w:val="clear" w:color="auto" w:fill="auto"/>
            <w:tcMar>
              <w:left w:w="0" w:type="dxa"/>
            </w:tcMar>
          </w:tcPr>
          <w:p w14:paraId="6E23F0C3" w14:textId="77777777" w:rsidR="004E1DB2" w:rsidRDefault="004E1DB2" w:rsidP="004E1DB2">
            <w:pPr>
              <w:pStyle w:val="Textpoznpodarou"/>
              <w:jc w:val="both"/>
              <w:rPr>
                <w:spacing w:val="-4"/>
              </w:rPr>
            </w:pPr>
          </w:p>
        </w:tc>
        <w:tc>
          <w:tcPr>
            <w:tcW w:w="7610" w:type="dxa"/>
            <w:shd w:val="clear" w:color="auto" w:fill="auto"/>
            <w:tcMar>
              <w:left w:w="0" w:type="dxa"/>
            </w:tcMar>
          </w:tcPr>
          <w:p w14:paraId="73D84D64" w14:textId="77777777" w:rsidR="004E1DB2" w:rsidRDefault="004E1DB2" w:rsidP="004E1DB2">
            <w:pPr>
              <w:rPr>
                <w:spacing w:val="-2"/>
              </w:rPr>
            </w:pPr>
            <w:r>
              <w:t>Výdaje na tvorbu hrubého kapitálu byly v 1. čtvrtletí meziročně nižší o 8,4 % a k poklesu HDP přispěly 2,8 p. b. Za hlubokým propadem stála především změna zásob. Na začátku letošního roku totiž došlo k výraznému rozpouštění zásob naakumulovaných loni</w:t>
            </w:r>
            <w:r>
              <w:rPr>
                <w:rStyle w:val="Znakapoznpodarou"/>
              </w:rPr>
              <w:footnoteReference w:id="11"/>
            </w:r>
            <w:r>
              <w:t xml:space="preserve">. Samotné výdaje na tvorbu hrubého fixního kapitálu (investice) byly meziročně vyšší o 0,3 %. Meziroční dynamika investiční aktivity tak prudce oslabila. Z hlediska věcné struktury investic je patrné, že rostly převážně investice financované podniky do </w:t>
            </w:r>
            <w:r>
              <w:lastRenderedPageBreak/>
              <w:t xml:space="preserve">oblasti ICT a ostatních strojů a zařízení (10,9 %) a dopravních prostředků a zařízení (0,5 %). Na druhé straně se ale propadaly investice do obydlí (−9,2 %), kde jsou hlavními investory domácnosti. Nižší byly také výdaje na ostatní budovy a stavby (−1,6 %) a po sérii solidních meziročních přírůstků klesly také investice do produktů duševního vlastnictví (−3,1 %). K mezičtvrtletnímu propadu kapitálových výdajů (−8,1 %) přispěla z většiny také změna zásob. Investiční aktivita ale také reálně klesla, a to o 1,8 %. Investice do dopravních prostředků a zařízení (4,9 %) a ICT a ostatních strojů a zařízení (4,8 %) rostly i mezičtvrtletně. Propad výdajů na produkty duševního vlastnictví ale dosáhl 10,1 % a nižší byly také investice do obydlí (−3,2 %) a ostatních budov a staveb (−3,5 %).      </w:t>
            </w:r>
          </w:p>
        </w:tc>
      </w:tr>
      <w:tr w:rsidR="004E1DB2" w:rsidRPr="009110F7" w14:paraId="6F7AD6A6" w14:textId="77777777" w:rsidTr="004E1DB2">
        <w:trPr>
          <w:trHeight w:val="154"/>
        </w:trPr>
        <w:tc>
          <w:tcPr>
            <w:tcW w:w="1806" w:type="dxa"/>
            <w:vMerge w:val="restart"/>
            <w:shd w:val="clear" w:color="auto" w:fill="auto"/>
            <w:tcMar>
              <w:left w:w="0" w:type="dxa"/>
            </w:tcMar>
          </w:tcPr>
          <w:p w14:paraId="330843AC" w14:textId="77777777" w:rsidR="004E1DB2" w:rsidRDefault="004E1DB2" w:rsidP="004E1DB2">
            <w:pPr>
              <w:pStyle w:val="Marginlie"/>
            </w:pPr>
          </w:p>
        </w:tc>
        <w:tc>
          <w:tcPr>
            <w:tcW w:w="223" w:type="dxa"/>
            <w:vMerge w:val="restart"/>
            <w:shd w:val="clear" w:color="auto" w:fill="auto"/>
            <w:tcMar>
              <w:left w:w="0" w:type="dxa"/>
            </w:tcMar>
          </w:tcPr>
          <w:p w14:paraId="5F18F9A5" w14:textId="77777777" w:rsidR="004E1DB2" w:rsidRDefault="004E1DB2" w:rsidP="004E1DB2">
            <w:pPr>
              <w:pStyle w:val="Textpoznpodarou"/>
              <w:jc w:val="both"/>
              <w:rPr>
                <w:spacing w:val="-4"/>
              </w:rPr>
            </w:pPr>
          </w:p>
        </w:tc>
        <w:tc>
          <w:tcPr>
            <w:tcW w:w="7610" w:type="dxa"/>
            <w:shd w:val="clear" w:color="auto" w:fill="auto"/>
            <w:tcMar>
              <w:left w:w="0" w:type="dxa"/>
            </w:tcMar>
          </w:tcPr>
          <w:p w14:paraId="5C2E18D0" w14:textId="77777777" w:rsidR="004E1DB2" w:rsidRDefault="004E1DB2" w:rsidP="004E1DB2">
            <w:pPr>
              <w:spacing w:after="0"/>
            </w:pPr>
            <w:r w:rsidRPr="00D721B4">
              <w:rPr>
                <w:b/>
                <w:szCs w:val="20"/>
              </w:rPr>
              <w:t>Graf č. 2</w:t>
            </w:r>
            <w:r>
              <w:rPr>
                <w:b/>
                <w:szCs w:val="20"/>
              </w:rPr>
              <w:t xml:space="preserve"> </w:t>
            </w:r>
            <w:r w:rsidRPr="00D721B4">
              <w:rPr>
                <w:rFonts w:cs="Arial"/>
                <w:b/>
                <w:szCs w:val="20"/>
                <w:lang w:eastAsia="en-US"/>
              </w:rPr>
              <w:t xml:space="preserve">Příspěvky výdajových složek k reálné změně HDP* </w:t>
            </w:r>
            <w:r w:rsidRPr="00D721B4">
              <w:rPr>
                <w:rFonts w:cs="Arial"/>
                <w:bCs/>
                <w:szCs w:val="20"/>
                <w:lang w:eastAsia="en-US"/>
              </w:rPr>
              <w:t>(objemové indexy, meziroční růst, příspěvky v p. b., HDP v %)</w:t>
            </w:r>
          </w:p>
        </w:tc>
      </w:tr>
      <w:tr w:rsidR="004E1DB2" w:rsidRPr="009110F7" w14:paraId="361F4E2E" w14:textId="77777777" w:rsidTr="004E1DB2">
        <w:tblPrEx>
          <w:tblCellMar>
            <w:left w:w="70" w:type="dxa"/>
            <w:right w:w="70" w:type="dxa"/>
          </w:tblCellMar>
        </w:tblPrEx>
        <w:trPr>
          <w:trHeight w:val="154"/>
        </w:trPr>
        <w:tc>
          <w:tcPr>
            <w:tcW w:w="1806" w:type="dxa"/>
            <w:vMerge/>
          </w:tcPr>
          <w:p w14:paraId="56899E82" w14:textId="77777777" w:rsidR="004E1DB2" w:rsidRDefault="004E1DB2" w:rsidP="004E1DB2">
            <w:pPr>
              <w:pStyle w:val="Marginlie"/>
            </w:pPr>
          </w:p>
        </w:tc>
        <w:tc>
          <w:tcPr>
            <w:tcW w:w="223" w:type="dxa"/>
            <w:vMerge/>
          </w:tcPr>
          <w:p w14:paraId="7892B2F8" w14:textId="77777777" w:rsidR="004E1DB2" w:rsidRDefault="004E1DB2" w:rsidP="004E1DB2">
            <w:pPr>
              <w:pStyle w:val="Textpoznpodarou"/>
              <w:jc w:val="both"/>
              <w:rPr>
                <w:spacing w:val="-4"/>
              </w:rPr>
            </w:pPr>
          </w:p>
        </w:tc>
        <w:tc>
          <w:tcPr>
            <w:tcW w:w="7610" w:type="dxa"/>
            <w:shd w:val="clear" w:color="auto" w:fill="auto"/>
          </w:tcPr>
          <w:p w14:paraId="2EE8DAD1" w14:textId="77777777" w:rsidR="004E1DB2" w:rsidRDefault="004E1DB2" w:rsidP="004E1DB2">
            <w:pPr>
              <w:spacing w:after="0"/>
            </w:pPr>
            <w:r>
              <w:rPr>
                <w:noProof/>
              </w:rPr>
              <w:drawing>
                <wp:inline distT="0" distB="0" distL="0" distR="0" wp14:anchorId="20E46A53" wp14:editId="75CFB0F0">
                  <wp:extent cx="4737600" cy="3553200"/>
                  <wp:effectExtent l="0" t="0" r="6350" b="0"/>
                  <wp:docPr id="23" name="Graf 2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4E1DB2" w:rsidRPr="009110F7" w14:paraId="2D6356EB" w14:textId="77777777" w:rsidTr="004E1DB2">
        <w:trPr>
          <w:trHeight w:val="154"/>
        </w:trPr>
        <w:tc>
          <w:tcPr>
            <w:tcW w:w="1806" w:type="dxa"/>
            <w:vMerge/>
            <w:tcMar>
              <w:left w:w="0" w:type="dxa"/>
            </w:tcMar>
          </w:tcPr>
          <w:p w14:paraId="6A0714C6" w14:textId="77777777" w:rsidR="004E1DB2" w:rsidRDefault="004E1DB2" w:rsidP="004E1DB2">
            <w:pPr>
              <w:pStyle w:val="Marginlie"/>
            </w:pPr>
          </w:p>
        </w:tc>
        <w:tc>
          <w:tcPr>
            <w:tcW w:w="223" w:type="dxa"/>
            <w:vMerge/>
            <w:tcMar>
              <w:left w:w="0" w:type="dxa"/>
            </w:tcMar>
          </w:tcPr>
          <w:p w14:paraId="2CB4D682" w14:textId="77777777" w:rsidR="004E1DB2" w:rsidRDefault="004E1DB2" w:rsidP="004E1DB2">
            <w:pPr>
              <w:pStyle w:val="Textpoznpodarou"/>
              <w:jc w:val="both"/>
              <w:rPr>
                <w:spacing w:val="-4"/>
              </w:rPr>
            </w:pPr>
          </w:p>
        </w:tc>
        <w:tc>
          <w:tcPr>
            <w:tcW w:w="7610" w:type="dxa"/>
            <w:shd w:val="clear" w:color="auto" w:fill="auto"/>
            <w:tcMar>
              <w:left w:w="0" w:type="dxa"/>
            </w:tcMar>
          </w:tcPr>
          <w:p w14:paraId="30960641" w14:textId="77777777" w:rsidR="004E1DB2" w:rsidRDefault="004E1DB2" w:rsidP="004E1DB2">
            <w:pPr>
              <w:spacing w:after="0"/>
              <w:rPr>
                <w:sz w:val="14"/>
                <w:szCs w:val="14"/>
              </w:rPr>
            </w:pPr>
            <w:r>
              <w:rPr>
                <w:sz w:val="14"/>
                <w:szCs w:val="14"/>
              </w:rPr>
              <w:t>Zdroj: ČSÚ</w:t>
            </w:r>
          </w:p>
          <w:p w14:paraId="067ABAF7" w14:textId="77777777" w:rsidR="004E1DB2" w:rsidRDefault="004E1DB2" w:rsidP="004E1DB2">
            <w:r>
              <w:rPr>
                <w:sz w:val="14"/>
                <w:szCs w:val="14"/>
              </w:rPr>
              <w:t>* po vyloučení dovozu pro konečné užití</w:t>
            </w:r>
          </w:p>
        </w:tc>
      </w:tr>
      <w:tr w:rsidR="004E1DB2" w:rsidRPr="009110F7" w14:paraId="16F15A7F" w14:textId="77777777" w:rsidTr="004E1DB2">
        <w:trPr>
          <w:trHeight w:val="145"/>
        </w:trPr>
        <w:tc>
          <w:tcPr>
            <w:tcW w:w="1806" w:type="dxa"/>
            <w:shd w:val="clear" w:color="auto" w:fill="auto"/>
            <w:tcMar>
              <w:left w:w="0" w:type="dxa"/>
            </w:tcMar>
          </w:tcPr>
          <w:p w14:paraId="570A5042" w14:textId="77777777" w:rsidR="004E1DB2" w:rsidRDefault="004E1DB2" w:rsidP="004E1DB2">
            <w:pPr>
              <w:pStyle w:val="Marginlie"/>
            </w:pPr>
            <w:r>
              <w:t>Exportérům se na počátku roku dařilo.</w:t>
            </w:r>
          </w:p>
        </w:tc>
        <w:tc>
          <w:tcPr>
            <w:tcW w:w="223" w:type="dxa"/>
            <w:shd w:val="clear" w:color="auto" w:fill="auto"/>
            <w:tcMar>
              <w:left w:w="0" w:type="dxa"/>
            </w:tcMar>
          </w:tcPr>
          <w:p w14:paraId="41B5DA7B" w14:textId="77777777" w:rsidR="004E1DB2" w:rsidRDefault="004E1DB2" w:rsidP="004E1DB2">
            <w:pPr>
              <w:pStyle w:val="Textpoznpodarou"/>
              <w:jc w:val="both"/>
              <w:rPr>
                <w:spacing w:val="-4"/>
              </w:rPr>
            </w:pPr>
          </w:p>
        </w:tc>
        <w:tc>
          <w:tcPr>
            <w:tcW w:w="7610" w:type="dxa"/>
            <w:shd w:val="clear" w:color="auto" w:fill="auto"/>
            <w:tcMar>
              <w:left w:w="0" w:type="dxa"/>
            </w:tcMar>
          </w:tcPr>
          <w:p w14:paraId="788B66BD" w14:textId="308385BE" w:rsidR="004E1DB2" w:rsidRDefault="004E1DB2" w:rsidP="0022521D">
            <w:r>
              <w:t>V 1. čtvrtletí přispěla zahraniční poptávka ve směru meziročního růstu HDP 4,6 p. b. Silný kladný příspěvek byl výsledkem výrazného růstu exportu zboží a služeb, který se reálně meziročně zvýšil o 9,5 %</w:t>
            </w:r>
            <w:r w:rsidRPr="009110F7">
              <w:rPr>
                <w:rStyle w:val="Znakapoznpodarou"/>
              </w:rPr>
              <w:footnoteReference w:id="12"/>
            </w:r>
            <w:r>
              <w:t xml:space="preserve">. Přitom vývoz zboží narostl o 8,1 % a služeb o 17,0 %. Naproti tomu dovoz rostl méně výrazně (3,3 %). Import zboží byl meziročně vyšší jen o 0,6 % a služeb o 20,9 %. Mezičtvrtletní přírůstek exportu zboží a služeb v 1. čtvrtletí posílil na 2,5 %. Za zrychlením tempa stál vývoz zboží (2,7 %), zatímco u služeb přírůstek zmírnil na 1,4 %. Dovoz mezičtvrtletně klesl o 1,3 % a nižší byl dovoz zboží (−1,2 %) i služeb (−1,3 %). Bilance zahraničního obchodu se zbožím </w:t>
            </w:r>
            <w:r>
              <w:br/>
              <w:t>v 1. čtvrtletí dosáhla přebytku 93,7 mld. korun a meziročně se zlepšila o 92,</w:t>
            </w:r>
            <w:r w:rsidR="0022521D">
              <w:t>7</w:t>
            </w:r>
            <w:r>
              <w:t xml:space="preserve"> mld. Toto prudké zlepšení souviselo zejména s poklesem cen ropy a zemního plynu </w:t>
            </w:r>
            <w:r>
              <w:br/>
              <w:t xml:space="preserve">a dalších surovin a také s nárůstem exportu motorových vozidel, který byl loni negativně ovlivněn narušením globálních dodavatelských řetězců. I proto bylo zlepšení celkové bilance spojeno výhradně s obchodem se zbožím (+93,8 mld. korun), zatímco u služeb se saldo mírně zhoršilo (−1,2 mld.). Mezičtvrtletně se bilance zahraničního </w:t>
            </w:r>
            <w:r>
              <w:lastRenderedPageBreak/>
              <w:t xml:space="preserve">obchodu zlepšila o 82,2 mld. korun. Z toho se přebytek bilance obchodu se zbožím zvýšil o 75,7 mld. korun a se službami o 6,5 mld.     </w:t>
            </w:r>
          </w:p>
        </w:tc>
      </w:tr>
      <w:tr w:rsidR="004E1DB2" w:rsidRPr="009110F7" w14:paraId="0EAE6C2B" w14:textId="77777777" w:rsidTr="004E1DB2">
        <w:trPr>
          <w:trHeight w:val="145"/>
        </w:trPr>
        <w:tc>
          <w:tcPr>
            <w:tcW w:w="1806" w:type="dxa"/>
            <w:shd w:val="clear" w:color="auto" w:fill="auto"/>
            <w:tcMar>
              <w:left w:w="0" w:type="dxa"/>
            </w:tcMar>
          </w:tcPr>
          <w:p w14:paraId="44297B1A" w14:textId="77777777" w:rsidR="004E1DB2" w:rsidRDefault="004E1DB2" w:rsidP="004E1DB2">
            <w:pPr>
              <w:pStyle w:val="Marginlie"/>
            </w:pPr>
            <w:r>
              <w:lastRenderedPageBreak/>
              <w:t>Hrubá přidaná hodnota rostla.</w:t>
            </w:r>
          </w:p>
        </w:tc>
        <w:tc>
          <w:tcPr>
            <w:tcW w:w="223" w:type="dxa"/>
            <w:shd w:val="clear" w:color="auto" w:fill="auto"/>
            <w:tcMar>
              <w:left w:w="0" w:type="dxa"/>
            </w:tcMar>
          </w:tcPr>
          <w:p w14:paraId="06645A6F" w14:textId="77777777" w:rsidR="004E1DB2" w:rsidRDefault="004E1DB2" w:rsidP="004E1DB2">
            <w:pPr>
              <w:pStyle w:val="Textpoznpodarou"/>
              <w:jc w:val="both"/>
              <w:rPr>
                <w:spacing w:val="-4"/>
              </w:rPr>
            </w:pPr>
          </w:p>
        </w:tc>
        <w:tc>
          <w:tcPr>
            <w:tcW w:w="7610" w:type="dxa"/>
            <w:shd w:val="clear" w:color="auto" w:fill="auto"/>
            <w:tcMar>
              <w:left w:w="0" w:type="dxa"/>
            </w:tcMar>
          </w:tcPr>
          <w:p w14:paraId="52EDFA76" w14:textId="77777777" w:rsidR="004E1DB2" w:rsidRPr="00F93F2C" w:rsidRDefault="004E1DB2" w:rsidP="004E1DB2">
            <w:r>
              <w:t xml:space="preserve">Hrubá přidaná hodnota (HPH) v 1. čtvrtletí 2023 mezičtvrtletně vzrostla o 0,8 %. Výrazný rozdíl mezi dynamikou HDP a HPH v 1. kvartálu byl způsoben vlivem různého ocenění HDP a HPH. Hlavní podíl na tom měly rostoucí dotace zachycující stropy cen elektřiny. Zároveň v souvislosti s propadající se spotřebou nadále klesaly daňové výnosy, které také prohlubovaly rozdíl mezi HPH a HDP. Mezičtvrtletní růst HPH byl výrazně podpořen vývojem ve zpracovatelském průmyslu (růst o 2,0 %). Zlepšení pozice exportérů napomohlo zejména výrobě motorových vozidel, strojírenství nebo elektrotechnice. Problémy ale přetrvávaly ve zbytku průmyslových odvětví, zejména těch energeticky náročných. HPH v celém průmyslu se tak zvyšovala mezičtvrtletně jen o 0,7 %. K mezičtvrtletnímu růstu HPH přispívaly také služby. V uskupení obchod, doprava, ubytování a pohostinství HPH vzrostla HPH po dvou mezičtvrtletních poklesech (1,5 %). K růstu v rámci tohoto uskupení přispívaly zejména služby spojené s cestovním ruchem – ubytování a pohostinství. Naopak maloobchodu se i v souvislosti s propadající se spotřebou domácností nedařilo. Po mezičtvrtletním poklesu z konce roku 2022 znovu oživily také informační a komunikační činnosti (3,7 %). Mírný mezičtvrtletní příspěvek měly profesní, vědecké, technické a administrativní činnosti (0,9 %), činnosti v oblasti nemovitostí (0,5 %) a rostla i HPH ve stavebnictví (1,9 %). Jediným oborem, kde HPH mezičtvrtletně klesla, bylo peněžnictví a pojišťovnictví (−7,0 %). </w:t>
            </w:r>
          </w:p>
        </w:tc>
      </w:tr>
      <w:tr w:rsidR="004E1DB2" w:rsidRPr="009110F7" w14:paraId="74AF3471" w14:textId="77777777" w:rsidTr="004E1DB2">
        <w:trPr>
          <w:trHeight w:val="142"/>
        </w:trPr>
        <w:tc>
          <w:tcPr>
            <w:tcW w:w="1806" w:type="dxa"/>
            <w:vMerge w:val="restart"/>
            <w:shd w:val="clear" w:color="auto" w:fill="auto"/>
            <w:tcMar>
              <w:left w:w="0" w:type="dxa"/>
            </w:tcMar>
          </w:tcPr>
          <w:p w14:paraId="5478654B" w14:textId="77777777" w:rsidR="004E1DB2" w:rsidRDefault="004E1DB2" w:rsidP="004E1DB2">
            <w:pPr>
              <w:pStyle w:val="Marginlie"/>
            </w:pPr>
          </w:p>
        </w:tc>
        <w:tc>
          <w:tcPr>
            <w:tcW w:w="223" w:type="dxa"/>
            <w:vMerge w:val="restart"/>
            <w:shd w:val="clear" w:color="auto" w:fill="auto"/>
            <w:tcMar>
              <w:left w:w="0" w:type="dxa"/>
            </w:tcMar>
          </w:tcPr>
          <w:p w14:paraId="29D2C683" w14:textId="77777777" w:rsidR="004E1DB2" w:rsidRDefault="004E1DB2" w:rsidP="004E1DB2">
            <w:pPr>
              <w:pStyle w:val="Textpoznpodarou"/>
              <w:jc w:val="both"/>
              <w:rPr>
                <w:spacing w:val="-4"/>
              </w:rPr>
            </w:pPr>
          </w:p>
        </w:tc>
        <w:tc>
          <w:tcPr>
            <w:tcW w:w="7610" w:type="dxa"/>
            <w:shd w:val="clear" w:color="auto" w:fill="auto"/>
            <w:tcMar>
              <w:left w:w="0" w:type="dxa"/>
            </w:tcMar>
          </w:tcPr>
          <w:p w14:paraId="16166862" w14:textId="77777777" w:rsidR="004E1DB2" w:rsidRDefault="004E1DB2" w:rsidP="004E1DB2">
            <w:pPr>
              <w:spacing w:after="0"/>
            </w:pPr>
            <w:r w:rsidRPr="00D721B4">
              <w:rPr>
                <w:b/>
                <w:szCs w:val="20"/>
              </w:rPr>
              <w:t>Graf č. 3</w:t>
            </w:r>
            <w:r>
              <w:rPr>
                <w:b/>
                <w:szCs w:val="20"/>
              </w:rPr>
              <w:t xml:space="preserve"> </w:t>
            </w:r>
            <w:r w:rsidRPr="00D721B4">
              <w:rPr>
                <w:rFonts w:cs="Arial"/>
                <w:b/>
                <w:szCs w:val="20"/>
                <w:lang w:eastAsia="en-US"/>
              </w:rPr>
              <w:t xml:space="preserve">Příspěvky odvětví k reálné změně HPH </w:t>
            </w:r>
            <w:r w:rsidRPr="00D721B4">
              <w:rPr>
                <w:rFonts w:cs="Arial"/>
                <w:bCs/>
                <w:szCs w:val="20"/>
                <w:lang w:eastAsia="en-US"/>
              </w:rPr>
              <w:t>(objemové indexy, meziroční příspěvky v p. b., HPH v %)</w:t>
            </w:r>
          </w:p>
        </w:tc>
      </w:tr>
      <w:tr w:rsidR="004E1DB2" w:rsidRPr="009110F7" w14:paraId="54FB248B" w14:textId="77777777" w:rsidTr="004E1DB2">
        <w:trPr>
          <w:trHeight w:val="142"/>
        </w:trPr>
        <w:tc>
          <w:tcPr>
            <w:tcW w:w="1806" w:type="dxa"/>
            <w:vMerge/>
            <w:shd w:val="clear" w:color="auto" w:fill="auto"/>
            <w:tcMar>
              <w:left w:w="0" w:type="dxa"/>
            </w:tcMar>
          </w:tcPr>
          <w:p w14:paraId="007BBFC7" w14:textId="77777777" w:rsidR="004E1DB2" w:rsidRDefault="004E1DB2" w:rsidP="004E1DB2">
            <w:pPr>
              <w:pStyle w:val="Marginlie"/>
            </w:pPr>
          </w:p>
        </w:tc>
        <w:tc>
          <w:tcPr>
            <w:tcW w:w="223" w:type="dxa"/>
            <w:vMerge/>
            <w:shd w:val="clear" w:color="auto" w:fill="auto"/>
            <w:tcMar>
              <w:left w:w="0" w:type="dxa"/>
            </w:tcMar>
          </w:tcPr>
          <w:p w14:paraId="2678D7FD" w14:textId="77777777" w:rsidR="004E1DB2" w:rsidRDefault="004E1DB2" w:rsidP="004E1DB2">
            <w:pPr>
              <w:pStyle w:val="Textpoznpodarou"/>
              <w:jc w:val="both"/>
              <w:rPr>
                <w:spacing w:val="-4"/>
              </w:rPr>
            </w:pPr>
          </w:p>
        </w:tc>
        <w:tc>
          <w:tcPr>
            <w:tcW w:w="7610" w:type="dxa"/>
            <w:shd w:val="clear" w:color="auto" w:fill="auto"/>
            <w:tcMar>
              <w:left w:w="0" w:type="dxa"/>
            </w:tcMar>
          </w:tcPr>
          <w:p w14:paraId="0502BC36" w14:textId="77777777" w:rsidR="004E1DB2" w:rsidRDefault="004E1DB2" w:rsidP="004E1DB2">
            <w:pPr>
              <w:spacing w:after="0"/>
            </w:pPr>
            <w:r>
              <w:rPr>
                <w:noProof/>
              </w:rPr>
              <w:drawing>
                <wp:inline distT="0" distB="0" distL="0" distR="0" wp14:anchorId="3BC3EFA2" wp14:editId="66CCEAD9">
                  <wp:extent cx="4737600" cy="3486525"/>
                  <wp:effectExtent l="0" t="0" r="6350" b="0"/>
                  <wp:docPr id="25" name="Graf 2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4E1DB2" w:rsidRPr="009110F7" w14:paraId="25409F28" w14:textId="77777777" w:rsidTr="004E1DB2">
        <w:trPr>
          <w:trHeight w:val="142"/>
        </w:trPr>
        <w:tc>
          <w:tcPr>
            <w:tcW w:w="1806" w:type="dxa"/>
            <w:vMerge/>
            <w:shd w:val="clear" w:color="auto" w:fill="auto"/>
            <w:tcMar>
              <w:left w:w="0" w:type="dxa"/>
            </w:tcMar>
          </w:tcPr>
          <w:p w14:paraId="41B5BE2D" w14:textId="77777777" w:rsidR="004E1DB2" w:rsidRDefault="004E1DB2" w:rsidP="004E1DB2">
            <w:pPr>
              <w:pStyle w:val="Marginlie"/>
            </w:pPr>
          </w:p>
        </w:tc>
        <w:tc>
          <w:tcPr>
            <w:tcW w:w="223" w:type="dxa"/>
            <w:vMerge/>
            <w:shd w:val="clear" w:color="auto" w:fill="auto"/>
            <w:tcMar>
              <w:left w:w="0" w:type="dxa"/>
            </w:tcMar>
          </w:tcPr>
          <w:p w14:paraId="744DA60D" w14:textId="77777777" w:rsidR="004E1DB2" w:rsidRDefault="004E1DB2" w:rsidP="004E1DB2">
            <w:pPr>
              <w:pStyle w:val="Textpoznpodarou"/>
              <w:jc w:val="both"/>
              <w:rPr>
                <w:spacing w:val="-4"/>
              </w:rPr>
            </w:pPr>
          </w:p>
        </w:tc>
        <w:tc>
          <w:tcPr>
            <w:tcW w:w="7610" w:type="dxa"/>
            <w:shd w:val="clear" w:color="auto" w:fill="auto"/>
            <w:tcMar>
              <w:left w:w="0" w:type="dxa"/>
            </w:tcMar>
          </w:tcPr>
          <w:p w14:paraId="61E83B87" w14:textId="77777777" w:rsidR="004E1DB2" w:rsidRDefault="004E1DB2" w:rsidP="004E1DB2">
            <w:r w:rsidRPr="00A85DE1">
              <w:rPr>
                <w:sz w:val="14"/>
                <w:szCs w:val="14"/>
              </w:rPr>
              <w:t>Zdroj: ČSÚ</w:t>
            </w:r>
          </w:p>
        </w:tc>
      </w:tr>
      <w:tr w:rsidR="004E1DB2" w:rsidRPr="009110F7" w14:paraId="09022286" w14:textId="77777777" w:rsidTr="004E1DB2">
        <w:trPr>
          <w:trHeight w:val="145"/>
        </w:trPr>
        <w:tc>
          <w:tcPr>
            <w:tcW w:w="1806" w:type="dxa"/>
            <w:shd w:val="clear" w:color="auto" w:fill="auto"/>
            <w:tcMar>
              <w:left w:w="0" w:type="dxa"/>
            </w:tcMar>
          </w:tcPr>
          <w:p w14:paraId="3B2697B3" w14:textId="77777777" w:rsidR="004E1DB2" w:rsidRDefault="004E1DB2" w:rsidP="004E1DB2">
            <w:pPr>
              <w:pStyle w:val="Marginlie"/>
            </w:pPr>
            <w:r>
              <w:t>Zejména zpracovatelský průmysl přispěl k meziročnímu navýšení HPH.</w:t>
            </w:r>
          </w:p>
        </w:tc>
        <w:tc>
          <w:tcPr>
            <w:tcW w:w="223" w:type="dxa"/>
            <w:shd w:val="clear" w:color="auto" w:fill="auto"/>
            <w:tcMar>
              <w:left w:w="0" w:type="dxa"/>
            </w:tcMar>
          </w:tcPr>
          <w:p w14:paraId="52968385" w14:textId="77777777" w:rsidR="004E1DB2" w:rsidRDefault="004E1DB2" w:rsidP="004E1DB2">
            <w:pPr>
              <w:pStyle w:val="Textpoznpodarou"/>
              <w:jc w:val="both"/>
              <w:rPr>
                <w:spacing w:val="-4"/>
              </w:rPr>
            </w:pPr>
          </w:p>
        </w:tc>
        <w:tc>
          <w:tcPr>
            <w:tcW w:w="7610" w:type="dxa"/>
            <w:shd w:val="clear" w:color="auto" w:fill="auto"/>
            <w:tcMar>
              <w:left w:w="0" w:type="dxa"/>
            </w:tcMar>
          </w:tcPr>
          <w:p w14:paraId="734068D2" w14:textId="77777777" w:rsidR="004E1DB2" w:rsidRDefault="004E1DB2" w:rsidP="004E1DB2">
            <w:r>
              <w:t xml:space="preserve">Hrubá přidaná hodnota byla meziročně vyšší o 1,1 %. Nejvíce k meziročnímu růstu HPH přispíval průmysl jako celek (navýšení HPH o 1,6 %), ale z bližšího pohledu je opět patrné, že za tím stojí výhradně dobré výkony ve zpracovatelském průmyslu (4,4 %). Naopak výrazně negativně působilo uskupení obchod, doprava, ubytování a pohostinství, kde došlo k dalšímu meziročnímu propadu HPH (−2,8 %, třetí pokles v řadě). V obou případech se zčásti projevil vliv srovnávací základny. Zatímco výkon </w:t>
            </w:r>
            <w:r>
              <w:lastRenderedPageBreak/>
              <w:t xml:space="preserve">průmyslu v loňském 1. kvartálu tlumily narušené globální dodavatelské řetězce, u obchodu a služeb byla poptávka na začátku roku 2022 ještě relativně silná. Meziročně ale rostla HPH řady dalších služeb včetně těch navázaných na podnikovou sféru nebo obecně celkový ekonomický růst. Výrazně příznivý vliv na meziroční dynamiku HPH měly činnosti v oblasti nemovitostí (4,5 %), veřejná správa a obrana, vzdělávání, zdravotní a sociální péče (2,6 %) nebo informační a komunikační činnosti (5,1 %). Meziročně vyšší byla i HPH v profesních, vědeckých, technických a administrativních činnostech (2,9 %) nebo u ostatních činností (3,7 %) zahrnujících mimo jiné různé služby osobní péče. Meziročně klesala HPH ve stavebnictví (−3,8 %, zčásti kvůli vysoké srovnávací základně) a v peněžnictví a pojišťovnictví (−3,3 %).   </w:t>
            </w:r>
          </w:p>
        </w:tc>
      </w:tr>
    </w:tbl>
    <w:p w14:paraId="0E7F7A8C" w14:textId="77777777" w:rsidR="004E1DB2" w:rsidRDefault="004E1DB2" w:rsidP="00E87D5B">
      <w:pPr>
        <w:pStyle w:val="Nadpis11"/>
        <w:rPr>
          <w:szCs w:val="32"/>
        </w:rPr>
      </w:pPr>
    </w:p>
    <w:p w14:paraId="79A0A870" w14:textId="77777777" w:rsidR="004E1DB2" w:rsidRDefault="004E1DB2">
      <w:pPr>
        <w:spacing w:after="0" w:line="240" w:lineRule="auto"/>
        <w:jc w:val="left"/>
        <w:rPr>
          <w:rFonts w:eastAsia="MS Gothic"/>
          <w:b/>
          <w:bCs/>
          <w:color w:val="71818C"/>
          <w:sz w:val="32"/>
          <w:szCs w:val="32"/>
        </w:rPr>
      </w:pPr>
      <w:r>
        <w:rPr>
          <w:szCs w:val="32"/>
        </w:rPr>
        <w:br w:type="page"/>
      </w:r>
    </w:p>
    <w:p w14:paraId="689537EA" w14:textId="4B8CF505" w:rsidR="00E87D5B" w:rsidRPr="00652444" w:rsidRDefault="00E87D5B" w:rsidP="00E87D5B">
      <w:pPr>
        <w:pStyle w:val="Nadpis11"/>
      </w:pPr>
      <w:bookmarkStart w:id="26" w:name="_Toc137721910"/>
      <w:r w:rsidRPr="00652444">
        <w:rPr>
          <w:szCs w:val="32"/>
        </w:rPr>
        <w:lastRenderedPageBreak/>
        <w:t>3</w:t>
      </w:r>
      <w:r w:rsidRPr="00652444">
        <w:t>. Výkonnost odvětví</w:t>
      </w:r>
      <w:bookmarkEnd w:id="26"/>
    </w:p>
    <w:p w14:paraId="3F8F0252" w14:textId="77777777" w:rsidR="00E87D5B" w:rsidRPr="004E1DB2" w:rsidRDefault="00E87D5B" w:rsidP="00E87D5B">
      <w:pPr>
        <w:pStyle w:val="Nadpis11"/>
        <w:rPr>
          <w:b w:val="0"/>
          <w:sz w:val="2"/>
          <w:szCs w:val="2"/>
          <w:highlight w:val="yellow"/>
        </w:rPr>
      </w:pPr>
    </w:p>
    <w:p w14:paraId="6C58D65C" w14:textId="77777777" w:rsidR="00E87D5B" w:rsidRPr="004E1DB2" w:rsidRDefault="00E87D5B" w:rsidP="00E87D5B">
      <w:pPr>
        <w:pStyle w:val="Nadpis11"/>
        <w:rPr>
          <w:b w:val="0"/>
          <w:sz w:val="2"/>
          <w:szCs w:val="2"/>
          <w:highlight w:val="yellow"/>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54"/>
        <w:gridCol w:w="185"/>
        <w:gridCol w:w="7700"/>
      </w:tblGrid>
      <w:tr w:rsidR="009360FA" w:rsidRPr="00316308" w14:paraId="73951127" w14:textId="77777777" w:rsidTr="00FD4372">
        <w:trPr>
          <w:trHeight w:val="145"/>
        </w:trPr>
        <w:tc>
          <w:tcPr>
            <w:tcW w:w="1754" w:type="dxa"/>
            <w:tcBorders>
              <w:top w:val="nil"/>
              <w:left w:val="nil"/>
              <w:bottom w:val="nil"/>
              <w:right w:val="nil"/>
            </w:tcBorders>
            <w:shd w:val="clear" w:color="auto" w:fill="auto"/>
            <w:tcMar>
              <w:left w:w="0" w:type="dxa"/>
            </w:tcMar>
          </w:tcPr>
          <w:p w14:paraId="01013916" w14:textId="77777777" w:rsidR="009360FA" w:rsidRPr="007E6076" w:rsidRDefault="009360FA" w:rsidP="00FD4372">
            <w:pPr>
              <w:pStyle w:val="Marginlie"/>
              <w:rPr>
                <w:color w:val="0D0D0D" w:themeColor="text1" w:themeTint="F2"/>
                <w:spacing w:val="-5"/>
              </w:rPr>
            </w:pPr>
            <w:r>
              <w:rPr>
                <w:color w:val="0D0D0D" w:themeColor="text1" w:themeTint="F2"/>
                <w:spacing w:val="-5"/>
              </w:rPr>
              <w:t xml:space="preserve">Hrubá přidaná hodnota poprvé překonala úroveň z konce roku 2019. Její </w:t>
            </w:r>
            <w:proofErr w:type="spellStart"/>
            <w:r>
              <w:rPr>
                <w:color w:val="0D0D0D" w:themeColor="text1" w:themeTint="F2"/>
                <w:spacing w:val="-5"/>
              </w:rPr>
              <w:t>mezikvartální</w:t>
            </w:r>
            <w:proofErr w:type="spellEnd"/>
            <w:r>
              <w:rPr>
                <w:color w:val="0D0D0D" w:themeColor="text1" w:themeTint="F2"/>
                <w:spacing w:val="-5"/>
              </w:rPr>
              <w:t xml:space="preserve"> růst byl letos tažen průmyslem, stavebnictvím a také oživením v turismu.</w:t>
            </w:r>
          </w:p>
        </w:tc>
        <w:tc>
          <w:tcPr>
            <w:tcW w:w="185" w:type="dxa"/>
            <w:tcBorders>
              <w:top w:val="nil"/>
              <w:left w:val="nil"/>
              <w:bottom w:val="nil"/>
              <w:right w:val="nil"/>
            </w:tcBorders>
            <w:shd w:val="clear" w:color="auto" w:fill="auto"/>
            <w:tcMar>
              <w:left w:w="0" w:type="dxa"/>
            </w:tcMar>
          </w:tcPr>
          <w:p w14:paraId="26F7AFF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0726B908" w14:textId="77777777" w:rsidR="009360FA" w:rsidRPr="00316308" w:rsidRDefault="009360FA" w:rsidP="00FD4372">
            <w:pPr>
              <w:spacing w:after="180"/>
              <w:rPr>
                <w:bCs/>
              </w:rPr>
            </w:pPr>
            <w:r>
              <w:t xml:space="preserve">Přestože se tuzemské hospodářství na počátku letošního roku pohybovalo na hraně recese, předběžné </w:t>
            </w:r>
            <w:r w:rsidRPr="00354F6A">
              <w:t>údaje z nabídkové strany ekonomiky naznačují, že ve srovnání</w:t>
            </w:r>
            <w:r>
              <w:t xml:space="preserve"> </w:t>
            </w:r>
            <w:r w:rsidRPr="00354F6A">
              <w:t xml:space="preserve">s 2. pololetím 2020 došlo </w:t>
            </w:r>
            <w:r>
              <w:t xml:space="preserve">k </w:t>
            </w:r>
            <w:r w:rsidRPr="00354F6A">
              <w:t>mírnému oživení.</w:t>
            </w:r>
            <w:r w:rsidRPr="00AD186F">
              <w:rPr>
                <w:b/>
                <w:bCs/>
              </w:rPr>
              <w:t xml:space="preserve"> </w:t>
            </w:r>
            <w:r w:rsidRPr="00C03F0D">
              <w:rPr>
                <w:bCs/>
              </w:rPr>
              <w:t>Hrubá přidaná hodnota</w:t>
            </w:r>
            <w:r>
              <w:rPr>
                <w:bCs/>
              </w:rPr>
              <w:t xml:space="preserve"> (HPH)</w:t>
            </w:r>
            <w:r w:rsidRPr="003D1D6D">
              <w:rPr>
                <w:rStyle w:val="Znakapoznpodarou"/>
                <w:color w:val="0D0D0D" w:themeColor="text1" w:themeTint="F2"/>
                <w:spacing w:val="-5"/>
              </w:rPr>
              <w:footnoteReference w:id="13"/>
            </w:r>
            <w:r>
              <w:rPr>
                <w:bCs/>
              </w:rPr>
              <w:t xml:space="preserve"> totiž v 1.</w:t>
            </w:r>
            <w:r w:rsidRPr="00C03F0D">
              <w:rPr>
                <w:bCs/>
              </w:rPr>
              <w:t> čtvrtletí 2023 mezičtvrtletně vzrostl</w:t>
            </w:r>
            <w:r>
              <w:rPr>
                <w:bCs/>
              </w:rPr>
              <w:t>a o 0,8 % a meziročně posílila o 1,1</w:t>
            </w:r>
            <w:r w:rsidRPr="00C03F0D">
              <w:rPr>
                <w:bCs/>
              </w:rPr>
              <w:t xml:space="preserve"> %.</w:t>
            </w:r>
            <w:r>
              <w:rPr>
                <w:bCs/>
              </w:rPr>
              <w:t xml:space="preserve"> HPH v Česku tak poprvé překonalo své maximum z </w:t>
            </w:r>
            <w:proofErr w:type="spellStart"/>
            <w:r>
              <w:rPr>
                <w:bCs/>
              </w:rPr>
              <w:t>předpandemického</w:t>
            </w:r>
            <w:proofErr w:type="spellEnd"/>
            <w:r>
              <w:rPr>
                <w:bCs/>
              </w:rPr>
              <w:t xml:space="preserve"> období, a to o pouhá </w:t>
            </w:r>
            <w:r w:rsidRPr="00EF7666">
              <w:rPr>
                <w:bCs/>
                <w:spacing w:val="-4"/>
              </w:rPr>
              <w:t>0,3 % (v EU i eurozóně se tak stalo již ve 3. čtvrtletí 2021). Mezičtvrtletní růst tuzemského</w:t>
            </w:r>
            <w:r>
              <w:rPr>
                <w:bCs/>
              </w:rPr>
              <w:t xml:space="preserve"> </w:t>
            </w:r>
            <w:r w:rsidRPr="00F37494">
              <w:rPr>
                <w:bCs/>
              </w:rPr>
              <w:t>HPH</w:t>
            </w:r>
            <w:r w:rsidRPr="00F37494">
              <w:t xml:space="preserve"> byl</w:t>
            </w:r>
            <w:r>
              <w:t xml:space="preserve"> podpořen zejména vývojem ve zpracovatelském průmyslu (příspěvek 0,5 p. b.), poloviční vliv mělo uskupení obchod, doprava, ubytování a pohostinství.</w:t>
            </w:r>
            <w:r>
              <w:rPr>
                <w:bCs/>
              </w:rPr>
              <w:t xml:space="preserve"> </w:t>
            </w:r>
            <w:r>
              <w:t xml:space="preserve">To bylo sice stále negativně ovlivňováno nižšími výdaji na konečnou spotřebu domácností (jejich </w:t>
            </w:r>
            <w:proofErr w:type="spellStart"/>
            <w:r>
              <w:t>mezikvartální</w:t>
            </w:r>
            <w:proofErr w:type="spellEnd"/>
            <w:r>
              <w:t xml:space="preserve"> pokles se ale ve srovnání se závěrem roku 2022 zmírnil), pozitivně se naopak patrně projevoval dopad pokračujícího oživení turismu.</w:t>
            </w:r>
            <w:r>
              <w:rPr>
                <w:bCs/>
              </w:rPr>
              <w:t xml:space="preserve"> </w:t>
            </w:r>
            <w:r>
              <w:t xml:space="preserve">Po krátkodobém mezičtvrtletním poklesu z konce roku 2022 se na dlouhodobou růstovou trajektorii navrátily informační a komunikační činnosti, ožil rovněž výkon stavebnictví. </w:t>
            </w:r>
          </w:p>
        </w:tc>
      </w:tr>
      <w:tr w:rsidR="009360FA" w:rsidRPr="00616A87" w14:paraId="76B476C8" w14:textId="77777777" w:rsidTr="00FD4372">
        <w:trPr>
          <w:trHeight w:val="145"/>
        </w:trPr>
        <w:tc>
          <w:tcPr>
            <w:tcW w:w="1754" w:type="dxa"/>
            <w:tcBorders>
              <w:top w:val="nil"/>
              <w:left w:val="nil"/>
              <w:bottom w:val="nil"/>
              <w:right w:val="nil"/>
            </w:tcBorders>
            <w:shd w:val="clear" w:color="auto" w:fill="auto"/>
            <w:tcMar>
              <w:left w:w="0" w:type="dxa"/>
            </w:tcMar>
          </w:tcPr>
          <w:p w14:paraId="38BFF1ED" w14:textId="77777777" w:rsidR="009360FA" w:rsidRPr="007E6076" w:rsidRDefault="009360FA" w:rsidP="00FD4372">
            <w:pPr>
              <w:pStyle w:val="Marginlie"/>
              <w:rPr>
                <w:color w:val="0D0D0D" w:themeColor="text1" w:themeTint="F2"/>
                <w:spacing w:val="-5"/>
              </w:rPr>
            </w:pPr>
            <w:r>
              <w:rPr>
                <w:color w:val="0D0D0D" w:themeColor="text1" w:themeTint="F2"/>
                <w:spacing w:val="-5"/>
              </w:rPr>
              <w:t xml:space="preserve">Mírný meziroční růst HPH pokračoval zejména díky částečnému uvolnění napětí v dodavatelských řetězcích u výrobců aut.  </w:t>
            </w:r>
          </w:p>
        </w:tc>
        <w:tc>
          <w:tcPr>
            <w:tcW w:w="185" w:type="dxa"/>
            <w:tcBorders>
              <w:top w:val="nil"/>
              <w:left w:val="nil"/>
              <w:bottom w:val="nil"/>
              <w:right w:val="nil"/>
            </w:tcBorders>
            <w:shd w:val="clear" w:color="auto" w:fill="auto"/>
            <w:tcMar>
              <w:left w:w="0" w:type="dxa"/>
            </w:tcMar>
          </w:tcPr>
          <w:p w14:paraId="36B0F0C8"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3D1200C6" w14:textId="77777777" w:rsidR="009360FA" w:rsidRPr="00616A87" w:rsidRDefault="009360FA" w:rsidP="00FD4372">
            <w:pPr>
              <w:spacing w:after="180"/>
            </w:pPr>
            <w:r>
              <w:t>K meziročním</w:t>
            </w:r>
            <w:r w:rsidRPr="00197756">
              <w:t>u růstu celkové HPH (trvajícímu osmý kvartál v řadě) přispěl v 1. čtvrtletí 2023 ne</w:t>
            </w:r>
            <w:r>
              <w:t>jvíce zpracovatelský průmysl (+1,0</w:t>
            </w:r>
            <w:r w:rsidRPr="00197756">
              <w:t xml:space="preserve"> p.</w:t>
            </w:r>
            <w:r>
              <w:t xml:space="preserve"> </w:t>
            </w:r>
            <w:r w:rsidRPr="00197756">
              <w:t>b.)</w:t>
            </w:r>
            <w:r>
              <w:t>, jenž</w:t>
            </w:r>
            <w:r>
              <w:rPr>
                <w:bCs/>
              </w:rPr>
              <w:t xml:space="preserve"> </w:t>
            </w:r>
            <w:r>
              <w:t xml:space="preserve">profitoval ze zlepšené situace výrobců automobilů (částečného uvolnění napětí v dodavatelských řetězcích, růstu </w:t>
            </w:r>
            <w:r w:rsidRPr="005D06C1">
              <w:rPr>
                <w:spacing w:val="-6"/>
              </w:rPr>
              <w:t>domácí i zahraniční po</w:t>
            </w:r>
            <w:r>
              <w:rPr>
                <w:spacing w:val="-6"/>
              </w:rPr>
              <w:t>ptávky). Opačně</w:t>
            </w:r>
            <w:r w:rsidRPr="005D06C1">
              <w:rPr>
                <w:spacing w:val="-6"/>
              </w:rPr>
              <w:t xml:space="preserve"> působila nezpracovatelská část průmyslu (</w:t>
            </w:r>
            <w:r>
              <w:rPr>
                <w:spacing w:val="-6"/>
              </w:rPr>
              <w:t>−</w:t>
            </w:r>
            <w:r w:rsidRPr="005D06C1">
              <w:rPr>
                <w:spacing w:val="-6"/>
              </w:rPr>
              <w:t>0,6 </w:t>
            </w:r>
            <w:r>
              <w:rPr>
                <w:spacing w:val="-6"/>
              </w:rPr>
              <w:t>p. b.</w:t>
            </w:r>
            <w:r w:rsidRPr="005D06C1">
              <w:rPr>
                <w:spacing w:val="-6"/>
              </w:rPr>
              <w:t>,</w:t>
            </w:r>
            <w:r>
              <w:t xml:space="preserve"> a to vlivem klesajících výkonů těžby a dobývání či úspor domácností a firem v oblasti energií) a dále též uskupení obchod, doprava, ubytování a pohostinství (−0,5 p. b.). Zbývajícím odvětvím služeb se však dařilo (příspěvek k růstu celkové HPH +1,4 p. b.). V části služeb ještě letos dozníval efekt </w:t>
            </w:r>
            <w:proofErr w:type="spellStart"/>
            <w:r>
              <w:t>postpandemického</w:t>
            </w:r>
            <w:proofErr w:type="spellEnd"/>
            <w:r>
              <w:t xml:space="preserve"> oživení. HPH v odvětví zemědělství, lesnictví a rybářství v 1. čtvrtletí 2023 po poklesech v předchozích dvou letech (primárně vlivem klesající živelní těžby dřeva) mírně vzrostla</w:t>
            </w:r>
            <w:r>
              <w:rPr>
                <w:rStyle w:val="Znakapoznpodarou"/>
              </w:rPr>
              <w:footnoteReference w:id="14"/>
            </w:r>
            <w:r>
              <w:t xml:space="preserve">. </w:t>
            </w:r>
          </w:p>
        </w:tc>
      </w:tr>
      <w:tr w:rsidR="009360FA" w:rsidRPr="003D1D6D" w14:paraId="6D8C5982" w14:textId="77777777" w:rsidTr="00FD4372">
        <w:trPr>
          <w:trHeight w:val="145"/>
        </w:trPr>
        <w:tc>
          <w:tcPr>
            <w:tcW w:w="1754" w:type="dxa"/>
            <w:tcBorders>
              <w:top w:val="nil"/>
              <w:left w:val="nil"/>
              <w:bottom w:val="nil"/>
              <w:right w:val="nil"/>
            </w:tcBorders>
            <w:shd w:val="clear" w:color="auto" w:fill="auto"/>
            <w:tcMar>
              <w:left w:w="0" w:type="dxa"/>
            </w:tcMar>
          </w:tcPr>
          <w:p w14:paraId="043DC21B" w14:textId="77777777" w:rsidR="009360FA" w:rsidRDefault="009360FA" w:rsidP="00FD4372">
            <w:pPr>
              <w:pStyle w:val="Marginlie"/>
              <w:rPr>
                <w:color w:val="0D0D0D" w:themeColor="text1" w:themeTint="F2"/>
                <w:spacing w:val="-4"/>
              </w:rPr>
            </w:pPr>
            <w:r>
              <w:rPr>
                <w:color w:val="0D0D0D" w:themeColor="text1" w:themeTint="F2"/>
                <w:spacing w:val="-4"/>
              </w:rPr>
              <w:t>Navzdory nepříznivým vnějším i vnitřním faktorům se průmyslová produkce na přelomu let 2022 a 2023 významně nesnížila.</w:t>
            </w:r>
          </w:p>
        </w:tc>
        <w:tc>
          <w:tcPr>
            <w:tcW w:w="185" w:type="dxa"/>
            <w:tcBorders>
              <w:top w:val="nil"/>
              <w:left w:val="nil"/>
              <w:bottom w:val="nil"/>
              <w:right w:val="nil"/>
            </w:tcBorders>
            <w:shd w:val="clear" w:color="auto" w:fill="auto"/>
            <w:tcMar>
              <w:left w:w="0" w:type="dxa"/>
            </w:tcMar>
          </w:tcPr>
          <w:p w14:paraId="504C4B91"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19FBD7A3" w14:textId="77777777" w:rsidR="009360FA" w:rsidRPr="003D1D6D" w:rsidRDefault="009360FA" w:rsidP="00FD4372">
            <w:pPr>
              <w:spacing w:after="180"/>
              <w:rPr>
                <w:spacing w:val="-5"/>
              </w:rPr>
            </w:pPr>
            <w:r>
              <w:rPr>
                <w:spacing w:val="-4"/>
              </w:rPr>
              <w:t>Také ú</w:t>
            </w:r>
            <w:r w:rsidRPr="008D3CD4">
              <w:rPr>
                <w:spacing w:val="-4"/>
              </w:rPr>
              <w:t xml:space="preserve">daje </w:t>
            </w:r>
            <w:r w:rsidRPr="008D3CD4">
              <w:rPr>
                <w:color w:val="0D0D0D" w:themeColor="text1" w:themeTint="F2"/>
                <w:spacing w:val="-4"/>
              </w:rPr>
              <w:t>z podnikových statistik potvrzují, že</w:t>
            </w:r>
            <w:r>
              <w:rPr>
                <w:color w:val="0D0D0D" w:themeColor="text1" w:themeTint="F2"/>
                <w:spacing w:val="-4"/>
              </w:rPr>
              <w:t xml:space="preserve"> tuzemský průmysl se dosud obstojně vypořádával se složitými vnitřními i</w:t>
            </w:r>
            <w:r w:rsidRPr="00197756">
              <w:t> </w:t>
            </w:r>
            <w:r>
              <w:rPr>
                <w:color w:val="0D0D0D" w:themeColor="text1" w:themeTint="F2"/>
                <w:spacing w:val="-4"/>
              </w:rPr>
              <w:t>vnějšími ekonomickými a politickými podmínkami. K dobré odolnosti průmyslu přispívá vedle výhody plynoucí z jeho vnitřní oborové diverzifikace také</w:t>
            </w:r>
            <w:r>
              <w:t xml:space="preserve"> </w:t>
            </w:r>
            <w:r>
              <w:rPr>
                <w:color w:val="0D0D0D" w:themeColor="text1" w:themeTint="F2"/>
                <w:spacing w:val="-4"/>
              </w:rPr>
              <w:t>skutečnost, že investiční aktivita v české ekonomice i v EU nebyla po většinu loňského roku významně omezována. Průmyslová produkce</w:t>
            </w:r>
            <w:r w:rsidRPr="008D3CD4">
              <w:rPr>
                <w:rStyle w:val="Znakapoznpodarou"/>
                <w:color w:val="0D0D0D" w:themeColor="text1" w:themeTint="F2"/>
                <w:spacing w:val="-4"/>
              </w:rPr>
              <w:footnoteReference w:id="15"/>
            </w:r>
            <w:r>
              <w:rPr>
                <w:color w:val="0D0D0D" w:themeColor="text1" w:themeTint="F2"/>
                <w:spacing w:val="-4"/>
              </w:rPr>
              <w:t xml:space="preserve">, která loni ve 3. čtvrtletí poprvé překonala úroveň vrcholu </w:t>
            </w:r>
            <w:proofErr w:type="spellStart"/>
            <w:r>
              <w:rPr>
                <w:color w:val="0D0D0D" w:themeColor="text1" w:themeTint="F2"/>
                <w:spacing w:val="-4"/>
              </w:rPr>
              <w:t>předpandemické</w:t>
            </w:r>
            <w:proofErr w:type="spellEnd"/>
            <w:r>
              <w:rPr>
                <w:color w:val="0D0D0D" w:themeColor="text1" w:themeTint="F2"/>
                <w:spacing w:val="-4"/>
              </w:rPr>
              <w:t xml:space="preserve"> konjunktury, se v následujících obdobích snížila pouze mírně (v</w:t>
            </w:r>
            <w:r w:rsidRPr="00197756">
              <w:t> </w:t>
            </w:r>
            <w:r>
              <w:rPr>
                <w:color w:val="0D0D0D" w:themeColor="text1" w:themeTint="F2"/>
                <w:spacing w:val="-4"/>
              </w:rPr>
              <w:t>1.</w:t>
            </w:r>
            <w:r w:rsidRPr="00197756">
              <w:t> </w:t>
            </w:r>
            <w:r>
              <w:rPr>
                <w:color w:val="0D0D0D" w:themeColor="text1" w:themeTint="F2"/>
                <w:spacing w:val="-4"/>
              </w:rPr>
              <w:t xml:space="preserve">čtvrtletí 2023 zaostala za výší z konce loňského roku o 0,4 %). Na tomto relativně příznivém vývoji měla významný podíl výroba automobilů, která z velké části tlumila dopad snížené produkce řady energeticky náročných oborů i dalších segmentů průmyslu zasažených cyklickým útlumem poptávky. </w:t>
            </w:r>
          </w:p>
        </w:tc>
      </w:tr>
      <w:tr w:rsidR="009360FA" w:rsidRPr="008C2F46" w14:paraId="564F38A1" w14:textId="77777777" w:rsidTr="00FD4372">
        <w:trPr>
          <w:trHeight w:val="145"/>
        </w:trPr>
        <w:tc>
          <w:tcPr>
            <w:tcW w:w="1754" w:type="dxa"/>
            <w:tcBorders>
              <w:top w:val="nil"/>
              <w:left w:val="nil"/>
              <w:bottom w:val="nil"/>
              <w:right w:val="nil"/>
            </w:tcBorders>
            <w:shd w:val="clear" w:color="auto" w:fill="auto"/>
            <w:tcMar>
              <w:left w:w="0" w:type="dxa"/>
            </w:tcMar>
          </w:tcPr>
          <w:p w14:paraId="3C52D380" w14:textId="77777777" w:rsidR="009360FA" w:rsidRPr="00D40A02" w:rsidRDefault="009360FA" w:rsidP="00FD4372">
            <w:pPr>
              <w:pStyle w:val="Marginlie"/>
              <w:rPr>
                <w:color w:val="0D0D0D" w:themeColor="text1" w:themeTint="F2"/>
                <w:spacing w:val="-5"/>
              </w:rPr>
            </w:pPr>
            <w:r w:rsidRPr="00D40A02">
              <w:rPr>
                <w:color w:val="0D0D0D" w:themeColor="text1" w:themeTint="F2"/>
                <w:spacing w:val="-5"/>
              </w:rPr>
              <w:t>Za silným meziročním růstem automobilového průmysl</w:t>
            </w:r>
            <w:r>
              <w:rPr>
                <w:color w:val="0D0D0D" w:themeColor="text1" w:themeTint="F2"/>
                <w:spacing w:val="-5"/>
              </w:rPr>
              <w:t>u</w:t>
            </w:r>
            <w:r w:rsidRPr="00D40A02">
              <w:rPr>
                <w:color w:val="0D0D0D" w:themeColor="text1" w:themeTint="F2"/>
                <w:spacing w:val="-5"/>
              </w:rPr>
              <w:t xml:space="preserve"> stála zejména nižší loňská základna.</w:t>
            </w:r>
            <w:r>
              <w:rPr>
                <w:color w:val="0D0D0D" w:themeColor="text1" w:themeTint="F2"/>
                <w:spacing w:val="-5"/>
              </w:rPr>
              <w:t xml:space="preserve"> I </w:t>
            </w:r>
            <w:r w:rsidRPr="00D40A02">
              <w:rPr>
                <w:color w:val="0D0D0D" w:themeColor="text1" w:themeTint="F2"/>
                <w:spacing w:val="-5"/>
              </w:rPr>
              <w:t xml:space="preserve">přes současné zlepšení </w:t>
            </w:r>
            <w:r>
              <w:rPr>
                <w:color w:val="0D0D0D" w:themeColor="text1" w:themeTint="F2"/>
                <w:spacing w:val="-5"/>
              </w:rPr>
              <w:t xml:space="preserve">automobilky stále </w:t>
            </w:r>
            <w:r w:rsidRPr="00D40A02">
              <w:rPr>
                <w:color w:val="0D0D0D" w:themeColor="text1" w:themeTint="F2"/>
                <w:spacing w:val="-5"/>
              </w:rPr>
              <w:t>vnímají</w:t>
            </w:r>
            <w:r>
              <w:rPr>
                <w:color w:val="0D0D0D" w:themeColor="text1" w:themeTint="F2"/>
                <w:spacing w:val="-5"/>
              </w:rPr>
              <w:t xml:space="preserve"> nedostupnost výrobních komponent</w:t>
            </w:r>
            <w:r w:rsidRPr="00D40A02">
              <w:rPr>
                <w:color w:val="0D0D0D" w:themeColor="text1" w:themeTint="F2"/>
                <w:spacing w:val="-5"/>
              </w:rPr>
              <w:t xml:space="preserve"> jako budoucí hrozbu.</w:t>
            </w:r>
          </w:p>
        </w:tc>
        <w:tc>
          <w:tcPr>
            <w:tcW w:w="185" w:type="dxa"/>
            <w:tcBorders>
              <w:top w:val="nil"/>
              <w:left w:val="nil"/>
              <w:bottom w:val="nil"/>
              <w:right w:val="nil"/>
            </w:tcBorders>
            <w:shd w:val="clear" w:color="auto" w:fill="auto"/>
            <w:tcMar>
              <w:left w:w="0" w:type="dxa"/>
            </w:tcMar>
          </w:tcPr>
          <w:p w14:paraId="5088B854"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28145EC3" w14:textId="77777777" w:rsidR="009360FA" w:rsidRPr="008C2F46" w:rsidRDefault="009360FA" w:rsidP="00FD4372">
            <w:pPr>
              <w:spacing w:after="0"/>
              <w:rPr>
                <w:spacing w:val="-5"/>
              </w:rPr>
            </w:pPr>
            <w:r w:rsidRPr="008C2F46">
              <w:rPr>
                <w:spacing w:val="-5"/>
              </w:rPr>
              <w:t xml:space="preserve">V meziročním pohledu průmyslová produkce v 1. čtvrtletí 2023 </w:t>
            </w:r>
            <w:r>
              <w:rPr>
                <w:spacing w:val="-5"/>
              </w:rPr>
              <w:t xml:space="preserve">velmi mírně vzrostla </w:t>
            </w:r>
            <w:r>
              <w:rPr>
                <w:spacing w:val="-5"/>
              </w:rPr>
              <w:br/>
              <w:t>(+1,2</w:t>
            </w:r>
            <w:r w:rsidRPr="008C2F46">
              <w:rPr>
                <w:spacing w:val="-5"/>
              </w:rPr>
              <w:t xml:space="preserve"> %). Zásadní roli zde sehráli výrobci mot</w:t>
            </w:r>
            <w:r>
              <w:rPr>
                <w:spacing w:val="-5"/>
              </w:rPr>
              <w:t>orových vozidel (příspěvek + 4,9</w:t>
            </w:r>
            <w:r w:rsidRPr="008C2F46">
              <w:rPr>
                <w:spacing w:val="-5"/>
              </w:rPr>
              <w:t xml:space="preserve"> p. b.), neboť výkon </w:t>
            </w:r>
            <w:r>
              <w:rPr>
                <w:spacing w:val="-5"/>
              </w:rPr>
              <w:t>více než dvou třetin</w:t>
            </w:r>
            <w:r w:rsidRPr="008C2F46">
              <w:rPr>
                <w:spacing w:val="-5"/>
              </w:rPr>
              <w:t xml:space="preserve"> průmyslových oborů zůstal pod loňskou úrovní. Produkce v automobilovém průmyslu byla naopak o více než čtvrtinu</w:t>
            </w:r>
            <w:r>
              <w:rPr>
                <w:spacing w:val="-5"/>
              </w:rPr>
              <w:t xml:space="preserve"> vyšší, z velké části šlo ovšem </w:t>
            </w:r>
            <w:r w:rsidRPr="008C2F46">
              <w:rPr>
                <w:spacing w:val="-5"/>
              </w:rPr>
              <w:t>o</w:t>
            </w:r>
            <w:r>
              <w:rPr>
                <w:spacing w:val="-5"/>
              </w:rPr>
              <w:t> </w:t>
            </w:r>
            <w:r w:rsidRPr="008C2F46">
              <w:rPr>
                <w:spacing w:val="-5"/>
              </w:rPr>
              <w:t>kompenzaci nižší výroby z období na počá</w:t>
            </w:r>
            <w:r>
              <w:rPr>
                <w:spacing w:val="-5"/>
              </w:rPr>
              <w:t xml:space="preserve">tku loňského roku (kdy problémy </w:t>
            </w:r>
            <w:r w:rsidRPr="008C2F46">
              <w:rPr>
                <w:spacing w:val="-5"/>
              </w:rPr>
              <w:t xml:space="preserve">v dodavatelských řetězcích eskalovaly vinou </w:t>
            </w:r>
            <w:r w:rsidRPr="008C2F46">
              <w:rPr>
                <w:color w:val="0D0D0D" w:themeColor="text1" w:themeTint="F2"/>
                <w:spacing w:val="-5"/>
              </w:rPr>
              <w:t xml:space="preserve">zmrazení výroby některých zdrojových komponent v Číně i na Ukrajině). Znatelné zotavení výroby automobilů dokládají i údaje </w:t>
            </w:r>
            <w:r>
              <w:rPr>
                <w:color w:val="0D0D0D" w:themeColor="text1" w:themeTint="F2"/>
                <w:spacing w:val="-5"/>
              </w:rPr>
              <w:br/>
            </w:r>
            <w:r w:rsidRPr="008C2F46">
              <w:rPr>
                <w:color w:val="0D0D0D" w:themeColor="text1" w:themeTint="F2"/>
                <w:spacing w:val="-5"/>
              </w:rPr>
              <w:lastRenderedPageBreak/>
              <w:t>o fyzické produkci</w:t>
            </w:r>
            <w:r w:rsidRPr="008C2F46">
              <w:rPr>
                <w:rStyle w:val="Znakapoznpodarou"/>
                <w:color w:val="0D0D0D" w:themeColor="text1" w:themeTint="F2"/>
                <w:spacing w:val="-5"/>
              </w:rPr>
              <w:footnoteReference w:id="16"/>
            </w:r>
            <w:r w:rsidRPr="008C2F46">
              <w:rPr>
                <w:color w:val="0D0D0D" w:themeColor="text1" w:themeTint="F2"/>
                <w:spacing w:val="-5"/>
              </w:rPr>
              <w:t xml:space="preserve">. </w:t>
            </w:r>
            <w:r>
              <w:rPr>
                <w:color w:val="0D0D0D" w:themeColor="text1" w:themeTint="F2"/>
                <w:spacing w:val="-5"/>
              </w:rPr>
              <w:t>Zlepšení dříve váznoucích dodávek některých výrobních komponentů se odrazilo citelným zvýšením využití výrobních kapacit automobilového průmyslu (to na počátku 2. čtvrtletí 2023 přesáhlo 90 % a vrátilo se na předkrizovou úroveň). Nedostatek materiálu či zařízení však velká většina firem v tomto oboru stále vnímá jako důležitou růstovou bariéru.</w:t>
            </w:r>
          </w:p>
          <w:p w14:paraId="30841610" w14:textId="77777777" w:rsidR="009360FA" w:rsidRPr="008C2F46" w:rsidRDefault="009360FA" w:rsidP="00FD4372">
            <w:pPr>
              <w:spacing w:after="0"/>
              <w:rPr>
                <w:spacing w:val="-5"/>
              </w:rPr>
            </w:pPr>
          </w:p>
        </w:tc>
      </w:tr>
      <w:tr w:rsidR="009360FA" w:rsidRPr="00D40A02" w14:paraId="6D1B7750" w14:textId="77777777" w:rsidTr="00FD4372">
        <w:trPr>
          <w:trHeight w:val="145"/>
        </w:trPr>
        <w:tc>
          <w:tcPr>
            <w:tcW w:w="1754" w:type="dxa"/>
            <w:tcBorders>
              <w:top w:val="nil"/>
              <w:left w:val="nil"/>
              <w:bottom w:val="nil"/>
              <w:right w:val="nil"/>
            </w:tcBorders>
            <w:shd w:val="clear" w:color="auto" w:fill="auto"/>
            <w:tcMar>
              <w:left w:w="0" w:type="dxa"/>
            </w:tcMar>
          </w:tcPr>
          <w:p w14:paraId="383C6A01" w14:textId="77777777" w:rsidR="009360FA" w:rsidRPr="00A27018" w:rsidRDefault="009360FA" w:rsidP="00FD4372">
            <w:pPr>
              <w:pStyle w:val="Marginlie"/>
              <w:rPr>
                <w:color w:val="0D0D0D" w:themeColor="text1" w:themeTint="F2"/>
                <w:spacing w:val="-5"/>
              </w:rPr>
            </w:pPr>
            <w:r w:rsidRPr="00A27018">
              <w:rPr>
                <w:color w:val="0D0D0D" w:themeColor="text1" w:themeTint="F2"/>
                <w:spacing w:val="-5"/>
              </w:rPr>
              <w:lastRenderedPageBreak/>
              <w:t>Z významnějších oborů podpořily růst průmyslové produkce také s</w:t>
            </w:r>
            <w:r>
              <w:rPr>
                <w:color w:val="0D0D0D" w:themeColor="text1" w:themeTint="F2"/>
                <w:spacing w:val="-5"/>
              </w:rPr>
              <w:t xml:space="preserve">trojírenství a elektrotechnika, </w:t>
            </w:r>
            <w:r w:rsidRPr="00A27018">
              <w:rPr>
                <w:color w:val="0D0D0D" w:themeColor="text1" w:themeTint="F2"/>
                <w:spacing w:val="-5"/>
              </w:rPr>
              <w:t>z malých</w:t>
            </w:r>
            <w:r>
              <w:rPr>
                <w:color w:val="0D0D0D" w:themeColor="text1" w:themeTint="F2"/>
                <w:spacing w:val="-5"/>
              </w:rPr>
              <w:t xml:space="preserve"> oborů oděvnictví, obuvnictví a</w:t>
            </w:r>
            <w:r w:rsidRPr="00A27018">
              <w:rPr>
                <w:color w:val="0D0D0D" w:themeColor="text1" w:themeTint="F2"/>
                <w:spacing w:val="-5"/>
              </w:rPr>
              <w:t> farmacie.</w:t>
            </w:r>
          </w:p>
        </w:tc>
        <w:tc>
          <w:tcPr>
            <w:tcW w:w="185" w:type="dxa"/>
            <w:tcBorders>
              <w:top w:val="nil"/>
              <w:left w:val="nil"/>
              <w:bottom w:val="nil"/>
              <w:right w:val="nil"/>
            </w:tcBorders>
            <w:shd w:val="clear" w:color="auto" w:fill="auto"/>
            <w:tcMar>
              <w:left w:w="0" w:type="dxa"/>
            </w:tcMar>
          </w:tcPr>
          <w:p w14:paraId="00BB8953" w14:textId="77777777" w:rsidR="009360FA" w:rsidRPr="00D40A02"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358FEA47" w14:textId="77777777" w:rsidR="009360FA" w:rsidRPr="00D40A02" w:rsidRDefault="009360FA" w:rsidP="00FD4372">
            <w:pPr>
              <w:spacing w:after="220"/>
              <w:rPr>
                <w:color w:val="0D0D0D" w:themeColor="text1" w:themeTint="F2"/>
                <w:spacing w:val="-4"/>
              </w:rPr>
            </w:pPr>
            <w:r>
              <w:rPr>
                <w:color w:val="0D0D0D" w:themeColor="text1" w:themeTint="F2"/>
                <w:spacing w:val="-4"/>
              </w:rPr>
              <w:t xml:space="preserve">Oproti výrobcům automobilů řádově menší, avšak stále relativně významný vliv na růst průmyslové produkce mělo letos v 1. čtvrtletí strojírenství a také výroba elektrických zařízení (obě odvětví shodně přispěla 0,35 p. b., při vlastním růstu mírně přesahujícím 4 %). Elektrotechnice pomáhala zvýšená poptávka související s pokračujícím posilováním automobilového průmyslu, diverzifikovaný obor strojírenství se mohl opřít o solidní poptávku z tuzemska i zahraničí. Mírný 5% růst produkce zaznamenala také výroba </w:t>
            </w:r>
            <w:r w:rsidRPr="0065741A">
              <w:rPr>
                <w:color w:val="0D0D0D" w:themeColor="text1" w:themeTint="F2"/>
                <w:spacing w:val="-4"/>
              </w:rPr>
              <w:t>počítačů, elektronických a optických přístrojů</w:t>
            </w:r>
            <w:r>
              <w:rPr>
                <w:color w:val="0D0D0D" w:themeColor="text1" w:themeTint="F2"/>
                <w:spacing w:val="-4"/>
              </w:rPr>
              <w:t xml:space="preserve">. Tomuto tradičně silně proexportnímu odvětví letos pomáhala domácí poptávka související mj. i s dynamicky rostoucím trhem v oblasti </w:t>
            </w:r>
            <w:proofErr w:type="spellStart"/>
            <w:r>
              <w:rPr>
                <w:color w:val="0D0D0D" w:themeColor="text1" w:themeTint="F2"/>
                <w:spacing w:val="-4"/>
              </w:rPr>
              <w:t>fotovoltaiky</w:t>
            </w:r>
            <w:proofErr w:type="spellEnd"/>
            <w:r>
              <w:rPr>
                <w:color w:val="0D0D0D" w:themeColor="text1" w:themeTint="F2"/>
                <w:spacing w:val="-4"/>
              </w:rPr>
              <w:t xml:space="preserve">. Zejména tuzemská poptávka podporovala i odvětví opravy strojů a zařízení, kde svižný růst produkce pokračoval druhý rok v řadě. Z malých oborů vykázal letos nejvyšší růst produkce kožedělný a obuvnický průmysl (14,3 %), v pozadí oživení zde stála, podobně jako vloni, hlavně zahraniční poptávka. Dařilo se i oděvnictví a farmacii, jejichž tempo růstu produkce však oproti loňskému roku zvolnilo. </w:t>
            </w:r>
          </w:p>
        </w:tc>
      </w:tr>
      <w:tr w:rsidR="009360FA" w:rsidRPr="00686504" w14:paraId="52403D05" w14:textId="77777777" w:rsidTr="00FD4372">
        <w:trPr>
          <w:trHeight w:val="145"/>
        </w:trPr>
        <w:tc>
          <w:tcPr>
            <w:tcW w:w="1754" w:type="dxa"/>
            <w:tcBorders>
              <w:top w:val="nil"/>
              <w:left w:val="nil"/>
              <w:bottom w:val="nil"/>
              <w:right w:val="nil"/>
            </w:tcBorders>
            <w:shd w:val="clear" w:color="auto" w:fill="auto"/>
            <w:tcMar>
              <w:left w:w="0" w:type="dxa"/>
            </w:tcMar>
          </w:tcPr>
          <w:p w14:paraId="51BD3558" w14:textId="77777777" w:rsidR="009360FA" w:rsidRPr="00AC49FC" w:rsidRDefault="009360FA" w:rsidP="00FD4372">
            <w:pPr>
              <w:pStyle w:val="Marginlie"/>
              <w:rPr>
                <w:color w:val="0D0D0D" w:themeColor="text1" w:themeTint="F2"/>
                <w:spacing w:val="-4"/>
              </w:rPr>
            </w:pPr>
            <w:r>
              <w:rPr>
                <w:color w:val="0D0D0D" w:themeColor="text1" w:themeTint="F2"/>
                <w:spacing w:val="-4"/>
              </w:rPr>
              <w:t>Klesající poptávka spolu s prudkým růstem výrobních nákladů vedly k pokračujícímu propadu produkce v energeticky nejnáročnějších zpracovatelských odvětvích.</w:t>
            </w:r>
          </w:p>
        </w:tc>
        <w:tc>
          <w:tcPr>
            <w:tcW w:w="185" w:type="dxa"/>
            <w:tcBorders>
              <w:top w:val="nil"/>
              <w:left w:val="nil"/>
              <w:bottom w:val="nil"/>
              <w:right w:val="nil"/>
            </w:tcBorders>
            <w:shd w:val="clear" w:color="auto" w:fill="auto"/>
            <w:tcMar>
              <w:left w:w="0" w:type="dxa"/>
            </w:tcMar>
          </w:tcPr>
          <w:p w14:paraId="62B43F6B" w14:textId="77777777" w:rsidR="009360FA" w:rsidRPr="00AC49FC"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37F1CC88" w14:textId="77777777" w:rsidR="009360FA" w:rsidRPr="00686504" w:rsidRDefault="009360FA" w:rsidP="00FD4372">
            <w:pPr>
              <w:spacing w:after="200"/>
              <w:rPr>
                <w:color w:val="0D0D0D" w:themeColor="text1" w:themeTint="F2"/>
                <w:spacing w:val="-4"/>
              </w:rPr>
            </w:pPr>
            <w:r>
              <w:rPr>
                <w:color w:val="0D0D0D" w:themeColor="text1" w:themeTint="F2"/>
                <w:spacing w:val="-4"/>
              </w:rPr>
              <w:t>Do stále složitější situace se naopak propadala</w:t>
            </w:r>
            <w:r w:rsidRPr="009E1798">
              <w:rPr>
                <w:color w:val="0D0D0D" w:themeColor="text1" w:themeTint="F2"/>
                <w:spacing w:val="-4"/>
              </w:rPr>
              <w:t xml:space="preserve"> </w:t>
            </w:r>
            <w:r>
              <w:rPr>
                <w:color w:val="0D0D0D" w:themeColor="text1" w:themeTint="F2"/>
                <w:spacing w:val="-4"/>
              </w:rPr>
              <w:t xml:space="preserve">významná </w:t>
            </w:r>
            <w:r w:rsidRPr="00AC49FC">
              <w:rPr>
                <w:color w:val="0D0D0D" w:themeColor="text1" w:themeTint="F2"/>
                <w:spacing w:val="-4"/>
              </w:rPr>
              <w:t xml:space="preserve">energeticky </w:t>
            </w:r>
            <w:r>
              <w:rPr>
                <w:color w:val="0D0D0D" w:themeColor="text1" w:themeTint="F2"/>
                <w:spacing w:val="-4"/>
              </w:rPr>
              <w:t xml:space="preserve">velmi </w:t>
            </w:r>
            <w:r w:rsidRPr="00AC49FC">
              <w:rPr>
                <w:color w:val="0D0D0D" w:themeColor="text1" w:themeTint="F2"/>
                <w:spacing w:val="-4"/>
              </w:rPr>
              <w:t>náročná odvětví chemického, hutnického a kovodělného průmyslu či výroby stavebních hmot. Po rychlém zotavení v roce 2021, k</w:t>
            </w:r>
            <w:r>
              <w:rPr>
                <w:color w:val="0D0D0D" w:themeColor="text1" w:themeTint="F2"/>
                <w:spacing w:val="-4"/>
              </w:rPr>
              <w:t>dy výkon těchto oborů díky svižné poptávce</w:t>
            </w:r>
            <w:r w:rsidRPr="00AC49FC">
              <w:rPr>
                <w:color w:val="0D0D0D" w:themeColor="text1" w:themeTint="F2"/>
                <w:spacing w:val="-4"/>
              </w:rPr>
              <w:t xml:space="preserve"> z tuzemska </w:t>
            </w:r>
            <w:r>
              <w:rPr>
                <w:color w:val="0D0D0D" w:themeColor="text1" w:themeTint="F2"/>
                <w:spacing w:val="-4"/>
              </w:rPr>
              <w:t>i</w:t>
            </w:r>
            <w:r w:rsidRPr="00AC49FC">
              <w:rPr>
                <w:color w:val="0D0D0D" w:themeColor="text1" w:themeTint="F2"/>
                <w:spacing w:val="-4"/>
              </w:rPr>
              <w:t> </w:t>
            </w:r>
            <w:r>
              <w:rPr>
                <w:color w:val="0D0D0D" w:themeColor="text1" w:themeTint="F2"/>
                <w:spacing w:val="-4"/>
              </w:rPr>
              <w:t xml:space="preserve">zahraničí vystoupal nad úroveň z předkrizového roku 2019, docházelo vlivem prudkého růstu cen vstupů k útlumu, jenž se během druhého loňského pololetí prohluboval. Tento vývoj pokračoval rovněž v 1. čtvrtletí 2023, kdy v těchto oborech produkce meziročně propadla o více než 15 % (výjimkou byla kovovýroba, kde mohl být útlum energeticky náročných segmentů zčásti kompenzován i rozvojem zbrojní výroby). Řádově méně poklesla produkce v gumárenství a </w:t>
            </w:r>
            <w:proofErr w:type="spellStart"/>
            <w:r>
              <w:rPr>
                <w:color w:val="0D0D0D" w:themeColor="text1" w:themeTint="F2"/>
                <w:spacing w:val="-4"/>
              </w:rPr>
              <w:t>plastikářství</w:t>
            </w:r>
            <w:proofErr w:type="spellEnd"/>
            <w:r>
              <w:rPr>
                <w:color w:val="0D0D0D" w:themeColor="text1" w:themeTint="F2"/>
                <w:spacing w:val="-4"/>
              </w:rPr>
              <w:t xml:space="preserve"> (−2,3 %), kde se ovšem zatím příliš neprojevil dopad solidní poptávky v související výrobě motorových vozidel. S vysokým růstem výrobních nákladů spolu se slábnoucí poptávkou tuzemských spotřebitelů se potýkalo i potravinářství, jehož pokles produkce se letos prohloubil na významných 4,2 %. </w:t>
            </w:r>
          </w:p>
        </w:tc>
      </w:tr>
      <w:tr w:rsidR="009360FA" w14:paraId="096F6F23" w14:textId="77777777" w:rsidTr="00FD4372">
        <w:trPr>
          <w:trHeight w:val="145"/>
        </w:trPr>
        <w:tc>
          <w:tcPr>
            <w:tcW w:w="1754" w:type="dxa"/>
            <w:tcBorders>
              <w:top w:val="nil"/>
              <w:left w:val="nil"/>
              <w:bottom w:val="nil"/>
              <w:right w:val="nil"/>
            </w:tcBorders>
            <w:shd w:val="clear" w:color="auto" w:fill="auto"/>
            <w:tcMar>
              <w:left w:w="0" w:type="dxa"/>
            </w:tcMar>
          </w:tcPr>
          <w:p w14:paraId="0571CAD4" w14:textId="77777777" w:rsidR="009360FA" w:rsidRDefault="009360FA" w:rsidP="00FD4372">
            <w:pPr>
              <w:pStyle w:val="Marginlie"/>
              <w:rPr>
                <w:color w:val="0D0D0D" w:themeColor="text1" w:themeTint="F2"/>
                <w:spacing w:val="-4"/>
              </w:rPr>
            </w:pPr>
            <w:r>
              <w:rPr>
                <w:color w:val="0D0D0D" w:themeColor="text1" w:themeTint="F2"/>
                <w:spacing w:val="-4"/>
              </w:rPr>
              <w:t>Dvojciferný pokles produkce postihl i řadu menších zpracovatelských oborů.</w:t>
            </w:r>
          </w:p>
        </w:tc>
        <w:tc>
          <w:tcPr>
            <w:tcW w:w="185" w:type="dxa"/>
            <w:tcBorders>
              <w:top w:val="nil"/>
              <w:left w:val="nil"/>
              <w:bottom w:val="nil"/>
              <w:right w:val="nil"/>
            </w:tcBorders>
            <w:shd w:val="clear" w:color="auto" w:fill="auto"/>
            <w:tcMar>
              <w:left w:w="0" w:type="dxa"/>
            </w:tcMar>
          </w:tcPr>
          <w:p w14:paraId="797ECA9A" w14:textId="77777777" w:rsidR="009360FA" w:rsidRPr="00AC49FC"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102F80DE" w14:textId="77777777" w:rsidR="009360FA" w:rsidRDefault="009360FA" w:rsidP="00FD4372">
            <w:pPr>
              <w:spacing w:after="200"/>
              <w:rPr>
                <w:color w:val="0D0D0D" w:themeColor="text1" w:themeTint="F2"/>
                <w:spacing w:val="-4"/>
              </w:rPr>
            </w:pPr>
            <w:r>
              <w:rPr>
                <w:color w:val="0D0D0D" w:themeColor="text1" w:themeTint="F2"/>
                <w:spacing w:val="-4"/>
              </w:rPr>
              <w:t xml:space="preserve">S poklesem poptávky se v 1. čtvrtletí potýkala i většina menších zpracovatelských oborů. V tiskárenství tak propadla produkce meziročně skoro o 18 %, v textilním průmyslu o 14 %. V dřevozpracujícím průmyslu pokračoval pokles produkce započatý loni. Efekt nižší těžby dřeva vlivem ústupu kůrovcové kalamity tak převážil nad vlivem rostoucí poptávky po dřevě během energetické krize. O více než desetinu se letos snížil také výkon v navazujícím papírenském a nábytkářském průmyslu. </w:t>
            </w:r>
          </w:p>
        </w:tc>
      </w:tr>
      <w:tr w:rsidR="009360FA" w:rsidRPr="005447DB" w14:paraId="26454C8C" w14:textId="77777777" w:rsidTr="00FD4372">
        <w:trPr>
          <w:trHeight w:val="145"/>
        </w:trPr>
        <w:tc>
          <w:tcPr>
            <w:tcW w:w="1754" w:type="dxa"/>
            <w:tcBorders>
              <w:top w:val="nil"/>
              <w:left w:val="nil"/>
              <w:bottom w:val="nil"/>
              <w:right w:val="nil"/>
            </w:tcBorders>
            <w:shd w:val="clear" w:color="auto" w:fill="auto"/>
            <w:tcMar>
              <w:left w:w="0" w:type="dxa"/>
            </w:tcMar>
          </w:tcPr>
          <w:p w14:paraId="130744D2" w14:textId="77777777" w:rsidR="009360FA" w:rsidRPr="003B6934" w:rsidRDefault="009360FA" w:rsidP="00FD4372">
            <w:pPr>
              <w:pStyle w:val="Marginlie"/>
              <w:rPr>
                <w:color w:val="0D0D0D" w:themeColor="text1" w:themeTint="F2"/>
                <w:spacing w:val="-4"/>
              </w:rPr>
            </w:pPr>
            <w:r>
              <w:rPr>
                <w:color w:val="0D0D0D" w:themeColor="text1" w:themeTint="F2"/>
                <w:spacing w:val="-4"/>
              </w:rPr>
              <w:t>Produkce energetiky se propadla o desetinu, k čemuž zásadně přispěla teplejší zima i očekávané úspory u spotřebitelů motivované zejména finančními tlaky.</w:t>
            </w:r>
          </w:p>
        </w:tc>
        <w:tc>
          <w:tcPr>
            <w:tcW w:w="185" w:type="dxa"/>
            <w:tcBorders>
              <w:top w:val="nil"/>
              <w:left w:val="nil"/>
              <w:bottom w:val="nil"/>
              <w:right w:val="nil"/>
            </w:tcBorders>
            <w:shd w:val="clear" w:color="auto" w:fill="auto"/>
            <w:tcMar>
              <w:left w:w="0" w:type="dxa"/>
            </w:tcMar>
          </w:tcPr>
          <w:p w14:paraId="18E7DB1F"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11CDFBE5" w14:textId="77777777" w:rsidR="009360FA" w:rsidRPr="005447DB" w:rsidRDefault="009360FA" w:rsidP="00FD4372">
            <w:pPr>
              <w:spacing w:after="200"/>
              <w:rPr>
                <w:color w:val="0D0D0D" w:themeColor="text1" w:themeTint="F2"/>
                <w:spacing w:val="-5"/>
              </w:rPr>
            </w:pPr>
            <w:r w:rsidRPr="005447DB">
              <w:rPr>
                <w:color w:val="0D0D0D" w:themeColor="text1" w:themeTint="F2"/>
                <w:spacing w:val="-5"/>
              </w:rPr>
              <w:t xml:space="preserve">Produkce v nezpracovatelských průmyslových odvětvích byla nadále výrazně ovlivňována dopady energetického šoku úzce souvisejícího s válkou na Ukrajině. Výkon těchto odvětví v 1. čtvrtletí 2023 meziročně citelně poklesl a růst produkce v celém průmyslu </w:t>
            </w:r>
            <w:r>
              <w:rPr>
                <w:color w:val="0D0D0D" w:themeColor="text1" w:themeTint="F2"/>
                <w:spacing w:val="-5"/>
              </w:rPr>
              <w:t xml:space="preserve">se </w:t>
            </w:r>
            <w:r w:rsidRPr="005447DB">
              <w:rPr>
                <w:color w:val="0D0D0D" w:themeColor="text1" w:themeTint="F2"/>
                <w:spacing w:val="-5"/>
              </w:rPr>
              <w:t>v úhrnu snižoval o 1,2 p. b. Zásadní vliv mělo váhově významné odvětví energetiky, v němž produkce propadla o 9,3 %, a to v důsledku přetrvávajícího poklesu tuzemské poptávky (vlivem teplotně nadprůměrné zimy, jejíž vliv byl umocněn očekávanými úspor</w:t>
            </w:r>
            <w:r>
              <w:rPr>
                <w:color w:val="0D0D0D" w:themeColor="text1" w:themeTint="F2"/>
                <w:spacing w:val="-5"/>
              </w:rPr>
              <w:t>ami</w:t>
            </w:r>
            <w:r w:rsidRPr="005447DB">
              <w:rPr>
                <w:color w:val="0D0D0D" w:themeColor="text1" w:themeTint="F2"/>
                <w:spacing w:val="-5"/>
              </w:rPr>
              <w:t xml:space="preserve"> ve spotřebě elektřiny, zemní</w:t>
            </w:r>
            <w:r>
              <w:rPr>
                <w:color w:val="0D0D0D" w:themeColor="text1" w:themeTint="F2"/>
                <w:spacing w:val="-5"/>
              </w:rPr>
              <w:t>ho</w:t>
            </w:r>
            <w:r w:rsidRPr="005447DB">
              <w:rPr>
                <w:color w:val="0D0D0D" w:themeColor="text1" w:themeTint="F2"/>
                <w:spacing w:val="-5"/>
              </w:rPr>
              <w:t xml:space="preserve"> plynu i tepla na straně domácností i firem)</w:t>
            </w:r>
            <w:r w:rsidRPr="005447DB">
              <w:rPr>
                <w:rStyle w:val="Znakapoznpodarou"/>
                <w:color w:val="0D0D0D" w:themeColor="text1" w:themeTint="F2"/>
                <w:spacing w:val="-5"/>
              </w:rPr>
              <w:footnoteReference w:id="17"/>
            </w:r>
            <w:r w:rsidRPr="005447DB">
              <w:rPr>
                <w:color w:val="0D0D0D" w:themeColor="text1" w:themeTint="F2"/>
                <w:spacing w:val="-5"/>
              </w:rPr>
              <w:t xml:space="preserve">. Skoro o desetinu se snížila produkce také v těžbě a dobývání, zastavil se tak </w:t>
            </w:r>
            <w:r>
              <w:rPr>
                <w:color w:val="0D0D0D" w:themeColor="text1" w:themeTint="F2"/>
                <w:spacing w:val="-5"/>
              </w:rPr>
              <w:t>zřejmě</w:t>
            </w:r>
            <w:r w:rsidRPr="005447DB">
              <w:rPr>
                <w:color w:val="0D0D0D" w:themeColor="text1" w:themeTint="F2"/>
                <w:spacing w:val="-5"/>
              </w:rPr>
              <w:t xml:space="preserve"> trend dočasné „renesance“ těžby, patrný v předchozích dvou letech. Letošní pokles zrcadlil jak nižší výkon ve váhově dominantním segmentu těžby uhlí (</w:t>
            </w:r>
            <w:r>
              <w:rPr>
                <w:color w:val="0D0D0D" w:themeColor="text1" w:themeTint="F2"/>
                <w:spacing w:val="-5"/>
              </w:rPr>
              <w:t>−</w:t>
            </w:r>
            <w:r w:rsidRPr="005447DB">
              <w:rPr>
                <w:color w:val="0D0D0D" w:themeColor="text1" w:themeTint="F2"/>
                <w:spacing w:val="-5"/>
              </w:rPr>
              <w:t>5,6 %), tak hlubší útlum v těžbě stavebních materiálů (</w:t>
            </w:r>
            <w:r>
              <w:rPr>
                <w:color w:val="0D0D0D" w:themeColor="text1" w:themeTint="F2"/>
                <w:spacing w:val="-5"/>
              </w:rPr>
              <w:t>−</w:t>
            </w:r>
            <w:r w:rsidRPr="005447DB">
              <w:rPr>
                <w:color w:val="0D0D0D" w:themeColor="text1" w:themeTint="F2"/>
                <w:spacing w:val="-5"/>
              </w:rPr>
              <w:t xml:space="preserve">13,2 %), což </w:t>
            </w:r>
            <w:r w:rsidRPr="005447DB">
              <w:rPr>
                <w:color w:val="0D0D0D" w:themeColor="text1" w:themeTint="F2"/>
                <w:spacing w:val="-5"/>
              </w:rPr>
              <w:lastRenderedPageBreak/>
              <w:t xml:space="preserve">souviselo s oslabením poptávky ze strany stavebníků i </w:t>
            </w:r>
            <w:r>
              <w:rPr>
                <w:color w:val="0D0D0D" w:themeColor="text1" w:themeTint="F2"/>
                <w:spacing w:val="-5"/>
              </w:rPr>
              <w:t xml:space="preserve">s </w:t>
            </w:r>
            <w:r w:rsidRPr="005447DB">
              <w:rPr>
                <w:color w:val="0D0D0D" w:themeColor="text1" w:themeTint="F2"/>
                <w:spacing w:val="-5"/>
              </w:rPr>
              <w:t>vyšší energetickou náročností tohoto oboru.</w:t>
            </w:r>
          </w:p>
        </w:tc>
      </w:tr>
      <w:tr w:rsidR="009360FA" w:rsidRPr="00A92514" w14:paraId="221498D0" w14:textId="77777777" w:rsidTr="00FD4372">
        <w:trPr>
          <w:trHeight w:val="170"/>
        </w:trPr>
        <w:tc>
          <w:tcPr>
            <w:tcW w:w="1754" w:type="dxa"/>
            <w:vMerge w:val="restart"/>
            <w:tcBorders>
              <w:top w:val="nil"/>
              <w:left w:val="nil"/>
              <w:bottom w:val="nil"/>
              <w:right w:val="nil"/>
            </w:tcBorders>
            <w:shd w:val="clear" w:color="auto" w:fill="auto"/>
            <w:tcMar>
              <w:left w:w="0" w:type="dxa"/>
            </w:tcMar>
          </w:tcPr>
          <w:p w14:paraId="4B964DDB" w14:textId="77777777" w:rsidR="009360FA" w:rsidRDefault="009360FA" w:rsidP="00FD4372">
            <w:pPr>
              <w:pStyle w:val="Marginlie"/>
            </w:pPr>
          </w:p>
        </w:tc>
        <w:tc>
          <w:tcPr>
            <w:tcW w:w="185" w:type="dxa"/>
            <w:vMerge w:val="restart"/>
            <w:tcBorders>
              <w:top w:val="nil"/>
              <w:left w:val="nil"/>
              <w:bottom w:val="nil"/>
              <w:right w:val="nil"/>
            </w:tcBorders>
            <w:shd w:val="clear" w:color="auto" w:fill="auto"/>
            <w:tcMar>
              <w:left w:w="0" w:type="dxa"/>
            </w:tcMar>
          </w:tcPr>
          <w:p w14:paraId="6035B0D6"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06CDD943" w14:textId="77777777" w:rsidR="009360FA" w:rsidRPr="00A92514" w:rsidRDefault="009360FA" w:rsidP="00FD4372">
            <w:pPr>
              <w:spacing w:after="0"/>
              <w:rPr>
                <w:spacing w:val="-4"/>
              </w:rPr>
            </w:pPr>
            <w:r w:rsidRPr="008E64D7">
              <w:rPr>
                <w:rFonts w:cs="Arial"/>
                <w:b/>
                <w:bCs/>
                <w:color w:val="000000"/>
                <w:szCs w:val="20"/>
              </w:rPr>
              <w:t xml:space="preserve">Graf č. 4 </w:t>
            </w:r>
            <w:r w:rsidRPr="008E64D7">
              <w:rPr>
                <w:b/>
              </w:rPr>
              <w:t>Příspěvky dílčích odvětví k meziroční změně průmyslové produkce</w:t>
            </w:r>
            <w:r w:rsidRPr="008E64D7">
              <w:rPr>
                <w:b/>
              </w:rPr>
              <w:br/>
            </w:r>
            <w:r w:rsidRPr="008E64D7">
              <w:t xml:space="preserve">(očištěno o kalendářní vlivy, reálně, v p. b.) </w:t>
            </w:r>
            <w:r w:rsidRPr="008E64D7">
              <w:rPr>
                <w:b/>
              </w:rPr>
              <w:t xml:space="preserve">a tržby* i produkce v celém průmyslu </w:t>
            </w:r>
            <w:r w:rsidRPr="008E64D7">
              <w:t>(sezónně očištěno, úroveň roku 2015=100, pravá osa)</w:t>
            </w:r>
          </w:p>
        </w:tc>
      </w:tr>
      <w:tr w:rsidR="009360FA" w:rsidRPr="0067514E" w14:paraId="27158FD9" w14:textId="77777777" w:rsidTr="00FD4372">
        <w:tblPrEx>
          <w:tblCellMar>
            <w:left w:w="70" w:type="dxa"/>
            <w:right w:w="70" w:type="dxa"/>
          </w:tblCellMar>
        </w:tblPrEx>
        <w:trPr>
          <w:trHeight w:val="170"/>
        </w:trPr>
        <w:tc>
          <w:tcPr>
            <w:tcW w:w="1754" w:type="dxa"/>
            <w:vMerge/>
            <w:tcBorders>
              <w:top w:val="nil"/>
              <w:left w:val="nil"/>
              <w:bottom w:val="nil"/>
              <w:right w:val="nil"/>
            </w:tcBorders>
            <w:shd w:val="clear" w:color="auto" w:fill="auto"/>
          </w:tcPr>
          <w:p w14:paraId="0B372341" w14:textId="77777777" w:rsidR="009360FA" w:rsidRDefault="009360FA" w:rsidP="00FD4372">
            <w:pPr>
              <w:pStyle w:val="Marginlie"/>
            </w:pPr>
          </w:p>
        </w:tc>
        <w:tc>
          <w:tcPr>
            <w:tcW w:w="185" w:type="dxa"/>
            <w:vMerge/>
            <w:tcBorders>
              <w:top w:val="nil"/>
              <w:left w:val="nil"/>
              <w:bottom w:val="nil"/>
              <w:right w:val="nil"/>
            </w:tcBorders>
            <w:shd w:val="clear" w:color="auto" w:fill="auto"/>
          </w:tcPr>
          <w:p w14:paraId="5D50373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Pr>
          <w:p w14:paraId="696371E7" w14:textId="77777777" w:rsidR="009360FA" w:rsidRPr="0067514E" w:rsidRDefault="009360FA" w:rsidP="00FD4372">
            <w:pPr>
              <w:spacing w:after="0"/>
              <w:rPr>
                <w:spacing w:val="-6"/>
              </w:rPr>
            </w:pPr>
            <w:r>
              <w:rPr>
                <w:noProof/>
              </w:rPr>
              <w:drawing>
                <wp:inline distT="0" distB="0" distL="0" distR="0" wp14:anchorId="59DE1EB8" wp14:editId="394D6F62">
                  <wp:extent cx="4600332" cy="34200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9360FA" w:rsidRPr="00E52D45" w14:paraId="2F8C4D31" w14:textId="77777777" w:rsidTr="00FD4372">
        <w:trPr>
          <w:trHeight w:val="170"/>
        </w:trPr>
        <w:tc>
          <w:tcPr>
            <w:tcW w:w="1754" w:type="dxa"/>
            <w:vMerge/>
            <w:tcBorders>
              <w:top w:val="nil"/>
              <w:left w:val="nil"/>
              <w:bottom w:val="nil"/>
              <w:right w:val="nil"/>
            </w:tcBorders>
            <w:shd w:val="clear" w:color="auto" w:fill="auto"/>
            <w:tcMar>
              <w:left w:w="0" w:type="dxa"/>
            </w:tcMar>
          </w:tcPr>
          <w:p w14:paraId="013C4503" w14:textId="77777777" w:rsidR="009360FA" w:rsidRDefault="009360FA" w:rsidP="00FD4372">
            <w:pPr>
              <w:pStyle w:val="Marginlie"/>
            </w:pPr>
          </w:p>
        </w:tc>
        <w:tc>
          <w:tcPr>
            <w:tcW w:w="185" w:type="dxa"/>
            <w:vMerge/>
            <w:tcBorders>
              <w:top w:val="nil"/>
              <w:left w:val="nil"/>
              <w:bottom w:val="nil"/>
              <w:right w:val="nil"/>
            </w:tcBorders>
            <w:shd w:val="clear" w:color="auto" w:fill="auto"/>
            <w:tcMar>
              <w:left w:w="0" w:type="dxa"/>
            </w:tcMar>
          </w:tcPr>
          <w:p w14:paraId="00303B04"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5554C166" w14:textId="77777777" w:rsidR="009360FA" w:rsidRPr="00E52D45" w:rsidRDefault="009360FA" w:rsidP="00FD4372">
            <w:pPr>
              <w:tabs>
                <w:tab w:val="right" w:pos="7683"/>
              </w:tabs>
              <w:spacing w:after="200" w:line="240" w:lineRule="auto"/>
              <w:jc w:val="left"/>
              <w:rPr>
                <w:spacing w:val="-2"/>
                <w:sz w:val="14"/>
                <w:szCs w:val="14"/>
              </w:rPr>
            </w:pPr>
            <w:r>
              <w:rPr>
                <w:rFonts w:cs="Arial"/>
                <w:sz w:val="14"/>
                <w:szCs w:val="14"/>
              </w:rPr>
              <w:t xml:space="preserve">Poznámka: Tržby jsou uvedeny v běžných cenách. </w:t>
            </w:r>
            <w:r>
              <w:rPr>
                <w:rFonts w:cs="Arial"/>
                <w:sz w:val="14"/>
                <w:szCs w:val="14"/>
              </w:rPr>
              <w:tab/>
              <w:t xml:space="preserve"> </w:t>
            </w:r>
            <w:r w:rsidRPr="00883202">
              <w:rPr>
                <w:rFonts w:cs="Arial"/>
                <w:sz w:val="14"/>
                <w:szCs w:val="14"/>
              </w:rPr>
              <w:t>Zdroj: ČSÚ</w:t>
            </w:r>
          </w:p>
        </w:tc>
      </w:tr>
      <w:tr w:rsidR="009360FA" w:rsidRPr="00823342" w14:paraId="29A4D136" w14:textId="77777777" w:rsidTr="00FD4372">
        <w:trPr>
          <w:trHeight w:val="170"/>
        </w:trPr>
        <w:tc>
          <w:tcPr>
            <w:tcW w:w="1754" w:type="dxa"/>
            <w:tcBorders>
              <w:top w:val="nil"/>
              <w:left w:val="nil"/>
              <w:bottom w:val="nil"/>
              <w:right w:val="nil"/>
            </w:tcBorders>
            <w:shd w:val="clear" w:color="auto" w:fill="auto"/>
            <w:tcMar>
              <w:left w:w="0" w:type="dxa"/>
            </w:tcMar>
          </w:tcPr>
          <w:p w14:paraId="347A2ACA" w14:textId="77777777" w:rsidR="009360FA" w:rsidRDefault="009360FA" w:rsidP="00FD4372">
            <w:pPr>
              <w:pStyle w:val="Marginlie"/>
              <w:rPr>
                <w:color w:val="0D0D0D" w:themeColor="text1" w:themeTint="F2"/>
              </w:rPr>
            </w:pPr>
            <w:r>
              <w:rPr>
                <w:color w:val="0D0D0D" w:themeColor="text1" w:themeTint="F2"/>
              </w:rPr>
              <w:t>Průmyslovým podnikům rostly meziročně domácí tržby více než tržby z přímého vývozu. V řadě oborů tržby svižně rostly, navzdory poklesu reálné poptávky.</w:t>
            </w:r>
          </w:p>
        </w:tc>
        <w:tc>
          <w:tcPr>
            <w:tcW w:w="185" w:type="dxa"/>
            <w:tcBorders>
              <w:top w:val="nil"/>
              <w:left w:val="nil"/>
              <w:bottom w:val="nil"/>
              <w:right w:val="nil"/>
            </w:tcBorders>
            <w:shd w:val="clear" w:color="auto" w:fill="auto"/>
            <w:tcMar>
              <w:left w:w="0" w:type="dxa"/>
            </w:tcMar>
          </w:tcPr>
          <w:p w14:paraId="4DC866FE" w14:textId="77777777" w:rsidR="009360FA" w:rsidRPr="00B51DC6"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1C23EF6C" w14:textId="77777777" w:rsidR="009360FA" w:rsidRPr="00823342" w:rsidRDefault="009360FA" w:rsidP="00FD4372">
            <w:pPr>
              <w:spacing w:after="200"/>
              <w:rPr>
                <w:color w:val="0D0D0D" w:themeColor="text1" w:themeTint="F2"/>
                <w:spacing w:val="-4"/>
              </w:rPr>
            </w:pPr>
            <w:r w:rsidRPr="003D0325">
              <w:rPr>
                <w:rFonts w:cs="Arial"/>
                <w:bCs/>
                <w:color w:val="0D0D0D" w:themeColor="text1" w:themeTint="F2"/>
                <w:spacing w:val="-5"/>
                <w:szCs w:val="20"/>
              </w:rPr>
              <w:t xml:space="preserve">Nominální tržby průmyslových </w:t>
            </w:r>
            <w:r w:rsidRPr="00030362">
              <w:rPr>
                <w:rFonts w:cs="Arial"/>
                <w:bCs/>
                <w:color w:val="0D0D0D" w:themeColor="text1" w:themeTint="F2"/>
                <w:spacing w:val="-5"/>
                <w:szCs w:val="20"/>
              </w:rPr>
              <w:t>podniků</w:t>
            </w:r>
            <w:r w:rsidRPr="00030362">
              <w:rPr>
                <w:rStyle w:val="Znakapoznpodarou"/>
                <w:bCs/>
                <w:color w:val="0D0D0D" w:themeColor="text1" w:themeTint="F2"/>
                <w:spacing w:val="-5"/>
                <w:szCs w:val="20"/>
              </w:rPr>
              <w:footnoteReference w:id="18"/>
            </w:r>
            <w:r>
              <w:rPr>
                <w:rFonts w:cs="Arial"/>
                <w:bCs/>
                <w:color w:val="0D0D0D" w:themeColor="text1" w:themeTint="F2"/>
                <w:spacing w:val="-5"/>
                <w:szCs w:val="20"/>
              </w:rPr>
              <w:t xml:space="preserve"> se v 1. čtvrtletí 2023 zvýšily meziročně o rovných 11 %. Růstové tempo tržeb sláblo, což lze z velké části připsat vlivu pozvolna odeznívajícího cenového růstu na straně výrobců, zejména v samotném zpracovatelském průmyslu. Tuzemské tržby posílily o 13,7 % a již sedmý kvartál v řadě tak rostly dynamičtěji než tržby z přímého vývozu. Tato diskrepance souvisí s prudkým cenovým růstem v odvětvích, jejichž produkce tradičně směřuje primárně na domácí trh (energetika, těžba a dobývání či potravinářský průmysl). Celkové tržby se zvýšily nejvíce v těžbě a uhlí (+39 %) a výrobě motorových vozidel (+32 %), naopak v hutnictví propadly o 16 %. V řadě jiných oborů postižených poklesem reálné poptávky však tržby díky přetrvávajícím cenovým vlivům svižně rostly, např. v potravinářství či výrobě nápojů, mírnější navýšení nastalo i ve výrobě stavebních materiálů či kovovýrobě.</w:t>
            </w:r>
          </w:p>
        </w:tc>
      </w:tr>
      <w:tr w:rsidR="009360FA" w:rsidRPr="00FA6878" w14:paraId="3B660BC4" w14:textId="77777777" w:rsidTr="00FD4372">
        <w:trPr>
          <w:trHeight w:val="170"/>
        </w:trPr>
        <w:tc>
          <w:tcPr>
            <w:tcW w:w="1754" w:type="dxa"/>
            <w:tcBorders>
              <w:top w:val="nil"/>
              <w:left w:val="nil"/>
              <w:bottom w:val="nil"/>
              <w:right w:val="nil"/>
            </w:tcBorders>
            <w:shd w:val="clear" w:color="auto" w:fill="auto"/>
            <w:tcMar>
              <w:left w:w="0" w:type="dxa"/>
            </w:tcMar>
          </w:tcPr>
          <w:p w14:paraId="32FAC954" w14:textId="77777777" w:rsidR="009360FA" w:rsidRDefault="009360FA" w:rsidP="00FD4372">
            <w:pPr>
              <w:pStyle w:val="Marginlie"/>
              <w:rPr>
                <w:color w:val="0D0D0D" w:themeColor="text1" w:themeTint="F2"/>
              </w:rPr>
            </w:pPr>
            <w:r>
              <w:rPr>
                <w:color w:val="0D0D0D" w:themeColor="text1" w:themeTint="F2"/>
              </w:rPr>
              <w:t xml:space="preserve">Meziroční růst hodnoty nových zakázek </w:t>
            </w:r>
            <w:r>
              <w:rPr>
                <w:color w:val="0D0D0D" w:themeColor="text1" w:themeTint="F2"/>
              </w:rPr>
              <w:br/>
              <w:t xml:space="preserve">v 1. čtvrtletí výrazně zvolnil, </w:t>
            </w:r>
            <w:proofErr w:type="spellStart"/>
            <w:r>
              <w:rPr>
                <w:color w:val="0D0D0D" w:themeColor="text1" w:themeTint="F2"/>
              </w:rPr>
              <w:t>mezikvartálně</w:t>
            </w:r>
            <w:proofErr w:type="spellEnd"/>
            <w:r>
              <w:rPr>
                <w:color w:val="0D0D0D" w:themeColor="text1" w:themeTint="F2"/>
              </w:rPr>
              <w:t xml:space="preserve"> došlo dokonce k mírnému poklesu.</w:t>
            </w:r>
          </w:p>
          <w:p w14:paraId="5A0A64A5" w14:textId="77777777" w:rsidR="009360FA" w:rsidRDefault="009360FA" w:rsidP="00FD4372">
            <w:pPr>
              <w:pStyle w:val="Marginlie"/>
              <w:rPr>
                <w:color w:val="0D0D0D" w:themeColor="text1" w:themeTint="F2"/>
              </w:rPr>
            </w:pPr>
          </w:p>
          <w:p w14:paraId="5BC3F292" w14:textId="77777777" w:rsidR="009360FA" w:rsidRDefault="009360FA" w:rsidP="00FD4372">
            <w:pPr>
              <w:pStyle w:val="Marginlie"/>
              <w:rPr>
                <w:color w:val="0D0D0D" w:themeColor="text1" w:themeTint="F2"/>
              </w:rPr>
            </w:pPr>
          </w:p>
          <w:p w14:paraId="073DA2B5" w14:textId="77777777" w:rsidR="009360FA" w:rsidRDefault="009360FA" w:rsidP="00FD4372">
            <w:pPr>
              <w:pStyle w:val="Marginlie"/>
              <w:rPr>
                <w:color w:val="0D0D0D" w:themeColor="text1" w:themeTint="F2"/>
              </w:rPr>
            </w:pPr>
          </w:p>
          <w:p w14:paraId="6297C129" w14:textId="77777777" w:rsidR="009360FA" w:rsidRPr="00B51DC6" w:rsidRDefault="009360FA" w:rsidP="00FD4372">
            <w:pPr>
              <w:pStyle w:val="Marginlie"/>
              <w:rPr>
                <w:color w:val="0D0D0D" w:themeColor="text1" w:themeTint="F2"/>
              </w:rPr>
            </w:pPr>
            <w:r>
              <w:rPr>
                <w:color w:val="0D0D0D" w:themeColor="text1" w:themeTint="F2"/>
              </w:rPr>
              <w:t>Pozitivní signály rostoucí poptávky přetrvávaly v oděvnictví a farmacii.</w:t>
            </w:r>
          </w:p>
        </w:tc>
        <w:tc>
          <w:tcPr>
            <w:tcW w:w="185" w:type="dxa"/>
            <w:tcBorders>
              <w:top w:val="nil"/>
              <w:left w:val="nil"/>
              <w:bottom w:val="nil"/>
              <w:right w:val="nil"/>
            </w:tcBorders>
            <w:shd w:val="clear" w:color="auto" w:fill="auto"/>
            <w:tcMar>
              <w:left w:w="0" w:type="dxa"/>
            </w:tcMar>
          </w:tcPr>
          <w:p w14:paraId="72DA1FB4" w14:textId="77777777" w:rsidR="009360FA" w:rsidRPr="00B51DC6"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34FF261E" w14:textId="77777777" w:rsidR="009360FA" w:rsidRPr="00FA6878" w:rsidRDefault="009360FA" w:rsidP="00FD4372">
            <w:pPr>
              <w:spacing w:after="200"/>
              <w:rPr>
                <w:color w:val="0D0D0D" w:themeColor="text1" w:themeTint="F2"/>
              </w:rPr>
            </w:pPr>
            <w:r>
              <w:rPr>
                <w:color w:val="0D0D0D" w:themeColor="text1" w:themeTint="F2"/>
                <w:spacing w:val="-5"/>
              </w:rPr>
              <w:t>R</w:t>
            </w:r>
            <w:r w:rsidRPr="00030362">
              <w:rPr>
                <w:color w:val="0D0D0D" w:themeColor="text1" w:themeTint="F2"/>
                <w:spacing w:val="-5"/>
              </w:rPr>
              <w:t xml:space="preserve">ůst </w:t>
            </w:r>
            <w:r w:rsidRPr="00485344">
              <w:rPr>
                <w:color w:val="0D0D0D" w:themeColor="text1" w:themeTint="F2"/>
                <w:spacing w:val="-5"/>
              </w:rPr>
              <w:t xml:space="preserve">nominální hodnoty </w:t>
            </w:r>
            <w:r w:rsidRPr="00D97905">
              <w:rPr>
                <w:color w:val="0D0D0D" w:themeColor="text1" w:themeTint="F2"/>
                <w:spacing w:val="-5"/>
              </w:rPr>
              <w:t xml:space="preserve">nových zakázek ve sledovaných </w:t>
            </w:r>
            <w:r w:rsidRPr="00030362">
              <w:rPr>
                <w:color w:val="0D0D0D" w:themeColor="text1" w:themeTint="F2"/>
                <w:spacing w:val="-5"/>
              </w:rPr>
              <w:t>průmyslových odvětvích</w:t>
            </w:r>
            <w:r w:rsidRPr="00030362">
              <w:rPr>
                <w:rStyle w:val="Znakapoznpodarou"/>
                <w:color w:val="0D0D0D" w:themeColor="text1" w:themeTint="F2"/>
                <w:spacing w:val="-5"/>
              </w:rPr>
              <w:footnoteReference w:id="19"/>
            </w:r>
            <w:r>
              <w:rPr>
                <w:color w:val="0D0D0D" w:themeColor="text1" w:themeTint="F2"/>
                <w:spacing w:val="-5"/>
              </w:rPr>
              <w:t xml:space="preserve"> </w:t>
            </w:r>
            <w:r>
              <w:rPr>
                <w:color w:val="0D0D0D" w:themeColor="text1" w:themeTint="F2"/>
                <w:spacing w:val="-5"/>
              </w:rPr>
              <w:br/>
              <w:t xml:space="preserve">v 1. čtvrtletí 2023 výrazně zvolnil (na 2,1 %) a byl nejslabší za poslední dva a půl roku. Samotné zakázky ze zahraničí se dokonce snížily (o 2 %). Vývoj celkových zakázek byl zásadně ovlivněn situací v automobilovém průmyslu, bez něj by hodnota průmyslových zakázek mírně klesala. Růst zakázek výrobců aut (9,2 %) byl ovlivněn nižší základnou z počátku loňského roku, podobné platí i u objednávek ostatních dopravních prostředků. S přihlédnutím k loňské základně i růstu cen </w:t>
            </w:r>
            <w:proofErr w:type="spellStart"/>
            <w:r>
              <w:rPr>
                <w:color w:val="0D0D0D" w:themeColor="text1" w:themeTint="F2"/>
                <w:spacing w:val="-5"/>
              </w:rPr>
              <w:t>mezivstupů</w:t>
            </w:r>
            <w:proofErr w:type="spellEnd"/>
            <w:r>
              <w:rPr>
                <w:color w:val="0D0D0D" w:themeColor="text1" w:themeTint="F2"/>
                <w:spacing w:val="-5"/>
              </w:rPr>
              <w:t xml:space="preserve"> lze jako pozitivní signály hodnotit růst zakázek v oděvnictví a farmacii, na samotném tuzemském trhu pak ve výrobě</w:t>
            </w:r>
            <w:r w:rsidRPr="003E3E35">
              <w:rPr>
                <w:color w:val="0D0D0D" w:themeColor="text1" w:themeTint="F2"/>
                <w:spacing w:val="-5"/>
              </w:rPr>
              <w:t xml:space="preserve"> počítačů, elektronických a optických přístrojů</w:t>
            </w:r>
            <w:r>
              <w:rPr>
                <w:color w:val="0D0D0D" w:themeColor="text1" w:themeTint="F2"/>
                <w:spacing w:val="-5"/>
              </w:rPr>
              <w:t xml:space="preserve">, ve strojírenství a výrobě dopravních prostředků. Méně optimismu přináší srovnání se </w:t>
            </w:r>
            <w:r w:rsidRPr="004B586B">
              <w:rPr>
                <w:color w:val="0D0D0D" w:themeColor="text1" w:themeTint="F2"/>
              </w:rPr>
              <w:t>4.</w:t>
            </w:r>
            <w:r w:rsidRPr="004B586B">
              <w:rPr>
                <w:rFonts w:cs="Arial"/>
                <w:bCs/>
                <w:color w:val="0D0D0D" w:themeColor="text1" w:themeTint="F2"/>
                <w:szCs w:val="20"/>
              </w:rPr>
              <w:t> </w:t>
            </w:r>
            <w:r w:rsidRPr="004B586B">
              <w:rPr>
                <w:color w:val="0D0D0D" w:themeColor="text1" w:themeTint="F2"/>
              </w:rPr>
              <w:t>čtvrtletím 2022</w:t>
            </w:r>
            <w:r w:rsidRPr="004B586B">
              <w:rPr>
                <w:rStyle w:val="Znakapoznpodarou"/>
                <w:color w:val="0D0D0D" w:themeColor="text1" w:themeTint="F2"/>
              </w:rPr>
              <w:footnoteReference w:id="20"/>
            </w:r>
            <w:r w:rsidRPr="004B586B">
              <w:rPr>
                <w:color w:val="0D0D0D" w:themeColor="text1" w:themeTint="F2"/>
              </w:rPr>
              <w:t xml:space="preserve">, naznačující </w:t>
            </w:r>
            <w:r>
              <w:rPr>
                <w:color w:val="0D0D0D" w:themeColor="text1" w:themeTint="F2"/>
              </w:rPr>
              <w:t xml:space="preserve">mírný </w:t>
            </w:r>
            <w:r w:rsidRPr="004B586B">
              <w:rPr>
                <w:color w:val="0D0D0D" w:themeColor="text1" w:themeTint="F2"/>
              </w:rPr>
              <w:t>pokles no</w:t>
            </w:r>
            <w:r>
              <w:rPr>
                <w:color w:val="0D0D0D" w:themeColor="text1" w:themeTint="F2"/>
              </w:rPr>
              <w:t xml:space="preserve">vých </w:t>
            </w:r>
            <w:r>
              <w:rPr>
                <w:color w:val="0D0D0D" w:themeColor="text1" w:themeTint="F2"/>
              </w:rPr>
              <w:lastRenderedPageBreak/>
              <w:t>zakázek ze zahraničí (−4,7 %) i</w:t>
            </w:r>
            <w:r>
              <w:rPr>
                <w:rFonts w:cs="Arial"/>
                <w:bCs/>
                <w:color w:val="0D0D0D" w:themeColor="text1" w:themeTint="F2"/>
                <w:spacing w:val="-5"/>
                <w:szCs w:val="20"/>
              </w:rPr>
              <w:t> </w:t>
            </w:r>
            <w:r>
              <w:rPr>
                <w:color w:val="0D0D0D" w:themeColor="text1" w:themeTint="F2"/>
              </w:rPr>
              <w:t>tuzemska (−1</w:t>
            </w:r>
            <w:r w:rsidRPr="004B586B">
              <w:rPr>
                <w:color w:val="0D0D0D" w:themeColor="text1" w:themeTint="F2"/>
              </w:rPr>
              <w:t>,</w:t>
            </w:r>
            <w:r>
              <w:rPr>
                <w:rFonts w:cs="Arial"/>
                <w:bCs/>
                <w:color w:val="0D0D0D" w:themeColor="text1" w:themeTint="F2"/>
                <w:szCs w:val="20"/>
              </w:rPr>
              <w:t>5</w:t>
            </w:r>
            <w:r w:rsidRPr="004B586B">
              <w:rPr>
                <w:rFonts w:cs="Arial"/>
                <w:bCs/>
                <w:color w:val="0D0D0D" w:themeColor="text1" w:themeTint="F2"/>
                <w:szCs w:val="20"/>
              </w:rPr>
              <w:t> </w:t>
            </w:r>
            <w:r>
              <w:rPr>
                <w:color w:val="0D0D0D" w:themeColor="text1" w:themeTint="F2"/>
              </w:rPr>
              <w:t>%), stejně jako</w:t>
            </w:r>
            <w:r w:rsidRPr="004B586B">
              <w:rPr>
                <w:color w:val="0D0D0D" w:themeColor="text1" w:themeTint="F2"/>
              </w:rPr>
              <w:t xml:space="preserve"> v klíčové výrobě motorových vozidel</w:t>
            </w:r>
            <w:r>
              <w:rPr>
                <w:color w:val="0D0D0D" w:themeColor="text1" w:themeTint="F2"/>
              </w:rPr>
              <w:t xml:space="preserve"> (−4,7 %)</w:t>
            </w:r>
            <w:r w:rsidRPr="004B586B">
              <w:rPr>
                <w:color w:val="0D0D0D" w:themeColor="text1" w:themeTint="F2"/>
              </w:rPr>
              <w:t>.</w:t>
            </w:r>
          </w:p>
        </w:tc>
      </w:tr>
      <w:tr w:rsidR="009360FA" w:rsidRPr="00705C3E" w14:paraId="54411D29" w14:textId="77777777" w:rsidTr="00FD4372">
        <w:trPr>
          <w:trHeight w:val="134"/>
        </w:trPr>
        <w:tc>
          <w:tcPr>
            <w:tcW w:w="1754" w:type="dxa"/>
            <w:vMerge w:val="restart"/>
            <w:tcBorders>
              <w:top w:val="nil"/>
              <w:left w:val="nil"/>
              <w:bottom w:val="nil"/>
              <w:right w:val="nil"/>
            </w:tcBorders>
            <w:shd w:val="clear" w:color="auto" w:fill="auto"/>
            <w:tcMar>
              <w:left w:w="0" w:type="dxa"/>
            </w:tcMar>
          </w:tcPr>
          <w:p w14:paraId="54DE20E3" w14:textId="77777777" w:rsidR="009360FA" w:rsidRDefault="009360FA" w:rsidP="00FD4372">
            <w:pPr>
              <w:pStyle w:val="Marginlie"/>
            </w:pPr>
          </w:p>
        </w:tc>
        <w:tc>
          <w:tcPr>
            <w:tcW w:w="185" w:type="dxa"/>
            <w:vMerge w:val="restart"/>
            <w:tcBorders>
              <w:top w:val="nil"/>
              <w:left w:val="nil"/>
              <w:bottom w:val="nil"/>
              <w:right w:val="nil"/>
            </w:tcBorders>
            <w:shd w:val="clear" w:color="auto" w:fill="auto"/>
            <w:tcMar>
              <w:left w:w="0" w:type="dxa"/>
            </w:tcMar>
          </w:tcPr>
          <w:p w14:paraId="68A097A1"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73E5DC4B" w14:textId="77777777" w:rsidR="009360FA" w:rsidRPr="00705C3E" w:rsidRDefault="009360FA" w:rsidP="00FD4372">
            <w:pPr>
              <w:spacing w:after="0"/>
              <w:rPr>
                <w:color w:val="0D0D0D" w:themeColor="text1" w:themeTint="F2"/>
                <w:spacing w:val="-5"/>
              </w:rPr>
            </w:pPr>
            <w:r w:rsidRPr="00760356">
              <w:rPr>
                <w:b/>
                <w:spacing w:val="-2"/>
              </w:rPr>
              <w:t xml:space="preserve">Graf </w:t>
            </w:r>
            <w:proofErr w:type="gramStart"/>
            <w:r w:rsidRPr="00760356">
              <w:rPr>
                <w:b/>
                <w:spacing w:val="-2"/>
              </w:rPr>
              <w:t>č. 5</w:t>
            </w:r>
            <w:r>
              <w:rPr>
                <w:b/>
                <w:spacing w:val="-2"/>
              </w:rPr>
              <w:t xml:space="preserve">  Nové</w:t>
            </w:r>
            <w:proofErr w:type="gramEnd"/>
            <w:r>
              <w:rPr>
                <w:b/>
                <w:spacing w:val="-2"/>
              </w:rPr>
              <w:t xml:space="preserve"> zakázky v </w:t>
            </w:r>
            <w:r w:rsidRPr="00760356">
              <w:rPr>
                <w:b/>
                <w:spacing w:val="-2"/>
              </w:rPr>
              <w:t xml:space="preserve">průmyslu </w:t>
            </w:r>
            <w:r w:rsidRPr="00760356">
              <w:rPr>
                <w:bCs/>
                <w:spacing w:val="-2"/>
              </w:rPr>
              <w:t>(</w:t>
            </w:r>
            <w:r>
              <w:rPr>
                <w:bCs/>
                <w:spacing w:val="-2"/>
              </w:rPr>
              <w:t>nominálně</w:t>
            </w:r>
            <w:r w:rsidRPr="00760356">
              <w:rPr>
                <w:bCs/>
                <w:spacing w:val="-2"/>
              </w:rPr>
              <w:t xml:space="preserve">, </w:t>
            </w:r>
            <w:r w:rsidRPr="00760356">
              <w:rPr>
                <w:spacing w:val="-2"/>
              </w:rPr>
              <w:t>meziročně</w:t>
            </w:r>
            <w:r>
              <w:rPr>
                <w:spacing w:val="-2"/>
              </w:rPr>
              <w:t>,</w:t>
            </w:r>
            <w:r w:rsidRPr="00760356">
              <w:rPr>
                <w:bCs/>
                <w:spacing w:val="-2"/>
              </w:rPr>
              <w:t xml:space="preserve"> v %)</w:t>
            </w:r>
            <w:r>
              <w:rPr>
                <w:b/>
                <w:spacing w:val="-2"/>
              </w:rPr>
              <w:t xml:space="preserve">, </w:t>
            </w:r>
            <w:r w:rsidRPr="00760356">
              <w:rPr>
                <w:b/>
                <w:spacing w:val="-2"/>
              </w:rPr>
              <w:t>využi</w:t>
            </w:r>
            <w:r>
              <w:rPr>
                <w:b/>
                <w:spacing w:val="-2"/>
              </w:rPr>
              <w:t xml:space="preserve">tí výrobních kapacit v průmyslu, </w:t>
            </w:r>
            <w:r w:rsidRPr="00760356">
              <w:rPr>
                <w:b/>
                <w:spacing w:val="-2"/>
              </w:rPr>
              <w:t>vybrané bariéry růst</w:t>
            </w:r>
            <w:r w:rsidRPr="006E759E">
              <w:rPr>
                <w:b/>
                <w:spacing w:val="-2"/>
              </w:rPr>
              <w:t>u</w:t>
            </w:r>
            <w:r w:rsidRPr="006E759E">
              <w:rPr>
                <w:spacing w:val="-2"/>
              </w:rPr>
              <w:t xml:space="preserve">* (v %, pravá osa) </w:t>
            </w:r>
            <w:r w:rsidRPr="006E759E">
              <w:rPr>
                <w:b/>
                <w:spacing w:val="-2"/>
              </w:rPr>
              <w:t>a </w:t>
            </w:r>
            <w:r>
              <w:rPr>
                <w:b/>
              </w:rPr>
              <w:t>saldo</w:t>
            </w:r>
            <w:r w:rsidRPr="006E759E">
              <w:rPr>
                <w:b/>
              </w:rPr>
              <w:t xml:space="preserve"> důvěry</w:t>
            </w:r>
            <w:r w:rsidRPr="00883202">
              <w:rPr>
                <w:b/>
              </w:rPr>
              <w:t xml:space="preserve"> </w:t>
            </w:r>
            <w:r>
              <w:rPr>
                <w:b/>
              </w:rPr>
              <w:t xml:space="preserve">podnikatelů </w:t>
            </w:r>
            <w:r w:rsidRPr="00883202">
              <w:rPr>
                <w:b/>
              </w:rPr>
              <w:t xml:space="preserve">v průmyslu* </w:t>
            </w:r>
            <w:r>
              <w:t xml:space="preserve">(v p. b., pravá </w:t>
            </w:r>
            <w:r w:rsidRPr="00883202">
              <w:t>osa)</w:t>
            </w:r>
          </w:p>
        </w:tc>
      </w:tr>
      <w:tr w:rsidR="009360FA" w:rsidRPr="00705C3E" w14:paraId="1556C246" w14:textId="77777777" w:rsidTr="00FD4372">
        <w:tblPrEx>
          <w:tblCellMar>
            <w:left w:w="70" w:type="dxa"/>
            <w:right w:w="70" w:type="dxa"/>
          </w:tblCellMar>
        </w:tblPrEx>
        <w:trPr>
          <w:trHeight w:val="133"/>
        </w:trPr>
        <w:tc>
          <w:tcPr>
            <w:tcW w:w="1754" w:type="dxa"/>
            <w:vMerge/>
            <w:tcBorders>
              <w:top w:val="nil"/>
              <w:left w:val="nil"/>
              <w:bottom w:val="nil"/>
              <w:right w:val="nil"/>
            </w:tcBorders>
            <w:shd w:val="clear" w:color="auto" w:fill="auto"/>
          </w:tcPr>
          <w:p w14:paraId="610887BB" w14:textId="77777777" w:rsidR="009360FA" w:rsidRDefault="009360FA" w:rsidP="00FD4372">
            <w:pPr>
              <w:pStyle w:val="Marginlie"/>
            </w:pPr>
          </w:p>
        </w:tc>
        <w:tc>
          <w:tcPr>
            <w:tcW w:w="185" w:type="dxa"/>
            <w:vMerge/>
            <w:tcBorders>
              <w:top w:val="nil"/>
              <w:left w:val="nil"/>
              <w:bottom w:val="nil"/>
              <w:right w:val="nil"/>
            </w:tcBorders>
            <w:shd w:val="clear" w:color="auto" w:fill="auto"/>
          </w:tcPr>
          <w:p w14:paraId="1F4C08F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Pr>
          <w:p w14:paraId="4300EB7C" w14:textId="77777777" w:rsidR="009360FA" w:rsidRPr="00705C3E" w:rsidRDefault="009360FA" w:rsidP="00FD4372">
            <w:pPr>
              <w:spacing w:after="0"/>
              <w:rPr>
                <w:color w:val="0D0D0D" w:themeColor="text1" w:themeTint="F2"/>
                <w:spacing w:val="-5"/>
              </w:rPr>
            </w:pPr>
            <w:r>
              <w:rPr>
                <w:noProof/>
              </w:rPr>
              <w:drawing>
                <wp:inline distT="0" distB="0" distL="0" distR="0" wp14:anchorId="6AB6C3B6" wp14:editId="007F1768">
                  <wp:extent cx="4665980" cy="3456000"/>
                  <wp:effectExtent l="0" t="0" r="127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9360FA" w:rsidRPr="00705C3E" w14:paraId="6B8653E6" w14:textId="77777777" w:rsidTr="00FD4372">
        <w:trPr>
          <w:trHeight w:val="133"/>
        </w:trPr>
        <w:tc>
          <w:tcPr>
            <w:tcW w:w="1754" w:type="dxa"/>
            <w:vMerge/>
            <w:tcBorders>
              <w:top w:val="nil"/>
              <w:left w:val="nil"/>
              <w:bottom w:val="nil"/>
              <w:right w:val="nil"/>
            </w:tcBorders>
            <w:shd w:val="clear" w:color="auto" w:fill="auto"/>
            <w:tcMar>
              <w:left w:w="0" w:type="dxa"/>
            </w:tcMar>
          </w:tcPr>
          <w:p w14:paraId="3C67C32F" w14:textId="77777777" w:rsidR="009360FA" w:rsidRDefault="009360FA" w:rsidP="00FD4372">
            <w:pPr>
              <w:pStyle w:val="Marginlie"/>
            </w:pPr>
          </w:p>
        </w:tc>
        <w:tc>
          <w:tcPr>
            <w:tcW w:w="185" w:type="dxa"/>
            <w:vMerge/>
            <w:tcBorders>
              <w:top w:val="nil"/>
              <w:left w:val="nil"/>
              <w:bottom w:val="nil"/>
              <w:right w:val="nil"/>
            </w:tcBorders>
            <w:shd w:val="clear" w:color="auto" w:fill="auto"/>
            <w:tcMar>
              <w:left w:w="0" w:type="dxa"/>
            </w:tcMar>
          </w:tcPr>
          <w:p w14:paraId="73B7AE0C"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689D099A" w14:textId="77777777" w:rsidR="009360FA" w:rsidRPr="00705C3E" w:rsidRDefault="009360FA" w:rsidP="00FD4372">
            <w:pPr>
              <w:spacing w:after="200" w:line="240" w:lineRule="auto"/>
              <w:rPr>
                <w:color w:val="0D0D0D" w:themeColor="text1" w:themeTint="F2"/>
                <w:spacing w:val="-5"/>
              </w:rPr>
            </w:pPr>
            <w:r>
              <w:rPr>
                <w:color w:val="0D0D0D" w:themeColor="text1" w:themeTint="F2"/>
                <w:spacing w:val="-5"/>
              </w:rPr>
              <w:t>*</w:t>
            </w:r>
            <w:r w:rsidRPr="00883202">
              <w:rPr>
                <w:rFonts w:cs="Arial"/>
                <w:sz w:val="14"/>
                <w:szCs w:val="14"/>
              </w:rPr>
              <w:t>Využití průmys</w:t>
            </w:r>
            <w:r>
              <w:rPr>
                <w:rFonts w:cs="Arial"/>
                <w:sz w:val="14"/>
                <w:szCs w:val="14"/>
              </w:rPr>
              <w:t xml:space="preserve">lových kapacit i bariéry růstu vyjadřují stav v prvním měsíci daného čtvrtletí, </w:t>
            </w:r>
            <w:r w:rsidRPr="006E759E">
              <w:rPr>
                <w:rFonts w:cs="Arial"/>
                <w:sz w:val="14"/>
                <w:szCs w:val="14"/>
              </w:rPr>
              <w:t>saldo důvěry</w:t>
            </w:r>
            <w:r>
              <w:rPr>
                <w:rFonts w:cs="Arial"/>
                <w:sz w:val="14"/>
                <w:szCs w:val="14"/>
              </w:rPr>
              <w:t xml:space="preserve"> podnikatelů je vztaženo k</w:t>
            </w:r>
            <w:r w:rsidRPr="00883202">
              <w:rPr>
                <w:rFonts w:cs="Arial"/>
                <w:sz w:val="14"/>
                <w:szCs w:val="14"/>
              </w:rPr>
              <w:t xml:space="preserve">e </w:t>
            </w:r>
            <w:r>
              <w:rPr>
                <w:rFonts w:cs="Arial"/>
                <w:sz w:val="14"/>
                <w:szCs w:val="14"/>
              </w:rPr>
              <w:t xml:space="preserve">druhému měsíci čtvrtletí. Zakázky jsou očištěny o kalendářní vlivy, ostatní ukazatele jsou </w:t>
            </w:r>
            <w:r w:rsidRPr="00883202">
              <w:rPr>
                <w:rFonts w:cs="Arial"/>
                <w:spacing w:val="-2"/>
                <w:sz w:val="14"/>
                <w:szCs w:val="14"/>
              </w:rPr>
              <w:t>sezónně očištěny</w:t>
            </w:r>
            <w:r>
              <w:rPr>
                <w:rFonts w:cs="Arial"/>
                <w:spacing w:val="-2"/>
                <w:sz w:val="14"/>
                <w:szCs w:val="14"/>
              </w:rPr>
              <w:t>.</w:t>
            </w:r>
            <w:r w:rsidRPr="00883202">
              <w:rPr>
                <w:rFonts w:cs="Arial"/>
                <w:spacing w:val="-2"/>
                <w:sz w:val="14"/>
                <w:szCs w:val="14"/>
              </w:rPr>
              <w:t xml:space="preserve"> </w:t>
            </w:r>
            <w:r>
              <w:rPr>
                <w:rFonts w:cs="Arial"/>
                <w:sz w:val="14"/>
                <w:szCs w:val="14"/>
              </w:rPr>
              <w:t xml:space="preserve">Podniky mohly uvést více hlavních růstových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9360FA" w:rsidRPr="005A37A7" w14:paraId="041219BD" w14:textId="77777777" w:rsidTr="00FD4372">
        <w:trPr>
          <w:trHeight w:val="170"/>
        </w:trPr>
        <w:tc>
          <w:tcPr>
            <w:tcW w:w="1754" w:type="dxa"/>
            <w:tcBorders>
              <w:top w:val="nil"/>
              <w:left w:val="nil"/>
              <w:bottom w:val="nil"/>
              <w:right w:val="nil"/>
            </w:tcBorders>
            <w:shd w:val="clear" w:color="auto" w:fill="auto"/>
            <w:tcMar>
              <w:left w:w="0" w:type="dxa"/>
            </w:tcMar>
          </w:tcPr>
          <w:p w14:paraId="1B4DA188" w14:textId="77777777" w:rsidR="009360FA" w:rsidRDefault="009360FA" w:rsidP="00FD4372">
            <w:pPr>
              <w:pStyle w:val="Marginlie"/>
              <w:rPr>
                <w:color w:val="0D0D0D" w:themeColor="text1" w:themeTint="F2"/>
                <w:spacing w:val="-4"/>
              </w:rPr>
            </w:pPr>
            <w:r>
              <w:rPr>
                <w:color w:val="0D0D0D" w:themeColor="text1" w:themeTint="F2"/>
                <w:spacing w:val="-4"/>
              </w:rPr>
              <w:t>Na počátku roku stále klesala důvěra podnikatelů v průmyslu, během jara kolísala.</w:t>
            </w:r>
            <w:r>
              <w:rPr>
                <w:spacing w:val="-4"/>
              </w:rPr>
              <w:t xml:space="preserve"> Klíčovou růstovou bariérou je nedostatečná poptávka.</w:t>
            </w:r>
          </w:p>
          <w:p w14:paraId="0C3AA55E" w14:textId="77777777" w:rsidR="009360FA" w:rsidRPr="004B53F7" w:rsidRDefault="009360FA" w:rsidP="00FD4372">
            <w:pPr>
              <w:pStyle w:val="Marginlie"/>
              <w:rPr>
                <w:color w:val="0D0D0D" w:themeColor="text1" w:themeTint="F2"/>
                <w:spacing w:val="-4"/>
              </w:rPr>
            </w:pPr>
          </w:p>
        </w:tc>
        <w:tc>
          <w:tcPr>
            <w:tcW w:w="185" w:type="dxa"/>
            <w:tcBorders>
              <w:top w:val="nil"/>
              <w:left w:val="nil"/>
              <w:bottom w:val="nil"/>
              <w:right w:val="nil"/>
            </w:tcBorders>
            <w:shd w:val="clear" w:color="auto" w:fill="auto"/>
            <w:tcMar>
              <w:left w:w="0" w:type="dxa"/>
            </w:tcMar>
          </w:tcPr>
          <w:p w14:paraId="40E6BB26" w14:textId="77777777" w:rsidR="009360FA" w:rsidRPr="004B53F7"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6EA67CE4" w14:textId="77777777" w:rsidR="009360FA" w:rsidRPr="005A37A7" w:rsidRDefault="009360FA" w:rsidP="00FD4372">
            <w:pPr>
              <w:spacing w:after="200"/>
              <w:rPr>
                <w:color w:val="0D0D0D" w:themeColor="text1" w:themeTint="F2"/>
                <w:spacing w:val="-3"/>
              </w:rPr>
            </w:pPr>
            <w:r w:rsidRPr="005A37A7">
              <w:rPr>
                <w:color w:val="0D0D0D" w:themeColor="text1" w:themeTint="F2"/>
                <w:spacing w:val="-3"/>
              </w:rPr>
              <w:t xml:space="preserve">Důvěra podnikatelů v průmyslu se ve druhé polovině loňského roku v souvislosti se sílícími dopady „energetického šoku“ zhoršovala a letos v únoru tak zde zavládl největší pesimismus od června 2020. Během jara následně nálada v odvětví kolísala bez výraznějšího náznaku pozitivního obratu. Letos </w:t>
            </w:r>
            <w:r>
              <w:rPr>
                <w:color w:val="0D0D0D" w:themeColor="text1" w:themeTint="F2"/>
                <w:spacing w:val="-3"/>
              </w:rPr>
              <w:t xml:space="preserve">v </w:t>
            </w:r>
            <w:r w:rsidRPr="005A37A7">
              <w:rPr>
                <w:color w:val="0D0D0D" w:themeColor="text1" w:themeTint="F2"/>
                <w:spacing w:val="-3"/>
              </w:rPr>
              <w:t>květnu převládal v průmyslu mírný pesimismus ohledně současné poptávky, kterou již více než 40 % podniků</w:t>
            </w:r>
            <w:r w:rsidRPr="005A37A7">
              <w:rPr>
                <w:rStyle w:val="Znakapoznpodarou"/>
                <w:color w:val="0D0D0D" w:themeColor="text1" w:themeTint="F2"/>
                <w:spacing w:val="-3"/>
              </w:rPr>
              <w:footnoteReference w:id="21"/>
            </w:r>
            <w:r w:rsidRPr="005A37A7">
              <w:rPr>
                <w:color w:val="0D0D0D" w:themeColor="text1" w:themeTint="F2"/>
                <w:spacing w:val="-3"/>
              </w:rPr>
              <w:t xml:space="preserve"> vnímá jako významnou růstovou bariéru. </w:t>
            </w:r>
            <w:r w:rsidRPr="005A37A7">
              <w:rPr>
                <w:spacing w:val="-3"/>
              </w:rPr>
              <w:t>Využití výrobních kapacit ve zpracovatelském průmyslu zůstává stále lehce pod průměrem z konjunkturního období (2015</w:t>
            </w:r>
            <w:r>
              <w:rPr>
                <w:spacing w:val="-3"/>
              </w:rPr>
              <w:t>–</w:t>
            </w:r>
            <w:r w:rsidRPr="005A37A7">
              <w:rPr>
                <w:spacing w:val="-3"/>
              </w:rPr>
              <w:t xml:space="preserve">2019). </w:t>
            </w:r>
            <w:r w:rsidRPr="005A37A7">
              <w:rPr>
                <w:color w:val="0D0D0D" w:themeColor="text1" w:themeTint="F2"/>
                <w:spacing w:val="-3"/>
              </w:rPr>
              <w:t>Váznoucí odbyt se projevuje ve vyšším stavu zásob. Přibývající počet firem očekávajících v krátkodobém pohledu pokles výroby (až na 15 %) doprovázely negativní výhledy u zaměstnanosti</w:t>
            </w:r>
            <w:r w:rsidRPr="005A37A7">
              <w:rPr>
                <w:rStyle w:val="Znakapoznpodarou"/>
                <w:color w:val="0D0D0D" w:themeColor="text1" w:themeTint="F2"/>
                <w:spacing w:val="-3"/>
              </w:rPr>
              <w:footnoteReference w:id="22"/>
            </w:r>
            <w:r w:rsidRPr="005A37A7">
              <w:rPr>
                <w:color w:val="0D0D0D" w:themeColor="text1" w:themeTint="F2"/>
                <w:spacing w:val="-3"/>
              </w:rPr>
              <w:t xml:space="preserve">. Podniky však stále hodnotily </w:t>
            </w:r>
            <w:r>
              <w:rPr>
                <w:color w:val="0D0D0D" w:themeColor="text1" w:themeTint="F2"/>
                <w:spacing w:val="-3"/>
              </w:rPr>
              <w:t xml:space="preserve">mírně pozitivně </w:t>
            </w:r>
            <w:r w:rsidRPr="005A37A7">
              <w:rPr>
                <w:color w:val="0D0D0D" w:themeColor="text1" w:themeTint="F2"/>
                <w:spacing w:val="-3"/>
              </w:rPr>
              <w:t>svou očekávanou celkovou ekonomickou situaci v půlročním výhledu</w:t>
            </w:r>
            <w:r>
              <w:rPr>
                <w:color w:val="0D0D0D" w:themeColor="text1" w:themeTint="F2"/>
                <w:spacing w:val="-3"/>
              </w:rPr>
              <w:t>.</w:t>
            </w:r>
            <w:r w:rsidRPr="005A37A7">
              <w:rPr>
                <w:color w:val="0D0D0D" w:themeColor="text1" w:themeTint="F2"/>
                <w:spacing w:val="-3"/>
              </w:rPr>
              <w:t xml:space="preserve"> Očekávání růstu cen vlastní produkce od počátku letošního roku znatelně slábla, což odpovídalo skutečnosti, neboť v řadě průmyslových oborů již z velké části odezněl</w:t>
            </w:r>
            <w:r>
              <w:rPr>
                <w:color w:val="0D0D0D" w:themeColor="text1" w:themeTint="F2"/>
                <w:spacing w:val="-3"/>
              </w:rPr>
              <w:t xml:space="preserve"> nákladový šok</w:t>
            </w:r>
            <w:r w:rsidRPr="005A37A7">
              <w:rPr>
                <w:color w:val="0D0D0D" w:themeColor="text1" w:themeTint="F2"/>
                <w:spacing w:val="-3"/>
              </w:rPr>
              <w:t>.</w:t>
            </w:r>
          </w:p>
        </w:tc>
      </w:tr>
      <w:tr w:rsidR="009360FA" w:rsidRPr="00784EC8" w14:paraId="2252A5B3" w14:textId="77777777" w:rsidTr="00FD4372">
        <w:trPr>
          <w:trHeight w:val="170"/>
        </w:trPr>
        <w:tc>
          <w:tcPr>
            <w:tcW w:w="1754" w:type="dxa"/>
            <w:tcBorders>
              <w:top w:val="nil"/>
              <w:left w:val="nil"/>
              <w:bottom w:val="nil"/>
              <w:right w:val="nil"/>
            </w:tcBorders>
            <w:shd w:val="clear" w:color="auto" w:fill="auto"/>
            <w:tcMar>
              <w:left w:w="0" w:type="dxa"/>
            </w:tcMar>
          </w:tcPr>
          <w:p w14:paraId="45721225" w14:textId="77777777" w:rsidR="009360FA" w:rsidRDefault="009360FA" w:rsidP="00FD4372">
            <w:pPr>
              <w:pStyle w:val="Marginlie"/>
              <w:rPr>
                <w:color w:val="0D0D0D" w:themeColor="text1" w:themeTint="F2"/>
                <w:spacing w:val="-4"/>
              </w:rPr>
            </w:pPr>
            <w:r>
              <w:rPr>
                <w:color w:val="0D0D0D" w:themeColor="text1" w:themeTint="F2"/>
                <w:spacing w:val="-4"/>
              </w:rPr>
              <w:t>Stavebnictví bylo stále zasaženo dopady silného růstu nákladů, citelně se projevovalo ochlazení trhu s novými rezidenčními nemovitostmi.</w:t>
            </w:r>
          </w:p>
          <w:p w14:paraId="442EEEE8" w14:textId="77777777" w:rsidR="009360FA" w:rsidRDefault="009360FA" w:rsidP="00FD4372">
            <w:pPr>
              <w:pStyle w:val="Marginlie"/>
              <w:rPr>
                <w:color w:val="0D0D0D" w:themeColor="text1" w:themeTint="F2"/>
                <w:spacing w:val="-4"/>
              </w:rPr>
            </w:pPr>
          </w:p>
          <w:p w14:paraId="57900F79" w14:textId="77777777" w:rsidR="009360FA" w:rsidRDefault="009360FA" w:rsidP="00FD4372">
            <w:pPr>
              <w:pStyle w:val="Marginlie"/>
              <w:rPr>
                <w:color w:val="0D0D0D" w:themeColor="text1" w:themeTint="F2"/>
                <w:spacing w:val="-4"/>
              </w:rPr>
            </w:pPr>
          </w:p>
          <w:p w14:paraId="4CAE82F4" w14:textId="77777777" w:rsidR="009360FA" w:rsidRDefault="009360FA" w:rsidP="00FD4372">
            <w:pPr>
              <w:pStyle w:val="Marginlie"/>
              <w:rPr>
                <w:color w:val="0D0D0D" w:themeColor="text1" w:themeTint="F2"/>
                <w:spacing w:val="-4"/>
              </w:rPr>
            </w:pPr>
          </w:p>
          <w:p w14:paraId="5DE296FE" w14:textId="77777777" w:rsidR="009360FA" w:rsidRPr="00784EC8" w:rsidRDefault="009360FA" w:rsidP="00FD4372">
            <w:pPr>
              <w:pStyle w:val="Marginlie"/>
              <w:rPr>
                <w:color w:val="0D0D0D" w:themeColor="text1" w:themeTint="F2"/>
                <w:spacing w:val="-4"/>
              </w:rPr>
            </w:pPr>
          </w:p>
          <w:p w14:paraId="58C76BA2" w14:textId="77777777" w:rsidR="009360FA" w:rsidRPr="00784EC8" w:rsidRDefault="009360FA" w:rsidP="00FD4372">
            <w:pPr>
              <w:pStyle w:val="Marginlie"/>
              <w:rPr>
                <w:color w:val="0D0D0D" w:themeColor="text1" w:themeTint="F2"/>
                <w:spacing w:val="-4"/>
              </w:rPr>
            </w:pPr>
            <w:r>
              <w:rPr>
                <w:color w:val="0D0D0D" w:themeColor="text1" w:themeTint="F2"/>
                <w:spacing w:val="-4"/>
              </w:rPr>
              <w:t xml:space="preserve">I přes výše uvedené faktory se stavební produkce podruhé v řadě </w:t>
            </w:r>
            <w:proofErr w:type="spellStart"/>
            <w:r>
              <w:rPr>
                <w:color w:val="0D0D0D" w:themeColor="text1" w:themeTint="F2"/>
                <w:spacing w:val="-4"/>
              </w:rPr>
              <w:t>mezikvartálně</w:t>
            </w:r>
            <w:proofErr w:type="spellEnd"/>
            <w:r>
              <w:rPr>
                <w:color w:val="0D0D0D" w:themeColor="text1" w:themeTint="F2"/>
                <w:spacing w:val="-4"/>
              </w:rPr>
              <w:t xml:space="preserve"> mírně zvýšila.</w:t>
            </w:r>
          </w:p>
        </w:tc>
        <w:tc>
          <w:tcPr>
            <w:tcW w:w="185" w:type="dxa"/>
            <w:tcBorders>
              <w:top w:val="nil"/>
              <w:left w:val="nil"/>
              <w:bottom w:val="nil"/>
              <w:right w:val="nil"/>
            </w:tcBorders>
            <w:shd w:val="clear" w:color="auto" w:fill="auto"/>
            <w:tcMar>
              <w:left w:w="0" w:type="dxa"/>
            </w:tcMar>
          </w:tcPr>
          <w:p w14:paraId="75790C20" w14:textId="77777777" w:rsidR="009360FA" w:rsidRPr="00784EC8"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3FD32581" w14:textId="77777777" w:rsidR="009360FA" w:rsidRPr="00784EC8" w:rsidRDefault="009360FA" w:rsidP="00FD4372">
            <w:pPr>
              <w:spacing w:after="200"/>
              <w:rPr>
                <w:color w:val="0D0D0D" w:themeColor="text1" w:themeTint="F2"/>
                <w:spacing w:val="-6"/>
              </w:rPr>
            </w:pPr>
            <w:r>
              <w:rPr>
                <w:color w:val="0D0D0D" w:themeColor="text1" w:themeTint="F2"/>
                <w:spacing w:val="-6"/>
              </w:rPr>
              <w:t xml:space="preserve">Stavebnictví se i na počátku letošního roku vypořádávalo s nákladovými tlaky. Přestože meziroční růst cen stavebních materiálů slábl, znatelnějšímu poklesu cen stavební výroby bránily sílící pracovní náklady (umocněné chronickým nedostatkem kvalifikované pracovní síly). Rostoucí náklady promítnuté do stavební produkce nacházely stále menší odezvu na poptávkové straně, zejména u rezidenčních nemovitostí (k čemuž významně přispěly vyšší úrokové sazby). K </w:t>
            </w:r>
            <w:r w:rsidRPr="00B63E5E">
              <w:rPr>
                <w:color w:val="0D0D0D" w:themeColor="text1" w:themeTint="F2"/>
                <w:spacing w:val="-6"/>
              </w:rPr>
              <w:t xml:space="preserve">revizi </w:t>
            </w:r>
            <w:r>
              <w:rPr>
                <w:color w:val="0D0D0D" w:themeColor="text1" w:themeTint="F2"/>
                <w:spacing w:val="-6"/>
              </w:rPr>
              <w:t xml:space="preserve">či odkladu </w:t>
            </w:r>
            <w:r w:rsidRPr="00B63E5E">
              <w:rPr>
                <w:color w:val="0D0D0D" w:themeColor="text1" w:themeTint="F2"/>
                <w:spacing w:val="-6"/>
              </w:rPr>
              <w:t>plánovaných investičních akcí</w:t>
            </w:r>
            <w:r>
              <w:rPr>
                <w:color w:val="0D0D0D" w:themeColor="text1" w:themeTint="F2"/>
                <w:spacing w:val="-6"/>
              </w:rPr>
              <w:t xml:space="preserve"> docházelo patrně rovněž u</w:t>
            </w:r>
            <w:r w:rsidRPr="005A37A7">
              <w:rPr>
                <w:spacing w:val="-3"/>
              </w:rPr>
              <w:t> </w:t>
            </w:r>
            <w:r>
              <w:rPr>
                <w:color w:val="0D0D0D" w:themeColor="text1" w:themeTint="F2"/>
                <w:spacing w:val="-6"/>
              </w:rPr>
              <w:t xml:space="preserve">veřejných investorů, především zřejmě u projektů nekrytých prostředky z rozpočtu EU. </w:t>
            </w:r>
            <w:r>
              <w:rPr>
                <w:color w:val="0D0D0D" w:themeColor="text1" w:themeTint="F2"/>
                <w:spacing w:val="-6"/>
              </w:rPr>
              <w:lastRenderedPageBreak/>
              <w:t>Celková stavební produkce</w:t>
            </w:r>
            <w:r w:rsidRPr="00B63E5E">
              <w:rPr>
                <w:rStyle w:val="Znakapoznpodarou"/>
                <w:color w:val="0D0D0D" w:themeColor="text1" w:themeTint="F2"/>
                <w:spacing w:val="-6"/>
              </w:rPr>
              <w:footnoteReference w:id="23"/>
            </w:r>
            <w:r>
              <w:rPr>
                <w:color w:val="0D0D0D" w:themeColor="text1" w:themeTint="F2"/>
                <w:spacing w:val="-6"/>
              </w:rPr>
              <w:t xml:space="preserve"> na počátku roku 2023 pokračovala v mírném </w:t>
            </w:r>
            <w:proofErr w:type="spellStart"/>
            <w:r>
              <w:rPr>
                <w:color w:val="0D0D0D" w:themeColor="text1" w:themeTint="F2"/>
                <w:spacing w:val="-6"/>
              </w:rPr>
              <w:t>mezikvartálním</w:t>
            </w:r>
            <w:proofErr w:type="spellEnd"/>
            <w:r>
              <w:rPr>
                <w:color w:val="0D0D0D" w:themeColor="text1" w:themeTint="F2"/>
                <w:spacing w:val="-6"/>
              </w:rPr>
              <w:t xml:space="preserve"> růstu (zhruba o 2 % se zvýšila podruhé v řadě). Meziročně však výkon stavebnictví mírně poklesl (o 1,2 %) a dosáhl nejslabšího tempa od 1. čtvrtletí 2021. Projevil se zde efekt vyšší loňské základny – speciálně v inženýrském stavitelství (kde se letos produkce o více než desetinu propadla). Výkon ve váhově dominantním segmentu – pozemním stavitelství – oproti tomu meziročně stoupl o 1,6 %. Bytová výstavba však růst produkce tohoto segmentu brzdila. Počet zahájených bytů v ČR v 1. čtvrtletí oproti rekordní výstavbě z počátku loňského roku poklesl o 12,2 %, a to téměř výhradně vlivem propadu v oblasti zahajovaných bytů v rodinných domech (RD), rostla naopak poptávka po nástavbách k bytovým domům. Počet bytů v RD byl v rámci 1. čtvrtletí nejnižší za posledních šest let (3,7 tis.). V oblasti finalizace bytů se zatím útlum realitního trhu projevil jen zčásti, počet dokončených bytů se však i zde významně snížil (o 10,4 %), o což se podobnou měrou „zasloužily“ byty v rodinných i bytových domech. </w:t>
            </w:r>
          </w:p>
        </w:tc>
      </w:tr>
      <w:tr w:rsidR="009360FA" w:rsidRPr="00B63E5E" w14:paraId="26CD6A2C" w14:textId="77777777" w:rsidTr="00FD4372">
        <w:trPr>
          <w:trHeight w:val="170"/>
        </w:trPr>
        <w:tc>
          <w:tcPr>
            <w:tcW w:w="1754" w:type="dxa"/>
            <w:tcBorders>
              <w:top w:val="nil"/>
              <w:left w:val="nil"/>
              <w:bottom w:val="nil"/>
              <w:right w:val="nil"/>
            </w:tcBorders>
            <w:shd w:val="clear" w:color="auto" w:fill="auto"/>
            <w:tcMar>
              <w:left w:w="0" w:type="dxa"/>
            </w:tcMar>
          </w:tcPr>
          <w:p w14:paraId="57AB83B7" w14:textId="77777777" w:rsidR="009360FA" w:rsidRPr="00FB2830" w:rsidRDefault="009360FA" w:rsidP="00FD4372">
            <w:pPr>
              <w:pStyle w:val="Marginlie"/>
              <w:rPr>
                <w:color w:val="0D0D0D" w:themeColor="text1" w:themeTint="F2"/>
                <w:spacing w:val="-4"/>
              </w:rPr>
            </w:pPr>
            <w:r>
              <w:rPr>
                <w:color w:val="0D0D0D" w:themeColor="text1" w:themeTint="F2"/>
                <w:spacing w:val="-4"/>
              </w:rPr>
              <w:lastRenderedPageBreak/>
              <w:t>Hodnota nových stavebních zakázek po loňském svižném růstu na počátku letošního roku propadla. V celkové zásobě práce byl patrný pokles soukromé poptávky.</w:t>
            </w:r>
          </w:p>
        </w:tc>
        <w:tc>
          <w:tcPr>
            <w:tcW w:w="185" w:type="dxa"/>
            <w:tcBorders>
              <w:top w:val="nil"/>
              <w:left w:val="nil"/>
              <w:bottom w:val="nil"/>
              <w:right w:val="nil"/>
            </w:tcBorders>
            <w:shd w:val="clear" w:color="auto" w:fill="auto"/>
            <w:tcMar>
              <w:left w:w="0" w:type="dxa"/>
            </w:tcMar>
          </w:tcPr>
          <w:p w14:paraId="69E8EC74" w14:textId="77777777" w:rsidR="009360FA" w:rsidRPr="00FB2830"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27C40A57" w14:textId="77777777" w:rsidR="009360FA" w:rsidRPr="00B63E5E" w:rsidRDefault="009360FA" w:rsidP="00FD4372">
            <w:pPr>
              <w:spacing w:after="200"/>
              <w:rPr>
                <w:color w:val="0D0D0D" w:themeColor="text1" w:themeTint="F2"/>
                <w:spacing w:val="-6"/>
              </w:rPr>
            </w:pPr>
            <w:r w:rsidRPr="009B0AD6">
              <w:rPr>
                <w:rFonts w:cs="Arial"/>
                <w:color w:val="0D0D0D" w:themeColor="text1" w:themeTint="F2"/>
                <w:spacing w:val="-6"/>
              </w:rPr>
              <w:t xml:space="preserve">Hodnota nových stavebních zakázek v tuzemsku </w:t>
            </w:r>
            <w:r w:rsidRPr="001E7777">
              <w:rPr>
                <w:rFonts w:cs="Arial"/>
                <w:color w:val="0D0D0D" w:themeColor="text1" w:themeTint="F2"/>
                <w:spacing w:val="-6"/>
              </w:rPr>
              <w:t>(v podnicích s více než 50 zaměstnanci)</w:t>
            </w:r>
            <w:r>
              <w:rPr>
                <w:rFonts w:cs="Arial"/>
                <w:color w:val="0D0D0D" w:themeColor="text1" w:themeTint="F2"/>
                <w:spacing w:val="-6"/>
              </w:rPr>
              <w:t xml:space="preserve"> v 1. čtvrtletí 2023 poprvé po téměř třech letech meziročně poklesla (o citelných 11,8 %). Po celý loňský rok přitom vykazovala dvojciferná růstová tempa. K letošnímu snížení očekávané poptávky přispěly podobnou intenzitou pozemní stavebnictví i inženýrské stavby. </w:t>
            </w:r>
            <w:r w:rsidRPr="009B0AD6">
              <w:rPr>
                <w:rFonts w:cs="Arial"/>
                <w:color w:val="0D0D0D" w:themeColor="text1" w:themeTint="F2"/>
                <w:spacing w:val="-6"/>
              </w:rPr>
              <w:t xml:space="preserve">Celková zásoba práce </w:t>
            </w:r>
            <w:r>
              <w:rPr>
                <w:rFonts w:cs="Arial"/>
                <w:color w:val="0D0D0D" w:themeColor="text1" w:themeTint="F2"/>
                <w:spacing w:val="-6"/>
              </w:rPr>
              <w:t xml:space="preserve">(ve formě hodnoty </w:t>
            </w:r>
            <w:r>
              <w:rPr>
                <w:rFonts w:cs="Arial"/>
                <w:color w:val="0D0D0D" w:themeColor="text1" w:themeTint="F2"/>
                <w:spacing w:val="-4"/>
              </w:rPr>
              <w:t>dosud nerealizovaných</w:t>
            </w:r>
            <w:r w:rsidRPr="003448DB">
              <w:rPr>
                <w:rFonts w:cs="Arial"/>
                <w:color w:val="0D0D0D" w:themeColor="text1" w:themeTint="F2"/>
                <w:spacing w:val="-4"/>
              </w:rPr>
              <w:t xml:space="preserve"> stavební</w:t>
            </w:r>
            <w:r>
              <w:rPr>
                <w:rFonts w:cs="Arial"/>
                <w:color w:val="0D0D0D" w:themeColor="text1" w:themeTint="F2"/>
                <w:spacing w:val="-4"/>
              </w:rPr>
              <w:t xml:space="preserve">ch zakázek) </w:t>
            </w:r>
            <w:r w:rsidRPr="003448DB">
              <w:rPr>
                <w:rFonts w:cs="Arial"/>
                <w:color w:val="0D0D0D" w:themeColor="text1" w:themeTint="F2"/>
                <w:spacing w:val="-4"/>
              </w:rPr>
              <w:t>byla</w:t>
            </w:r>
            <w:r>
              <w:rPr>
                <w:rFonts w:cs="Arial"/>
                <w:color w:val="0D0D0D" w:themeColor="text1" w:themeTint="F2"/>
                <w:spacing w:val="-4"/>
              </w:rPr>
              <w:t xml:space="preserve"> letos na konci března meziročně vyšší již jen o 5,4 % (nejnižší tempo za posledních pět let). I přes tento negativní trend stavební podniky letos na počátku 2. čtvrtletí odhadly, že současná zásoba zakázek jim zajišťuje práci v průměru na dalších devět měsíců (podobně tomu bylo i po celý loňský rok). Za pozitivní lze označit i přetrvávající solidní zásobu veřejných tuzemských zakázek (proti loňskému březnu byla vyšší o 16 % a zároveň tvořila skoro dvě třetiny veškeré zásoby </w:t>
            </w:r>
            <w:r w:rsidRPr="00F71F4B">
              <w:rPr>
                <w:rFonts w:cs="Arial"/>
                <w:color w:val="0D0D0D" w:themeColor="text1" w:themeTint="F2"/>
                <w:spacing w:val="-5"/>
              </w:rPr>
              <w:t>práce středních a větších stavebních firem). Pokles poptávky je naopak patrný u soukromých zakázek a v menším segmentu stavebních zakázek v zahraničí (shodně o desetinu).</w:t>
            </w:r>
          </w:p>
        </w:tc>
      </w:tr>
      <w:tr w:rsidR="009360FA" w:rsidRPr="00D232BB" w14:paraId="295CE475" w14:textId="77777777" w:rsidTr="00FD4372">
        <w:trPr>
          <w:trHeight w:val="170"/>
        </w:trPr>
        <w:tc>
          <w:tcPr>
            <w:tcW w:w="1754" w:type="dxa"/>
            <w:vMerge w:val="restart"/>
            <w:tcBorders>
              <w:top w:val="nil"/>
              <w:left w:val="nil"/>
              <w:bottom w:val="nil"/>
              <w:right w:val="nil"/>
            </w:tcBorders>
            <w:shd w:val="clear" w:color="auto" w:fill="auto"/>
            <w:tcMar>
              <w:left w:w="0" w:type="dxa"/>
            </w:tcMar>
          </w:tcPr>
          <w:p w14:paraId="316EE729" w14:textId="77777777" w:rsidR="009360FA" w:rsidRDefault="009360FA" w:rsidP="00FD4372">
            <w:pPr>
              <w:pStyle w:val="Marginlie"/>
            </w:pPr>
          </w:p>
        </w:tc>
        <w:tc>
          <w:tcPr>
            <w:tcW w:w="185" w:type="dxa"/>
            <w:vMerge w:val="restart"/>
            <w:tcBorders>
              <w:top w:val="nil"/>
              <w:left w:val="nil"/>
              <w:bottom w:val="nil"/>
              <w:right w:val="nil"/>
            </w:tcBorders>
            <w:shd w:val="clear" w:color="auto" w:fill="auto"/>
            <w:tcMar>
              <w:left w:w="0" w:type="dxa"/>
            </w:tcMar>
          </w:tcPr>
          <w:p w14:paraId="06A6ED2F"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4CE5DD05" w14:textId="77777777" w:rsidR="009360FA" w:rsidRPr="00D232BB" w:rsidRDefault="009360FA" w:rsidP="00FD4372">
            <w:pPr>
              <w:spacing w:after="20"/>
              <w:rPr>
                <w:rFonts w:cs="Arial"/>
                <w:bCs/>
              </w:rPr>
            </w:pPr>
            <w:r w:rsidRPr="006E759E">
              <w:rPr>
                <w:b/>
                <w:spacing w:val="-5"/>
              </w:rPr>
              <w:t xml:space="preserve">Graf č. 6 Příspěvky odvětví k meziroční změně stavební produkce </w:t>
            </w:r>
            <w:r w:rsidRPr="006E759E">
              <w:rPr>
                <w:spacing w:val="-5"/>
              </w:rPr>
              <w:t>(reálně, v p. b.)</w:t>
            </w:r>
            <w:r w:rsidRPr="006E759E">
              <w:rPr>
                <w:b/>
                <w:bCs/>
                <w:spacing w:val="-5"/>
              </w:rPr>
              <w:t>,</w:t>
            </w:r>
            <w:r w:rsidRPr="006E759E">
              <w:rPr>
                <w:b/>
                <w:bCs/>
                <w:spacing w:val="-5"/>
              </w:rPr>
              <w:br/>
            </w:r>
            <w:r w:rsidRPr="006E759E">
              <w:rPr>
                <w:b/>
                <w:spacing w:val="-5"/>
              </w:rPr>
              <w:t xml:space="preserve">nové stavební zakázky </w:t>
            </w:r>
            <w:r w:rsidRPr="006E759E">
              <w:rPr>
                <w:spacing w:val="-5"/>
              </w:rPr>
              <w:t>(</w:t>
            </w:r>
            <w:r w:rsidRPr="006E759E">
              <w:rPr>
                <w:bCs/>
                <w:spacing w:val="-5"/>
              </w:rPr>
              <w:t xml:space="preserve">nominálně, </w:t>
            </w:r>
            <w:r w:rsidRPr="006E759E">
              <w:rPr>
                <w:spacing w:val="-5"/>
              </w:rPr>
              <w:t>meziročně,</w:t>
            </w:r>
            <w:r w:rsidRPr="006E759E">
              <w:rPr>
                <w:bCs/>
                <w:spacing w:val="-5"/>
              </w:rPr>
              <w:t xml:space="preserve"> v %)</w:t>
            </w:r>
            <w:r w:rsidRPr="006E759E">
              <w:rPr>
                <w:b/>
                <w:spacing w:val="-5"/>
              </w:rPr>
              <w:t>, saldo důvěry podnikatelů ve stavebnictví*</w:t>
            </w:r>
            <w:r w:rsidRPr="006E759E">
              <w:rPr>
                <w:spacing w:val="-5"/>
              </w:rPr>
              <w:t xml:space="preserve"> (v p. b., pravá osa) </w:t>
            </w:r>
            <w:r w:rsidRPr="006E759E">
              <w:rPr>
                <w:b/>
                <w:spacing w:val="-5"/>
              </w:rPr>
              <w:t>a vybrané bariéry růstu</w:t>
            </w:r>
            <w:r w:rsidRPr="006E759E">
              <w:rPr>
                <w:spacing w:val="-5"/>
              </w:rPr>
              <w:t>* (v %, pravá osa)</w:t>
            </w:r>
          </w:p>
        </w:tc>
      </w:tr>
      <w:tr w:rsidR="009360FA" w:rsidRPr="0067514E" w14:paraId="4C720295" w14:textId="77777777" w:rsidTr="00FD4372">
        <w:tblPrEx>
          <w:tblCellMar>
            <w:left w:w="70" w:type="dxa"/>
            <w:right w:w="70" w:type="dxa"/>
          </w:tblCellMar>
        </w:tblPrEx>
        <w:trPr>
          <w:trHeight w:val="170"/>
        </w:trPr>
        <w:tc>
          <w:tcPr>
            <w:tcW w:w="1754" w:type="dxa"/>
            <w:vMerge/>
            <w:tcBorders>
              <w:top w:val="nil"/>
              <w:left w:val="nil"/>
              <w:bottom w:val="nil"/>
              <w:right w:val="nil"/>
            </w:tcBorders>
            <w:shd w:val="clear" w:color="auto" w:fill="auto"/>
          </w:tcPr>
          <w:p w14:paraId="6BB51599" w14:textId="77777777" w:rsidR="009360FA" w:rsidRDefault="009360FA" w:rsidP="00FD4372">
            <w:pPr>
              <w:pStyle w:val="Marginlie"/>
            </w:pPr>
          </w:p>
        </w:tc>
        <w:tc>
          <w:tcPr>
            <w:tcW w:w="185" w:type="dxa"/>
            <w:vMerge/>
            <w:tcBorders>
              <w:top w:val="nil"/>
              <w:left w:val="nil"/>
              <w:bottom w:val="nil"/>
              <w:right w:val="nil"/>
            </w:tcBorders>
            <w:shd w:val="clear" w:color="auto" w:fill="auto"/>
          </w:tcPr>
          <w:p w14:paraId="1D0A782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Pr>
          <w:p w14:paraId="35B06DD3" w14:textId="77777777" w:rsidR="009360FA" w:rsidRPr="0067514E" w:rsidRDefault="009360FA" w:rsidP="00FD4372">
            <w:pPr>
              <w:spacing w:after="0"/>
              <w:rPr>
                <w:spacing w:val="-6"/>
              </w:rPr>
            </w:pPr>
            <w:r>
              <w:rPr>
                <w:noProof/>
              </w:rPr>
              <w:drawing>
                <wp:inline distT="0" distB="0" distL="0" distR="0" wp14:anchorId="26B18EAE" wp14:editId="04BB6EE6">
                  <wp:extent cx="4681855" cy="3456000"/>
                  <wp:effectExtent l="0" t="0" r="4445"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9360FA" w:rsidRPr="008F2BE2" w14:paraId="01F4AC47" w14:textId="77777777" w:rsidTr="00FD4372">
        <w:trPr>
          <w:trHeight w:val="170"/>
        </w:trPr>
        <w:tc>
          <w:tcPr>
            <w:tcW w:w="1754" w:type="dxa"/>
            <w:vMerge/>
            <w:tcBorders>
              <w:top w:val="nil"/>
              <w:left w:val="nil"/>
              <w:bottom w:val="nil"/>
              <w:right w:val="nil"/>
            </w:tcBorders>
            <w:shd w:val="clear" w:color="auto" w:fill="auto"/>
            <w:tcMar>
              <w:left w:w="0" w:type="dxa"/>
            </w:tcMar>
          </w:tcPr>
          <w:p w14:paraId="4CD9DA2E" w14:textId="77777777" w:rsidR="009360FA" w:rsidRDefault="009360FA" w:rsidP="00FD4372">
            <w:pPr>
              <w:pStyle w:val="Marginlie"/>
            </w:pPr>
          </w:p>
        </w:tc>
        <w:tc>
          <w:tcPr>
            <w:tcW w:w="185" w:type="dxa"/>
            <w:vMerge/>
            <w:tcBorders>
              <w:top w:val="nil"/>
              <w:left w:val="nil"/>
              <w:bottom w:val="nil"/>
              <w:right w:val="nil"/>
            </w:tcBorders>
            <w:shd w:val="clear" w:color="auto" w:fill="auto"/>
            <w:tcMar>
              <w:left w:w="0" w:type="dxa"/>
            </w:tcMar>
          </w:tcPr>
          <w:p w14:paraId="5C93FE8F"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3499AAB6" w14:textId="77777777" w:rsidR="009360FA" w:rsidRPr="00883202" w:rsidRDefault="009360FA" w:rsidP="00FD4372">
            <w:pPr>
              <w:spacing w:after="0"/>
              <w:rPr>
                <w:rFonts w:cs="Arial"/>
                <w:sz w:val="14"/>
                <w:szCs w:val="14"/>
              </w:rPr>
            </w:pPr>
            <w:r>
              <w:rPr>
                <w:rFonts w:cs="Arial"/>
                <w:sz w:val="14"/>
                <w:szCs w:val="14"/>
              </w:rPr>
              <w:t xml:space="preserve">Poznámka: </w:t>
            </w:r>
            <w:r w:rsidRPr="00883202">
              <w:rPr>
                <w:rFonts w:cs="Arial"/>
                <w:sz w:val="14"/>
                <w:szCs w:val="14"/>
              </w:rPr>
              <w:t>Údaje o stavební produkci jsou očištěny o kalendářní vlivy.</w:t>
            </w:r>
          </w:p>
          <w:p w14:paraId="0636DE24" w14:textId="77777777" w:rsidR="009360FA" w:rsidRPr="008F2BE2" w:rsidRDefault="009360FA" w:rsidP="00FD4372">
            <w:pPr>
              <w:pStyle w:val="Textpoznpodarou"/>
              <w:jc w:val="both"/>
              <w:rPr>
                <w:spacing w:val="-4"/>
                <w:sz w:val="14"/>
                <w:szCs w:val="14"/>
              </w:rPr>
            </w:pPr>
            <w:r w:rsidRPr="00883202">
              <w:rPr>
                <w:rFonts w:cs="Arial"/>
                <w:sz w:val="14"/>
                <w:szCs w:val="14"/>
              </w:rPr>
              <w:t>*</w:t>
            </w:r>
            <w:r w:rsidRPr="006E759E">
              <w:rPr>
                <w:rFonts w:cs="Arial"/>
                <w:spacing w:val="-2"/>
                <w:sz w:val="14"/>
                <w:szCs w:val="14"/>
              </w:rPr>
              <w:t>Saldo důvěry podnikatelů i bariéry</w:t>
            </w:r>
            <w:r w:rsidRPr="00883202">
              <w:rPr>
                <w:rFonts w:cs="Arial"/>
                <w:spacing w:val="-2"/>
                <w:sz w:val="14"/>
                <w:szCs w:val="14"/>
              </w:rPr>
              <w:t xml:space="preserve">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9360FA" w14:paraId="385DDDBA" w14:textId="77777777" w:rsidTr="00FD4372">
        <w:trPr>
          <w:trHeight w:val="170"/>
        </w:trPr>
        <w:tc>
          <w:tcPr>
            <w:tcW w:w="1754" w:type="dxa"/>
            <w:tcBorders>
              <w:top w:val="nil"/>
              <w:left w:val="nil"/>
              <w:bottom w:val="nil"/>
              <w:right w:val="nil"/>
            </w:tcBorders>
            <w:shd w:val="clear" w:color="auto" w:fill="auto"/>
            <w:tcMar>
              <w:left w:w="0" w:type="dxa"/>
            </w:tcMar>
          </w:tcPr>
          <w:p w14:paraId="2281BED1" w14:textId="77777777" w:rsidR="009360FA" w:rsidRDefault="009360FA" w:rsidP="00FD4372">
            <w:pPr>
              <w:pStyle w:val="Marginlie"/>
              <w:rPr>
                <w:color w:val="0D0D0D" w:themeColor="text1" w:themeTint="F2"/>
                <w:spacing w:val="-4"/>
              </w:rPr>
            </w:pPr>
            <w:r>
              <w:rPr>
                <w:color w:val="0D0D0D" w:themeColor="text1" w:themeTint="F2"/>
                <w:spacing w:val="-4"/>
              </w:rPr>
              <w:lastRenderedPageBreak/>
              <w:t>Růst orientační hodnoty povolených staveb byl tažen nebytovými objekty a dopravními stavbami.</w:t>
            </w:r>
          </w:p>
          <w:p w14:paraId="6682130B" w14:textId="77777777" w:rsidR="009360FA" w:rsidRPr="00097A8B" w:rsidRDefault="009360FA" w:rsidP="00FD4372">
            <w:pPr>
              <w:pStyle w:val="Marginlie"/>
              <w:rPr>
                <w:spacing w:val="-4"/>
              </w:rPr>
            </w:pPr>
          </w:p>
        </w:tc>
        <w:tc>
          <w:tcPr>
            <w:tcW w:w="185" w:type="dxa"/>
            <w:tcBorders>
              <w:top w:val="nil"/>
              <w:left w:val="nil"/>
              <w:bottom w:val="nil"/>
              <w:right w:val="nil"/>
            </w:tcBorders>
            <w:shd w:val="clear" w:color="auto" w:fill="auto"/>
            <w:tcMar>
              <w:left w:w="0" w:type="dxa"/>
            </w:tcMar>
          </w:tcPr>
          <w:p w14:paraId="272189E7"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4CB434E4" w14:textId="77777777" w:rsidR="009360FA" w:rsidRDefault="009360FA" w:rsidP="00FD4372">
            <w:pPr>
              <w:spacing w:after="200"/>
              <w:rPr>
                <w:rFonts w:cs="Arial"/>
                <w:color w:val="0D0D0D" w:themeColor="text1" w:themeTint="F2"/>
                <w:spacing w:val="-6"/>
              </w:rPr>
            </w:pPr>
            <w:r>
              <w:rPr>
                <w:rFonts w:cs="Arial"/>
                <w:color w:val="0D0D0D" w:themeColor="text1" w:themeTint="F2"/>
                <w:spacing w:val="-4"/>
              </w:rPr>
              <w:t>Relativně příznivě se na počátku roku vyvíjela stavební povolení, jež naznačují investiční aktivitu ve střednědobém horizontu. Hodnota všech povolených staveb vzrostla meziročně skoro o desetinu, a to hlavně díky nové výstavbě i rekonstrukci či modernizaci nebytových budov a také inženýrských dopravních staveb. Naopak u povolení na novou výstavbu bytových budov lze od poloviny loňského roku sledovat útlum očekávané poptávky.</w:t>
            </w:r>
          </w:p>
        </w:tc>
      </w:tr>
      <w:tr w:rsidR="009360FA" w14:paraId="18C13B95" w14:textId="77777777" w:rsidTr="00FD4372">
        <w:trPr>
          <w:trHeight w:val="170"/>
        </w:trPr>
        <w:tc>
          <w:tcPr>
            <w:tcW w:w="1754" w:type="dxa"/>
            <w:tcBorders>
              <w:top w:val="nil"/>
              <w:left w:val="nil"/>
              <w:bottom w:val="nil"/>
              <w:right w:val="nil"/>
            </w:tcBorders>
            <w:shd w:val="clear" w:color="auto" w:fill="auto"/>
            <w:tcMar>
              <w:left w:w="0" w:type="dxa"/>
            </w:tcMar>
          </w:tcPr>
          <w:p w14:paraId="04100CAE" w14:textId="77777777" w:rsidR="009360FA" w:rsidRPr="00097A8B" w:rsidRDefault="009360FA" w:rsidP="00FD4372">
            <w:pPr>
              <w:pStyle w:val="Marginlie"/>
              <w:rPr>
                <w:spacing w:val="-4"/>
              </w:rPr>
            </w:pPr>
            <w:r>
              <w:rPr>
                <w:spacing w:val="-4"/>
              </w:rPr>
              <w:t>Pesimismus podnikatelů ve stavebnictví se letos dále prohluboval. Firmy očekávaly pokles stavební činnosti i</w:t>
            </w:r>
            <w:r>
              <w:rPr>
                <w:color w:val="0D0D0D" w:themeColor="text1" w:themeTint="F2"/>
                <w:spacing w:val="-4"/>
              </w:rPr>
              <w:t> </w:t>
            </w:r>
            <w:r>
              <w:rPr>
                <w:spacing w:val="-4"/>
              </w:rPr>
              <w:t>zaměstnanosti.</w:t>
            </w:r>
          </w:p>
        </w:tc>
        <w:tc>
          <w:tcPr>
            <w:tcW w:w="185" w:type="dxa"/>
            <w:tcBorders>
              <w:top w:val="nil"/>
              <w:left w:val="nil"/>
              <w:bottom w:val="nil"/>
              <w:right w:val="nil"/>
            </w:tcBorders>
            <w:shd w:val="clear" w:color="auto" w:fill="auto"/>
            <w:tcMar>
              <w:left w:w="0" w:type="dxa"/>
            </w:tcMar>
          </w:tcPr>
          <w:p w14:paraId="76C3161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3533A156" w14:textId="77777777" w:rsidR="009360FA" w:rsidRDefault="009360FA" w:rsidP="00FD4372">
            <w:pPr>
              <w:spacing w:after="200"/>
              <w:rPr>
                <w:rFonts w:cs="Arial"/>
                <w:color w:val="0D0D0D" w:themeColor="text1" w:themeTint="F2"/>
                <w:spacing w:val="-6"/>
              </w:rPr>
            </w:pPr>
            <w:r>
              <w:rPr>
                <w:rFonts w:cs="Arial"/>
                <w:color w:val="0D0D0D" w:themeColor="text1" w:themeTint="F2"/>
                <w:spacing w:val="-6"/>
              </w:rPr>
              <w:t>Trend slábnoucí podnikatelské důvěry si stavebnictví z 2. pololetí 2022 přeneslo i do letošního roku. V březnu byl tak pesimismus nejvyšší za posledních pět a půl roku. I přes převažující nepříznivý pohled na současnou poptávku hodnotily stavební firmy svou aktuální ekonomickou situaci mírně pozitivně, v půlročním výhledu však převládal pesimismus. Negativní výhledy ve stavební činnosti se letos prohlubovaly, v květnu očekávala (v tříměsíčním výhledu) pokles výroby čtvrtina podniků, pětina plánovala snižovat zaměstnanost. Přes 40 % firem předpokládalo růst cen vlastní stavební produkce. I za těchto okolností zůstává (fakticky již více než čtyři roky) hlavní růstovou bariérou nedostatek pracovníků</w:t>
            </w:r>
            <w:r>
              <w:rPr>
                <w:rStyle w:val="Znakapoznpodarou"/>
                <w:color w:val="0D0D0D" w:themeColor="text1" w:themeTint="F2"/>
                <w:spacing w:val="-6"/>
              </w:rPr>
              <w:footnoteReference w:id="24"/>
            </w:r>
            <w:r>
              <w:rPr>
                <w:rFonts w:cs="Arial"/>
                <w:color w:val="0D0D0D" w:themeColor="text1" w:themeTint="F2"/>
                <w:spacing w:val="-6"/>
              </w:rPr>
              <w:t xml:space="preserve">. </w:t>
            </w:r>
          </w:p>
        </w:tc>
      </w:tr>
      <w:tr w:rsidR="009360FA" w:rsidRPr="00CF0DCE" w14:paraId="5E240039" w14:textId="77777777" w:rsidTr="00FD4372">
        <w:trPr>
          <w:trHeight w:val="170"/>
        </w:trPr>
        <w:tc>
          <w:tcPr>
            <w:tcW w:w="1754" w:type="dxa"/>
            <w:tcBorders>
              <w:top w:val="nil"/>
              <w:left w:val="nil"/>
              <w:bottom w:val="nil"/>
              <w:right w:val="nil"/>
            </w:tcBorders>
            <w:shd w:val="clear" w:color="auto" w:fill="auto"/>
            <w:tcMar>
              <w:left w:w="0" w:type="dxa"/>
            </w:tcMar>
          </w:tcPr>
          <w:p w14:paraId="481786B7" w14:textId="77777777" w:rsidR="009360FA" w:rsidRDefault="009360FA" w:rsidP="00FD4372">
            <w:pPr>
              <w:pStyle w:val="Marginlie"/>
            </w:pPr>
            <w:r>
              <w:t xml:space="preserve">Přetrvával mírný </w:t>
            </w:r>
            <w:proofErr w:type="spellStart"/>
            <w:r>
              <w:t>mezikvartální</w:t>
            </w:r>
            <w:proofErr w:type="spellEnd"/>
            <w:r>
              <w:t xml:space="preserve"> pokles tržeb ve službách započatý loni ve </w:t>
            </w:r>
            <w:r>
              <w:br/>
              <w:t>2. pololetí.</w:t>
            </w:r>
          </w:p>
        </w:tc>
        <w:tc>
          <w:tcPr>
            <w:tcW w:w="185" w:type="dxa"/>
            <w:tcBorders>
              <w:top w:val="nil"/>
              <w:left w:val="nil"/>
              <w:bottom w:val="nil"/>
              <w:right w:val="nil"/>
            </w:tcBorders>
            <w:shd w:val="clear" w:color="auto" w:fill="auto"/>
            <w:tcMar>
              <w:left w:w="0" w:type="dxa"/>
            </w:tcMar>
          </w:tcPr>
          <w:p w14:paraId="4997EE2D"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64990A10" w14:textId="77777777" w:rsidR="009360FA" w:rsidRPr="00CF0DCE" w:rsidRDefault="009360FA" w:rsidP="00FD4372">
            <w:pPr>
              <w:spacing w:after="200"/>
              <w:rPr>
                <w:rFonts w:cs="Arial"/>
                <w:color w:val="0D0D0D" w:themeColor="text1" w:themeTint="F2"/>
                <w:spacing w:val="-6"/>
              </w:rPr>
            </w:pPr>
            <w:r>
              <w:rPr>
                <w:rFonts w:cs="Arial"/>
                <w:color w:val="0D0D0D" w:themeColor="text1" w:themeTint="F2"/>
                <w:spacing w:val="-6"/>
              </w:rPr>
              <w:t xml:space="preserve">Zastavení hospodářského růstu úzce spojeného s poklesem soukromých spotřebních výdajů se začalo projevovat i ve službách. </w:t>
            </w:r>
            <w:proofErr w:type="spellStart"/>
            <w:r>
              <w:rPr>
                <w:rFonts w:cs="Arial"/>
                <w:color w:val="0D0D0D" w:themeColor="text1" w:themeTint="F2"/>
                <w:spacing w:val="-6"/>
              </w:rPr>
              <w:t>Mezikvartální</w:t>
            </w:r>
            <w:proofErr w:type="spellEnd"/>
            <w:r>
              <w:rPr>
                <w:rFonts w:cs="Arial"/>
                <w:color w:val="0D0D0D" w:themeColor="text1" w:themeTint="F2"/>
                <w:spacing w:val="-6"/>
              </w:rPr>
              <w:t xml:space="preserve"> růst jejich tržeb</w:t>
            </w:r>
            <w:r w:rsidRPr="00231745">
              <w:rPr>
                <w:color w:val="0D0D0D" w:themeColor="text1" w:themeTint="F2"/>
                <w:spacing w:val="-4"/>
                <w:vertAlign w:val="superscript"/>
              </w:rPr>
              <w:footnoteReference w:id="25"/>
            </w:r>
            <w:r>
              <w:rPr>
                <w:rFonts w:cs="Arial"/>
                <w:color w:val="0D0D0D" w:themeColor="text1" w:themeTint="F2"/>
                <w:spacing w:val="-6"/>
              </w:rPr>
              <w:t xml:space="preserve">, trvající od počátku roku 2021, se ve druhé polovině loňského roku zastavil a k oživení nedošlo ani po začátku letošního roku (−0,4 %). Na tento méně příznivý vývoj měl zásadní vliv pokles tržeb v dopravě a skladování, </w:t>
            </w:r>
            <w:proofErr w:type="spellStart"/>
            <w:r>
              <w:rPr>
                <w:rFonts w:cs="Arial"/>
                <w:color w:val="0D0D0D" w:themeColor="text1" w:themeTint="F2"/>
                <w:spacing w:val="-6"/>
              </w:rPr>
              <w:t>prorůstově</w:t>
            </w:r>
            <w:proofErr w:type="spellEnd"/>
            <w:r>
              <w:rPr>
                <w:rFonts w:cs="Arial"/>
                <w:color w:val="0D0D0D" w:themeColor="text1" w:themeTint="F2"/>
                <w:spacing w:val="-6"/>
              </w:rPr>
              <w:t xml:space="preserve"> naopak působil přetrvávající mírný růst poptávky v odvětví p</w:t>
            </w:r>
            <w:r w:rsidRPr="00225452">
              <w:rPr>
                <w:rFonts w:cs="Arial"/>
                <w:color w:val="0D0D0D" w:themeColor="text1" w:themeTint="F2"/>
                <w:spacing w:val="-6"/>
              </w:rPr>
              <w:t>rofesní, vědecké a technické činnosti</w:t>
            </w:r>
            <w:r>
              <w:rPr>
                <w:rFonts w:cs="Arial"/>
                <w:color w:val="0D0D0D" w:themeColor="text1" w:themeTint="F2"/>
                <w:spacing w:val="-6"/>
              </w:rPr>
              <w:t xml:space="preserve">, které typicky zahrnuje sofistikovanější služby pro podniky. </w:t>
            </w:r>
          </w:p>
        </w:tc>
      </w:tr>
      <w:tr w:rsidR="009360FA" w14:paraId="2C20F797" w14:textId="77777777" w:rsidTr="00FD4372">
        <w:trPr>
          <w:trHeight w:val="170"/>
        </w:trPr>
        <w:tc>
          <w:tcPr>
            <w:tcW w:w="1754" w:type="dxa"/>
            <w:tcBorders>
              <w:top w:val="nil"/>
              <w:left w:val="nil"/>
              <w:bottom w:val="nil"/>
              <w:right w:val="nil"/>
            </w:tcBorders>
            <w:shd w:val="clear" w:color="auto" w:fill="auto"/>
            <w:tcMar>
              <w:left w:w="0" w:type="dxa"/>
            </w:tcMar>
          </w:tcPr>
          <w:p w14:paraId="26296094" w14:textId="1D4AC25C" w:rsidR="009360FA" w:rsidRDefault="009360FA" w:rsidP="00FD4372">
            <w:pPr>
              <w:pStyle w:val="Marginlie"/>
            </w:pPr>
            <w:r>
              <w:t xml:space="preserve">Meziroční </w:t>
            </w:r>
            <w:r w:rsidR="00F067B8">
              <w:t>růst tržeb ve službách se po sedm</w:t>
            </w:r>
            <w:r>
              <w:t>i kvartálech zastavil. Rozhodující vliv na to měl prohlubující se pokles poptávky v dopravě a skladování.</w:t>
            </w:r>
          </w:p>
        </w:tc>
        <w:tc>
          <w:tcPr>
            <w:tcW w:w="185" w:type="dxa"/>
            <w:tcBorders>
              <w:top w:val="nil"/>
              <w:left w:val="nil"/>
              <w:bottom w:val="nil"/>
              <w:right w:val="nil"/>
            </w:tcBorders>
            <w:shd w:val="clear" w:color="auto" w:fill="auto"/>
            <w:tcMar>
              <w:left w:w="0" w:type="dxa"/>
            </w:tcMar>
          </w:tcPr>
          <w:p w14:paraId="1C6AC763"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476FEE97" w14:textId="4CB9CCF3" w:rsidR="009360FA" w:rsidRDefault="009360FA" w:rsidP="00F067B8">
            <w:pPr>
              <w:spacing w:after="200"/>
              <w:rPr>
                <w:rFonts w:cs="Arial"/>
                <w:color w:val="0D0D0D" w:themeColor="text1" w:themeTint="F2"/>
                <w:spacing w:val="-6"/>
              </w:rPr>
            </w:pPr>
            <w:r>
              <w:rPr>
                <w:rFonts w:cs="Arial"/>
                <w:color w:val="0D0D0D" w:themeColor="text1" w:themeTint="F2"/>
                <w:spacing w:val="-6"/>
              </w:rPr>
              <w:t xml:space="preserve">V 1. čtvrtletí 2023 se tržby ve službách meziročně nepatrně snížily (o 0,3 %), když k jejich poklesu došlo poprvé za poslední dva roky. Ve většině odvětví služeb se již patrně vyčerpal „efekt </w:t>
            </w:r>
            <w:proofErr w:type="spellStart"/>
            <w:r>
              <w:rPr>
                <w:rFonts w:cs="Arial"/>
                <w:color w:val="0D0D0D" w:themeColor="text1" w:themeTint="F2"/>
                <w:spacing w:val="-6"/>
              </w:rPr>
              <w:t>postpandemického</w:t>
            </w:r>
            <w:proofErr w:type="spellEnd"/>
            <w:r>
              <w:rPr>
                <w:rFonts w:cs="Arial"/>
                <w:color w:val="0D0D0D" w:themeColor="text1" w:themeTint="F2"/>
                <w:spacing w:val="-6"/>
              </w:rPr>
              <w:t xml:space="preserve"> živení“ poptávky a naopak se začalo významněji projevovat to, že část domácností omezovala své zbytné výdaje. Vedle toho nešlo přehlédnout, že podniková sféra byla vystavena zvýšené potřebě optimalizace výrobních </w:t>
            </w:r>
            <w:r w:rsidR="00F067B8">
              <w:rPr>
                <w:rFonts w:cs="Arial"/>
                <w:color w:val="0D0D0D" w:themeColor="text1" w:themeTint="F2"/>
                <w:spacing w:val="-6"/>
              </w:rPr>
              <w:t xml:space="preserve">nákladů. Za snížením tržeb </w:t>
            </w:r>
            <w:r w:rsidR="00D652EB">
              <w:rPr>
                <w:rFonts w:cs="Arial"/>
                <w:color w:val="0D0D0D" w:themeColor="text1" w:themeTint="F2"/>
                <w:spacing w:val="-6"/>
              </w:rPr>
              <w:t xml:space="preserve">stálo </w:t>
            </w:r>
            <w:r w:rsidR="00F067B8">
              <w:rPr>
                <w:rFonts w:cs="Arial"/>
                <w:color w:val="0D0D0D" w:themeColor="text1" w:themeTint="F2"/>
                <w:spacing w:val="-6"/>
              </w:rPr>
              <w:t>zejména</w:t>
            </w:r>
            <w:r>
              <w:rPr>
                <w:rFonts w:cs="Arial"/>
                <w:color w:val="0D0D0D" w:themeColor="text1" w:themeTint="F2"/>
                <w:spacing w:val="-6"/>
              </w:rPr>
              <w:t xml:space="preserve"> klíčové odvětví dopravy a skladování (přís</w:t>
            </w:r>
            <w:r w:rsidR="00F067B8">
              <w:rPr>
                <w:rFonts w:cs="Arial"/>
                <w:color w:val="0D0D0D" w:themeColor="text1" w:themeTint="F2"/>
                <w:spacing w:val="-6"/>
              </w:rPr>
              <w:t>pěvek k růstu všech služeb −1,3 </w:t>
            </w:r>
            <w:r>
              <w:rPr>
                <w:rFonts w:cs="Arial"/>
                <w:color w:val="0D0D0D" w:themeColor="text1" w:themeTint="F2"/>
                <w:spacing w:val="-6"/>
              </w:rPr>
              <w:t>p. b.). Tržby v pozemní a potrubní dopr</w:t>
            </w:r>
            <w:r w:rsidR="00F067B8">
              <w:rPr>
                <w:rFonts w:cs="Arial"/>
                <w:color w:val="0D0D0D" w:themeColor="text1" w:themeTint="F2"/>
                <w:spacing w:val="-6"/>
              </w:rPr>
              <w:t>avě poklesly o rovná 4</w:t>
            </w:r>
            <w:r>
              <w:rPr>
                <w:rFonts w:cs="Arial"/>
                <w:color w:val="0D0D0D" w:themeColor="text1" w:themeTint="F2"/>
                <w:spacing w:val="-6"/>
              </w:rPr>
              <w:t xml:space="preserve"> %, k čemuž přispěly s</w:t>
            </w:r>
            <w:r w:rsidR="00F067B8">
              <w:rPr>
                <w:rFonts w:cs="Arial"/>
                <w:color w:val="0D0D0D" w:themeColor="text1" w:themeTint="F2"/>
                <w:spacing w:val="-6"/>
              </w:rPr>
              <w:t>labší výkony potrubní dopravy</w:t>
            </w:r>
            <w:r>
              <w:rPr>
                <w:rFonts w:cs="Arial"/>
                <w:color w:val="0D0D0D" w:themeColor="text1" w:themeTint="F2"/>
                <w:spacing w:val="-6"/>
              </w:rPr>
              <w:t xml:space="preserve">. Tržby v silniční dopravě stagnovaly (i vlivem nižší dynamiky zahraničního obchodu, hlavně dovozu), naopak výkony železniční dopravy dále rostly. Zpomalování tempa průmyslové produkce se odrazilo </w:t>
            </w:r>
            <w:r w:rsidRPr="008379CC">
              <w:t>i</w:t>
            </w:r>
            <w:r>
              <w:t> </w:t>
            </w:r>
            <w:r w:rsidRPr="008379CC">
              <w:t>v</w:t>
            </w:r>
            <w:r>
              <w:rPr>
                <w:rFonts w:cs="Arial"/>
                <w:color w:val="0D0D0D" w:themeColor="text1" w:themeTint="F2"/>
                <w:spacing w:val="-6"/>
              </w:rPr>
              <w:t> pokračujícím</w:t>
            </w:r>
            <w:r w:rsidR="00F067B8">
              <w:rPr>
                <w:rFonts w:cs="Arial"/>
                <w:color w:val="0D0D0D" w:themeColor="text1" w:themeTint="F2"/>
                <w:spacing w:val="-6"/>
              </w:rPr>
              <w:t xml:space="preserve"> poklesu tržeb ve skladování (−6,1</w:t>
            </w:r>
            <w:r>
              <w:rPr>
                <w:rFonts w:cs="Arial"/>
                <w:color w:val="0D0D0D" w:themeColor="text1" w:themeTint="F2"/>
                <w:spacing w:val="-6"/>
              </w:rPr>
              <w:t xml:space="preserve"> %). Mírnější, ale rovněž opakovaný meziroční pokles tržeb registrovaly p</w:t>
            </w:r>
            <w:r w:rsidRPr="001818F4">
              <w:rPr>
                <w:rFonts w:cs="Arial"/>
                <w:color w:val="0D0D0D" w:themeColor="text1" w:themeTint="F2"/>
                <w:spacing w:val="-6"/>
              </w:rPr>
              <w:t xml:space="preserve">oštovní a </w:t>
            </w:r>
            <w:r w:rsidRPr="00D64816">
              <w:rPr>
                <w:rFonts w:cs="Arial"/>
                <w:color w:val="0D0D0D" w:themeColor="text1" w:themeTint="F2"/>
                <w:spacing w:val="-6"/>
              </w:rPr>
              <w:t>kurý</w:t>
            </w:r>
            <w:r>
              <w:rPr>
                <w:rFonts w:cs="Arial"/>
                <w:color w:val="0D0D0D" w:themeColor="text1" w:themeTint="F2"/>
                <w:spacing w:val="-6"/>
              </w:rPr>
              <w:t xml:space="preserve">rní činnosti (to úzce souviselo </w:t>
            </w:r>
            <w:r w:rsidRPr="00D64816">
              <w:rPr>
                <w:rFonts w:cs="Arial"/>
                <w:color w:val="0D0D0D" w:themeColor="text1" w:themeTint="F2"/>
                <w:spacing w:val="-6"/>
              </w:rPr>
              <w:t xml:space="preserve">s dlouhodobějším a hlubším poklesem poptávky po internetovém a zásilkovém prodeji). I tak zůstaly tržby těchto činností skoro o čtvrtinu nad úrovní z počátku roku 2019. Naopak tržby letecké a vodní dopravy setrvávají (i přes svižný letošní růst) pod předkrizovou </w:t>
            </w:r>
            <w:r>
              <w:rPr>
                <w:rFonts w:cs="Arial"/>
                <w:color w:val="0D0D0D" w:themeColor="text1" w:themeTint="F2"/>
                <w:spacing w:val="-6"/>
              </w:rPr>
              <w:t>úrovní téměř o čtvrtinu, resp. třetinu.</w:t>
            </w:r>
          </w:p>
        </w:tc>
      </w:tr>
      <w:tr w:rsidR="009360FA" w:rsidRPr="00B56614" w14:paraId="691DD3F7" w14:textId="77777777" w:rsidTr="00FD4372">
        <w:trPr>
          <w:trHeight w:val="170"/>
        </w:trPr>
        <w:tc>
          <w:tcPr>
            <w:tcW w:w="1754" w:type="dxa"/>
            <w:tcBorders>
              <w:top w:val="nil"/>
              <w:left w:val="nil"/>
              <w:bottom w:val="nil"/>
              <w:right w:val="nil"/>
            </w:tcBorders>
            <w:shd w:val="clear" w:color="auto" w:fill="auto"/>
            <w:tcMar>
              <w:left w:w="0" w:type="dxa"/>
            </w:tcMar>
          </w:tcPr>
          <w:p w14:paraId="07C72271" w14:textId="77777777" w:rsidR="009360FA" w:rsidRDefault="009360FA" w:rsidP="00FD4372">
            <w:pPr>
              <w:pStyle w:val="Marginlie"/>
              <w:rPr>
                <w:color w:val="0D0D0D" w:themeColor="text1" w:themeTint="F2"/>
              </w:rPr>
            </w:pPr>
            <w:r>
              <w:rPr>
                <w:color w:val="0D0D0D" w:themeColor="text1" w:themeTint="F2"/>
              </w:rPr>
              <w:t xml:space="preserve">Růst tržeb v ubytování díky oživení turismu sílil. Naopak poptávka ve stravování a pohostinství vlivem zhoršené finanční </w:t>
            </w:r>
            <w:r>
              <w:rPr>
                <w:color w:val="0D0D0D" w:themeColor="text1" w:themeTint="F2"/>
              </w:rPr>
              <w:lastRenderedPageBreak/>
              <w:t>situace tuzemských domácností slábla.</w:t>
            </w:r>
          </w:p>
        </w:tc>
        <w:tc>
          <w:tcPr>
            <w:tcW w:w="185" w:type="dxa"/>
            <w:tcBorders>
              <w:top w:val="nil"/>
              <w:left w:val="nil"/>
              <w:bottom w:val="nil"/>
              <w:right w:val="nil"/>
            </w:tcBorders>
            <w:shd w:val="clear" w:color="auto" w:fill="auto"/>
            <w:tcMar>
              <w:left w:w="0" w:type="dxa"/>
            </w:tcMar>
          </w:tcPr>
          <w:p w14:paraId="7D810092" w14:textId="77777777" w:rsidR="009360FA" w:rsidRPr="00B63E5E"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58FFD1BB" w14:textId="1A0B6621" w:rsidR="009360FA" w:rsidRPr="00B56614" w:rsidRDefault="009360FA" w:rsidP="00FD4372">
            <w:pPr>
              <w:spacing w:after="200"/>
              <w:rPr>
                <w:color w:val="0D0D0D" w:themeColor="text1" w:themeTint="F2"/>
                <w:spacing w:val="-6"/>
              </w:rPr>
            </w:pPr>
            <w:r>
              <w:rPr>
                <w:rFonts w:cs="Arial"/>
                <w:color w:val="0D0D0D" w:themeColor="text1" w:themeTint="F2"/>
                <w:spacing w:val="-6"/>
              </w:rPr>
              <w:t>V </w:t>
            </w:r>
            <w:r w:rsidRPr="00C60BAD">
              <w:rPr>
                <w:color w:val="0D0D0D" w:themeColor="text1" w:themeTint="F2"/>
                <w:spacing w:val="-6"/>
              </w:rPr>
              <w:t>ubytování, stravování a pohostin</w:t>
            </w:r>
            <w:r>
              <w:rPr>
                <w:color w:val="0D0D0D" w:themeColor="text1" w:themeTint="F2"/>
                <w:spacing w:val="-6"/>
              </w:rPr>
              <w:t>ství byly v 1. čtvrtletí (stejně jako na konci loňského roku) tržby meziročně o</w:t>
            </w:r>
            <w:r w:rsidRPr="00C60BAD">
              <w:rPr>
                <w:rFonts w:cs="Arial"/>
                <w:color w:val="0D0D0D" w:themeColor="text1" w:themeTint="F2"/>
                <w:spacing w:val="-6"/>
              </w:rPr>
              <w:t> </w:t>
            </w:r>
            <w:r w:rsidRPr="00C60BAD">
              <w:rPr>
                <w:color w:val="0D0D0D" w:themeColor="text1" w:themeTint="F2"/>
                <w:spacing w:val="-6"/>
              </w:rPr>
              <w:t>dese</w:t>
            </w:r>
            <w:r>
              <w:rPr>
                <w:color w:val="0D0D0D" w:themeColor="text1" w:themeTint="F2"/>
                <w:spacing w:val="-6"/>
              </w:rPr>
              <w:t>tinu vyšší a k souhrnnému růstu služeb přispěl</w:t>
            </w:r>
            <w:r w:rsidR="00F067B8">
              <w:rPr>
                <w:color w:val="0D0D0D" w:themeColor="text1" w:themeTint="F2"/>
                <w:spacing w:val="-6"/>
              </w:rPr>
              <w:t>y nejvíce ze všech odvětví (+0,5</w:t>
            </w:r>
            <w:r w:rsidRPr="00BD4CB3">
              <w:rPr>
                <w:color w:val="0D0D0D" w:themeColor="text1" w:themeTint="F2"/>
                <w:spacing w:val="-6"/>
              </w:rPr>
              <w:t xml:space="preserve"> p. b</w:t>
            </w:r>
            <w:r>
              <w:rPr>
                <w:color w:val="0D0D0D" w:themeColor="text1" w:themeTint="F2"/>
                <w:spacing w:val="-6"/>
              </w:rPr>
              <w:t>.</w:t>
            </w:r>
            <w:r w:rsidRPr="00BD4CB3">
              <w:rPr>
                <w:color w:val="0D0D0D" w:themeColor="text1" w:themeTint="F2"/>
                <w:spacing w:val="-6"/>
              </w:rPr>
              <w:t>). Výrazně tomu pomohlo postupné zotavování příjezdového cestovního ruchu</w:t>
            </w:r>
            <w:r>
              <w:rPr>
                <w:rStyle w:val="Znakapoznpodarou"/>
                <w:color w:val="0D0D0D" w:themeColor="text1" w:themeTint="F2"/>
                <w:spacing w:val="-6"/>
              </w:rPr>
              <w:footnoteReference w:id="26"/>
            </w:r>
            <w:r w:rsidRPr="00BD4CB3">
              <w:rPr>
                <w:color w:val="0D0D0D" w:themeColor="text1" w:themeTint="F2"/>
                <w:spacing w:val="-6"/>
              </w:rPr>
              <w:t xml:space="preserve">. </w:t>
            </w:r>
            <w:r w:rsidRPr="00C60BAD">
              <w:rPr>
                <w:color w:val="0D0D0D" w:themeColor="text1" w:themeTint="F2"/>
                <w:spacing w:val="-6"/>
              </w:rPr>
              <w:t xml:space="preserve">Poptávka </w:t>
            </w:r>
            <w:r>
              <w:rPr>
                <w:color w:val="0D0D0D" w:themeColor="text1" w:themeTint="F2"/>
                <w:spacing w:val="-6"/>
              </w:rPr>
              <w:t>ale stále citelně zaostávala za úrovní z počátku</w:t>
            </w:r>
            <w:r w:rsidRPr="00C60BAD">
              <w:rPr>
                <w:color w:val="0D0D0D" w:themeColor="text1" w:themeTint="F2"/>
                <w:spacing w:val="-6"/>
              </w:rPr>
              <w:t xml:space="preserve"> </w:t>
            </w:r>
            <w:r>
              <w:rPr>
                <w:color w:val="0D0D0D" w:themeColor="text1" w:themeTint="F2"/>
                <w:spacing w:val="-6"/>
              </w:rPr>
              <w:t xml:space="preserve">roku </w:t>
            </w:r>
            <w:r w:rsidRPr="00C60BAD">
              <w:rPr>
                <w:color w:val="0D0D0D" w:themeColor="text1" w:themeTint="F2"/>
                <w:spacing w:val="-6"/>
              </w:rPr>
              <w:t>2019</w:t>
            </w:r>
            <w:r>
              <w:rPr>
                <w:color w:val="0D0D0D" w:themeColor="text1" w:themeTint="F2"/>
                <w:spacing w:val="-6"/>
              </w:rPr>
              <w:t>, a to</w:t>
            </w:r>
            <w:r w:rsidRPr="00C60BAD">
              <w:rPr>
                <w:color w:val="0D0D0D" w:themeColor="text1" w:themeTint="F2"/>
                <w:spacing w:val="-6"/>
              </w:rPr>
              <w:t xml:space="preserve"> </w:t>
            </w:r>
            <w:r>
              <w:rPr>
                <w:color w:val="0D0D0D" w:themeColor="text1" w:themeTint="F2"/>
                <w:spacing w:val="-6"/>
              </w:rPr>
              <w:t xml:space="preserve">hlavně </w:t>
            </w:r>
            <w:r>
              <w:rPr>
                <w:color w:val="0D0D0D" w:themeColor="text1" w:themeTint="F2"/>
                <w:spacing w:val="-6"/>
              </w:rPr>
              <w:lastRenderedPageBreak/>
              <w:t>v ubytování (o</w:t>
            </w:r>
            <w:r>
              <w:rPr>
                <w:rFonts w:cs="Arial"/>
                <w:color w:val="0D0D0D" w:themeColor="text1" w:themeTint="F2"/>
                <w:spacing w:val="-6"/>
              </w:rPr>
              <w:t> </w:t>
            </w:r>
            <w:r w:rsidR="00F067B8">
              <w:rPr>
                <w:color w:val="0D0D0D" w:themeColor="text1" w:themeTint="F2"/>
                <w:spacing w:val="-6"/>
              </w:rPr>
              <w:t>27,9</w:t>
            </w:r>
            <w:r>
              <w:rPr>
                <w:rFonts w:cs="Arial"/>
                <w:color w:val="0D0D0D" w:themeColor="text1" w:themeTint="F2"/>
                <w:spacing w:val="-6"/>
              </w:rPr>
              <w:t> </w:t>
            </w:r>
            <w:r>
              <w:rPr>
                <w:color w:val="0D0D0D" w:themeColor="text1" w:themeTint="F2"/>
                <w:spacing w:val="-6"/>
              </w:rPr>
              <w:t>%),</w:t>
            </w:r>
            <w:r w:rsidRPr="00C60BAD">
              <w:rPr>
                <w:color w:val="0D0D0D" w:themeColor="text1" w:themeTint="F2"/>
                <w:spacing w:val="-6"/>
              </w:rPr>
              <w:t xml:space="preserve"> </w:t>
            </w:r>
            <w:r>
              <w:rPr>
                <w:color w:val="0D0D0D" w:themeColor="text1" w:themeTint="F2"/>
                <w:spacing w:val="-6"/>
              </w:rPr>
              <w:t>ve stravování a pohostinství „jen“ o 17</w:t>
            </w:r>
            <w:r w:rsidR="00F067B8">
              <w:rPr>
                <w:color w:val="0D0D0D" w:themeColor="text1" w:themeTint="F2"/>
                <w:spacing w:val="-6"/>
              </w:rPr>
              <w:t>,4</w:t>
            </w:r>
            <w:r>
              <w:rPr>
                <w:color w:val="0D0D0D" w:themeColor="text1" w:themeTint="F2"/>
                <w:spacing w:val="-6"/>
              </w:rPr>
              <w:t xml:space="preserve"> %. V ubytování růst tržeb sílil, v pohostinství a stravování letos poptávka slábla vinou cenového růstu i zhoršené finanční situace tuzemských spotřebitelů. Tržby zde meziročně vzrostly jen o 6,2 %, </w:t>
            </w:r>
            <w:proofErr w:type="spellStart"/>
            <w:r>
              <w:rPr>
                <w:color w:val="0D0D0D" w:themeColor="text1" w:themeTint="F2"/>
                <w:spacing w:val="-6"/>
              </w:rPr>
              <w:t>mezikvartálně</w:t>
            </w:r>
            <w:proofErr w:type="spellEnd"/>
            <w:r>
              <w:rPr>
                <w:color w:val="0D0D0D" w:themeColor="text1" w:themeTint="F2"/>
                <w:spacing w:val="-6"/>
              </w:rPr>
              <w:t xml:space="preserve"> se snížily o 2,2 %. </w:t>
            </w:r>
          </w:p>
        </w:tc>
      </w:tr>
      <w:tr w:rsidR="009360FA" w:rsidRPr="0086408E" w14:paraId="771CE9C4" w14:textId="77777777" w:rsidTr="00FD4372">
        <w:trPr>
          <w:trHeight w:val="170"/>
        </w:trPr>
        <w:tc>
          <w:tcPr>
            <w:tcW w:w="1754" w:type="dxa"/>
            <w:tcBorders>
              <w:top w:val="nil"/>
              <w:left w:val="nil"/>
              <w:bottom w:val="nil"/>
              <w:right w:val="nil"/>
            </w:tcBorders>
            <w:shd w:val="clear" w:color="auto" w:fill="auto"/>
            <w:tcMar>
              <w:left w:w="0" w:type="dxa"/>
            </w:tcMar>
          </w:tcPr>
          <w:p w14:paraId="38598D30" w14:textId="77777777" w:rsidR="009360FA" w:rsidRPr="00B63E5E" w:rsidRDefault="009360FA" w:rsidP="00FD4372">
            <w:pPr>
              <w:pStyle w:val="Marginlie"/>
              <w:rPr>
                <w:color w:val="0D0D0D" w:themeColor="text1" w:themeTint="F2"/>
              </w:rPr>
            </w:pPr>
            <w:r>
              <w:rPr>
                <w:color w:val="0D0D0D" w:themeColor="text1" w:themeTint="F2"/>
              </w:rPr>
              <w:lastRenderedPageBreak/>
              <w:t xml:space="preserve">Růst tržeb v oblasti ICT zvolnil, zejména vinou informačních činností. Silná poptávka však přetrvávala v oblasti programování. </w:t>
            </w:r>
          </w:p>
        </w:tc>
        <w:tc>
          <w:tcPr>
            <w:tcW w:w="185" w:type="dxa"/>
            <w:tcBorders>
              <w:top w:val="nil"/>
              <w:left w:val="nil"/>
              <w:bottom w:val="nil"/>
              <w:right w:val="nil"/>
            </w:tcBorders>
            <w:shd w:val="clear" w:color="auto" w:fill="auto"/>
            <w:tcMar>
              <w:left w:w="0" w:type="dxa"/>
            </w:tcMar>
          </w:tcPr>
          <w:p w14:paraId="5E8A37D6" w14:textId="77777777" w:rsidR="009360FA" w:rsidRPr="00B63E5E"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778CFEEE" w14:textId="0872338B" w:rsidR="009360FA" w:rsidRPr="0086408E" w:rsidRDefault="009360FA" w:rsidP="00FD4372">
            <w:pPr>
              <w:spacing w:after="200"/>
              <w:rPr>
                <w:color w:val="0D0D0D" w:themeColor="text1" w:themeTint="F2"/>
                <w:spacing w:val="-4"/>
              </w:rPr>
            </w:pPr>
            <w:r>
              <w:rPr>
                <w:color w:val="0D0D0D" w:themeColor="text1" w:themeTint="F2"/>
                <w:spacing w:val="-4"/>
              </w:rPr>
              <w:t>Dlouhodobě rozvíjející se odvětví informačních a komunikačních činností zaznamenalo v 1. čtvrtletí mírný meziroční růst tržeb (2,2 %). Pozitivně se zde projevuje stabilně rostoucí poptávka v oblasti programování či poradenství v IT, dařilo se i telekomunikacím. Naproti tomu tržby v informačních činnostech</w:t>
            </w:r>
            <w:r>
              <w:rPr>
                <w:rStyle w:val="Znakapoznpodarou"/>
                <w:color w:val="0D0D0D" w:themeColor="text1" w:themeTint="F2"/>
                <w:spacing w:val="-4"/>
              </w:rPr>
              <w:footnoteReference w:id="27"/>
            </w:r>
            <w:r>
              <w:rPr>
                <w:color w:val="0D0D0D" w:themeColor="text1" w:themeTint="F2"/>
                <w:spacing w:val="-4"/>
              </w:rPr>
              <w:t xml:space="preserve">¨se snížily o 6,1 % a registrovaly nejhlubší pokles od 1. čtvrtletí 2013. Tržby za tvorbu rozhlasových a televizních programů a vysílání klesají již bezmála dva roky, meziročně </w:t>
            </w:r>
            <w:r w:rsidR="00F067B8">
              <w:rPr>
                <w:color w:val="0D0D0D" w:themeColor="text1" w:themeTint="F2"/>
                <w:spacing w:val="-4"/>
              </w:rPr>
              <w:t>nižší poptávku stále zaznamenával</w:t>
            </w:r>
            <w:r>
              <w:rPr>
                <w:color w:val="0D0D0D" w:themeColor="text1" w:themeTint="F2"/>
                <w:spacing w:val="-4"/>
              </w:rPr>
              <w:t xml:space="preserve"> tzv. filmový a hudební průmysl</w:t>
            </w:r>
            <w:r w:rsidRPr="0013531C">
              <w:rPr>
                <w:rStyle w:val="Znakapoznpodarou"/>
                <w:color w:val="0D0D0D" w:themeColor="text1" w:themeTint="F2"/>
                <w:spacing w:val="-6"/>
              </w:rPr>
              <w:footnoteReference w:id="28"/>
            </w:r>
            <w:r>
              <w:rPr>
                <w:color w:val="0D0D0D" w:themeColor="text1" w:themeTint="F2"/>
                <w:spacing w:val="-4"/>
              </w:rPr>
              <w:t xml:space="preserve">, jenž byl zvlášť citelně zasažen restrikcemi v období pandemie. </w:t>
            </w:r>
          </w:p>
        </w:tc>
      </w:tr>
      <w:tr w:rsidR="009360FA" w:rsidRPr="00C32591" w14:paraId="6DCE83C8" w14:textId="77777777" w:rsidTr="00FD4372">
        <w:trPr>
          <w:trHeight w:val="170"/>
        </w:trPr>
        <w:tc>
          <w:tcPr>
            <w:tcW w:w="1754" w:type="dxa"/>
            <w:tcBorders>
              <w:top w:val="nil"/>
              <w:left w:val="nil"/>
              <w:bottom w:val="nil"/>
              <w:right w:val="nil"/>
            </w:tcBorders>
            <w:shd w:val="clear" w:color="auto" w:fill="auto"/>
            <w:tcMar>
              <w:left w:w="0" w:type="dxa"/>
            </w:tcMar>
          </w:tcPr>
          <w:p w14:paraId="2B410767" w14:textId="77777777" w:rsidR="009360FA" w:rsidRDefault="009360FA" w:rsidP="00FD4372">
            <w:pPr>
              <w:pStyle w:val="Marginlie"/>
            </w:pPr>
          </w:p>
        </w:tc>
        <w:tc>
          <w:tcPr>
            <w:tcW w:w="185" w:type="dxa"/>
            <w:tcBorders>
              <w:top w:val="nil"/>
              <w:left w:val="nil"/>
              <w:bottom w:val="nil"/>
              <w:right w:val="nil"/>
            </w:tcBorders>
            <w:shd w:val="clear" w:color="auto" w:fill="auto"/>
            <w:tcMar>
              <w:left w:w="0" w:type="dxa"/>
            </w:tcMar>
          </w:tcPr>
          <w:p w14:paraId="78C5D65A"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58BD3607" w14:textId="77777777" w:rsidR="009360FA" w:rsidRPr="00C32591" w:rsidRDefault="009360FA" w:rsidP="00FD4372">
            <w:pPr>
              <w:spacing w:after="40"/>
              <w:rPr>
                <w:b/>
                <w:spacing w:val="-4"/>
              </w:rPr>
            </w:pPr>
            <w:r w:rsidRPr="00C32591">
              <w:rPr>
                <w:b/>
                <w:spacing w:val="-4"/>
              </w:rPr>
              <w:t xml:space="preserve">Graf č. 7 </w:t>
            </w:r>
            <w:r w:rsidRPr="00C32591">
              <w:rPr>
                <w:b/>
                <w:bCs/>
                <w:spacing w:val="-4"/>
              </w:rPr>
              <w:t>Příspěvky dílčích odvětví k meziroční změně tržeb ve službách*</w:t>
            </w:r>
            <w:r w:rsidRPr="00C32591">
              <w:rPr>
                <w:b/>
                <w:spacing w:val="-4"/>
              </w:rPr>
              <w:br/>
            </w:r>
            <w:r w:rsidRPr="00C32591">
              <w:rPr>
                <w:spacing w:val="-4"/>
              </w:rPr>
              <w:t>(reálně, v p. b),</w:t>
            </w:r>
            <w:r w:rsidRPr="00C32591">
              <w:rPr>
                <w:b/>
                <w:spacing w:val="-4"/>
              </w:rPr>
              <w:t xml:space="preserve"> </w:t>
            </w:r>
            <w:r w:rsidRPr="00C32591">
              <w:rPr>
                <w:b/>
                <w:bCs/>
                <w:spacing w:val="-4"/>
              </w:rPr>
              <w:t xml:space="preserve">celkové tržby ve službách* </w:t>
            </w:r>
            <w:r w:rsidRPr="00C32591">
              <w:rPr>
                <w:spacing w:val="-4"/>
              </w:rPr>
              <w:t>(báze 2015=100, pravá osa),</w:t>
            </w:r>
            <w:r w:rsidRPr="00C32591">
              <w:rPr>
                <w:b/>
                <w:spacing w:val="-4"/>
              </w:rPr>
              <w:t xml:space="preserve"> </w:t>
            </w:r>
            <w:r w:rsidRPr="00C32591">
              <w:rPr>
                <w:b/>
                <w:bCs/>
                <w:spacing w:val="-4"/>
              </w:rPr>
              <w:t>saldo důvěry podnikatelů ve službách**</w:t>
            </w:r>
            <w:r w:rsidRPr="00C32591">
              <w:rPr>
                <w:b/>
                <w:spacing w:val="-4"/>
              </w:rPr>
              <w:t xml:space="preserve"> </w:t>
            </w:r>
            <w:r w:rsidRPr="00C32591">
              <w:rPr>
                <w:spacing w:val="-4"/>
              </w:rPr>
              <w:t>(v p. b., pravá osa)</w:t>
            </w:r>
            <w:r w:rsidRPr="00C32591">
              <w:rPr>
                <w:b/>
                <w:bCs/>
                <w:spacing w:val="-4"/>
              </w:rPr>
              <w:t xml:space="preserve"> a vybrané bariéry růstu**</w:t>
            </w:r>
            <w:r w:rsidRPr="00C32591">
              <w:rPr>
                <w:b/>
                <w:spacing w:val="-4"/>
              </w:rPr>
              <w:t xml:space="preserve"> </w:t>
            </w:r>
            <w:r w:rsidRPr="00C32591">
              <w:rPr>
                <w:spacing w:val="-4"/>
              </w:rPr>
              <w:t xml:space="preserve">(v %, pravá osa) </w:t>
            </w:r>
          </w:p>
        </w:tc>
      </w:tr>
      <w:tr w:rsidR="009360FA" w:rsidRPr="004C1143" w14:paraId="71F7E988" w14:textId="77777777" w:rsidTr="00FD4372">
        <w:tblPrEx>
          <w:tblCellMar>
            <w:left w:w="70" w:type="dxa"/>
            <w:right w:w="70" w:type="dxa"/>
          </w:tblCellMar>
        </w:tblPrEx>
        <w:trPr>
          <w:trHeight w:val="170"/>
        </w:trPr>
        <w:tc>
          <w:tcPr>
            <w:tcW w:w="1754" w:type="dxa"/>
            <w:tcBorders>
              <w:top w:val="nil"/>
              <w:left w:val="nil"/>
              <w:bottom w:val="nil"/>
              <w:right w:val="nil"/>
            </w:tcBorders>
            <w:shd w:val="clear" w:color="auto" w:fill="auto"/>
          </w:tcPr>
          <w:p w14:paraId="26A2764F" w14:textId="77777777" w:rsidR="009360FA" w:rsidRDefault="009360FA" w:rsidP="00FD4372">
            <w:pPr>
              <w:pStyle w:val="Marginlie"/>
            </w:pPr>
          </w:p>
        </w:tc>
        <w:tc>
          <w:tcPr>
            <w:tcW w:w="185" w:type="dxa"/>
            <w:tcBorders>
              <w:top w:val="nil"/>
              <w:left w:val="nil"/>
              <w:bottom w:val="nil"/>
              <w:right w:val="nil"/>
            </w:tcBorders>
            <w:shd w:val="clear" w:color="auto" w:fill="auto"/>
          </w:tcPr>
          <w:p w14:paraId="41A188D8"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Pr>
          <w:p w14:paraId="6D0B9FA2" w14:textId="77777777" w:rsidR="009360FA" w:rsidRPr="004C1143" w:rsidRDefault="009360FA" w:rsidP="00FD4372">
            <w:pPr>
              <w:spacing w:after="0"/>
              <w:rPr>
                <w:rFonts w:cs="Arial"/>
                <w:sz w:val="14"/>
                <w:szCs w:val="14"/>
              </w:rPr>
            </w:pPr>
            <w:r>
              <w:rPr>
                <w:noProof/>
              </w:rPr>
              <w:drawing>
                <wp:inline distT="0" distB="0" distL="0" distR="0" wp14:anchorId="259A29B0" wp14:editId="263E02A5">
                  <wp:extent cx="4660117" cy="3636780"/>
                  <wp:effectExtent l="0" t="0" r="7620" b="190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9360FA" w:rsidRPr="004C1143" w14:paraId="5C56BADA" w14:textId="77777777" w:rsidTr="00FD4372">
        <w:trPr>
          <w:trHeight w:val="170"/>
        </w:trPr>
        <w:tc>
          <w:tcPr>
            <w:tcW w:w="1754" w:type="dxa"/>
            <w:tcBorders>
              <w:top w:val="nil"/>
              <w:left w:val="nil"/>
              <w:bottom w:val="nil"/>
              <w:right w:val="nil"/>
            </w:tcBorders>
            <w:shd w:val="clear" w:color="auto" w:fill="auto"/>
            <w:tcMar>
              <w:left w:w="0" w:type="dxa"/>
            </w:tcMar>
          </w:tcPr>
          <w:p w14:paraId="4EC704F6" w14:textId="77777777" w:rsidR="009360FA" w:rsidRDefault="009360FA" w:rsidP="00FD4372">
            <w:pPr>
              <w:pStyle w:val="Marginlie"/>
            </w:pPr>
          </w:p>
        </w:tc>
        <w:tc>
          <w:tcPr>
            <w:tcW w:w="185" w:type="dxa"/>
            <w:tcBorders>
              <w:top w:val="nil"/>
              <w:left w:val="nil"/>
              <w:bottom w:val="nil"/>
              <w:right w:val="nil"/>
            </w:tcBorders>
            <w:shd w:val="clear" w:color="auto" w:fill="auto"/>
            <w:tcMar>
              <w:left w:w="0" w:type="dxa"/>
            </w:tcMar>
          </w:tcPr>
          <w:p w14:paraId="44162344"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2053AFA3" w14:textId="77777777" w:rsidR="009360FA" w:rsidRPr="00C32591" w:rsidRDefault="009360FA" w:rsidP="00FD4372">
            <w:pPr>
              <w:spacing w:after="0" w:line="240" w:lineRule="auto"/>
              <w:rPr>
                <w:rFonts w:cs="Arial"/>
                <w:spacing w:val="-4"/>
                <w:sz w:val="14"/>
                <w:szCs w:val="14"/>
              </w:rPr>
            </w:pPr>
            <w:r w:rsidRPr="00C32591">
              <w:rPr>
                <w:rFonts w:cs="Arial"/>
                <w:spacing w:val="-4"/>
                <w:sz w:val="14"/>
                <w:szCs w:val="14"/>
              </w:rPr>
              <w:t>Poznámka: všechny údaje jsou sezónně očištěny, pouze příspěvky dílčích odvětví k růstu tržeb jsou očištěny jen o kalendářní vlivy.</w:t>
            </w:r>
          </w:p>
          <w:p w14:paraId="4585C214" w14:textId="77777777" w:rsidR="009360FA" w:rsidRPr="00C32591" w:rsidRDefault="009360FA" w:rsidP="00FD4372">
            <w:pPr>
              <w:spacing w:after="0" w:line="240" w:lineRule="auto"/>
              <w:rPr>
                <w:rFonts w:cs="Arial"/>
                <w:sz w:val="14"/>
                <w:szCs w:val="14"/>
              </w:rPr>
            </w:pPr>
            <w:r w:rsidRPr="00C32591">
              <w:rPr>
                <w:rFonts w:cs="Arial"/>
                <w:sz w:val="14"/>
                <w:szCs w:val="14"/>
              </w:rPr>
              <w:t>*Bez odvětví obchodu, peněžnictví, pojišťovnictví, vědy, výzkumu a veřejných služeb.</w:t>
            </w:r>
          </w:p>
          <w:p w14:paraId="37734625" w14:textId="77777777" w:rsidR="009360FA" w:rsidRPr="004C1143" w:rsidRDefault="009360FA" w:rsidP="00FD4372">
            <w:pPr>
              <w:spacing w:after="200" w:line="240" w:lineRule="auto"/>
              <w:rPr>
                <w:rFonts w:cs="Arial"/>
                <w:sz w:val="14"/>
                <w:szCs w:val="14"/>
              </w:rPr>
            </w:pPr>
            <w:r w:rsidRPr="00052ADA">
              <w:rPr>
                <w:rFonts w:cs="Arial"/>
                <w:sz w:val="14"/>
                <w:szCs w:val="14"/>
              </w:rPr>
              <w:t>.**</w:t>
            </w:r>
            <w:r w:rsidRPr="00052ADA">
              <w:rPr>
                <w:rFonts w:cs="Arial"/>
                <w:spacing w:val="-2"/>
                <w:sz w:val="14"/>
                <w:szCs w:val="14"/>
              </w:rPr>
              <w:t>Zahrnuje i finanční sektor. Saldo důvěry podnikatelů i barié</w:t>
            </w:r>
            <w:r>
              <w:rPr>
                <w:rFonts w:cs="Arial"/>
                <w:spacing w:val="-2"/>
                <w:sz w:val="14"/>
                <w:szCs w:val="14"/>
              </w:rPr>
              <w:t xml:space="preserve">ry růstu </w:t>
            </w:r>
            <w:r w:rsidRPr="00052ADA">
              <w:rPr>
                <w:rFonts w:cs="Arial"/>
                <w:spacing w:val="-2"/>
                <w:sz w:val="14"/>
                <w:szCs w:val="14"/>
              </w:rPr>
              <w:t xml:space="preserve">vyjadřují stav v prvním (bariéry růstu), resp. ve druhém měsíci daného čtvrtletí (saldo důvěry). </w:t>
            </w:r>
            <w:r w:rsidRPr="00052ADA">
              <w:rPr>
                <w:rFonts w:cs="Arial"/>
                <w:sz w:val="14"/>
                <w:szCs w:val="14"/>
              </w:rPr>
              <w:t>Podniky mohly uvést více hlavních bariér současně.</w:t>
            </w:r>
            <w:r>
              <w:rPr>
                <w:rFonts w:cs="Arial"/>
                <w:sz w:val="14"/>
                <w:szCs w:val="14"/>
              </w:rPr>
              <w:t xml:space="preserve">                     </w:t>
            </w:r>
            <w:r w:rsidRPr="00052ADA">
              <w:rPr>
                <w:rFonts w:cs="Arial"/>
                <w:sz w:val="14"/>
                <w:szCs w:val="14"/>
              </w:rPr>
              <w:t xml:space="preserve">    Zdroj: ČSÚ, </w:t>
            </w:r>
            <w:proofErr w:type="spellStart"/>
            <w:r w:rsidRPr="00052ADA">
              <w:rPr>
                <w:rFonts w:cs="Arial"/>
                <w:sz w:val="14"/>
                <w:szCs w:val="14"/>
              </w:rPr>
              <w:t>Eurostat</w:t>
            </w:r>
            <w:proofErr w:type="spellEnd"/>
          </w:p>
        </w:tc>
      </w:tr>
      <w:tr w:rsidR="009360FA" w:rsidRPr="00F4751F" w14:paraId="23F377ED" w14:textId="77777777" w:rsidTr="00FD4372">
        <w:trPr>
          <w:trHeight w:val="170"/>
        </w:trPr>
        <w:tc>
          <w:tcPr>
            <w:tcW w:w="1754" w:type="dxa"/>
            <w:tcBorders>
              <w:top w:val="nil"/>
              <w:left w:val="nil"/>
              <w:bottom w:val="nil"/>
              <w:right w:val="nil"/>
            </w:tcBorders>
            <w:shd w:val="clear" w:color="auto" w:fill="auto"/>
            <w:tcMar>
              <w:left w:w="0" w:type="dxa"/>
            </w:tcMar>
          </w:tcPr>
          <w:p w14:paraId="064B2CFE" w14:textId="77777777" w:rsidR="009360FA" w:rsidRDefault="009360FA" w:rsidP="00FD4372">
            <w:pPr>
              <w:pStyle w:val="Marginlie"/>
            </w:pPr>
            <w:r>
              <w:t xml:space="preserve">Významná část podnikových služeb, zejména administrativního </w:t>
            </w:r>
            <w:r>
              <w:br/>
            </w:r>
            <w:r>
              <w:lastRenderedPageBreak/>
              <w:t>a podpůrného charakteru, čelila cyklickému útlumu poptávky.</w:t>
            </w:r>
          </w:p>
          <w:p w14:paraId="0D09C00D" w14:textId="77777777" w:rsidR="009360FA" w:rsidRDefault="009360FA" w:rsidP="00FD4372">
            <w:pPr>
              <w:pStyle w:val="Marginlie"/>
            </w:pPr>
          </w:p>
          <w:p w14:paraId="4A1979E7" w14:textId="77777777" w:rsidR="009360FA" w:rsidRDefault="009360FA" w:rsidP="00FD4372">
            <w:pPr>
              <w:pStyle w:val="Marginlie"/>
            </w:pPr>
            <w:r>
              <w:t xml:space="preserve">Tržby za sofistikovanější služby pro podniky rostly mírným, ale stabilním tempem. </w:t>
            </w:r>
          </w:p>
        </w:tc>
        <w:tc>
          <w:tcPr>
            <w:tcW w:w="185" w:type="dxa"/>
            <w:tcBorders>
              <w:top w:val="nil"/>
              <w:left w:val="nil"/>
              <w:bottom w:val="nil"/>
              <w:right w:val="nil"/>
            </w:tcBorders>
            <w:shd w:val="clear" w:color="auto" w:fill="auto"/>
            <w:tcMar>
              <w:left w:w="0" w:type="dxa"/>
            </w:tcMar>
          </w:tcPr>
          <w:p w14:paraId="4E668230" w14:textId="77777777" w:rsidR="009360FA" w:rsidRPr="001844FE" w:rsidRDefault="009360FA" w:rsidP="00FD4372">
            <w:pPr>
              <w:pStyle w:val="Textpoznpodarou"/>
              <w:jc w:val="both"/>
              <w:rPr>
                <w:spacing w:val="-6"/>
              </w:rPr>
            </w:pPr>
          </w:p>
        </w:tc>
        <w:tc>
          <w:tcPr>
            <w:tcW w:w="7700" w:type="dxa"/>
            <w:tcBorders>
              <w:top w:val="nil"/>
              <w:left w:val="nil"/>
              <w:bottom w:val="nil"/>
              <w:right w:val="nil"/>
            </w:tcBorders>
            <w:shd w:val="clear" w:color="auto" w:fill="auto"/>
            <w:tcMar>
              <w:left w:w="0" w:type="dxa"/>
            </w:tcMar>
          </w:tcPr>
          <w:p w14:paraId="4D9D3B29" w14:textId="77777777" w:rsidR="009360FA" w:rsidRPr="00F4751F" w:rsidRDefault="009360FA" w:rsidP="00FD4372">
            <w:pPr>
              <w:spacing w:after="200"/>
              <w:rPr>
                <w:rFonts w:cs="Arial"/>
                <w:color w:val="0D0D0D" w:themeColor="text1" w:themeTint="F2"/>
                <w:spacing w:val="-6"/>
              </w:rPr>
            </w:pPr>
            <w:r>
              <w:rPr>
                <w:rFonts w:cs="Arial"/>
                <w:color w:val="0D0D0D" w:themeColor="text1" w:themeTint="F2"/>
                <w:spacing w:val="-6"/>
              </w:rPr>
              <w:t xml:space="preserve">Oslabení poptávky postihlo významnou část podnikových služeb. Týkalo se primárně odvětví administrativních a podpůrných činností, které přitom ještě v první polovině loňského roku zažívaly dynamický růst tržeb. Ty se však v 1. čtvrtletí 2023 snížily (o meziročních 3,8 %), </w:t>
            </w:r>
            <w:r>
              <w:rPr>
                <w:rFonts w:cs="Arial"/>
                <w:color w:val="0D0D0D" w:themeColor="text1" w:themeTint="F2"/>
                <w:spacing w:val="-6"/>
              </w:rPr>
              <w:lastRenderedPageBreak/>
              <w:t>zejména kvůli slabší poptávce v oblasti cestovních agentur a</w:t>
            </w:r>
            <w:r w:rsidRPr="00EE5738">
              <w:rPr>
                <w:rFonts w:cs="Arial"/>
                <w:color w:val="0D0D0D" w:themeColor="text1" w:themeTint="F2"/>
                <w:spacing w:val="-6"/>
              </w:rPr>
              <w:t xml:space="preserve"> kanceláří</w:t>
            </w:r>
            <w:r>
              <w:rPr>
                <w:rFonts w:cs="Arial"/>
                <w:color w:val="0D0D0D" w:themeColor="text1" w:themeTint="F2"/>
                <w:spacing w:val="-6"/>
              </w:rPr>
              <w:t xml:space="preserve"> (na rozdíl od počátku loňského roku letos nenastal výrazný zájem lidí o</w:t>
            </w:r>
            <w:r>
              <w:rPr>
                <w:color w:val="0D0D0D" w:themeColor="text1" w:themeTint="F2"/>
                <w:spacing w:val="-4"/>
              </w:rPr>
              <w:t> </w:t>
            </w:r>
            <w:r>
              <w:rPr>
                <w:rFonts w:cs="Arial"/>
                <w:color w:val="0D0D0D" w:themeColor="text1" w:themeTint="F2"/>
                <w:spacing w:val="-6"/>
              </w:rPr>
              <w:t xml:space="preserve">časný nákup letních dovolených). Tržby klesly také v </w:t>
            </w:r>
            <w:r w:rsidRPr="00C60BAD">
              <w:rPr>
                <w:rFonts w:cs="Arial"/>
                <w:color w:val="0D0D0D" w:themeColor="text1" w:themeTint="F2"/>
                <w:spacing w:val="-6"/>
              </w:rPr>
              <w:t>oblastech reagujíc</w:t>
            </w:r>
            <w:r>
              <w:rPr>
                <w:rFonts w:cs="Arial"/>
                <w:color w:val="0D0D0D" w:themeColor="text1" w:themeTint="F2"/>
                <w:spacing w:val="-6"/>
              </w:rPr>
              <w:t xml:space="preserve">ích citlivě na hospodářský cyklus, např. </w:t>
            </w:r>
            <w:r w:rsidRPr="00C60BAD">
              <w:rPr>
                <w:rFonts w:cs="Arial"/>
                <w:color w:val="0D0D0D" w:themeColor="text1" w:themeTint="F2"/>
                <w:spacing w:val="-6"/>
              </w:rPr>
              <w:t>u</w:t>
            </w:r>
            <w:r>
              <w:rPr>
                <w:rFonts w:cs="Arial"/>
                <w:color w:val="0D0D0D" w:themeColor="text1" w:themeTint="F2"/>
                <w:spacing w:val="-6"/>
              </w:rPr>
              <w:t xml:space="preserve"> pronájmu a</w:t>
            </w:r>
            <w:r>
              <w:rPr>
                <w:color w:val="0D0D0D" w:themeColor="text1" w:themeTint="F2"/>
                <w:spacing w:val="-4"/>
              </w:rPr>
              <w:t> </w:t>
            </w:r>
            <w:r w:rsidRPr="00C60BAD">
              <w:rPr>
                <w:rFonts w:cs="Arial"/>
                <w:color w:val="0D0D0D" w:themeColor="text1" w:themeTint="F2"/>
                <w:spacing w:val="-6"/>
              </w:rPr>
              <w:t>operativního leasingu (</w:t>
            </w:r>
            <w:r>
              <w:rPr>
                <w:rFonts w:cs="Arial"/>
                <w:color w:val="0D0D0D" w:themeColor="text1" w:themeTint="F2"/>
                <w:spacing w:val="-6"/>
              </w:rPr>
              <w:t xml:space="preserve">zejména </w:t>
            </w:r>
            <w:r w:rsidRPr="00C60BAD">
              <w:rPr>
                <w:rFonts w:cs="Arial"/>
                <w:color w:val="0D0D0D" w:themeColor="text1" w:themeTint="F2"/>
                <w:spacing w:val="-6"/>
              </w:rPr>
              <w:t>automobilů i strojů</w:t>
            </w:r>
            <w:r>
              <w:rPr>
                <w:rFonts w:cs="Arial"/>
                <w:color w:val="0D0D0D" w:themeColor="text1" w:themeTint="F2"/>
                <w:spacing w:val="-6"/>
              </w:rPr>
              <w:t>) o</w:t>
            </w:r>
            <w:r>
              <w:rPr>
                <w:color w:val="0D0D0D" w:themeColor="text1" w:themeTint="F2"/>
                <w:spacing w:val="-6"/>
              </w:rPr>
              <w:t> </w:t>
            </w:r>
            <w:r>
              <w:rPr>
                <w:rFonts w:cs="Arial"/>
                <w:color w:val="0D0D0D" w:themeColor="text1" w:themeTint="F2"/>
                <w:spacing w:val="-6"/>
              </w:rPr>
              <w:t>3,9 %, hlubší, vleklejší útlum postihl pracovní agentury. Poptávka po drtivé většině dílčích oborů v rámci administrativních a podpůrných činností zůstává citelně pod vrcholem z </w:t>
            </w:r>
            <w:proofErr w:type="spellStart"/>
            <w:r>
              <w:rPr>
                <w:rFonts w:cs="Arial"/>
                <w:color w:val="0D0D0D" w:themeColor="text1" w:themeTint="F2"/>
                <w:spacing w:val="-6"/>
              </w:rPr>
              <w:t>předpandemické</w:t>
            </w:r>
            <w:proofErr w:type="spellEnd"/>
            <w:r>
              <w:rPr>
                <w:rFonts w:cs="Arial"/>
                <w:color w:val="0D0D0D" w:themeColor="text1" w:themeTint="F2"/>
                <w:spacing w:val="-6"/>
              </w:rPr>
              <w:t xml:space="preserve"> éry (nejvíce u pracovních agentur, kde byly tržby oproti 1. čtvrtletí 2019 o více než čtvrtinu nižší, u cestovních agentur skoro o třetinu). Letos i za „pandemického období“ na tom byly lépe sofistikovanější podnikové služby, jejichž jádro tvoří odvětví p</w:t>
            </w:r>
            <w:r w:rsidRPr="00225452">
              <w:rPr>
                <w:rFonts w:cs="Arial"/>
                <w:color w:val="0D0D0D" w:themeColor="text1" w:themeTint="F2"/>
                <w:spacing w:val="-6"/>
              </w:rPr>
              <w:t>rofesní, vědecké a technické činnosti</w:t>
            </w:r>
            <w:r>
              <w:rPr>
                <w:rFonts w:cs="Arial"/>
                <w:color w:val="0D0D0D" w:themeColor="text1" w:themeTint="F2"/>
                <w:spacing w:val="-6"/>
              </w:rPr>
              <w:t>. Tržby se v nich letos (podobně jako po celý loňský rok) zvyšovaly primárně díky architektonickým a inženýrským činnostem. Mírný, ale stabilní růst poptávky je viditelný i  v p</w:t>
            </w:r>
            <w:r w:rsidRPr="00F4751F">
              <w:rPr>
                <w:rFonts w:cs="Arial"/>
                <w:color w:val="0D0D0D" w:themeColor="text1" w:themeTint="F2"/>
                <w:spacing w:val="-6"/>
              </w:rPr>
              <w:t>rávní</w:t>
            </w:r>
            <w:r>
              <w:rPr>
                <w:rFonts w:cs="Arial"/>
                <w:color w:val="0D0D0D" w:themeColor="text1" w:themeTint="F2"/>
                <w:spacing w:val="-6"/>
              </w:rPr>
              <w:t xml:space="preserve">ch a účetnických činnostech či v poradenství v oblasti řízení. Pozitivní bylo, že se zastavil pokles tržeb v oblasti reklamy, trvající po většinu loňského roku (poptávka zde letos rostla i ve srovnání s posledním loňským kvartálem). </w:t>
            </w:r>
          </w:p>
        </w:tc>
      </w:tr>
      <w:tr w:rsidR="009360FA" w:rsidRPr="00460267" w14:paraId="7F52963A" w14:textId="77777777" w:rsidTr="00FD4372">
        <w:trPr>
          <w:trHeight w:val="170"/>
        </w:trPr>
        <w:tc>
          <w:tcPr>
            <w:tcW w:w="1754" w:type="dxa"/>
            <w:tcBorders>
              <w:top w:val="nil"/>
              <w:left w:val="nil"/>
              <w:bottom w:val="nil"/>
              <w:right w:val="nil"/>
            </w:tcBorders>
            <w:shd w:val="clear" w:color="auto" w:fill="auto"/>
            <w:tcMar>
              <w:left w:w="0" w:type="dxa"/>
            </w:tcMar>
          </w:tcPr>
          <w:p w14:paraId="4E4C8561" w14:textId="77777777" w:rsidR="009360FA" w:rsidRPr="00BD3BE9" w:rsidRDefault="009360FA" w:rsidP="00FD4372">
            <w:pPr>
              <w:pStyle w:val="Marginlie"/>
              <w:rPr>
                <w:color w:val="0D0D0D" w:themeColor="text1" w:themeTint="F2"/>
              </w:rPr>
            </w:pPr>
            <w:proofErr w:type="spellStart"/>
            <w:r>
              <w:rPr>
                <w:color w:val="0D0D0D" w:themeColor="text1" w:themeTint="F2"/>
              </w:rPr>
              <w:lastRenderedPageBreak/>
              <w:t>Mezikvartální</w:t>
            </w:r>
            <w:proofErr w:type="spellEnd"/>
            <w:r w:rsidRPr="00BD3BE9">
              <w:rPr>
                <w:color w:val="0D0D0D" w:themeColor="text1" w:themeTint="F2"/>
              </w:rPr>
              <w:t xml:space="preserve"> pokles malo</w:t>
            </w:r>
            <w:r>
              <w:rPr>
                <w:color w:val="0D0D0D" w:themeColor="text1" w:themeTint="F2"/>
              </w:rPr>
              <w:t xml:space="preserve">obchodních tržeb pokračoval pošesté </w:t>
            </w:r>
            <w:r w:rsidRPr="00BD3BE9">
              <w:rPr>
                <w:color w:val="0D0D0D" w:themeColor="text1" w:themeTint="F2"/>
              </w:rPr>
              <w:t>v řadě.</w:t>
            </w:r>
          </w:p>
          <w:p w14:paraId="68A5C29C" w14:textId="77777777" w:rsidR="009360FA" w:rsidRDefault="009360FA" w:rsidP="00FD4372">
            <w:pPr>
              <w:pStyle w:val="Marginlie"/>
            </w:pPr>
          </w:p>
          <w:p w14:paraId="3A27DBD9" w14:textId="77777777" w:rsidR="009360FA" w:rsidRDefault="009360FA" w:rsidP="00FD4372">
            <w:pPr>
              <w:pStyle w:val="Marginlie"/>
            </w:pPr>
          </w:p>
          <w:p w14:paraId="2629F35E" w14:textId="77777777" w:rsidR="009360FA" w:rsidRDefault="009360FA" w:rsidP="00FD4372">
            <w:pPr>
              <w:pStyle w:val="Marginlie"/>
            </w:pPr>
          </w:p>
          <w:p w14:paraId="326A2754" w14:textId="77777777" w:rsidR="009360FA" w:rsidRDefault="009360FA" w:rsidP="00FD4372">
            <w:pPr>
              <w:pStyle w:val="Marginlie"/>
            </w:pPr>
          </w:p>
          <w:p w14:paraId="2D73949D" w14:textId="77777777" w:rsidR="009360FA" w:rsidRDefault="009360FA" w:rsidP="00FD4372">
            <w:pPr>
              <w:pStyle w:val="Marginlie"/>
            </w:pPr>
          </w:p>
          <w:p w14:paraId="46190F5F" w14:textId="77777777" w:rsidR="009360FA" w:rsidRDefault="009360FA" w:rsidP="00FD4372">
            <w:pPr>
              <w:pStyle w:val="Marginlie"/>
            </w:pPr>
            <w:r>
              <w:t xml:space="preserve">Velmi silný pesimismus spotřebitelů z konce loňského roku se letos postupně snižoval. Na jaře odpadly obavy lidí z růstu cen. </w:t>
            </w:r>
          </w:p>
          <w:p w14:paraId="4A6F7C2A" w14:textId="77777777" w:rsidR="009360FA" w:rsidRDefault="009360FA" w:rsidP="00FD4372">
            <w:pPr>
              <w:pStyle w:val="Marginlie"/>
            </w:pPr>
          </w:p>
          <w:p w14:paraId="31FB2A21" w14:textId="77777777" w:rsidR="009360FA" w:rsidRDefault="009360FA" w:rsidP="00FD4372">
            <w:pPr>
              <w:pStyle w:val="Marginlie"/>
            </w:pPr>
            <w:r>
              <w:t>Důvěra podnikatelů v obchodě byla mnohem vyšší než u spotřebitelů.</w:t>
            </w:r>
          </w:p>
        </w:tc>
        <w:tc>
          <w:tcPr>
            <w:tcW w:w="185" w:type="dxa"/>
            <w:tcBorders>
              <w:top w:val="nil"/>
              <w:left w:val="nil"/>
              <w:bottom w:val="nil"/>
              <w:right w:val="nil"/>
            </w:tcBorders>
            <w:shd w:val="clear" w:color="auto" w:fill="auto"/>
            <w:tcMar>
              <w:left w:w="0" w:type="dxa"/>
            </w:tcMar>
          </w:tcPr>
          <w:p w14:paraId="0B8C09C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166016AD" w14:textId="2B9EBD39" w:rsidR="009360FA" w:rsidRPr="00460267" w:rsidRDefault="009360FA" w:rsidP="008E6E5D">
            <w:pPr>
              <w:spacing w:after="200"/>
              <w:rPr>
                <w:rFonts w:cs="Arial"/>
                <w:color w:val="0D0D0D" w:themeColor="text1" w:themeTint="F2"/>
                <w:spacing w:val="-5"/>
                <w:szCs w:val="20"/>
              </w:rPr>
            </w:pPr>
            <w:r w:rsidRPr="00460267">
              <w:rPr>
                <w:rFonts w:cs="Arial"/>
                <w:color w:val="0D0D0D" w:themeColor="text1" w:themeTint="F2"/>
                <w:spacing w:val="-5"/>
                <w:szCs w:val="20"/>
              </w:rPr>
              <w:t>T</w:t>
            </w:r>
            <w:r w:rsidRPr="00460267">
              <w:rPr>
                <w:rFonts w:cs="Arial"/>
                <w:color w:val="0D0D0D" w:themeColor="text1" w:themeTint="F2"/>
                <w:spacing w:val="-6"/>
                <w:szCs w:val="20"/>
              </w:rPr>
              <w:t>ržby v maloobchodu</w:t>
            </w:r>
            <w:r w:rsidRPr="00460267">
              <w:rPr>
                <w:rStyle w:val="Znakapoznpodarou"/>
                <w:color w:val="0D0D0D" w:themeColor="text1" w:themeTint="F2"/>
                <w:spacing w:val="-6"/>
              </w:rPr>
              <w:footnoteReference w:id="29"/>
            </w:r>
            <w:r w:rsidRPr="00460267">
              <w:rPr>
                <w:rFonts w:cs="Arial"/>
                <w:color w:val="0D0D0D" w:themeColor="text1" w:themeTint="F2"/>
                <w:spacing w:val="-6"/>
                <w:szCs w:val="20"/>
              </w:rPr>
              <w:t xml:space="preserve"> se v 1. čtvrtletí 2023 </w:t>
            </w:r>
            <w:proofErr w:type="spellStart"/>
            <w:r w:rsidRPr="00460267">
              <w:rPr>
                <w:rFonts w:cs="Arial"/>
                <w:color w:val="0D0D0D" w:themeColor="text1" w:themeTint="F2"/>
                <w:spacing w:val="-6"/>
                <w:szCs w:val="20"/>
              </w:rPr>
              <w:t>mezikvartálně</w:t>
            </w:r>
            <w:proofErr w:type="spellEnd"/>
            <w:r w:rsidRPr="00460267">
              <w:rPr>
                <w:rFonts w:cs="Arial"/>
                <w:color w:val="0D0D0D" w:themeColor="text1" w:themeTint="F2"/>
                <w:spacing w:val="-6"/>
                <w:szCs w:val="20"/>
              </w:rPr>
              <w:t xml:space="preserve"> </w:t>
            </w:r>
            <w:r>
              <w:rPr>
                <w:rFonts w:cs="Arial"/>
                <w:color w:val="0D0D0D" w:themeColor="text1" w:themeTint="F2"/>
                <w:spacing w:val="-6"/>
                <w:szCs w:val="20"/>
              </w:rPr>
              <w:t>mírně snížily (o 0,7</w:t>
            </w:r>
            <w:r w:rsidRPr="00460267">
              <w:rPr>
                <w:rFonts w:cs="Arial"/>
                <w:color w:val="0D0D0D" w:themeColor="text1" w:themeTint="F2"/>
                <w:spacing w:val="-6"/>
                <w:szCs w:val="20"/>
              </w:rPr>
              <w:t xml:space="preserve"> %), když klesaly ve všech jeho významných segmentech, v</w:t>
            </w:r>
            <w:r>
              <w:rPr>
                <w:rFonts w:cs="Arial"/>
                <w:color w:val="0D0D0D" w:themeColor="text1" w:themeTint="F2"/>
                <w:spacing w:val="-6"/>
                <w:szCs w:val="20"/>
              </w:rPr>
              <w:t>yjma prodeje pohonných hmot</w:t>
            </w:r>
            <w:r w:rsidRPr="00460267">
              <w:rPr>
                <w:rFonts w:cs="Arial"/>
                <w:color w:val="0D0D0D" w:themeColor="text1" w:themeTint="F2"/>
                <w:spacing w:val="-6"/>
                <w:szCs w:val="20"/>
              </w:rPr>
              <w:t xml:space="preserve">. </w:t>
            </w:r>
            <w:r w:rsidR="008E6E5D">
              <w:rPr>
                <w:rFonts w:cs="Arial"/>
                <w:color w:val="0D0D0D" w:themeColor="text1" w:themeTint="F2"/>
                <w:spacing w:val="-6"/>
                <w:szCs w:val="20"/>
              </w:rPr>
              <w:t>Mezičtvrtletní ú</w:t>
            </w:r>
            <w:r w:rsidRPr="00460267">
              <w:rPr>
                <w:rFonts w:cs="Arial"/>
                <w:color w:val="0D0D0D" w:themeColor="text1" w:themeTint="F2"/>
                <w:spacing w:val="-6"/>
                <w:szCs w:val="20"/>
              </w:rPr>
              <w:t xml:space="preserve">tlum poptávky v maloobchodu tak pokračoval šestý kvartál v řadě (shodně jako celkové výdaje domácností na konečnou spotřebu). Rostly naopak spotřební výdaje nerezidentů související s oživením turismu </w:t>
            </w:r>
            <w:r>
              <w:rPr>
                <w:rFonts w:cs="Arial"/>
                <w:color w:val="0D0D0D" w:themeColor="text1" w:themeTint="F2"/>
                <w:spacing w:val="-6"/>
                <w:szCs w:val="20"/>
              </w:rPr>
              <w:t>nebo</w:t>
            </w:r>
            <w:r w:rsidRPr="00460267">
              <w:rPr>
                <w:rFonts w:cs="Arial"/>
                <w:color w:val="0D0D0D" w:themeColor="text1" w:themeTint="F2"/>
                <w:spacing w:val="-6"/>
                <w:szCs w:val="20"/>
              </w:rPr>
              <w:t xml:space="preserve"> uprchlickou vlnou z Ukrajiny (jejich poměr k celkovým spotřebním vydáním tuzemských domácností je však relativně malý a </w:t>
            </w:r>
            <w:r>
              <w:rPr>
                <w:rFonts w:cs="Arial"/>
                <w:color w:val="0D0D0D" w:themeColor="text1" w:themeTint="F2"/>
                <w:spacing w:val="-6"/>
                <w:szCs w:val="20"/>
              </w:rPr>
              <w:t xml:space="preserve">stále nedosahuje </w:t>
            </w:r>
            <w:r w:rsidRPr="00460267">
              <w:rPr>
                <w:rFonts w:cs="Arial"/>
                <w:color w:val="0D0D0D" w:themeColor="text1" w:themeTint="F2"/>
                <w:spacing w:val="-6"/>
                <w:szCs w:val="20"/>
              </w:rPr>
              <w:t>běžné úrovně z období před pandemií). Meziměsíční pokles maloo</w:t>
            </w:r>
            <w:r>
              <w:rPr>
                <w:rFonts w:cs="Arial"/>
                <w:color w:val="0D0D0D" w:themeColor="text1" w:themeTint="F2"/>
                <w:spacing w:val="-6"/>
                <w:szCs w:val="20"/>
              </w:rPr>
              <w:t>bchodu přetrvával i v dubnu (−0,3</w:t>
            </w:r>
            <w:r w:rsidRPr="00460267">
              <w:rPr>
                <w:rFonts w:cs="Arial"/>
                <w:color w:val="0D0D0D" w:themeColor="text1" w:themeTint="F2"/>
                <w:spacing w:val="-6"/>
                <w:szCs w:val="20"/>
              </w:rPr>
              <w:t xml:space="preserve"> %), kdy celkové tržby dosahovaly reálně jen</w:t>
            </w:r>
            <w:r>
              <w:rPr>
                <w:rFonts w:cs="Arial"/>
                <w:color w:val="0D0D0D" w:themeColor="text1" w:themeTint="F2"/>
                <w:spacing w:val="-6"/>
                <w:szCs w:val="20"/>
              </w:rPr>
              <w:t xml:space="preserve"> úrovně z červn</w:t>
            </w:r>
            <w:r w:rsidRPr="00460267">
              <w:rPr>
                <w:rFonts w:cs="Arial"/>
                <w:color w:val="0D0D0D" w:themeColor="text1" w:themeTint="F2"/>
                <w:spacing w:val="-6"/>
                <w:szCs w:val="20"/>
              </w:rPr>
              <w:t>a 2018, v segmentu potravinářského zboží dokonce pouze</w:t>
            </w:r>
            <w:r>
              <w:rPr>
                <w:rFonts w:cs="Arial"/>
                <w:color w:val="0D0D0D" w:themeColor="text1" w:themeTint="F2"/>
                <w:spacing w:val="-6"/>
                <w:szCs w:val="20"/>
              </w:rPr>
              <w:t xml:space="preserve"> února</w:t>
            </w:r>
            <w:r w:rsidRPr="00460267">
              <w:rPr>
                <w:rFonts w:cs="Arial"/>
                <w:color w:val="0D0D0D" w:themeColor="text1" w:themeTint="F2"/>
                <w:spacing w:val="-6"/>
                <w:szCs w:val="20"/>
              </w:rPr>
              <w:t xml:space="preserve"> 2015 (zatímco v běžných cenách byly </w:t>
            </w:r>
            <w:r w:rsidR="008E6E5D">
              <w:rPr>
                <w:rFonts w:cs="Arial"/>
                <w:color w:val="0D0D0D" w:themeColor="text1" w:themeTint="F2"/>
                <w:spacing w:val="-6"/>
                <w:szCs w:val="20"/>
              </w:rPr>
              <w:t xml:space="preserve">v roce 2023 </w:t>
            </w:r>
            <w:r w:rsidRPr="00460267">
              <w:rPr>
                <w:rFonts w:cs="Arial"/>
                <w:color w:val="0D0D0D" w:themeColor="text1" w:themeTint="F2"/>
                <w:spacing w:val="-6"/>
                <w:szCs w:val="20"/>
              </w:rPr>
              <w:t xml:space="preserve">v obou případech takřka na svých historických maximech). Indikátor důvěry spotřebitelů, jenž ještě loni v prosinci dosahoval hodnoty blízké historického minima, doznal následně mírně pozitivního posunu. </w:t>
            </w:r>
            <w:r>
              <w:rPr>
                <w:rFonts w:cs="Arial"/>
                <w:color w:val="0D0D0D" w:themeColor="text1" w:themeTint="F2"/>
                <w:spacing w:val="-6"/>
                <w:szCs w:val="20"/>
              </w:rPr>
              <w:br/>
            </w:r>
            <w:r w:rsidRPr="00460267">
              <w:rPr>
                <w:rFonts w:cs="Arial"/>
                <w:color w:val="0D0D0D" w:themeColor="text1" w:themeTint="F2"/>
                <w:spacing w:val="-6"/>
                <w:szCs w:val="20"/>
              </w:rPr>
              <w:t>I v květnu 2023 však stále převažovalo negativní hodnocení současné i očekáváné finanční situace domácností a lidé tak zůstali dosti opatrní v oblasti plánování velkých nákupů (zejména zboží s dlouhodobé spotřeby či investic). Pozitivní bylo, že se razantně snížil</w:t>
            </w:r>
            <w:r>
              <w:rPr>
                <w:rFonts w:cs="Arial"/>
                <w:color w:val="0D0D0D" w:themeColor="text1" w:themeTint="F2"/>
                <w:spacing w:val="-6"/>
                <w:szCs w:val="20"/>
              </w:rPr>
              <w:t>a</w:t>
            </w:r>
            <w:r w:rsidRPr="00460267">
              <w:rPr>
                <w:rFonts w:cs="Arial"/>
                <w:color w:val="0D0D0D" w:themeColor="text1" w:themeTint="F2"/>
                <w:spacing w:val="-6"/>
                <w:szCs w:val="20"/>
              </w:rPr>
              <w:t xml:space="preserve"> jejich očekávání dalšího růstu cen. To částečně sdíleli i obchodníci. Jejich celková důvěra letos rostla, byla znatelně vyšší než u spotřebitelů a blížila se dlouhodobému průměru</w:t>
            </w:r>
            <w:r w:rsidRPr="00460267">
              <w:rPr>
                <w:rStyle w:val="Znakapoznpodarou"/>
                <w:color w:val="0D0D0D" w:themeColor="text1" w:themeTint="F2"/>
                <w:spacing w:val="-6"/>
                <w:szCs w:val="20"/>
              </w:rPr>
              <w:footnoteReference w:id="30"/>
            </w:r>
            <w:r w:rsidRPr="00460267">
              <w:rPr>
                <w:rFonts w:cs="Arial"/>
                <w:color w:val="0D0D0D" w:themeColor="text1" w:themeTint="F2"/>
                <w:spacing w:val="-6"/>
                <w:szCs w:val="20"/>
              </w:rPr>
              <w:t>.</w:t>
            </w:r>
          </w:p>
        </w:tc>
      </w:tr>
      <w:tr w:rsidR="009360FA" w:rsidRPr="00460267" w14:paraId="2633B6C8" w14:textId="77777777" w:rsidTr="00FD4372">
        <w:trPr>
          <w:trHeight w:val="170"/>
        </w:trPr>
        <w:tc>
          <w:tcPr>
            <w:tcW w:w="1754" w:type="dxa"/>
            <w:tcBorders>
              <w:top w:val="nil"/>
              <w:left w:val="nil"/>
              <w:bottom w:val="nil"/>
              <w:right w:val="nil"/>
            </w:tcBorders>
            <w:shd w:val="clear" w:color="auto" w:fill="auto"/>
            <w:tcMar>
              <w:left w:w="0" w:type="dxa"/>
            </w:tcMar>
          </w:tcPr>
          <w:p w14:paraId="1E5A35CB" w14:textId="77777777" w:rsidR="009360FA" w:rsidRDefault="009360FA" w:rsidP="00FD4372">
            <w:pPr>
              <w:pStyle w:val="Marginlie"/>
            </w:pPr>
            <w:r>
              <w:t>Za hlubokým meziročním poklesem celého maloobchodu stály nižší tržby za nepotravinářské zboží. Slabší poptávku pocítily takřka všechny sortimentní skupiny.</w:t>
            </w:r>
          </w:p>
          <w:p w14:paraId="05CE7701" w14:textId="77777777" w:rsidR="009360FA" w:rsidRDefault="009360FA" w:rsidP="00FD4372">
            <w:pPr>
              <w:pStyle w:val="Marginlie"/>
            </w:pPr>
          </w:p>
          <w:p w14:paraId="5CB81510" w14:textId="77777777" w:rsidR="009360FA" w:rsidRDefault="009360FA" w:rsidP="00FD4372">
            <w:pPr>
              <w:pStyle w:val="Marginlie"/>
            </w:pPr>
          </w:p>
          <w:p w14:paraId="1D0CED64" w14:textId="77777777" w:rsidR="009360FA" w:rsidRDefault="009360FA" w:rsidP="00FD4372">
            <w:pPr>
              <w:pStyle w:val="Marginlie"/>
            </w:pPr>
          </w:p>
          <w:p w14:paraId="13FBE25C" w14:textId="77777777" w:rsidR="009360FA" w:rsidRDefault="009360FA" w:rsidP="00FD4372">
            <w:pPr>
              <w:pStyle w:val="Marginlie"/>
            </w:pPr>
          </w:p>
          <w:p w14:paraId="41278C68" w14:textId="77777777" w:rsidR="009360FA" w:rsidRDefault="009360FA" w:rsidP="00FD4372">
            <w:pPr>
              <w:pStyle w:val="Marginlie"/>
            </w:pPr>
          </w:p>
          <w:p w14:paraId="25425956" w14:textId="77777777" w:rsidR="009360FA" w:rsidRDefault="009360FA" w:rsidP="00FD4372">
            <w:pPr>
              <w:pStyle w:val="Marginlie"/>
            </w:pPr>
          </w:p>
          <w:p w14:paraId="7D69ECC3" w14:textId="77777777" w:rsidR="009360FA" w:rsidRDefault="009360FA" w:rsidP="00FD4372">
            <w:pPr>
              <w:pStyle w:val="Marginlie"/>
            </w:pPr>
          </w:p>
          <w:p w14:paraId="63AD01B4" w14:textId="77777777" w:rsidR="009360FA" w:rsidRDefault="009360FA" w:rsidP="00FD4372">
            <w:pPr>
              <w:pStyle w:val="Marginlie"/>
            </w:pPr>
            <w:r>
              <w:t>K zastavení poklesu tržeb za pohonné hmoty pomohl příznivý vývoj jejich cen pro motoristy.</w:t>
            </w:r>
          </w:p>
          <w:p w14:paraId="7F2742CF" w14:textId="77777777" w:rsidR="009360FA" w:rsidRDefault="009360FA" w:rsidP="00FD4372">
            <w:pPr>
              <w:pStyle w:val="Marginlie"/>
              <w:rPr>
                <w:color w:val="0D0D0D" w:themeColor="text1" w:themeTint="F2"/>
              </w:rPr>
            </w:pPr>
          </w:p>
        </w:tc>
        <w:tc>
          <w:tcPr>
            <w:tcW w:w="185" w:type="dxa"/>
            <w:tcBorders>
              <w:top w:val="nil"/>
              <w:left w:val="nil"/>
              <w:bottom w:val="nil"/>
              <w:right w:val="nil"/>
            </w:tcBorders>
            <w:shd w:val="clear" w:color="auto" w:fill="auto"/>
            <w:tcMar>
              <w:left w:w="0" w:type="dxa"/>
            </w:tcMar>
          </w:tcPr>
          <w:p w14:paraId="203AF90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11708F3C" w14:textId="77777777" w:rsidR="009360FA" w:rsidRPr="00460267" w:rsidRDefault="009360FA" w:rsidP="00FD4372">
            <w:pPr>
              <w:spacing w:after="200"/>
              <w:rPr>
                <w:rFonts w:cs="Arial"/>
                <w:color w:val="0D0D0D" w:themeColor="text1" w:themeTint="F2"/>
                <w:spacing w:val="-5"/>
                <w:szCs w:val="20"/>
              </w:rPr>
            </w:pPr>
            <w:r>
              <w:rPr>
                <w:rFonts w:cs="Arial"/>
                <w:color w:val="0D0D0D" w:themeColor="text1" w:themeTint="F2"/>
                <w:spacing w:val="-6"/>
              </w:rPr>
              <w:t xml:space="preserve">Maloobchodní tržby byly letos v 1. čtvrtletí meziročně o 7,8 % nižší. Stejně jako ve 2. pololetí 2022 stála za jejich hlubokým poklesem především slabší poptávka po nepotravinářském zboží. Ta se u tohoto zboží projevila ve všech základních sortimentních skupinách (vyjma oděvů, obuvi a koženého zboží, jejichž prodeje však byly nejvíce zasaženy restrikcemi během pandemie, a letošní tržby u </w:t>
            </w:r>
            <w:r w:rsidRPr="0053651E">
              <w:rPr>
                <w:rFonts w:cs="Arial"/>
                <w:color w:val="0D0D0D" w:themeColor="text1" w:themeTint="F2"/>
                <w:spacing w:val="-6"/>
              </w:rPr>
              <w:t xml:space="preserve">nich </w:t>
            </w:r>
            <w:r>
              <w:rPr>
                <w:rFonts w:cs="Arial"/>
                <w:color w:val="0D0D0D" w:themeColor="text1" w:themeTint="F2"/>
                <w:spacing w:val="-6"/>
              </w:rPr>
              <w:t xml:space="preserve">stále zaostávaly skoro o čtvrtinu </w:t>
            </w:r>
            <w:r w:rsidRPr="0053651E">
              <w:rPr>
                <w:rFonts w:cs="Arial"/>
                <w:color w:val="0D0D0D" w:themeColor="text1" w:themeTint="F2"/>
                <w:spacing w:val="-6"/>
              </w:rPr>
              <w:t>za úrovní z 1. čtvrtletí 2019</w:t>
            </w:r>
            <w:r>
              <w:rPr>
                <w:rFonts w:cs="Arial"/>
                <w:color w:val="0D0D0D" w:themeColor="text1" w:themeTint="F2"/>
                <w:spacing w:val="-6"/>
              </w:rPr>
              <w:t xml:space="preserve">). Meziročně zde nejvíce propadly tržby za </w:t>
            </w:r>
            <w:r w:rsidRPr="00B11432">
              <w:rPr>
                <w:rFonts w:cs="Arial"/>
                <w:color w:val="0D0D0D" w:themeColor="text1" w:themeTint="F2"/>
                <w:spacing w:val="-6"/>
              </w:rPr>
              <w:t>výrobky převážně pro domácnost</w:t>
            </w:r>
            <w:r>
              <w:rPr>
                <w:rStyle w:val="Znakapoznpodarou"/>
                <w:color w:val="0D0D0D" w:themeColor="text1" w:themeTint="F2"/>
                <w:spacing w:val="-6"/>
              </w:rPr>
              <w:footnoteReference w:id="31"/>
            </w:r>
            <w:r>
              <w:rPr>
                <w:rFonts w:cs="Arial"/>
                <w:color w:val="0D0D0D" w:themeColor="text1" w:themeTint="F2"/>
                <w:spacing w:val="-6"/>
              </w:rPr>
              <w:t xml:space="preserve"> (−16,8 %). Naopak jen velmi mírný pokles (do 2 %) nastal u počítačového a komunikačního zařízení, farmaceutického a zdravotnického zboží či kosmetických a toaletních výrobků – ve všech těchto kategoriích letošní tržby současně zřetelně převyšovaly </w:t>
            </w:r>
            <w:proofErr w:type="spellStart"/>
            <w:r>
              <w:rPr>
                <w:rFonts w:cs="Arial"/>
                <w:color w:val="0D0D0D" w:themeColor="text1" w:themeTint="F2"/>
                <w:spacing w:val="-6"/>
              </w:rPr>
              <w:t>předpandemickou</w:t>
            </w:r>
            <w:proofErr w:type="spellEnd"/>
            <w:r>
              <w:rPr>
                <w:rFonts w:cs="Arial"/>
                <w:color w:val="0D0D0D" w:themeColor="text1" w:themeTint="F2"/>
                <w:spacing w:val="-6"/>
              </w:rPr>
              <w:t xml:space="preserve"> úroveň. To stále platilo i pro </w:t>
            </w:r>
            <w:r w:rsidRPr="00632A8A">
              <w:rPr>
                <w:rFonts w:cs="Arial"/>
                <w:color w:val="0D0D0D" w:themeColor="text1" w:themeTint="F2"/>
                <w:spacing w:val="-6"/>
              </w:rPr>
              <w:t>prodeje prostřednictvím internetu nebo zásilkové služby</w:t>
            </w:r>
            <w:r>
              <w:rPr>
                <w:rFonts w:cs="Arial"/>
                <w:color w:val="0D0D0D" w:themeColor="text1" w:themeTint="F2"/>
                <w:spacing w:val="-6"/>
              </w:rPr>
              <w:t xml:space="preserve"> (+35 %), přestože poptávka zde v posledních osmi čtvrtletích nepřetržitě </w:t>
            </w:r>
            <w:proofErr w:type="spellStart"/>
            <w:r>
              <w:rPr>
                <w:rFonts w:cs="Arial"/>
                <w:color w:val="0D0D0D" w:themeColor="text1" w:themeTint="F2"/>
                <w:spacing w:val="-6"/>
              </w:rPr>
              <w:t>mezikvartálně</w:t>
            </w:r>
            <w:proofErr w:type="spellEnd"/>
            <w:r>
              <w:rPr>
                <w:rFonts w:cs="Arial"/>
                <w:color w:val="0D0D0D" w:themeColor="text1" w:themeTint="F2"/>
                <w:spacing w:val="-6"/>
              </w:rPr>
              <w:t xml:space="preserve"> klesala. Podobně na tom byli v posledních dvou letech také prodejci potravin. Letos zde tržby zaostaly o 8,3 % za úrovní z 1. čtvrtletí 2022 (obdobným tempem klesly jak ve velkých potravinářských řetězcích, tak i v malých specializovaných prodejnách s potravinami). Pokles tržeb za </w:t>
            </w:r>
            <w:r w:rsidRPr="00211F77">
              <w:rPr>
                <w:rFonts w:cs="Arial"/>
                <w:color w:val="0D0D0D" w:themeColor="text1" w:themeTint="F2"/>
                <w:spacing w:val="-6"/>
              </w:rPr>
              <w:t xml:space="preserve">prodej pohonných </w:t>
            </w:r>
            <w:r w:rsidRPr="00211F77">
              <w:rPr>
                <w:rFonts w:cs="Arial"/>
                <w:color w:val="0D0D0D" w:themeColor="text1" w:themeTint="F2"/>
                <w:spacing w:val="-6"/>
              </w:rPr>
              <w:lastRenderedPageBreak/>
              <w:t>hmot</w:t>
            </w:r>
            <w:r>
              <w:rPr>
                <w:rFonts w:cs="Arial"/>
                <w:color w:val="0D0D0D" w:themeColor="text1" w:themeTint="F2"/>
                <w:spacing w:val="-6"/>
              </w:rPr>
              <w:t xml:space="preserve"> již letos v 1. čtvrtletí nepokračoval (+1 %). Přispěl k tomu příznivý vývoj cen pro motoristy (podpořený také dočasně zavedenou nižší sazbou spotřební daně u motorové nafty)</w:t>
            </w:r>
            <w:r>
              <w:rPr>
                <w:rStyle w:val="Znakapoznpodarou"/>
                <w:color w:val="0D0D0D" w:themeColor="text1" w:themeTint="F2"/>
                <w:spacing w:val="-6"/>
              </w:rPr>
              <w:footnoteReference w:id="32"/>
            </w:r>
            <w:r>
              <w:rPr>
                <w:rFonts w:cs="Arial"/>
                <w:color w:val="0D0D0D" w:themeColor="text1" w:themeTint="F2"/>
                <w:spacing w:val="-6"/>
              </w:rPr>
              <w:t xml:space="preserve">. </w:t>
            </w:r>
          </w:p>
        </w:tc>
      </w:tr>
      <w:tr w:rsidR="009360FA" w:rsidRPr="00460267" w14:paraId="3DBA593C" w14:textId="77777777" w:rsidTr="00FD4372">
        <w:trPr>
          <w:trHeight w:val="170"/>
        </w:trPr>
        <w:tc>
          <w:tcPr>
            <w:tcW w:w="1754" w:type="dxa"/>
            <w:tcBorders>
              <w:top w:val="nil"/>
              <w:left w:val="nil"/>
              <w:bottom w:val="nil"/>
              <w:right w:val="nil"/>
            </w:tcBorders>
            <w:shd w:val="clear" w:color="auto" w:fill="auto"/>
            <w:tcMar>
              <w:left w:w="0" w:type="dxa"/>
            </w:tcMar>
          </w:tcPr>
          <w:p w14:paraId="28F7E329" w14:textId="77777777" w:rsidR="009360FA" w:rsidRPr="00632A8A" w:rsidRDefault="009360FA" w:rsidP="00FD4372">
            <w:pPr>
              <w:pStyle w:val="Marginlie"/>
            </w:pPr>
            <w:r>
              <w:lastRenderedPageBreak/>
              <w:t xml:space="preserve">Poptávka </w:t>
            </w:r>
            <w:r w:rsidRPr="00632A8A">
              <w:t>v motoristickém segmentu obchodu</w:t>
            </w:r>
            <w:r>
              <w:t xml:space="preserve"> ožila</w:t>
            </w:r>
            <w:r w:rsidRPr="00632A8A">
              <w:t>, př</w:t>
            </w:r>
            <w:r>
              <w:t>esto za rokem 2019 stále mírně</w:t>
            </w:r>
            <w:r w:rsidRPr="00632A8A">
              <w:t xml:space="preserve"> zaostával</w:t>
            </w:r>
            <w:r>
              <w:t>a</w:t>
            </w:r>
            <w:r w:rsidRPr="00632A8A">
              <w:t>.</w:t>
            </w:r>
          </w:p>
          <w:p w14:paraId="48D260D4" w14:textId="77777777" w:rsidR="009360FA" w:rsidRDefault="009360FA" w:rsidP="00FD4372">
            <w:pPr>
              <w:pStyle w:val="Marginlie"/>
              <w:rPr>
                <w:color w:val="0D0D0D" w:themeColor="text1" w:themeTint="F2"/>
              </w:rPr>
            </w:pPr>
          </w:p>
        </w:tc>
        <w:tc>
          <w:tcPr>
            <w:tcW w:w="185" w:type="dxa"/>
            <w:tcBorders>
              <w:top w:val="nil"/>
              <w:left w:val="nil"/>
              <w:bottom w:val="nil"/>
              <w:right w:val="nil"/>
            </w:tcBorders>
            <w:shd w:val="clear" w:color="auto" w:fill="auto"/>
            <w:tcMar>
              <w:left w:w="0" w:type="dxa"/>
            </w:tcMar>
          </w:tcPr>
          <w:p w14:paraId="49D9830D"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388561FD" w14:textId="77777777" w:rsidR="009360FA" w:rsidRDefault="009360FA" w:rsidP="00FD4372">
            <w:pPr>
              <w:spacing w:after="0"/>
              <w:rPr>
                <w:rFonts w:cs="Arial"/>
                <w:color w:val="0D0D0D" w:themeColor="text1" w:themeTint="F2"/>
                <w:spacing w:val="-6"/>
              </w:rPr>
            </w:pPr>
            <w:r>
              <w:rPr>
                <w:rFonts w:cs="Arial"/>
                <w:color w:val="0D0D0D" w:themeColor="text1" w:themeTint="F2"/>
                <w:spacing w:val="-6"/>
              </w:rPr>
              <w:t>V motoristickém</w:t>
            </w:r>
            <w:r w:rsidRPr="00632A8A">
              <w:rPr>
                <w:rFonts w:cs="Arial"/>
                <w:color w:val="0D0D0D" w:themeColor="text1" w:themeTint="F2"/>
                <w:spacing w:val="-6"/>
              </w:rPr>
              <w:t xml:space="preserve"> segment</w:t>
            </w:r>
            <w:r>
              <w:rPr>
                <w:rFonts w:cs="Arial"/>
                <w:color w:val="0D0D0D" w:themeColor="text1" w:themeTint="F2"/>
                <w:spacing w:val="-6"/>
              </w:rPr>
              <w:t>u</w:t>
            </w:r>
            <w:r w:rsidRPr="00632A8A">
              <w:rPr>
                <w:rFonts w:cs="Arial"/>
                <w:color w:val="0D0D0D" w:themeColor="text1" w:themeTint="F2"/>
                <w:spacing w:val="-6"/>
              </w:rPr>
              <w:t xml:space="preserve"> obchodu</w:t>
            </w:r>
            <w:r>
              <w:rPr>
                <w:rFonts w:cs="Arial"/>
                <w:color w:val="0D0D0D" w:themeColor="text1" w:themeTint="F2"/>
                <w:spacing w:val="-6"/>
              </w:rPr>
              <w:t xml:space="preserve"> se v 1. čtvrtletí 2023 po bezmála dvou letech zastavil meziroční pokles tržeb. K významnějšímu oživení došlo u samotného obchodu s </w:t>
            </w:r>
            <w:r w:rsidRPr="00FC3C94">
              <w:rPr>
                <w:rFonts w:cs="Arial"/>
                <w:color w:val="0D0D0D" w:themeColor="text1" w:themeTint="F2"/>
                <w:spacing w:val="-6"/>
              </w:rPr>
              <w:t>motorovými vozidly, kromě motocyklů</w:t>
            </w:r>
            <w:r>
              <w:rPr>
                <w:rFonts w:cs="Arial"/>
                <w:color w:val="0D0D0D" w:themeColor="text1" w:themeTint="F2"/>
                <w:spacing w:val="-6"/>
              </w:rPr>
              <w:t xml:space="preserve"> (+11 %), naopak poptávka v o</w:t>
            </w:r>
            <w:r w:rsidRPr="00FC3C94">
              <w:rPr>
                <w:rFonts w:cs="Arial"/>
                <w:color w:val="0D0D0D" w:themeColor="text1" w:themeTint="F2"/>
                <w:spacing w:val="-6"/>
              </w:rPr>
              <w:t>bchod</w:t>
            </w:r>
            <w:r>
              <w:rPr>
                <w:rFonts w:cs="Arial"/>
                <w:color w:val="0D0D0D" w:themeColor="text1" w:themeTint="F2"/>
                <w:spacing w:val="-6"/>
              </w:rPr>
              <w:t>u</w:t>
            </w:r>
            <w:r w:rsidRPr="00FC3C94">
              <w:rPr>
                <w:rFonts w:cs="Arial"/>
                <w:color w:val="0D0D0D" w:themeColor="text1" w:themeTint="F2"/>
                <w:spacing w:val="-6"/>
              </w:rPr>
              <w:t xml:space="preserve"> s díly a příslušenstvím</w:t>
            </w:r>
            <w:r>
              <w:rPr>
                <w:rFonts w:cs="Arial"/>
                <w:color w:val="0D0D0D" w:themeColor="text1" w:themeTint="F2"/>
                <w:spacing w:val="-6"/>
              </w:rPr>
              <w:t xml:space="preserve"> se meziročně zhruba o desetinu snížila a podobně zaostala i za rokem 2019. </w:t>
            </w:r>
            <w:proofErr w:type="spellStart"/>
            <w:r>
              <w:rPr>
                <w:rFonts w:cs="Arial"/>
                <w:color w:val="0D0D0D" w:themeColor="text1" w:themeTint="F2"/>
                <w:spacing w:val="-6"/>
              </w:rPr>
              <w:t>Předpandemické</w:t>
            </w:r>
            <w:proofErr w:type="spellEnd"/>
            <w:r>
              <w:rPr>
                <w:rFonts w:cs="Arial"/>
                <w:color w:val="0D0D0D" w:themeColor="text1" w:themeTint="F2"/>
                <w:spacing w:val="-6"/>
              </w:rPr>
              <w:t xml:space="preserve"> úrovně tržeb však dosud žádná z kategorií z motoristického segmentu obchodu nedosáhla, byť samotný obchod s motorovými vozidly se jí již těsně přiblížil (−0,6 %).</w:t>
            </w:r>
          </w:p>
          <w:p w14:paraId="700CFFB3" w14:textId="77777777" w:rsidR="009360FA" w:rsidRPr="00460267" w:rsidRDefault="009360FA" w:rsidP="00FD4372">
            <w:pPr>
              <w:spacing w:after="0"/>
              <w:rPr>
                <w:rFonts w:cs="Arial"/>
                <w:color w:val="0D0D0D" w:themeColor="text1" w:themeTint="F2"/>
                <w:spacing w:val="-5"/>
                <w:szCs w:val="20"/>
              </w:rPr>
            </w:pPr>
          </w:p>
        </w:tc>
      </w:tr>
      <w:tr w:rsidR="009360FA" w:rsidRPr="00C73A63" w14:paraId="72DAFE10" w14:textId="77777777" w:rsidTr="00FD4372">
        <w:trPr>
          <w:trHeight w:val="170"/>
        </w:trPr>
        <w:tc>
          <w:tcPr>
            <w:tcW w:w="1754" w:type="dxa"/>
            <w:tcBorders>
              <w:top w:val="nil"/>
              <w:left w:val="nil"/>
              <w:bottom w:val="nil"/>
              <w:right w:val="nil"/>
            </w:tcBorders>
            <w:shd w:val="clear" w:color="auto" w:fill="auto"/>
            <w:tcMar>
              <w:left w:w="0" w:type="dxa"/>
            </w:tcMar>
          </w:tcPr>
          <w:p w14:paraId="30FE1928" w14:textId="77777777" w:rsidR="009360FA" w:rsidRPr="00BD3BE9" w:rsidRDefault="009360FA" w:rsidP="00FD4372">
            <w:pPr>
              <w:pStyle w:val="Marginlie"/>
              <w:rPr>
                <w:color w:val="0D0D0D" w:themeColor="text1" w:themeTint="F2"/>
              </w:rPr>
            </w:pPr>
          </w:p>
        </w:tc>
        <w:tc>
          <w:tcPr>
            <w:tcW w:w="185" w:type="dxa"/>
            <w:tcBorders>
              <w:top w:val="nil"/>
              <w:left w:val="nil"/>
              <w:bottom w:val="nil"/>
              <w:right w:val="nil"/>
            </w:tcBorders>
            <w:shd w:val="clear" w:color="auto" w:fill="auto"/>
            <w:tcMar>
              <w:left w:w="0" w:type="dxa"/>
            </w:tcMar>
          </w:tcPr>
          <w:p w14:paraId="1F17DC84" w14:textId="77777777" w:rsidR="009360FA" w:rsidRPr="00BD3BE9"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71736447" w14:textId="77777777" w:rsidR="009360FA" w:rsidRPr="00C73A63" w:rsidRDefault="009360FA" w:rsidP="00FD4372">
            <w:pPr>
              <w:spacing w:after="40"/>
              <w:rPr>
                <w:rFonts w:cs="Arial"/>
                <w:color w:val="0D0D0D" w:themeColor="text1" w:themeTint="F2"/>
                <w:spacing w:val="-4"/>
                <w:szCs w:val="20"/>
              </w:rPr>
            </w:pPr>
            <w:r>
              <w:rPr>
                <w:b/>
              </w:rPr>
              <w:t>Graf č. 8</w:t>
            </w:r>
            <w:r w:rsidRPr="00F0005D">
              <w:rPr>
                <w:b/>
              </w:rPr>
              <w:t xml:space="preserve"> </w:t>
            </w:r>
            <w:r w:rsidRPr="004405E2">
              <w:rPr>
                <w:rFonts w:cs="Arial"/>
                <w:b/>
                <w:bCs/>
                <w:color w:val="0D0D0D" w:themeColor="text1" w:themeTint="F2"/>
                <w:spacing w:val="-6"/>
              </w:rPr>
              <w:t xml:space="preserve">Příspěvky dílčích odvětví k meziroční změně tržeb v maloobchodu* </w:t>
            </w:r>
            <w:r w:rsidRPr="004405E2">
              <w:rPr>
                <w:rFonts w:cs="Arial"/>
                <w:color w:val="0D0D0D" w:themeColor="text1" w:themeTint="F2"/>
                <w:spacing w:val="-6"/>
              </w:rPr>
              <w:t xml:space="preserve">(reálně, v p. b.), </w:t>
            </w:r>
            <w:r w:rsidRPr="004405E2">
              <w:rPr>
                <w:rFonts w:cs="Arial"/>
                <w:b/>
                <w:bCs/>
                <w:color w:val="0D0D0D" w:themeColor="text1" w:themeTint="F2"/>
                <w:spacing w:val="-6"/>
              </w:rPr>
              <w:t xml:space="preserve">tržby v maloobchodu a v motoristickém segmentu obchodu** </w:t>
            </w:r>
            <w:r w:rsidRPr="004405E2">
              <w:rPr>
                <w:rFonts w:cs="Arial"/>
                <w:color w:val="0D0D0D" w:themeColor="text1" w:themeTint="F2"/>
                <w:spacing w:val="-6"/>
              </w:rPr>
              <w:t xml:space="preserve">(reálně, úroveň roku 2015=100, pravá osa) </w:t>
            </w:r>
            <w:r w:rsidRPr="004405E2">
              <w:rPr>
                <w:rFonts w:cs="Arial"/>
                <w:b/>
                <w:bCs/>
                <w:color w:val="0D0D0D" w:themeColor="text1" w:themeTint="F2"/>
                <w:spacing w:val="-6"/>
              </w:rPr>
              <w:t xml:space="preserve">a saldo celkové důvěry spotřebitelů*** </w:t>
            </w:r>
            <w:r w:rsidRPr="004405E2">
              <w:rPr>
                <w:rFonts w:cs="Arial"/>
                <w:color w:val="0D0D0D" w:themeColor="text1" w:themeTint="F2"/>
                <w:spacing w:val="-6"/>
              </w:rPr>
              <w:t>(v p. b., pravá osa)</w:t>
            </w:r>
          </w:p>
        </w:tc>
      </w:tr>
      <w:tr w:rsidR="009360FA" w:rsidRPr="004C1143" w14:paraId="6D6AEDA9" w14:textId="77777777" w:rsidTr="00FD4372">
        <w:tblPrEx>
          <w:tblCellMar>
            <w:left w:w="70" w:type="dxa"/>
            <w:right w:w="70" w:type="dxa"/>
          </w:tblCellMar>
        </w:tblPrEx>
        <w:trPr>
          <w:trHeight w:val="170"/>
        </w:trPr>
        <w:tc>
          <w:tcPr>
            <w:tcW w:w="1754" w:type="dxa"/>
            <w:tcBorders>
              <w:top w:val="nil"/>
              <w:left w:val="nil"/>
              <w:bottom w:val="nil"/>
              <w:right w:val="nil"/>
            </w:tcBorders>
            <w:shd w:val="clear" w:color="auto" w:fill="auto"/>
          </w:tcPr>
          <w:p w14:paraId="565198D5" w14:textId="77777777" w:rsidR="009360FA" w:rsidRDefault="009360FA" w:rsidP="00FD4372">
            <w:pPr>
              <w:pStyle w:val="Marginlie"/>
            </w:pPr>
          </w:p>
        </w:tc>
        <w:tc>
          <w:tcPr>
            <w:tcW w:w="185" w:type="dxa"/>
            <w:tcBorders>
              <w:top w:val="nil"/>
              <w:left w:val="nil"/>
              <w:bottom w:val="nil"/>
              <w:right w:val="nil"/>
            </w:tcBorders>
            <w:shd w:val="clear" w:color="auto" w:fill="auto"/>
          </w:tcPr>
          <w:p w14:paraId="1361084F"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Pr>
          <w:p w14:paraId="0C888BE1" w14:textId="77777777" w:rsidR="009360FA" w:rsidRPr="004C1143" w:rsidRDefault="009360FA" w:rsidP="00FD4372">
            <w:pPr>
              <w:spacing w:after="0"/>
              <w:rPr>
                <w:rFonts w:cs="Arial"/>
                <w:sz w:val="14"/>
                <w:szCs w:val="14"/>
              </w:rPr>
            </w:pPr>
            <w:r>
              <w:rPr>
                <w:noProof/>
              </w:rPr>
              <w:drawing>
                <wp:inline distT="0" distB="0" distL="0" distR="0" wp14:anchorId="33F82A87" wp14:editId="5284502D">
                  <wp:extent cx="4788000" cy="3716118"/>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9360FA" w:rsidRPr="004C1143" w14:paraId="5819339E" w14:textId="77777777" w:rsidTr="00FD4372">
        <w:trPr>
          <w:trHeight w:val="170"/>
        </w:trPr>
        <w:tc>
          <w:tcPr>
            <w:tcW w:w="1754" w:type="dxa"/>
            <w:tcBorders>
              <w:top w:val="nil"/>
              <w:left w:val="nil"/>
              <w:bottom w:val="nil"/>
              <w:right w:val="nil"/>
            </w:tcBorders>
            <w:shd w:val="clear" w:color="auto" w:fill="auto"/>
            <w:tcMar>
              <w:left w:w="0" w:type="dxa"/>
            </w:tcMar>
          </w:tcPr>
          <w:p w14:paraId="3A2C4BB4" w14:textId="77777777" w:rsidR="009360FA" w:rsidRDefault="009360FA" w:rsidP="00FD4372">
            <w:pPr>
              <w:pStyle w:val="Marginlie"/>
            </w:pPr>
          </w:p>
        </w:tc>
        <w:tc>
          <w:tcPr>
            <w:tcW w:w="185" w:type="dxa"/>
            <w:tcBorders>
              <w:top w:val="nil"/>
              <w:left w:val="nil"/>
              <w:bottom w:val="nil"/>
              <w:right w:val="nil"/>
            </w:tcBorders>
            <w:shd w:val="clear" w:color="auto" w:fill="auto"/>
            <w:tcMar>
              <w:left w:w="0" w:type="dxa"/>
            </w:tcMar>
          </w:tcPr>
          <w:p w14:paraId="50611407"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374A3001" w14:textId="77777777" w:rsidR="009360FA" w:rsidRPr="00052ADA" w:rsidRDefault="009360FA" w:rsidP="00FD4372">
            <w:pPr>
              <w:spacing w:after="0" w:line="240" w:lineRule="auto"/>
              <w:rPr>
                <w:rFonts w:cs="Arial"/>
                <w:sz w:val="14"/>
                <w:szCs w:val="14"/>
              </w:rPr>
            </w:pPr>
            <w:r>
              <w:rPr>
                <w:rFonts w:cs="Arial"/>
                <w:color w:val="0D0D0D" w:themeColor="text1" w:themeTint="F2"/>
                <w:spacing w:val="-6"/>
              </w:rPr>
              <w:t>*</w:t>
            </w:r>
            <w:r w:rsidRPr="00052ADA">
              <w:rPr>
                <w:rFonts w:cs="Arial"/>
                <w:sz w:val="14"/>
                <w:szCs w:val="14"/>
              </w:rPr>
              <w:t xml:space="preserve"> Tržby jsou očištěny o kalendářní vlivy.       ** Tržby jsou sezónně i kalendářně očištěny.</w:t>
            </w:r>
          </w:p>
          <w:p w14:paraId="34205993" w14:textId="77777777" w:rsidR="009360FA" w:rsidRPr="004C1143" w:rsidRDefault="009360FA" w:rsidP="00FD4372">
            <w:pPr>
              <w:spacing w:after="0"/>
              <w:rPr>
                <w:rFonts w:cs="Arial"/>
                <w:sz w:val="14"/>
                <w:szCs w:val="14"/>
              </w:rPr>
            </w:pPr>
            <w:r>
              <w:rPr>
                <w:rFonts w:cs="Arial"/>
                <w:color w:val="0D0D0D" w:themeColor="text1" w:themeTint="F2"/>
                <w:spacing w:val="-4"/>
                <w:sz w:val="14"/>
                <w:szCs w:val="14"/>
              </w:rPr>
              <w:t>*** Salda důvěry jsou sezónně očištěna a vyjadřují</w:t>
            </w:r>
            <w:r w:rsidRPr="00052ADA">
              <w:rPr>
                <w:rFonts w:cs="Arial"/>
                <w:color w:val="0D0D0D" w:themeColor="text1" w:themeTint="F2"/>
                <w:spacing w:val="-4"/>
                <w:sz w:val="14"/>
                <w:szCs w:val="14"/>
              </w:rPr>
              <w:t xml:space="preserve"> stav ve druhém měs</w:t>
            </w:r>
            <w:r>
              <w:rPr>
                <w:rFonts w:cs="Arial"/>
                <w:color w:val="0D0D0D" w:themeColor="text1" w:themeTint="F2"/>
                <w:spacing w:val="-4"/>
                <w:sz w:val="14"/>
                <w:szCs w:val="14"/>
              </w:rPr>
              <w:t>íci daného čtvrtletí.</w:t>
            </w:r>
            <w:r>
              <w:rPr>
                <w:rFonts w:cs="Arial"/>
                <w:color w:val="0D0D0D" w:themeColor="text1" w:themeTint="F2"/>
                <w:spacing w:val="-4"/>
                <w:sz w:val="14"/>
                <w:szCs w:val="14"/>
              </w:rPr>
              <w:tab/>
              <w:t xml:space="preserve">      </w:t>
            </w:r>
            <w:r w:rsidRPr="00052ADA">
              <w:rPr>
                <w:rFonts w:cs="Arial"/>
                <w:color w:val="0D0D0D" w:themeColor="text1" w:themeTint="F2"/>
                <w:spacing w:val="-4"/>
                <w:sz w:val="14"/>
                <w:szCs w:val="14"/>
              </w:rPr>
              <w:t xml:space="preserve">       </w:t>
            </w:r>
            <w:r>
              <w:rPr>
                <w:rFonts w:cs="Arial"/>
                <w:color w:val="0D0D0D" w:themeColor="text1" w:themeTint="F2"/>
                <w:spacing w:val="-4"/>
                <w:sz w:val="14"/>
                <w:szCs w:val="14"/>
              </w:rPr>
              <w:t xml:space="preserve">                   </w:t>
            </w:r>
            <w:r w:rsidRPr="00052ADA">
              <w:rPr>
                <w:rFonts w:cs="Arial"/>
                <w:color w:val="0D0D0D" w:themeColor="text1" w:themeTint="F2"/>
                <w:spacing w:val="-4"/>
                <w:sz w:val="14"/>
                <w:szCs w:val="14"/>
              </w:rPr>
              <w:t xml:space="preserve">  Zdroj: ČSÚ</w:t>
            </w:r>
          </w:p>
        </w:tc>
      </w:tr>
    </w:tbl>
    <w:p w14:paraId="237CCCAB" w14:textId="77777777" w:rsidR="00E87D5B" w:rsidRPr="00E42054" w:rsidRDefault="00E87D5B" w:rsidP="00E87D5B">
      <w:pPr>
        <w:pStyle w:val="Nadpis11"/>
        <w:rPr>
          <w:b w:val="0"/>
          <w:sz w:val="2"/>
          <w:szCs w:val="2"/>
        </w:rPr>
      </w:pPr>
    </w:p>
    <w:p w14:paraId="2E486663" w14:textId="77777777" w:rsidR="00DE3E22" w:rsidRDefault="00DE3E22">
      <w:pPr>
        <w:spacing w:after="0" w:line="240" w:lineRule="auto"/>
        <w:jc w:val="left"/>
        <w:rPr>
          <w:rFonts w:eastAsia="MS Gothic"/>
          <w:b/>
          <w:bCs/>
          <w:color w:val="71818C"/>
          <w:sz w:val="32"/>
          <w:szCs w:val="28"/>
        </w:rPr>
      </w:pPr>
      <w:r>
        <w:br w:type="page"/>
      </w:r>
    </w:p>
    <w:p w14:paraId="00DFA005" w14:textId="77777777" w:rsidR="006745DF" w:rsidRPr="00134FFF" w:rsidRDefault="006745DF" w:rsidP="006745DF">
      <w:pPr>
        <w:pStyle w:val="Nadpis11"/>
        <w:rPr>
          <w:sz w:val="2"/>
          <w:szCs w:val="2"/>
        </w:rPr>
      </w:pPr>
      <w:bookmarkStart w:id="27" w:name="_Toc130286019"/>
      <w:bookmarkStart w:id="28" w:name="_Toc137721911"/>
      <w:r>
        <w:lastRenderedPageBreak/>
        <w:t>4</w:t>
      </w:r>
      <w:bookmarkStart w:id="29" w:name="_Toc511215218"/>
      <w:bookmarkStart w:id="30" w:name="_Toc19090679"/>
      <w:bookmarkStart w:id="31" w:name="_Toc74643856"/>
      <w:bookmarkStart w:id="32" w:name="_Toc42852411"/>
      <w:bookmarkStart w:id="33" w:name="_Toc74643857"/>
      <w:bookmarkEnd w:id="29"/>
      <w:bookmarkEnd w:id="30"/>
      <w:r w:rsidRPr="009110F7">
        <w:t>.</w:t>
      </w:r>
      <w:r>
        <w:t> </w:t>
      </w:r>
      <w:r w:rsidRPr="009110F7">
        <w:t>Vnější vztahy</w:t>
      </w:r>
      <w:bookmarkEnd w:id="27"/>
      <w:bookmarkEnd w:id="28"/>
    </w:p>
    <w:tbl>
      <w:tblPr>
        <w:tblW w:w="9639" w:type="dxa"/>
        <w:tblInd w:w="-15" w:type="dxa"/>
        <w:tblCellMar>
          <w:left w:w="0" w:type="dxa"/>
          <w:right w:w="0" w:type="dxa"/>
        </w:tblCellMar>
        <w:tblLook w:val="00A0" w:firstRow="1" w:lastRow="0" w:firstColumn="1" w:lastColumn="0" w:noHBand="0" w:noVBand="0"/>
      </w:tblPr>
      <w:tblGrid>
        <w:gridCol w:w="1748"/>
        <w:gridCol w:w="221"/>
        <w:gridCol w:w="7670"/>
      </w:tblGrid>
      <w:tr w:rsidR="006745DF" w:rsidRPr="009110F7" w14:paraId="61418478" w14:textId="77777777" w:rsidTr="008F130B">
        <w:trPr>
          <w:trHeight w:val="145"/>
        </w:trPr>
        <w:tc>
          <w:tcPr>
            <w:tcW w:w="1748" w:type="dxa"/>
            <w:shd w:val="clear" w:color="auto" w:fill="auto"/>
            <w:tcMar>
              <w:left w:w="0" w:type="dxa"/>
            </w:tcMar>
          </w:tcPr>
          <w:p w14:paraId="1E0A94DE" w14:textId="77777777" w:rsidR="006745DF" w:rsidRDefault="006745DF" w:rsidP="008F130B">
            <w:pPr>
              <w:pStyle w:val="Marginlie"/>
            </w:pPr>
            <w:r>
              <w:t>Vývoz zboží v 1. čtvrtletí meziročně rostl.</w:t>
            </w:r>
          </w:p>
        </w:tc>
        <w:tc>
          <w:tcPr>
            <w:tcW w:w="221" w:type="dxa"/>
            <w:shd w:val="clear" w:color="auto" w:fill="auto"/>
            <w:tcMar>
              <w:left w:w="0" w:type="dxa"/>
            </w:tcMar>
          </w:tcPr>
          <w:p w14:paraId="16FDD335" w14:textId="77777777" w:rsidR="006745DF" w:rsidRDefault="006745DF" w:rsidP="008F130B">
            <w:pPr>
              <w:pStyle w:val="Textpoznpodarou"/>
              <w:jc w:val="both"/>
              <w:rPr>
                <w:spacing w:val="-4"/>
              </w:rPr>
            </w:pPr>
          </w:p>
        </w:tc>
        <w:tc>
          <w:tcPr>
            <w:tcW w:w="7670" w:type="dxa"/>
            <w:shd w:val="clear" w:color="auto" w:fill="auto"/>
            <w:tcMar>
              <w:left w:w="0" w:type="dxa"/>
            </w:tcMar>
          </w:tcPr>
          <w:p w14:paraId="229C4CF8" w14:textId="77777777" w:rsidR="006745DF" w:rsidRPr="00AF6F98" w:rsidRDefault="006745DF" w:rsidP="008F130B">
            <w:pPr>
              <w:spacing w:after="180"/>
              <w:rPr>
                <w:spacing w:val="-4"/>
              </w:rPr>
            </w:pPr>
            <w:r>
              <w:rPr>
                <w:spacing w:val="-4"/>
              </w:rPr>
              <w:t>Hodnota vývozu zboží</w:t>
            </w:r>
            <w:r>
              <w:rPr>
                <w:rStyle w:val="Znakapoznpodarou"/>
                <w:spacing w:val="-4"/>
              </w:rPr>
              <w:footnoteReference w:id="33"/>
            </w:r>
            <w:r>
              <w:rPr>
                <w:spacing w:val="-4"/>
              </w:rPr>
              <w:t xml:space="preserve"> v 1. čtvrtletí 2023 dosáhla 1 153,6 mld. korun a meziročně se zvýšila o 105,7 mld. (10,1 %). Růst cen zahraničního obchodu se oproti konci roku 2022 zmírnil a s ním i meziroční přírůstek exportu</w:t>
            </w:r>
            <w:r>
              <w:rPr>
                <w:rStyle w:val="Znakapoznpodarou"/>
                <w:spacing w:val="-4"/>
              </w:rPr>
              <w:footnoteReference w:id="34"/>
            </w:r>
            <w:r>
              <w:rPr>
                <w:spacing w:val="-4"/>
              </w:rPr>
              <w:t xml:space="preserve">. K růstu hodnoty vývozu zboží přispívaly solidní výsledky v oblasti výroby motorových vozidel a souvisejících průmyslových oborů. Zároveň ale vysoká srovnávací základna bránila vyšším přírůstkům exportu u zboží, </w:t>
            </w:r>
            <w:r>
              <w:rPr>
                <w:spacing w:val="-4"/>
              </w:rPr>
              <w:br/>
              <w:t>u kterého loni prudce rostly ceny – tedy různých surovin a energií. Podle sezónně očištěných údajů vývoz zboží mezičtvrtletně klesl o 1,5 %.</w:t>
            </w:r>
          </w:p>
        </w:tc>
      </w:tr>
      <w:tr w:rsidR="006745DF" w:rsidRPr="009110F7" w14:paraId="17398024" w14:textId="77777777" w:rsidTr="008F130B">
        <w:trPr>
          <w:trHeight w:val="145"/>
        </w:trPr>
        <w:tc>
          <w:tcPr>
            <w:tcW w:w="1748" w:type="dxa"/>
            <w:shd w:val="clear" w:color="auto" w:fill="auto"/>
            <w:tcMar>
              <w:left w:w="0" w:type="dxa"/>
            </w:tcMar>
          </w:tcPr>
          <w:p w14:paraId="2983E4E5" w14:textId="77777777" w:rsidR="006745DF" w:rsidRDefault="006745DF" w:rsidP="008F130B">
            <w:pPr>
              <w:pStyle w:val="Marginlie"/>
            </w:pPr>
            <w:r>
              <w:t>Silně se zvyšoval export do Německa.</w:t>
            </w:r>
          </w:p>
        </w:tc>
        <w:tc>
          <w:tcPr>
            <w:tcW w:w="221" w:type="dxa"/>
            <w:shd w:val="clear" w:color="auto" w:fill="auto"/>
            <w:tcMar>
              <w:left w:w="0" w:type="dxa"/>
            </w:tcMar>
          </w:tcPr>
          <w:p w14:paraId="43F0F990" w14:textId="77777777" w:rsidR="006745DF" w:rsidRDefault="006745DF" w:rsidP="008F130B">
            <w:pPr>
              <w:pStyle w:val="Textpoznpodarou"/>
              <w:jc w:val="both"/>
              <w:rPr>
                <w:spacing w:val="-4"/>
              </w:rPr>
            </w:pPr>
          </w:p>
        </w:tc>
        <w:tc>
          <w:tcPr>
            <w:tcW w:w="7670" w:type="dxa"/>
            <w:shd w:val="clear" w:color="auto" w:fill="auto"/>
            <w:tcMar>
              <w:left w:w="0" w:type="dxa"/>
            </w:tcMar>
          </w:tcPr>
          <w:p w14:paraId="0EA2D106" w14:textId="77777777" w:rsidR="006745DF" w:rsidRDefault="006745DF" w:rsidP="008F130B">
            <w:pPr>
              <w:spacing w:after="180"/>
              <w:rPr>
                <w:spacing w:val="-4"/>
              </w:rPr>
            </w:pPr>
            <w:r>
              <w:rPr>
                <w:spacing w:val="-4"/>
              </w:rPr>
              <w:t>V 1. čtvrtletí 2023 silněji meziročně rostl export zboží do zemí EU (+90,6 mld. korun, 10,7 %), zatímco export mimo EU byl vyšší o 15,1 mld. (7,7 %). Nejvýraznější byl meziroční přírůstek vývozu do Německa (+43,9 mld. korun, 13,7 %)</w:t>
            </w:r>
            <w:r>
              <w:rPr>
                <w:rStyle w:val="Znakapoznpodarou"/>
                <w:spacing w:val="-4"/>
              </w:rPr>
              <w:footnoteReference w:id="35"/>
            </w:r>
            <w:r>
              <w:rPr>
                <w:spacing w:val="-4"/>
              </w:rPr>
              <w:t>, který tak značně překonal ostatní exportní destinace. Silně meziročně rostl také vývoz do Francie (+10,1 mld. korun, 19,3 %) a do Polska (+7,1 mld. korun, 9,6 %). Významnější přírůstky byly zaznamenány také u exportu do Španělska (+4,6 mld. korun, 15,1 %), Spojeného království (4,5 mld., 11,3 %), Nizozemska (+4,0 mld., 11,1 %), Itálie (4,0 mld., 8,6 %), Belgie (+3,6 mld., 15,7 %), Turecka (+4,3 mld., 40,0 %), Rakouska (+3,2 mld., 6,9 %), Ukrajiny (+2,6 mld., 57,2 %), Švédska (+2,5 mld., 14,1 %), Švýcarska (+2,3 mld., 13,9 %) nebo Maďarska (+2,3 mld., 6,9 %). K poklesu vývozu došlo u menšiny zemí, přičemž nejvýraznější byl meziroční propad exportu zboží do Ruska (−9,7 mld. korun, −67,9 %) a na Slovensko (−3,1 mld., −3,0 %)</w:t>
            </w:r>
            <w:r>
              <w:rPr>
                <w:rStyle w:val="Znakapoznpodarou"/>
                <w:spacing w:val="-4"/>
              </w:rPr>
              <w:footnoteReference w:id="36"/>
            </w:r>
            <w:r>
              <w:rPr>
                <w:spacing w:val="-4"/>
              </w:rPr>
              <w:t xml:space="preserve">. </w:t>
            </w:r>
          </w:p>
        </w:tc>
      </w:tr>
      <w:tr w:rsidR="006745DF" w:rsidRPr="009110F7" w14:paraId="63CFA4C0" w14:textId="77777777" w:rsidTr="008F130B">
        <w:trPr>
          <w:trHeight w:val="170"/>
        </w:trPr>
        <w:tc>
          <w:tcPr>
            <w:tcW w:w="1748" w:type="dxa"/>
            <w:shd w:val="clear" w:color="auto" w:fill="auto"/>
            <w:tcMar>
              <w:left w:w="0" w:type="dxa"/>
            </w:tcMar>
          </w:tcPr>
          <w:p w14:paraId="13F597F5" w14:textId="77777777" w:rsidR="006745DF" w:rsidRDefault="006745DF" w:rsidP="008F130B">
            <w:pPr>
              <w:pStyle w:val="Marginlie"/>
            </w:pPr>
            <w:r>
              <w:t xml:space="preserve">Za meziročním růstem vývozu většinou stála motorová vozidla. </w:t>
            </w:r>
          </w:p>
        </w:tc>
        <w:tc>
          <w:tcPr>
            <w:tcW w:w="221" w:type="dxa"/>
            <w:shd w:val="clear" w:color="auto" w:fill="auto"/>
            <w:tcMar>
              <w:left w:w="0" w:type="dxa"/>
            </w:tcMar>
          </w:tcPr>
          <w:p w14:paraId="4FD3524B" w14:textId="77777777" w:rsidR="006745DF" w:rsidRDefault="006745DF" w:rsidP="008F130B">
            <w:pPr>
              <w:pStyle w:val="Textpoznpodarou"/>
              <w:jc w:val="both"/>
              <w:rPr>
                <w:spacing w:val="-4"/>
              </w:rPr>
            </w:pPr>
          </w:p>
        </w:tc>
        <w:tc>
          <w:tcPr>
            <w:tcW w:w="7670" w:type="dxa"/>
            <w:shd w:val="clear" w:color="auto" w:fill="auto"/>
            <w:tcMar>
              <w:left w:w="0" w:type="dxa"/>
            </w:tcMar>
          </w:tcPr>
          <w:p w14:paraId="7908DB3D" w14:textId="77777777" w:rsidR="006745DF" w:rsidRPr="00AF6F98" w:rsidRDefault="006745DF" w:rsidP="008F130B">
            <w:pPr>
              <w:spacing w:after="180"/>
              <w:rPr>
                <w:spacing w:val="-4"/>
              </w:rPr>
            </w:pPr>
            <w:r>
              <w:rPr>
                <w:spacing w:val="-4"/>
              </w:rPr>
              <w:t xml:space="preserve">Na růstu hodnoty exportu zboží v 1. čtvrtletí 2023 se výrazně podílelo meziroční oživení u tří silných exportních odvětví – motorových vozidel (+72,9 mld. korun, 30,5 %), elektrických zařízení (+26,7 mld., 28,1 %) a strojů a zařízení (+17,4 mld., 14,7 %). Zejména v případě motorových vozidel pomohla i nízká srovnávací základna začátku loňského roku. Silný byl meziroční nárůst vývozu potravinářských výrobků (+8,4 mld. korun, 25,4 %). Vývoz ostatních významných artiklů rostl mírně nebo spíše stagnoval. To byl případ pryžových a plastových výrobků (+3,5 mld. korun, 6,8 %), počítačů, elektronických a optických přístrojů a zařízení (+2,0 mld., 2,1 %) nebo kovodělných výrobků (+1,4 mld., 2,1 %). Hlavně pod vlivem vysoké srovnávací základny v 1. čtvrtletí 2023 meziročně nejvíce klesala hodnota vývozu elektřiny, plynu, páry a klimatizovaného vzduchu (−8,7 mld. korun, −33,0 %), základních kovů (−6,3 mld., −12,1 %), chemických látek a přípravků (−5,5 mld., −9,2 %) a dřeva a dřevěných výrobků (−4,0 mld., −24,6 %). Výrazně nižší byl i vývoz v oblasti sběru, přípravy k likvidaci a likvidace odpadu (−2,9 mld. korun, −22,4 %) nebo produktů zemědělství a myslivosti (−2,6 mld., −14,9 %). </w:t>
            </w:r>
          </w:p>
        </w:tc>
      </w:tr>
      <w:tr w:rsidR="006745DF" w:rsidRPr="009110F7" w14:paraId="73AC1BAB" w14:textId="77777777" w:rsidTr="008F130B">
        <w:trPr>
          <w:trHeight w:val="145"/>
        </w:trPr>
        <w:tc>
          <w:tcPr>
            <w:tcW w:w="1748" w:type="dxa"/>
            <w:shd w:val="clear" w:color="auto" w:fill="auto"/>
            <w:tcMar>
              <w:left w:w="0" w:type="dxa"/>
            </w:tcMar>
          </w:tcPr>
          <w:p w14:paraId="2FF041AD" w14:textId="77777777" w:rsidR="006745DF" w:rsidRDefault="006745DF" w:rsidP="008F130B">
            <w:pPr>
              <w:pStyle w:val="Marginlie"/>
            </w:pPr>
            <w:r>
              <w:t>Meziroční růst dovozu se zmírnil.</w:t>
            </w:r>
          </w:p>
        </w:tc>
        <w:tc>
          <w:tcPr>
            <w:tcW w:w="221" w:type="dxa"/>
            <w:shd w:val="clear" w:color="auto" w:fill="auto"/>
            <w:tcMar>
              <w:left w:w="0" w:type="dxa"/>
            </w:tcMar>
          </w:tcPr>
          <w:p w14:paraId="2F146137" w14:textId="77777777" w:rsidR="006745DF" w:rsidRDefault="006745DF" w:rsidP="008F130B">
            <w:pPr>
              <w:pStyle w:val="Textpoznpodarou"/>
              <w:jc w:val="both"/>
              <w:rPr>
                <w:spacing w:val="-4"/>
              </w:rPr>
            </w:pPr>
          </w:p>
        </w:tc>
        <w:tc>
          <w:tcPr>
            <w:tcW w:w="7670" w:type="dxa"/>
            <w:shd w:val="clear" w:color="auto" w:fill="auto"/>
            <w:tcMar>
              <w:left w:w="0" w:type="dxa"/>
            </w:tcMar>
          </w:tcPr>
          <w:p w14:paraId="3BE24CE1" w14:textId="77777777" w:rsidR="006745DF" w:rsidRDefault="006745DF" w:rsidP="008F130B">
            <w:pPr>
              <w:spacing w:after="180"/>
              <w:rPr>
                <w:spacing w:val="-4"/>
              </w:rPr>
            </w:pPr>
            <w:r>
              <w:rPr>
                <w:spacing w:val="-4"/>
              </w:rPr>
              <w:t>Meziroční přírůstek hodnoty dovozu zboží se v 1. čtvrtletí propadl na 52,4 mld. korun (4,9 %). Celkově tak import zboží dosáhl 1 112,2 mld. korun. Výrazné zpomalení meziroční dynamiky bylo jednoznačně ovlivněno vysokou srovnávací základnou loňského 1. kvartálu, především u ropy a zemního plynu. Meziroční růst cen byl mírně nižší než nominální navýšení hodnoty dovozu zboží</w:t>
            </w:r>
            <w:r>
              <w:rPr>
                <w:rStyle w:val="Znakapoznpodarou"/>
                <w:spacing w:val="-4"/>
              </w:rPr>
              <w:footnoteReference w:id="37"/>
            </w:r>
            <w:r>
              <w:rPr>
                <w:spacing w:val="-4"/>
              </w:rPr>
              <w:t>. Podle sezónně očištěných údajů import zboží klesl o 4,7 %. Pod vlivem vysoké srovnávací základny výrazně zmírnil meziroční přírůstek dovozu zboží ze zemí mimo EU (+25,5 mld. korun, 6,5 %) a mírně klesl pod úroveň navýšení importu z EU (+26,9 mld., 4,1 %). Nejvíce rostla hodnota dovozu zboží z Norska</w:t>
            </w:r>
            <w:r>
              <w:rPr>
                <w:rStyle w:val="Znakapoznpodarou"/>
                <w:spacing w:val="-4"/>
              </w:rPr>
              <w:footnoteReference w:id="38"/>
            </w:r>
            <w:r>
              <w:rPr>
                <w:spacing w:val="-4"/>
              </w:rPr>
              <w:t xml:space="preserve"> (+19,9 mld. korun, 849,5 %) a Číny (+18,2 mld., 14,1 %). Významné přírůstky měl dovoz z Německa (+9,5 mld. korun, 3,9 %), Polska (+5,8 mld., 6,1 %), Spojených států (+5,1 mld., </w:t>
            </w:r>
            <w:r>
              <w:rPr>
                <w:spacing w:val="-4"/>
              </w:rPr>
              <w:lastRenderedPageBreak/>
              <w:t xml:space="preserve">21,0 %), Japonska (+3,9 mld., 20,2 %), Spojeného království (+3,7 mld., </w:t>
            </w:r>
            <w:r>
              <w:rPr>
                <w:spacing w:val="-4"/>
              </w:rPr>
              <w:br/>
              <w:t>23,5 %), Ázerbájdžánu (+3,2 mld., 67,7 %) nebo Jižní Koreje (+3,2 mld., 13,7 %). Prudce meziročně poklesl dovoz z Ruska (−35,7 mld. korun, −69,0 %) a nižší byl i import z Rakouska (−2,8 mld., −8,0 %).</w:t>
            </w:r>
          </w:p>
        </w:tc>
      </w:tr>
      <w:tr w:rsidR="006745DF" w:rsidRPr="009110F7" w14:paraId="70D96939" w14:textId="77777777" w:rsidTr="008F130B">
        <w:trPr>
          <w:trHeight w:val="145"/>
        </w:trPr>
        <w:tc>
          <w:tcPr>
            <w:tcW w:w="1748" w:type="dxa"/>
            <w:shd w:val="clear" w:color="auto" w:fill="auto"/>
            <w:tcMar>
              <w:left w:w="0" w:type="dxa"/>
            </w:tcMar>
          </w:tcPr>
          <w:p w14:paraId="2CAE5759" w14:textId="77777777" w:rsidR="006745DF" w:rsidRDefault="006745DF" w:rsidP="008F130B">
            <w:pPr>
              <w:pStyle w:val="Marginlie"/>
            </w:pPr>
            <w:r>
              <w:lastRenderedPageBreak/>
              <w:t xml:space="preserve">Klesal import ropy </w:t>
            </w:r>
            <w:r>
              <w:br/>
              <w:t xml:space="preserve">a zemního plynu </w:t>
            </w:r>
            <w:r>
              <w:br/>
              <w:t>i dalších surovin.</w:t>
            </w:r>
          </w:p>
        </w:tc>
        <w:tc>
          <w:tcPr>
            <w:tcW w:w="221" w:type="dxa"/>
            <w:shd w:val="clear" w:color="auto" w:fill="auto"/>
            <w:tcMar>
              <w:left w:w="0" w:type="dxa"/>
            </w:tcMar>
          </w:tcPr>
          <w:p w14:paraId="3759BE49" w14:textId="77777777" w:rsidR="006745DF" w:rsidRDefault="006745DF" w:rsidP="008F130B">
            <w:pPr>
              <w:pStyle w:val="Textpoznpodarou"/>
              <w:jc w:val="both"/>
              <w:rPr>
                <w:spacing w:val="-4"/>
              </w:rPr>
            </w:pPr>
          </w:p>
        </w:tc>
        <w:tc>
          <w:tcPr>
            <w:tcW w:w="7670" w:type="dxa"/>
            <w:shd w:val="clear" w:color="auto" w:fill="auto"/>
            <w:tcMar>
              <w:left w:w="0" w:type="dxa"/>
            </w:tcMar>
          </w:tcPr>
          <w:p w14:paraId="08E5BEE7" w14:textId="77777777" w:rsidR="006745DF" w:rsidRDefault="006745DF" w:rsidP="008F130B">
            <w:pPr>
              <w:spacing w:after="180"/>
              <w:rPr>
                <w:spacing w:val="-4"/>
              </w:rPr>
            </w:pPr>
            <w:r>
              <w:rPr>
                <w:spacing w:val="-4"/>
              </w:rPr>
              <w:t xml:space="preserve">Zbožová struktura dovozu se v 1. čtvrtletí vyvíjela podobně jako export. Nejvíce meziročně vzrostla hodnota importu motorových vozidel (+29,7 mld. korun, 22,1 %), elektrických zařízení (+29,4 mld., 31,6 %) a strojů a zařízení (+10,5 mld., 11,1 %). Výrazný byl také přírůstek dovozu potravinářských výrobků (+7,5 mld. korun, 16,1 %). Mírně se zvýšil dovoz kovodělných výrobků (+2,3 mld. korun, 4,9 %). Propad hodnoty dovozu byl zaznamenán u výrobků, které loni nejvíce ovlivnil prudký cenový růst – ropy a zemního plynu </w:t>
            </w:r>
            <w:r>
              <w:rPr>
                <w:spacing w:val="-4"/>
              </w:rPr>
              <w:br/>
              <w:t xml:space="preserve">(−11,6 mld. korun, −21,7 %), základních kovů (−10,5 mld., −10,5 %), chemických látek </w:t>
            </w:r>
            <w:r>
              <w:rPr>
                <w:spacing w:val="-4"/>
              </w:rPr>
              <w:br/>
              <w:t xml:space="preserve">a přípravků (−7,7 mld., −7,9 %) nebo elektřiny, plynu, páry a klimatizovaného vzduchu (−2,8 mld., −31,4 %).    </w:t>
            </w:r>
          </w:p>
        </w:tc>
      </w:tr>
      <w:tr w:rsidR="006745DF" w:rsidRPr="009110F7" w14:paraId="749684F9" w14:textId="77777777" w:rsidTr="008F130B">
        <w:trPr>
          <w:trHeight w:val="150"/>
        </w:trPr>
        <w:tc>
          <w:tcPr>
            <w:tcW w:w="1748" w:type="dxa"/>
            <w:vMerge w:val="restart"/>
            <w:shd w:val="clear" w:color="auto" w:fill="auto"/>
            <w:tcMar>
              <w:left w:w="0" w:type="dxa"/>
            </w:tcMar>
          </w:tcPr>
          <w:p w14:paraId="5FA6B095" w14:textId="77777777" w:rsidR="006745DF" w:rsidRDefault="006745DF" w:rsidP="008F130B">
            <w:pPr>
              <w:pStyle w:val="Marginlie"/>
            </w:pPr>
          </w:p>
        </w:tc>
        <w:tc>
          <w:tcPr>
            <w:tcW w:w="221" w:type="dxa"/>
            <w:vMerge w:val="restart"/>
            <w:shd w:val="clear" w:color="auto" w:fill="auto"/>
            <w:tcMar>
              <w:left w:w="0" w:type="dxa"/>
            </w:tcMar>
          </w:tcPr>
          <w:p w14:paraId="18D12E28" w14:textId="77777777" w:rsidR="006745DF" w:rsidRDefault="006745DF" w:rsidP="008F130B">
            <w:pPr>
              <w:pStyle w:val="Textpoznpodarou"/>
              <w:jc w:val="both"/>
              <w:rPr>
                <w:spacing w:val="-4"/>
              </w:rPr>
            </w:pPr>
          </w:p>
        </w:tc>
        <w:tc>
          <w:tcPr>
            <w:tcW w:w="7670" w:type="dxa"/>
            <w:shd w:val="clear" w:color="auto" w:fill="auto"/>
            <w:tcMar>
              <w:left w:w="0" w:type="dxa"/>
            </w:tcMar>
          </w:tcPr>
          <w:p w14:paraId="2BE468D5" w14:textId="77777777" w:rsidR="006745DF" w:rsidRDefault="006745DF" w:rsidP="008F130B">
            <w:pPr>
              <w:spacing w:after="0"/>
              <w:rPr>
                <w:spacing w:val="-4"/>
              </w:rPr>
            </w:pPr>
            <w:r w:rsidRPr="00D75AC1">
              <w:rPr>
                <w:rFonts w:cs="Arial"/>
                <w:b/>
                <w:bCs/>
                <w:color w:val="000000"/>
                <w:szCs w:val="20"/>
              </w:rPr>
              <w:t>Graf č.</w:t>
            </w:r>
            <w:r>
              <w:rPr>
                <w:rFonts w:cs="Arial"/>
                <w:b/>
                <w:bCs/>
                <w:color w:val="000000"/>
                <w:szCs w:val="20"/>
              </w:rPr>
              <w:t xml:space="preserve"> 10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 xml:space="preserve">(kumulace </w:t>
            </w:r>
            <w:r>
              <w:rPr>
                <w:spacing w:val="-4"/>
                <w:szCs w:val="20"/>
              </w:rPr>
              <w:t>1. čtvrtletí</w:t>
            </w:r>
            <w:r w:rsidRPr="00D75AC1">
              <w:rPr>
                <w:spacing w:val="-4"/>
                <w:szCs w:val="20"/>
              </w:rPr>
              <w:t>, v mld.</w:t>
            </w:r>
            <w:r>
              <w:rPr>
                <w:spacing w:val="-4"/>
                <w:szCs w:val="20"/>
              </w:rPr>
              <w:t xml:space="preserve"> </w:t>
            </w:r>
            <w:r w:rsidRPr="00D75AC1">
              <w:rPr>
                <w:spacing w:val="-4"/>
                <w:szCs w:val="20"/>
              </w:rPr>
              <w:t>korun, vybrané oddíly klasifikace CPA)</w:t>
            </w:r>
          </w:p>
        </w:tc>
      </w:tr>
      <w:tr w:rsidR="006745DF" w:rsidRPr="009110F7" w14:paraId="0BF296D5" w14:textId="77777777" w:rsidTr="008F130B">
        <w:tblPrEx>
          <w:tblCellMar>
            <w:left w:w="70" w:type="dxa"/>
            <w:right w:w="70" w:type="dxa"/>
          </w:tblCellMar>
        </w:tblPrEx>
        <w:trPr>
          <w:trHeight w:val="150"/>
        </w:trPr>
        <w:tc>
          <w:tcPr>
            <w:tcW w:w="1748" w:type="dxa"/>
            <w:vMerge/>
            <w:shd w:val="clear" w:color="auto" w:fill="auto"/>
          </w:tcPr>
          <w:p w14:paraId="4D783D3E" w14:textId="77777777" w:rsidR="006745DF" w:rsidRDefault="006745DF" w:rsidP="008F130B">
            <w:pPr>
              <w:pStyle w:val="Marginlie"/>
            </w:pPr>
          </w:p>
        </w:tc>
        <w:tc>
          <w:tcPr>
            <w:tcW w:w="221" w:type="dxa"/>
            <w:vMerge/>
            <w:shd w:val="clear" w:color="auto" w:fill="auto"/>
          </w:tcPr>
          <w:p w14:paraId="18D245DF" w14:textId="77777777" w:rsidR="006745DF" w:rsidRDefault="006745DF" w:rsidP="008F130B">
            <w:pPr>
              <w:pStyle w:val="Textpoznpodarou"/>
              <w:jc w:val="both"/>
              <w:rPr>
                <w:spacing w:val="-4"/>
              </w:rPr>
            </w:pPr>
          </w:p>
        </w:tc>
        <w:tc>
          <w:tcPr>
            <w:tcW w:w="7670" w:type="dxa"/>
            <w:shd w:val="clear" w:color="auto" w:fill="auto"/>
          </w:tcPr>
          <w:p w14:paraId="55CF4763" w14:textId="77777777" w:rsidR="006745DF" w:rsidRDefault="006745DF" w:rsidP="008F130B">
            <w:pPr>
              <w:spacing w:after="0"/>
              <w:rPr>
                <w:spacing w:val="-4"/>
              </w:rPr>
            </w:pPr>
            <w:r>
              <w:rPr>
                <w:noProof/>
              </w:rPr>
              <w:drawing>
                <wp:inline distT="0" distB="0" distL="0" distR="0" wp14:anchorId="36CE9C20" wp14:editId="2F4850F1">
                  <wp:extent cx="4771467" cy="3492000"/>
                  <wp:effectExtent l="0" t="0" r="0" b="0"/>
                  <wp:docPr id="8" name="Graf 8">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745DF" w:rsidRPr="009110F7" w14:paraId="3070F6D4" w14:textId="77777777" w:rsidTr="008F130B">
        <w:trPr>
          <w:trHeight w:val="150"/>
        </w:trPr>
        <w:tc>
          <w:tcPr>
            <w:tcW w:w="1748" w:type="dxa"/>
            <w:vMerge/>
            <w:shd w:val="clear" w:color="auto" w:fill="auto"/>
            <w:tcMar>
              <w:left w:w="0" w:type="dxa"/>
            </w:tcMar>
          </w:tcPr>
          <w:p w14:paraId="74911223" w14:textId="77777777" w:rsidR="006745DF" w:rsidRDefault="006745DF" w:rsidP="008F130B">
            <w:pPr>
              <w:pStyle w:val="Marginlie"/>
            </w:pPr>
          </w:p>
        </w:tc>
        <w:tc>
          <w:tcPr>
            <w:tcW w:w="221" w:type="dxa"/>
            <w:vMerge/>
            <w:shd w:val="clear" w:color="auto" w:fill="auto"/>
            <w:tcMar>
              <w:left w:w="0" w:type="dxa"/>
            </w:tcMar>
          </w:tcPr>
          <w:p w14:paraId="7C71C1B8" w14:textId="77777777" w:rsidR="006745DF" w:rsidRDefault="006745DF" w:rsidP="008F130B">
            <w:pPr>
              <w:pStyle w:val="Textpoznpodarou"/>
              <w:jc w:val="both"/>
              <w:rPr>
                <w:spacing w:val="-4"/>
              </w:rPr>
            </w:pPr>
          </w:p>
        </w:tc>
        <w:tc>
          <w:tcPr>
            <w:tcW w:w="7670" w:type="dxa"/>
            <w:shd w:val="clear" w:color="auto" w:fill="auto"/>
            <w:tcMar>
              <w:left w:w="0" w:type="dxa"/>
            </w:tcMar>
          </w:tcPr>
          <w:p w14:paraId="3321BD89" w14:textId="77777777" w:rsidR="006745DF" w:rsidRDefault="006745DF" w:rsidP="008F130B">
            <w:pPr>
              <w:spacing w:after="180"/>
              <w:rPr>
                <w:spacing w:val="-4"/>
              </w:rPr>
            </w:pPr>
            <w:r>
              <w:rPr>
                <w:sz w:val="14"/>
                <w:szCs w:val="14"/>
              </w:rPr>
              <w:t>Zdroj: ČSÚ</w:t>
            </w:r>
          </w:p>
        </w:tc>
      </w:tr>
      <w:tr w:rsidR="006745DF" w:rsidRPr="009110F7" w14:paraId="13878284" w14:textId="77777777" w:rsidTr="008F130B">
        <w:trPr>
          <w:trHeight w:val="145"/>
        </w:trPr>
        <w:tc>
          <w:tcPr>
            <w:tcW w:w="1748" w:type="dxa"/>
            <w:shd w:val="clear" w:color="auto" w:fill="auto"/>
            <w:tcMar>
              <w:left w:w="0" w:type="dxa"/>
            </w:tcMar>
          </w:tcPr>
          <w:p w14:paraId="78B9F67C" w14:textId="77777777" w:rsidR="006745DF" w:rsidRDefault="006745DF" w:rsidP="008F130B">
            <w:pPr>
              <w:pStyle w:val="Marginlie"/>
            </w:pPr>
            <w:r>
              <w:t>Bilance zahraničního obchodu se zbožím se meziročně zlepšila.</w:t>
            </w:r>
          </w:p>
        </w:tc>
        <w:tc>
          <w:tcPr>
            <w:tcW w:w="221" w:type="dxa"/>
            <w:shd w:val="clear" w:color="auto" w:fill="auto"/>
            <w:tcMar>
              <w:left w:w="0" w:type="dxa"/>
            </w:tcMar>
          </w:tcPr>
          <w:p w14:paraId="1131DA3A" w14:textId="77777777" w:rsidR="006745DF" w:rsidRDefault="006745DF" w:rsidP="008F130B">
            <w:pPr>
              <w:pStyle w:val="Textpoznpodarou"/>
              <w:jc w:val="both"/>
              <w:rPr>
                <w:spacing w:val="-4"/>
              </w:rPr>
            </w:pPr>
          </w:p>
        </w:tc>
        <w:tc>
          <w:tcPr>
            <w:tcW w:w="7670" w:type="dxa"/>
            <w:shd w:val="clear" w:color="auto" w:fill="auto"/>
            <w:tcMar>
              <w:left w:w="0" w:type="dxa"/>
            </w:tcMar>
          </w:tcPr>
          <w:p w14:paraId="408D9B31" w14:textId="5D6492F5" w:rsidR="006745DF" w:rsidRPr="00AF6F98" w:rsidRDefault="006745DF" w:rsidP="00B74964">
            <w:pPr>
              <w:spacing w:after="180"/>
              <w:rPr>
                <w:spacing w:val="-4"/>
              </w:rPr>
            </w:pPr>
            <w:r>
              <w:rPr>
                <w:spacing w:val="-4"/>
              </w:rPr>
              <w:t>Výrazný převis dynamiky vývozu nad dovozem vedl k opětovnému návratu bilance zahraničního obchodu se zbožím k prvnímu přebytku od 2. čtvrtletí 2021. Kladné saldo v 1. kvartálu 2023 dosáhlo 41,4 mld. korun a meziročně se zlepšilo o 53,4 mld. Při srovnání se stejným obdobím předchozích let ale letošní přebytek zůstává relativně nízký</w:t>
            </w:r>
            <w:r>
              <w:rPr>
                <w:rStyle w:val="Znakapoznpodarou"/>
                <w:spacing w:val="-4"/>
              </w:rPr>
              <w:footnoteReference w:id="39"/>
            </w:r>
            <w:r>
              <w:rPr>
                <w:spacing w:val="-4"/>
              </w:rPr>
              <w:t>. Bilance zahraničního obchodu se zbožím (sezónně očištěná) se mezičtvrtletně výrazně zlepšila. Meziroční zlepšení bilance zahraničního obchodu se zbožím lze přičíst čistě obchodu s EU (+63,8 mld. korun). Deficit obchodu s </w:t>
            </w:r>
            <w:proofErr w:type="spellStart"/>
            <w:r>
              <w:rPr>
                <w:spacing w:val="-4"/>
              </w:rPr>
              <w:t>mimounijními</w:t>
            </w:r>
            <w:proofErr w:type="spellEnd"/>
            <w:r>
              <w:rPr>
                <w:spacing w:val="-4"/>
              </w:rPr>
              <w:t xml:space="preserve"> zeměmi se opět meziročně prohloubil (−10,4 mld. korun), avšak výrazně mírněji než v předchozích kvartálech. Nejvíce ve směru meziročního zlepšení bilance působil obchod s Německem (+34,3 mld. korun) a k výraznému zmírnění deficitu došlo u obchodu s Ruskem (+25,9 mld.). Zlepšovala se také bilance obchodu s Francií (+9,5 mld. korun), Rakouskem (+6,0 mld.), Tureckem (+4,6 mld.), Nizozemskem (+4,7 mld.), Belgií (+4,3 mld.), Kazachstánem (+3,3 mld.), </w:t>
            </w:r>
            <w:r>
              <w:rPr>
                <w:spacing w:val="-4"/>
              </w:rPr>
              <w:lastRenderedPageBreak/>
              <w:t>Švýcarskem (+2,</w:t>
            </w:r>
            <w:r w:rsidR="00B74964">
              <w:rPr>
                <w:spacing w:val="-4"/>
              </w:rPr>
              <w:t>7</w:t>
            </w:r>
            <w:r>
              <w:rPr>
                <w:spacing w:val="-4"/>
              </w:rPr>
              <w:t xml:space="preserve"> mld.), Španělskem (+2,7 mld.), Itálií (+2,5 mld.) nebo Ukrajinou (+2,0 mld.) a Izraelem (2,0 mld.). Nejvíce se meziročně propadla bilance zahraničního obchodu s Norskem (−18,9 mld. korun) a Čínou (−18,6 mld. korun). Významné zhoršení bylo zaznamenáno také u bilance obchodu se Slovenskem (−4,6 mld. korun), Japonskem (−4,6 mld.), Spojenými státy (−3,8 mld.), Jižní Koreou (−2,9 mld.) nebo Ázerbájdžánem (−2,7 mld.).     </w:t>
            </w:r>
          </w:p>
        </w:tc>
      </w:tr>
      <w:tr w:rsidR="006745DF" w:rsidRPr="009110F7" w14:paraId="02EB58D1" w14:textId="77777777" w:rsidTr="008F130B">
        <w:trPr>
          <w:trHeight w:val="145"/>
        </w:trPr>
        <w:tc>
          <w:tcPr>
            <w:tcW w:w="1748" w:type="dxa"/>
            <w:shd w:val="clear" w:color="auto" w:fill="auto"/>
            <w:tcMar>
              <w:left w:w="0" w:type="dxa"/>
            </w:tcMar>
          </w:tcPr>
          <w:p w14:paraId="50A6C204" w14:textId="77777777" w:rsidR="006745DF" w:rsidRDefault="006745DF" w:rsidP="008F130B">
            <w:pPr>
              <w:pStyle w:val="Marginlie"/>
            </w:pPr>
            <w:r>
              <w:lastRenderedPageBreak/>
              <w:t>Ke zlepšení bilance přispíval nejvíce obchod s motorovými vozidly.</w:t>
            </w:r>
          </w:p>
        </w:tc>
        <w:tc>
          <w:tcPr>
            <w:tcW w:w="221" w:type="dxa"/>
            <w:shd w:val="clear" w:color="auto" w:fill="auto"/>
            <w:tcMar>
              <w:left w:w="0" w:type="dxa"/>
            </w:tcMar>
          </w:tcPr>
          <w:p w14:paraId="286DF8E8" w14:textId="77777777" w:rsidR="006745DF" w:rsidRDefault="006745DF" w:rsidP="008F130B">
            <w:pPr>
              <w:pStyle w:val="Textpoznpodarou"/>
              <w:jc w:val="both"/>
              <w:rPr>
                <w:spacing w:val="-4"/>
              </w:rPr>
            </w:pPr>
          </w:p>
        </w:tc>
        <w:tc>
          <w:tcPr>
            <w:tcW w:w="7670" w:type="dxa"/>
            <w:shd w:val="clear" w:color="auto" w:fill="auto"/>
            <w:tcMar>
              <w:left w:w="0" w:type="dxa"/>
            </w:tcMar>
          </w:tcPr>
          <w:p w14:paraId="1DF2B3E0" w14:textId="77777777" w:rsidR="006745DF" w:rsidRDefault="006745DF" w:rsidP="008F130B">
            <w:pPr>
              <w:spacing w:after="180"/>
              <w:rPr>
                <w:spacing w:val="-4"/>
              </w:rPr>
            </w:pPr>
            <w:r>
              <w:rPr>
                <w:spacing w:val="-4"/>
              </w:rPr>
              <w:t xml:space="preserve">K meziročnímu zlepšení celkové bilance zahraničního obchodu se zbožím v 1. čtvrtletí přispěla nejvíce s velkým předstihem před ostatními druhy zboží motorová vozidla </w:t>
            </w:r>
            <w:r>
              <w:rPr>
                <w:spacing w:val="-4"/>
              </w:rPr>
              <w:br/>
              <w:t xml:space="preserve">(+43,3 mld. korun). Příznivě působil také obchod s ropou a zemním plynem (+11,3 mld. korun), stroji a zařízeními (+6,9 mld.), základními kovy (+4,2 mld.), pryžovými a plastovými výrobky (+3,7 mld.), papírem a výrobky z něj (+2,6 mld.) nebo chemickými látkami a přípravky (+2,3 mld.). Naopak se meziročně zhoršila bilance obchodu s elektřinou, plynem, párou a klimatizovaným vzduchem (−5,9 mld. korun), s produkty zemědělství a myslivosti (−4,8 mld.), elektrickými zařízeními (−2,7 mld.), se dřevem a dřevěnými výrobky (−2,5 mld.), v oblasti sběru, přípravy k likvidaci a likvidace odpadu (−2,1 mld.), </w:t>
            </w:r>
            <w:r>
              <w:rPr>
                <w:spacing w:val="-4"/>
              </w:rPr>
              <w:br/>
              <w:t>u lesnictví a těžby dřeva (−2,0 mld.) nebo s černým a hnědým uhlím a lignitem (−2,0 mld.).</w:t>
            </w:r>
          </w:p>
        </w:tc>
      </w:tr>
      <w:bookmarkEnd w:id="31"/>
      <w:bookmarkEnd w:id="32"/>
      <w:bookmarkEnd w:id="33"/>
    </w:tbl>
    <w:p w14:paraId="19BB057F" w14:textId="77777777" w:rsidR="006745DF" w:rsidRPr="00E42054" w:rsidRDefault="006745DF" w:rsidP="006745DF">
      <w:pPr>
        <w:pStyle w:val="Nadpis11"/>
        <w:rPr>
          <w:b w:val="0"/>
          <w:sz w:val="2"/>
          <w:szCs w:val="2"/>
        </w:rPr>
      </w:pPr>
    </w:p>
    <w:p w14:paraId="5036A71F" w14:textId="77777777" w:rsidR="00F53917" w:rsidRDefault="00F53917">
      <w:pPr>
        <w:spacing w:after="0" w:line="240" w:lineRule="auto"/>
        <w:jc w:val="left"/>
        <w:rPr>
          <w:rFonts w:eastAsia="MS Gothic"/>
          <w:b/>
          <w:bCs/>
          <w:color w:val="71818C"/>
          <w:sz w:val="32"/>
          <w:szCs w:val="28"/>
        </w:rPr>
      </w:pPr>
      <w:r>
        <w:br w:type="page"/>
      </w:r>
    </w:p>
    <w:p w14:paraId="68CA7FA9" w14:textId="77777777" w:rsidR="004A3BE4" w:rsidRPr="009110F7" w:rsidRDefault="004A3BE4" w:rsidP="004A3BE4">
      <w:pPr>
        <w:pStyle w:val="Nadpis11"/>
      </w:pPr>
      <w:bookmarkStart w:id="34" w:name="_Toc114134050"/>
      <w:bookmarkStart w:id="35" w:name="_Toc137721912"/>
      <w:bookmarkEnd w:id="16"/>
      <w:bookmarkEnd w:id="17"/>
      <w:bookmarkEnd w:id="18"/>
      <w:bookmarkEnd w:id="19"/>
      <w:bookmarkEnd w:id="20"/>
      <w:bookmarkEnd w:id="21"/>
      <w:r w:rsidRPr="009110F7">
        <w:lastRenderedPageBreak/>
        <w:t>5</w:t>
      </w:r>
      <w:r>
        <w:t>. </w:t>
      </w:r>
      <w:r w:rsidRPr="009110F7">
        <w:t>Ceny</w:t>
      </w:r>
      <w:bookmarkEnd w:id="35"/>
    </w:p>
    <w:tbl>
      <w:tblPr>
        <w:tblW w:w="9639" w:type="dxa"/>
        <w:tblInd w:w="-15" w:type="dxa"/>
        <w:tblCellMar>
          <w:left w:w="0" w:type="dxa"/>
          <w:right w:w="0" w:type="dxa"/>
        </w:tblCellMar>
        <w:tblLook w:val="00A0" w:firstRow="1" w:lastRow="0" w:firstColumn="1" w:lastColumn="0" w:noHBand="0" w:noVBand="0"/>
      </w:tblPr>
      <w:tblGrid>
        <w:gridCol w:w="1804"/>
        <w:gridCol w:w="224"/>
        <w:gridCol w:w="7611"/>
      </w:tblGrid>
      <w:tr w:rsidR="004A3BE4" w:rsidRPr="009110F7" w14:paraId="6E752F4C" w14:textId="77777777" w:rsidTr="019CB78C">
        <w:trPr>
          <w:trHeight w:val="145"/>
        </w:trPr>
        <w:tc>
          <w:tcPr>
            <w:tcW w:w="1804" w:type="dxa"/>
            <w:shd w:val="clear" w:color="auto" w:fill="auto"/>
            <w:tcMar>
              <w:left w:w="0" w:type="dxa"/>
            </w:tcMar>
          </w:tcPr>
          <w:p w14:paraId="3B906EBB" w14:textId="77777777" w:rsidR="004A3BE4" w:rsidRPr="00793D78" w:rsidRDefault="004A3BE4" w:rsidP="000A72BC">
            <w:pPr>
              <w:pStyle w:val="Marginlie"/>
              <w:rPr>
                <w:spacing w:val="0"/>
              </w:rPr>
            </w:pPr>
            <w:r>
              <w:rPr>
                <w:spacing w:val="0"/>
              </w:rPr>
              <w:t>Celkový růst cenové hladiny v 1. čtvrtletí zrychlil.</w:t>
            </w:r>
          </w:p>
        </w:tc>
        <w:tc>
          <w:tcPr>
            <w:tcW w:w="224" w:type="dxa"/>
            <w:shd w:val="clear" w:color="auto" w:fill="auto"/>
            <w:tcMar>
              <w:left w:w="0" w:type="dxa"/>
            </w:tcMar>
          </w:tcPr>
          <w:p w14:paraId="2EF4CAD6" w14:textId="77777777" w:rsidR="004A3BE4" w:rsidRPr="00793D78" w:rsidRDefault="004A3BE4" w:rsidP="000A72BC">
            <w:pPr>
              <w:pStyle w:val="Textpoznpodarou1"/>
              <w:jc w:val="both"/>
            </w:pPr>
          </w:p>
        </w:tc>
        <w:tc>
          <w:tcPr>
            <w:tcW w:w="7611" w:type="dxa"/>
            <w:shd w:val="clear" w:color="auto" w:fill="auto"/>
            <w:tcMar>
              <w:left w:w="0" w:type="dxa"/>
            </w:tcMar>
          </w:tcPr>
          <w:p w14:paraId="0016317D" w14:textId="77777777" w:rsidR="004A3BE4" w:rsidRPr="00793D78" w:rsidRDefault="004A3BE4" w:rsidP="000A72BC">
            <w:pPr>
              <w:rPr>
                <w:szCs w:val="20"/>
              </w:rPr>
            </w:pPr>
            <w:r>
              <w:rPr>
                <w:szCs w:val="20"/>
              </w:rPr>
              <w:t xml:space="preserve">Meziroční růst cenové hladiny měřený deflátorem HDP zrychlil v 1. čtvrtletí na rekordních 12,2 %. Silně se zvyšovaly ceny spotřeby (13,0 %), přičemž u domácností nárůst mírně zpomalil na 15,6 %, zatímco u cen vládní spotřeby došlo k posílení meziročního tempa na 7,9 %. Také ceny kapitálových výdajů dál silně rostly (8,6 %), z toho investiční statky zdražily meziročně o 6,3 %. K celkovému meziročnímu navýšení cenové hladiny v 1. čtvrtletí nově přispíval i vývoj směnných relací </w:t>
            </w:r>
            <w:r>
              <w:rPr>
                <w:szCs w:val="20"/>
              </w:rPr>
              <w:br/>
              <w:t xml:space="preserve">(101,3 %), které se do kladných hodnot dostaly po šesti čtvrtletích. Kladné byly směnné relace zahraničního obchodu se zbožím (101,5 %) i službami (100,5 %). Mezičtvrtletně se cenová hladina celkově zvýšila o 5,7 %. Na prudké posílení měly vliv zejména ceny spotřeby (5,5 %), z toho spotřeba domácností zdražila o 6,7 %. I mezičtvrtletní směnné relace byly pod vlivem zahraničního obchodu se zbožím silně kladné (102,5 %). Celkový nárůst cen kapitálových výdajů byl mírný (0,5 %), ale výrazně posilovaly ceny hrubého fixního kapitálu (2,7 %).   </w:t>
            </w:r>
          </w:p>
        </w:tc>
      </w:tr>
      <w:tr w:rsidR="004A3BE4" w:rsidRPr="009110F7" w14:paraId="18114DEA" w14:textId="77777777" w:rsidTr="019CB78C">
        <w:trPr>
          <w:trHeight w:val="145"/>
        </w:trPr>
        <w:tc>
          <w:tcPr>
            <w:tcW w:w="1804" w:type="dxa"/>
            <w:shd w:val="clear" w:color="auto" w:fill="auto"/>
            <w:tcMar>
              <w:left w:w="0" w:type="dxa"/>
            </w:tcMar>
          </w:tcPr>
          <w:p w14:paraId="20A45ADE" w14:textId="77777777" w:rsidR="004A3BE4" w:rsidRPr="00793D78" w:rsidRDefault="004A3BE4" w:rsidP="000A72BC">
            <w:pPr>
              <w:pStyle w:val="Marginlie"/>
              <w:rPr>
                <w:spacing w:val="0"/>
              </w:rPr>
            </w:pPr>
            <w:r>
              <w:rPr>
                <w:spacing w:val="0"/>
              </w:rPr>
              <w:t xml:space="preserve">Meziroční růst spotřebitelských cen zpomalil, ale mezičtvrtletně se ceny výrazně zvýšily. </w:t>
            </w:r>
          </w:p>
        </w:tc>
        <w:tc>
          <w:tcPr>
            <w:tcW w:w="224" w:type="dxa"/>
            <w:shd w:val="clear" w:color="auto" w:fill="auto"/>
            <w:tcMar>
              <w:left w:w="0" w:type="dxa"/>
            </w:tcMar>
          </w:tcPr>
          <w:p w14:paraId="5C3EB942" w14:textId="77777777" w:rsidR="004A3BE4" w:rsidRPr="00793D78" w:rsidRDefault="004A3BE4" w:rsidP="000A72BC">
            <w:pPr>
              <w:pStyle w:val="Textpoznpodarou1"/>
              <w:jc w:val="both"/>
              <w:rPr>
                <w:highlight w:val="yellow"/>
              </w:rPr>
            </w:pPr>
          </w:p>
        </w:tc>
        <w:tc>
          <w:tcPr>
            <w:tcW w:w="7611" w:type="dxa"/>
            <w:shd w:val="clear" w:color="auto" w:fill="auto"/>
            <w:tcMar>
              <w:left w:w="0" w:type="dxa"/>
            </w:tcMar>
          </w:tcPr>
          <w:p w14:paraId="6D56052C" w14:textId="77777777" w:rsidR="004A3BE4" w:rsidRPr="000316FC" w:rsidRDefault="004A3BE4" w:rsidP="000A72BC">
            <w:r>
              <w:t>Meziroční růst indexu spotřebitelských cen v 1. čtvrtletí 2023 zrychlil a dosáhl 16,4 %. Projevilo se na tom zejména ukončení platnosti úsporného energetického tarifu, který ovlivňoval vývoj spotřebitelských cen v závěru loňského roku. K meziročnímu růstu celkového indexu v 1. čtvrtletí, stejně jako k jeho zrychlení, nejvíce přispívaly ceny bydlení a energií. Velmi silný příspěvek stále měly i potraviny a nealkoholické nápoje. Významně přispělo i stravování a ubytování a rekreace a kultura. U většiny oddílů spotřebního koše meziroční dynamika spíše zvolňovala, na čemž měla podíl i vysoká srovnávací základna loňského roku. Ceny zboží úhrnem vzrostly meziročně o 19,1 %, zatímco u služeb přírůstek dosáhl 11,9 %. Mezičtvrtletní nárůst spotřebitelských cen v 1. kvartálu dosáhl výrazných 6,9 %, přičemž ceny rostly napříč spotřebním košem.</w:t>
            </w:r>
          </w:p>
        </w:tc>
      </w:tr>
      <w:tr w:rsidR="004A3BE4" w:rsidRPr="009110F7" w14:paraId="1C7D5484" w14:textId="77777777" w:rsidTr="019CB78C">
        <w:trPr>
          <w:trHeight w:val="145"/>
        </w:trPr>
        <w:tc>
          <w:tcPr>
            <w:tcW w:w="1804" w:type="dxa"/>
            <w:shd w:val="clear" w:color="auto" w:fill="auto"/>
            <w:tcMar>
              <w:left w:w="0" w:type="dxa"/>
            </w:tcMar>
          </w:tcPr>
          <w:p w14:paraId="6AE6D742" w14:textId="77777777" w:rsidR="004A3BE4" w:rsidRPr="00793D78" w:rsidRDefault="004A3BE4" w:rsidP="000A72BC">
            <w:pPr>
              <w:pStyle w:val="Marginlie"/>
              <w:rPr>
                <w:spacing w:val="0"/>
              </w:rPr>
            </w:pPr>
            <w:r>
              <w:rPr>
                <w:spacing w:val="0"/>
              </w:rPr>
              <w:t>Bydlení a energie přispívaly k meziročnímu růstu nejvíce.</w:t>
            </w:r>
          </w:p>
        </w:tc>
        <w:tc>
          <w:tcPr>
            <w:tcW w:w="224" w:type="dxa"/>
            <w:shd w:val="clear" w:color="auto" w:fill="auto"/>
            <w:tcMar>
              <w:left w:w="0" w:type="dxa"/>
            </w:tcMar>
          </w:tcPr>
          <w:p w14:paraId="34DCE33B" w14:textId="77777777" w:rsidR="004A3BE4" w:rsidRPr="00793D78" w:rsidRDefault="004A3BE4" w:rsidP="000A72BC">
            <w:pPr>
              <w:pStyle w:val="Textpoznpodarou1"/>
              <w:jc w:val="both"/>
              <w:rPr>
                <w:highlight w:val="yellow"/>
              </w:rPr>
            </w:pPr>
          </w:p>
        </w:tc>
        <w:tc>
          <w:tcPr>
            <w:tcW w:w="7611" w:type="dxa"/>
            <w:shd w:val="clear" w:color="auto" w:fill="auto"/>
            <w:tcMar>
              <w:left w:w="0" w:type="dxa"/>
            </w:tcMar>
          </w:tcPr>
          <w:p w14:paraId="190629C6" w14:textId="77777777" w:rsidR="004A3BE4" w:rsidRDefault="004A3BE4" w:rsidP="000A72BC">
            <w:r>
              <w:t>Ceny bydlení, vody, energií a paliv se v 1. čtvrtletí 2023 meziročně zvýšily o 22,2 %. To představuje výrazné posílení ve srovnání s předchozím kvartálem (14,9 % ve 4. čtvrtletí 2022). Mezičtvrtletně se ceny bydlení a energií zvýšily o 17,6 %. Nejvíce se meziročně zvýšily ceny elektrické a tepelné energie, plynu a ostatních paliv (46,1 %), u kterých rovněž v rámci oddílu bydlení a energií došlo k nejmarkantnějšímu posílení přírůstku. Běžná údržba a drobné opravy zdražily meziročně o 17,8 % a ceny ostatních služeb souvisejících s bydlením byly vyšší o 16,1 %. Na 7,8 % oslabil meziroční přírůstek imputovaného nájemného</w:t>
            </w:r>
            <w:r>
              <w:rPr>
                <w:rStyle w:val="Znakapoznpodarou"/>
              </w:rPr>
              <w:footnoteReference w:id="40"/>
            </w:r>
            <w:r>
              <w:t xml:space="preserve"> a naopak růst nájemného z bytu posílil na 6,4 %.   </w:t>
            </w:r>
          </w:p>
        </w:tc>
      </w:tr>
      <w:tr w:rsidR="004A3BE4" w:rsidRPr="009110F7" w14:paraId="5B33DFF0" w14:textId="77777777" w:rsidTr="019CB78C">
        <w:trPr>
          <w:trHeight w:val="145"/>
        </w:trPr>
        <w:tc>
          <w:tcPr>
            <w:tcW w:w="1804" w:type="dxa"/>
            <w:shd w:val="clear" w:color="auto" w:fill="auto"/>
            <w:tcMar>
              <w:left w:w="0" w:type="dxa"/>
            </w:tcMar>
          </w:tcPr>
          <w:p w14:paraId="0F201FA7" w14:textId="77777777" w:rsidR="004A3BE4" w:rsidRDefault="004A3BE4" w:rsidP="000A72BC">
            <w:pPr>
              <w:pStyle w:val="Marginlie"/>
              <w:rPr>
                <w:spacing w:val="0"/>
              </w:rPr>
            </w:pPr>
            <w:r>
              <w:rPr>
                <w:spacing w:val="0"/>
              </w:rPr>
              <w:t>Ceny potravin si přes mírné oslabení držely vysoké meziroční tempo růstu.</w:t>
            </w:r>
          </w:p>
        </w:tc>
        <w:tc>
          <w:tcPr>
            <w:tcW w:w="224" w:type="dxa"/>
            <w:shd w:val="clear" w:color="auto" w:fill="auto"/>
            <w:tcMar>
              <w:left w:w="0" w:type="dxa"/>
            </w:tcMar>
          </w:tcPr>
          <w:p w14:paraId="5E6AF905" w14:textId="77777777" w:rsidR="004A3BE4" w:rsidRPr="00793D78" w:rsidRDefault="004A3BE4" w:rsidP="000A72BC">
            <w:pPr>
              <w:pStyle w:val="Textpoznpodarou1"/>
              <w:jc w:val="both"/>
              <w:rPr>
                <w:highlight w:val="yellow"/>
              </w:rPr>
            </w:pPr>
          </w:p>
        </w:tc>
        <w:tc>
          <w:tcPr>
            <w:tcW w:w="7611" w:type="dxa"/>
            <w:shd w:val="clear" w:color="auto" w:fill="auto"/>
            <w:tcMar>
              <w:left w:w="0" w:type="dxa"/>
            </w:tcMar>
          </w:tcPr>
          <w:p w14:paraId="48E02D3A" w14:textId="77777777" w:rsidR="004A3BE4" w:rsidRDefault="004A3BE4" w:rsidP="000A72BC">
            <w:r>
              <w:t>Velmi výrazná zůstala i v 1. čtvrtletí meziroční dynamika cen potravin a nealkoholických nápojů. Ty vzrostly o 24,1 %, což představovalo jen mírné oslabení tempa v porovnání s koncem roku 2022. Mezičtvrtletně se ceny potravin a nealkoholických nápojů zvýšily o 5,3 %. Dál trval přenos vysokých cen zemědělských výrobců do spotřebitelských cen, což výrazně ovlivnilo meziroční přírůstek cen mléka, sýrů a vajec (32,7 %), pekárenských výrobků a obilovin (26,5 %) nebo masa (24,4 %). Výrazně vyšší byly také ceny cukru, marmelády, medu, čokolády, cukrovinek a cukrářských výrobků (23,7 %), olejů a tuků (23,5 %) a zeleniny (22,3 %).</w:t>
            </w:r>
          </w:p>
        </w:tc>
      </w:tr>
      <w:tr w:rsidR="004A3BE4" w:rsidRPr="009110F7" w14:paraId="60B7885D" w14:textId="77777777" w:rsidTr="019CB78C">
        <w:trPr>
          <w:trHeight w:val="145"/>
        </w:trPr>
        <w:tc>
          <w:tcPr>
            <w:tcW w:w="1804" w:type="dxa"/>
            <w:shd w:val="clear" w:color="auto" w:fill="auto"/>
            <w:tcMar>
              <w:left w:w="0" w:type="dxa"/>
            </w:tcMar>
          </w:tcPr>
          <w:p w14:paraId="7022DA2B" w14:textId="77777777" w:rsidR="004A3BE4" w:rsidRDefault="004A3BE4" w:rsidP="000A72BC">
            <w:pPr>
              <w:pStyle w:val="Marginlie"/>
              <w:rPr>
                <w:spacing w:val="0"/>
              </w:rPr>
            </w:pPr>
            <w:r>
              <w:rPr>
                <w:spacing w:val="0"/>
              </w:rPr>
              <w:t>Výrazně rostly ceny v oddílech zahrnujících různé služby, jako je stravování a ubytování nebo rekreace a kultura.</w:t>
            </w:r>
          </w:p>
        </w:tc>
        <w:tc>
          <w:tcPr>
            <w:tcW w:w="224" w:type="dxa"/>
            <w:shd w:val="clear" w:color="auto" w:fill="auto"/>
            <w:tcMar>
              <w:left w:w="0" w:type="dxa"/>
            </w:tcMar>
          </w:tcPr>
          <w:p w14:paraId="0418979D" w14:textId="77777777" w:rsidR="004A3BE4" w:rsidRPr="00793D78" w:rsidRDefault="004A3BE4" w:rsidP="000A72BC">
            <w:pPr>
              <w:pStyle w:val="Textpoznpodarou1"/>
              <w:jc w:val="both"/>
              <w:rPr>
                <w:highlight w:val="yellow"/>
              </w:rPr>
            </w:pPr>
          </w:p>
        </w:tc>
        <w:tc>
          <w:tcPr>
            <w:tcW w:w="7611" w:type="dxa"/>
            <w:shd w:val="clear" w:color="auto" w:fill="auto"/>
            <w:tcMar>
              <w:left w:w="0" w:type="dxa"/>
            </w:tcMar>
          </w:tcPr>
          <w:p w14:paraId="3E7D1C68" w14:textId="6E1D61F4" w:rsidR="004A3BE4" w:rsidRDefault="004A3BE4" w:rsidP="000A72BC">
            <w:r>
              <w:t xml:space="preserve">Významný příspěvek k meziročnímu růstu indexu spotřebitelských cen měly také ceny stravování a ubytování, které v 1. čtvrtletí meziročně vzrostly o 22,4 % a mezičtvrtletně se zvýšily o 3,0 %. Ceny stravovacích služeb byly v 1. čtvrtletí meziročně vyšší o 22,7 % a ubytovacích služeb o 19,7 %. Rovněž ceny rekreací a kultury dál silně rostly. Jejich meziroční přírůstek mírně posílil na 14,0 % a oproti 4. čtvrtletí 2022 se zde ceny zvýšily o 5,8 %. Silný meziroční přírůstek měly ceny dovolených s komplexními </w:t>
            </w:r>
            <w:r>
              <w:lastRenderedPageBreak/>
              <w:t xml:space="preserve">službami (21,5 %), ostatních </w:t>
            </w:r>
            <w:r w:rsidR="17513AF8">
              <w:t>předmětů pro rekreaci a volný čas</w:t>
            </w:r>
            <w:r>
              <w:t xml:space="preserve"> (17,6 %), novin, knih a papírenského zboží (12,2 %) a rekreačních a kulturních služeb (10,9 %).  </w:t>
            </w:r>
          </w:p>
        </w:tc>
      </w:tr>
      <w:tr w:rsidR="004A3BE4" w:rsidRPr="009110F7" w14:paraId="79BF1EAC" w14:textId="77777777" w:rsidTr="019CB78C">
        <w:trPr>
          <w:trHeight w:val="170"/>
        </w:trPr>
        <w:tc>
          <w:tcPr>
            <w:tcW w:w="1804" w:type="dxa"/>
            <w:vMerge w:val="restart"/>
            <w:shd w:val="clear" w:color="auto" w:fill="auto"/>
            <w:tcMar>
              <w:left w:w="0" w:type="dxa"/>
            </w:tcMar>
          </w:tcPr>
          <w:p w14:paraId="7BF735AB" w14:textId="77777777" w:rsidR="004A3BE4" w:rsidRDefault="004A3BE4" w:rsidP="000A72BC">
            <w:pPr>
              <w:pStyle w:val="Marginlie"/>
              <w:rPr>
                <w:spacing w:val="0"/>
              </w:rPr>
            </w:pPr>
          </w:p>
        </w:tc>
        <w:tc>
          <w:tcPr>
            <w:tcW w:w="224" w:type="dxa"/>
            <w:vMerge w:val="restart"/>
            <w:shd w:val="clear" w:color="auto" w:fill="auto"/>
            <w:tcMar>
              <w:left w:w="0" w:type="dxa"/>
            </w:tcMar>
          </w:tcPr>
          <w:p w14:paraId="55D2D1D0" w14:textId="77777777" w:rsidR="004A3BE4" w:rsidRPr="00793D78" w:rsidRDefault="004A3BE4" w:rsidP="000A72BC">
            <w:pPr>
              <w:pStyle w:val="Textpoznpodarou1"/>
              <w:jc w:val="both"/>
            </w:pPr>
          </w:p>
        </w:tc>
        <w:tc>
          <w:tcPr>
            <w:tcW w:w="7611" w:type="dxa"/>
            <w:shd w:val="clear" w:color="auto" w:fill="auto"/>
            <w:tcMar>
              <w:left w:w="0" w:type="dxa"/>
            </w:tcMar>
          </w:tcPr>
          <w:p w14:paraId="13C7F999" w14:textId="77777777" w:rsidR="004A3BE4" w:rsidRDefault="004A3BE4" w:rsidP="000A72BC">
            <w:pPr>
              <w:spacing w:after="0"/>
            </w:pPr>
            <w:r w:rsidRPr="00793D78">
              <w:rPr>
                <w:rFonts w:cs="Arial"/>
                <w:b/>
                <w:bCs/>
                <w:color w:val="000000"/>
                <w:sz w:val="18"/>
                <w:szCs w:val="18"/>
              </w:rPr>
              <w:t xml:space="preserve">Graf </w:t>
            </w:r>
            <w:r>
              <w:rPr>
                <w:rFonts w:cs="Arial"/>
                <w:b/>
                <w:bCs/>
                <w:color w:val="000000"/>
                <w:sz w:val="18"/>
                <w:szCs w:val="18"/>
              </w:rPr>
              <w:t xml:space="preserve">č. 11 </w:t>
            </w:r>
            <w:r w:rsidRPr="00793D78">
              <w:rPr>
                <w:rFonts w:cs="Arial"/>
                <w:b/>
                <w:bCs/>
                <w:color w:val="000000"/>
                <w:sz w:val="18"/>
                <w:szCs w:val="18"/>
              </w:rPr>
              <w:t>Ceny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 v %)</w:t>
            </w:r>
          </w:p>
        </w:tc>
      </w:tr>
      <w:tr w:rsidR="004A3BE4" w:rsidRPr="009110F7" w14:paraId="011C8346" w14:textId="77777777" w:rsidTr="019CB78C">
        <w:tblPrEx>
          <w:tblCellMar>
            <w:left w:w="70" w:type="dxa"/>
            <w:right w:w="70" w:type="dxa"/>
          </w:tblCellMar>
        </w:tblPrEx>
        <w:trPr>
          <w:trHeight w:val="170"/>
        </w:trPr>
        <w:tc>
          <w:tcPr>
            <w:tcW w:w="1804" w:type="dxa"/>
            <w:vMerge/>
          </w:tcPr>
          <w:p w14:paraId="3408A040" w14:textId="77777777" w:rsidR="004A3BE4" w:rsidRDefault="004A3BE4" w:rsidP="000A72BC">
            <w:pPr>
              <w:pStyle w:val="Marginlie"/>
              <w:rPr>
                <w:spacing w:val="0"/>
              </w:rPr>
            </w:pPr>
          </w:p>
        </w:tc>
        <w:tc>
          <w:tcPr>
            <w:tcW w:w="224" w:type="dxa"/>
            <w:vMerge/>
          </w:tcPr>
          <w:p w14:paraId="49F88327" w14:textId="77777777" w:rsidR="004A3BE4" w:rsidRPr="00793D78" w:rsidRDefault="004A3BE4" w:rsidP="000A72BC">
            <w:pPr>
              <w:pStyle w:val="Textpoznpodarou1"/>
              <w:jc w:val="both"/>
            </w:pPr>
          </w:p>
        </w:tc>
        <w:tc>
          <w:tcPr>
            <w:tcW w:w="7611" w:type="dxa"/>
            <w:shd w:val="clear" w:color="auto" w:fill="auto"/>
          </w:tcPr>
          <w:p w14:paraId="5DCC4915" w14:textId="77777777" w:rsidR="004A3BE4" w:rsidRDefault="004A3BE4" w:rsidP="000A72BC">
            <w:pPr>
              <w:spacing w:after="0"/>
            </w:pPr>
            <w:r>
              <w:rPr>
                <w:noProof/>
              </w:rPr>
              <w:drawing>
                <wp:inline distT="0" distB="0" distL="0" distR="0" wp14:anchorId="639C80F8" wp14:editId="060C9F23">
                  <wp:extent cx="4737600" cy="3553200"/>
                  <wp:effectExtent l="0" t="0" r="6350" b="0"/>
                  <wp:docPr id="29" name="Graf 2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A3BE4" w:rsidRPr="009110F7" w14:paraId="249312FA" w14:textId="77777777" w:rsidTr="019CB78C">
        <w:trPr>
          <w:trHeight w:val="170"/>
        </w:trPr>
        <w:tc>
          <w:tcPr>
            <w:tcW w:w="1804" w:type="dxa"/>
            <w:vMerge/>
            <w:tcMar>
              <w:left w:w="0" w:type="dxa"/>
            </w:tcMar>
          </w:tcPr>
          <w:p w14:paraId="3DE4C356" w14:textId="77777777" w:rsidR="004A3BE4" w:rsidRDefault="004A3BE4" w:rsidP="000A72BC">
            <w:pPr>
              <w:pStyle w:val="Marginlie"/>
              <w:rPr>
                <w:spacing w:val="0"/>
              </w:rPr>
            </w:pPr>
          </w:p>
        </w:tc>
        <w:tc>
          <w:tcPr>
            <w:tcW w:w="224" w:type="dxa"/>
            <w:vMerge/>
            <w:tcMar>
              <w:left w:w="0" w:type="dxa"/>
            </w:tcMar>
          </w:tcPr>
          <w:p w14:paraId="0C2688D9" w14:textId="77777777" w:rsidR="004A3BE4" w:rsidRPr="00793D78" w:rsidRDefault="004A3BE4" w:rsidP="000A72BC">
            <w:pPr>
              <w:pStyle w:val="Textpoznpodarou1"/>
              <w:jc w:val="both"/>
            </w:pPr>
          </w:p>
        </w:tc>
        <w:tc>
          <w:tcPr>
            <w:tcW w:w="7611" w:type="dxa"/>
            <w:shd w:val="clear" w:color="auto" w:fill="auto"/>
            <w:tcMar>
              <w:left w:w="0" w:type="dxa"/>
            </w:tcMar>
          </w:tcPr>
          <w:p w14:paraId="3D5C9A2A" w14:textId="77777777" w:rsidR="004A3BE4" w:rsidRDefault="004A3BE4" w:rsidP="000A72BC">
            <w:r w:rsidRPr="00793D78">
              <w:rPr>
                <w:sz w:val="14"/>
                <w:szCs w:val="14"/>
              </w:rPr>
              <w:t>Zdroj: ČSÚ</w:t>
            </w:r>
          </w:p>
        </w:tc>
      </w:tr>
      <w:tr w:rsidR="004A3BE4" w:rsidRPr="009110F7" w14:paraId="05C6F3D1" w14:textId="77777777" w:rsidTr="019CB78C">
        <w:trPr>
          <w:trHeight w:val="145"/>
        </w:trPr>
        <w:tc>
          <w:tcPr>
            <w:tcW w:w="1804" w:type="dxa"/>
            <w:shd w:val="clear" w:color="auto" w:fill="auto"/>
            <w:tcMar>
              <w:left w:w="0" w:type="dxa"/>
            </w:tcMar>
          </w:tcPr>
          <w:p w14:paraId="394BD2DE" w14:textId="77777777" w:rsidR="004A3BE4" w:rsidRDefault="004A3BE4" w:rsidP="000A72BC">
            <w:pPr>
              <w:pStyle w:val="Marginlie"/>
              <w:rPr>
                <w:spacing w:val="0"/>
              </w:rPr>
            </w:pPr>
            <w:r>
              <w:rPr>
                <w:spacing w:val="0"/>
              </w:rPr>
              <w:t>Meziroční růst cen odívání a obuvi oslabil.</w:t>
            </w:r>
          </w:p>
        </w:tc>
        <w:tc>
          <w:tcPr>
            <w:tcW w:w="224" w:type="dxa"/>
            <w:shd w:val="clear" w:color="auto" w:fill="auto"/>
            <w:tcMar>
              <w:left w:w="0" w:type="dxa"/>
            </w:tcMar>
          </w:tcPr>
          <w:p w14:paraId="2CE56485" w14:textId="77777777" w:rsidR="004A3BE4" w:rsidRPr="00793D78" w:rsidRDefault="004A3BE4" w:rsidP="000A72BC">
            <w:pPr>
              <w:pStyle w:val="Textpoznpodarou1"/>
              <w:jc w:val="both"/>
            </w:pPr>
          </w:p>
        </w:tc>
        <w:tc>
          <w:tcPr>
            <w:tcW w:w="7611" w:type="dxa"/>
            <w:shd w:val="clear" w:color="auto" w:fill="auto"/>
            <w:tcMar>
              <w:left w:w="0" w:type="dxa"/>
            </w:tcMar>
          </w:tcPr>
          <w:p w14:paraId="774DFBEF" w14:textId="77777777" w:rsidR="004A3BE4" w:rsidRDefault="004A3BE4" w:rsidP="000A72BC">
            <w:r>
              <w:t>Ceny ostatního zboží a služeb</w:t>
            </w:r>
            <w:r>
              <w:rPr>
                <w:rStyle w:val="Znakapoznpodarou"/>
              </w:rPr>
              <w:footnoteReference w:id="41"/>
            </w:r>
            <w:r>
              <w:t xml:space="preserve"> se v 1. čtvrtletí meziročně zvýšily o 13,5 % </w:t>
            </w:r>
            <w:r>
              <w:br/>
              <w:t xml:space="preserve">a dynamika tak mírně zrychlila. Mezičtvrtletní přírůstek zde dosáhl 3,9 %. Výrazný meziroční růst si udržely ceny bytového vybavení, zařízení domácnosti a oprav (12,6 %). Mezičtvrtletně byly vyšší o 2,1 %. Mírně zrychlil meziroční růst cen zboží </w:t>
            </w:r>
            <w:r>
              <w:br/>
              <w:t xml:space="preserve">a služeb pro běžnou údržbu domácnosti (20,7 %), ale mírnější byly přírůstky cen zboží z tohoto oddílu – bytového textilu (14,7 %) nebo nábytku a dalšího zařízení (12,9 %) a dalších. Výrazněji oslabil meziroční růst cen odívání a obuvi (15,3 %), které se jen mírně zvyšovaly i v porovnání s předchozím kvartálem (0,6 %). Ceny alkoholických nápojů a tabáku byly meziročně vyšší o 6,8 % a mezičtvrtletně o 3,8 %. </w:t>
            </w:r>
          </w:p>
        </w:tc>
      </w:tr>
      <w:tr w:rsidR="004A3BE4" w:rsidRPr="009110F7" w14:paraId="5CC50444" w14:textId="77777777" w:rsidTr="019CB78C">
        <w:trPr>
          <w:trHeight w:val="145"/>
        </w:trPr>
        <w:tc>
          <w:tcPr>
            <w:tcW w:w="1804" w:type="dxa"/>
            <w:shd w:val="clear" w:color="auto" w:fill="auto"/>
            <w:tcMar>
              <w:left w:w="0" w:type="dxa"/>
            </w:tcMar>
          </w:tcPr>
          <w:p w14:paraId="3C84534C" w14:textId="77777777" w:rsidR="004A3BE4" w:rsidRDefault="004A3BE4" w:rsidP="000A72BC">
            <w:pPr>
              <w:pStyle w:val="Marginlie"/>
              <w:rPr>
                <w:spacing w:val="0"/>
              </w:rPr>
            </w:pPr>
            <w:r>
              <w:rPr>
                <w:spacing w:val="0"/>
              </w:rPr>
              <w:t>Meziroční dynamika cen dopravy pod vlivem cen pohonných hmot oslabila.</w:t>
            </w:r>
          </w:p>
        </w:tc>
        <w:tc>
          <w:tcPr>
            <w:tcW w:w="224" w:type="dxa"/>
            <w:shd w:val="clear" w:color="auto" w:fill="auto"/>
            <w:tcMar>
              <w:left w:w="0" w:type="dxa"/>
            </w:tcMar>
          </w:tcPr>
          <w:p w14:paraId="3B7C5131" w14:textId="77777777" w:rsidR="004A3BE4" w:rsidRPr="00793D78" w:rsidRDefault="004A3BE4" w:rsidP="000A72BC">
            <w:pPr>
              <w:pStyle w:val="Textpoznpodarou1"/>
              <w:jc w:val="both"/>
            </w:pPr>
          </w:p>
        </w:tc>
        <w:tc>
          <w:tcPr>
            <w:tcW w:w="7611" w:type="dxa"/>
            <w:shd w:val="clear" w:color="auto" w:fill="auto"/>
            <w:tcMar>
              <w:left w:w="0" w:type="dxa"/>
            </w:tcMar>
          </w:tcPr>
          <w:p w14:paraId="2B43A2B0" w14:textId="57B96D49" w:rsidR="004A3BE4" w:rsidRDefault="004A3BE4" w:rsidP="000A72BC">
            <w:pPr>
              <w:spacing w:after="0"/>
            </w:pPr>
            <w:r>
              <w:t>V 1. čtvrtletí výrazně oslabila meziroční dynamika cen dopravy (4,5 %), takže oddíl oproti minulému roku mírněji přispíval k celkovému růstu cen. Mezičtvrtletně ceny dopravy klesly o 2,4 %. Na zpomalení meziroční dynamiky měly největší vliv ceny provozu osobních dopravních prostředků, které byly meziročně vyšší jen o 0,8 % (ve 4. čtvrtletí 2022 to bylo 13,6 %). Mírněji rostly i ceny nákupů automobilů, motocyklů a jízdních kol (zpomalení na 5,9 % z předchozích 11,7 %). Meziroční přírůstek cen dopravních služeb ale zrychlil na 20,0 %. Ceny v oblasti zdraví si držely silný meziroční přírůstek (9,5 %) a výrazné bylo i jejich mezičtvrtletní navýšení (3,7 %). Nezanedbatelné bylo také meziroční navýšení nákladů na vzdělávání (7,3 %), mezičtvrtletně ale oddíl spíše stagnoval (0,3 %). Vyšší byly i ceny pošt a telekomunikací (2,5 % meziročně a 0,5 % mezičtvrtletně), které měly v předchozích letech spíše tendenci stagnovat či klesat. V 1. čtvrtletí ale prudce meziročně rostly ceny poštovních služeb (8,8 %) i telefonních a faxových zařízení (7,2 %). Telefonické a faxové služby byly meziročně dražší o 1,8 %.</w:t>
            </w:r>
          </w:p>
        </w:tc>
      </w:tr>
      <w:tr w:rsidR="004A3BE4" w:rsidRPr="009110F7" w14:paraId="50805FC8" w14:textId="77777777" w:rsidTr="019CB78C">
        <w:trPr>
          <w:trHeight w:val="145"/>
        </w:trPr>
        <w:tc>
          <w:tcPr>
            <w:tcW w:w="1804" w:type="dxa"/>
            <w:shd w:val="clear" w:color="auto" w:fill="auto"/>
            <w:tcMar>
              <w:left w:w="0" w:type="dxa"/>
            </w:tcMar>
          </w:tcPr>
          <w:p w14:paraId="0D4185BD" w14:textId="77777777" w:rsidR="004A3BE4" w:rsidRDefault="004A3BE4" w:rsidP="000A72BC">
            <w:pPr>
              <w:pStyle w:val="Marginlie"/>
              <w:rPr>
                <w:spacing w:val="0"/>
              </w:rPr>
            </w:pPr>
            <w:r>
              <w:rPr>
                <w:spacing w:val="0"/>
              </w:rPr>
              <w:lastRenderedPageBreak/>
              <w:t>Růst spotřebitelských cen v EU zpomalil.</w:t>
            </w:r>
          </w:p>
        </w:tc>
        <w:tc>
          <w:tcPr>
            <w:tcW w:w="224" w:type="dxa"/>
            <w:shd w:val="clear" w:color="auto" w:fill="auto"/>
            <w:tcMar>
              <w:left w:w="0" w:type="dxa"/>
            </w:tcMar>
          </w:tcPr>
          <w:p w14:paraId="25B45FC1" w14:textId="77777777" w:rsidR="004A3BE4" w:rsidRPr="00793D78" w:rsidRDefault="004A3BE4" w:rsidP="000A72BC">
            <w:pPr>
              <w:pStyle w:val="Textpoznpodarou1"/>
              <w:jc w:val="both"/>
            </w:pPr>
          </w:p>
        </w:tc>
        <w:tc>
          <w:tcPr>
            <w:tcW w:w="7611" w:type="dxa"/>
            <w:shd w:val="clear" w:color="auto" w:fill="auto"/>
            <w:tcMar>
              <w:left w:w="0" w:type="dxa"/>
            </w:tcMar>
          </w:tcPr>
          <w:p w14:paraId="13CA3C84" w14:textId="77777777" w:rsidR="004A3BE4" w:rsidRDefault="004A3BE4" w:rsidP="000A72BC">
            <w:r>
              <w:t>Meziroční růst harmonizovaného indexu spotřebitelských cen (HICP) v EU</w:t>
            </w:r>
            <w:r>
              <w:rPr>
                <w:rStyle w:val="Znakapoznpodarou"/>
              </w:rPr>
              <w:footnoteReference w:id="42"/>
            </w:r>
            <w:r>
              <w:t xml:space="preserve"> v 1. čtvrtletí zpomalil na 9,4 %. Důvodem byl hlavně vývoj cen bydlení a energií (zpomalení na 11,1 %) a dopravy (5,3 %), které narazily na vysokou srovnávací základnu začátku loňského roku. Nejvíce se v 1. čtvrtletí v EU meziročně zvyšovaly ceny potravin a nealkoholických nápojů (18,8 %). Nejsilnější meziroční přírůstek měl v 1. čtvrtletí HICP v Maďarsku (25,9 %), Lotyšsku (19,5 %) a Česku (18,0 %). Naopak nejmírněji ceny narůstaly v Lucembursku (4,5 %), Španělsku (5,0 %) a Belgii (5,9 %). Mezičtvrtletně se spotřebitelské ceny v EU zvýšily o 0,9 %. Nižší byly ceny oděvů a obuvi (−6,7 %) a bydlení a energií (−1,8 %). Naopak výrazně mezičtvrtletně rostly ceny potravin a nealkoholických nápojů (4,4 %). Nejvyšší mezičtvrtletní přírůstek cen mělo podle HICP Česko (7,7 %) a dále Maďarsko (5,0 %) a Slovensko (4,5 %). Ceny klesly v osmi státech EU, nejvýrazněji v Belgii (−1,9 %), Nizozemsku (−1,8 %) a na Kypru (−1,1 %). </w:t>
            </w:r>
          </w:p>
        </w:tc>
      </w:tr>
      <w:tr w:rsidR="004A3BE4" w:rsidRPr="009110F7" w14:paraId="54BD4C6D" w14:textId="77777777" w:rsidTr="019CB78C">
        <w:trPr>
          <w:trHeight w:val="170"/>
        </w:trPr>
        <w:tc>
          <w:tcPr>
            <w:tcW w:w="1804" w:type="dxa"/>
            <w:vMerge w:val="restart"/>
            <w:shd w:val="clear" w:color="auto" w:fill="auto"/>
            <w:tcMar>
              <w:left w:w="0" w:type="dxa"/>
            </w:tcMar>
          </w:tcPr>
          <w:p w14:paraId="67E74E9A" w14:textId="77777777" w:rsidR="004A3BE4" w:rsidRDefault="004A3BE4" w:rsidP="000A72BC">
            <w:pPr>
              <w:pStyle w:val="Marginlie"/>
              <w:rPr>
                <w:spacing w:val="0"/>
              </w:rPr>
            </w:pPr>
          </w:p>
        </w:tc>
        <w:tc>
          <w:tcPr>
            <w:tcW w:w="224" w:type="dxa"/>
            <w:vMerge w:val="restart"/>
            <w:shd w:val="clear" w:color="auto" w:fill="auto"/>
            <w:tcMar>
              <w:left w:w="0" w:type="dxa"/>
            </w:tcMar>
          </w:tcPr>
          <w:p w14:paraId="2FBF46B5" w14:textId="77777777" w:rsidR="004A3BE4" w:rsidRPr="00793D78" w:rsidRDefault="004A3BE4" w:rsidP="000A72BC">
            <w:pPr>
              <w:pStyle w:val="Textpoznpodarou1"/>
              <w:jc w:val="both"/>
            </w:pPr>
          </w:p>
        </w:tc>
        <w:tc>
          <w:tcPr>
            <w:tcW w:w="7611" w:type="dxa"/>
            <w:shd w:val="clear" w:color="auto" w:fill="auto"/>
            <w:tcMar>
              <w:left w:w="0" w:type="dxa"/>
            </w:tcMar>
          </w:tcPr>
          <w:p w14:paraId="580862A6" w14:textId="77777777" w:rsidR="004A3BE4" w:rsidRDefault="004A3BE4" w:rsidP="000A72BC">
            <w:pPr>
              <w:spacing w:after="0"/>
            </w:pPr>
            <w:r>
              <w:rPr>
                <w:b/>
                <w:sz w:val="18"/>
                <w:szCs w:val="18"/>
                <w:lang w:eastAsia="en-US"/>
              </w:rPr>
              <w:t>Graf č. 12</w:t>
            </w:r>
            <w:r w:rsidRPr="00793D78">
              <w:rPr>
                <w:b/>
                <w:sz w:val="18"/>
                <w:szCs w:val="18"/>
                <w:lang w:eastAsia="en-US"/>
              </w:rPr>
              <w:t xml:space="preserve"> Ceny nemovitostí </w:t>
            </w:r>
            <w:r w:rsidRPr="009067EA">
              <w:rPr>
                <w:sz w:val="18"/>
                <w:szCs w:val="18"/>
                <w:lang w:eastAsia="en-US"/>
              </w:rPr>
              <w:t>(meziroční změna, v %)</w:t>
            </w:r>
          </w:p>
        </w:tc>
      </w:tr>
      <w:tr w:rsidR="004A3BE4" w:rsidRPr="009110F7" w14:paraId="602FFCA3" w14:textId="77777777" w:rsidTr="019CB78C">
        <w:tblPrEx>
          <w:tblCellMar>
            <w:left w:w="70" w:type="dxa"/>
            <w:right w:w="70" w:type="dxa"/>
          </w:tblCellMar>
        </w:tblPrEx>
        <w:trPr>
          <w:trHeight w:val="170"/>
        </w:trPr>
        <w:tc>
          <w:tcPr>
            <w:tcW w:w="1804" w:type="dxa"/>
            <w:vMerge/>
          </w:tcPr>
          <w:p w14:paraId="7D29CE6E" w14:textId="77777777" w:rsidR="004A3BE4" w:rsidRDefault="004A3BE4" w:rsidP="000A72BC">
            <w:pPr>
              <w:pStyle w:val="Marginlie"/>
              <w:rPr>
                <w:spacing w:val="0"/>
              </w:rPr>
            </w:pPr>
          </w:p>
        </w:tc>
        <w:tc>
          <w:tcPr>
            <w:tcW w:w="224" w:type="dxa"/>
            <w:vMerge/>
          </w:tcPr>
          <w:p w14:paraId="47E15430" w14:textId="77777777" w:rsidR="004A3BE4" w:rsidRPr="00793D78" w:rsidRDefault="004A3BE4" w:rsidP="000A72BC">
            <w:pPr>
              <w:pStyle w:val="Textpoznpodarou1"/>
              <w:jc w:val="both"/>
            </w:pPr>
          </w:p>
        </w:tc>
        <w:tc>
          <w:tcPr>
            <w:tcW w:w="7611" w:type="dxa"/>
            <w:shd w:val="clear" w:color="auto" w:fill="auto"/>
          </w:tcPr>
          <w:p w14:paraId="2A678397" w14:textId="77777777" w:rsidR="004A3BE4" w:rsidRDefault="004A3BE4" w:rsidP="000A72BC">
            <w:pPr>
              <w:spacing w:after="0"/>
            </w:pPr>
            <w:r>
              <w:rPr>
                <w:noProof/>
              </w:rPr>
              <w:drawing>
                <wp:inline distT="0" distB="0" distL="0" distR="0" wp14:anchorId="2D41AA8D" wp14:editId="4B38BCD6">
                  <wp:extent cx="4737600" cy="3553200"/>
                  <wp:effectExtent l="0" t="0" r="6350" b="0"/>
                  <wp:docPr id="33" name="Graf 3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4A3BE4" w:rsidRPr="009110F7" w14:paraId="7764F867" w14:textId="77777777" w:rsidTr="019CB78C">
        <w:trPr>
          <w:trHeight w:val="170"/>
        </w:trPr>
        <w:tc>
          <w:tcPr>
            <w:tcW w:w="1804" w:type="dxa"/>
            <w:vMerge/>
            <w:tcMar>
              <w:left w:w="0" w:type="dxa"/>
            </w:tcMar>
          </w:tcPr>
          <w:p w14:paraId="2BFBEFAE" w14:textId="77777777" w:rsidR="004A3BE4" w:rsidRDefault="004A3BE4" w:rsidP="000A72BC">
            <w:pPr>
              <w:pStyle w:val="Marginlie"/>
              <w:rPr>
                <w:spacing w:val="0"/>
              </w:rPr>
            </w:pPr>
          </w:p>
        </w:tc>
        <w:tc>
          <w:tcPr>
            <w:tcW w:w="224" w:type="dxa"/>
            <w:vMerge/>
            <w:tcMar>
              <w:left w:w="0" w:type="dxa"/>
            </w:tcMar>
          </w:tcPr>
          <w:p w14:paraId="7B26A05A" w14:textId="77777777" w:rsidR="004A3BE4" w:rsidRPr="00793D78" w:rsidRDefault="004A3BE4" w:rsidP="000A72BC">
            <w:pPr>
              <w:pStyle w:val="Textpoznpodarou1"/>
              <w:jc w:val="both"/>
            </w:pPr>
          </w:p>
        </w:tc>
        <w:tc>
          <w:tcPr>
            <w:tcW w:w="7611" w:type="dxa"/>
            <w:shd w:val="clear" w:color="auto" w:fill="auto"/>
            <w:tcMar>
              <w:left w:w="0" w:type="dxa"/>
            </w:tcMar>
          </w:tcPr>
          <w:p w14:paraId="13E29B1A" w14:textId="77777777" w:rsidR="004A3BE4" w:rsidRDefault="004A3BE4" w:rsidP="000A72BC">
            <w:r w:rsidRPr="00793D78">
              <w:rPr>
                <w:sz w:val="14"/>
                <w:szCs w:val="14"/>
              </w:rPr>
              <w:t>Zdroj: ČSÚ</w:t>
            </w:r>
          </w:p>
        </w:tc>
      </w:tr>
      <w:tr w:rsidR="004A3BE4" w:rsidRPr="009110F7" w14:paraId="554E6346" w14:textId="77777777" w:rsidTr="019CB78C">
        <w:trPr>
          <w:trHeight w:val="145"/>
        </w:trPr>
        <w:tc>
          <w:tcPr>
            <w:tcW w:w="1804" w:type="dxa"/>
            <w:shd w:val="clear" w:color="auto" w:fill="auto"/>
            <w:tcMar>
              <w:left w:w="0" w:type="dxa"/>
            </w:tcMar>
          </w:tcPr>
          <w:p w14:paraId="779A7DF4" w14:textId="77777777" w:rsidR="004A3BE4" w:rsidRDefault="004A3BE4" w:rsidP="000A72BC">
            <w:pPr>
              <w:pStyle w:val="Marginlie"/>
              <w:rPr>
                <w:spacing w:val="0"/>
              </w:rPr>
            </w:pPr>
            <w:r>
              <w:rPr>
                <w:spacing w:val="0"/>
              </w:rPr>
              <w:t>Dynamika cen bytů v 1. čtvrtletí prudce zpomalila.</w:t>
            </w:r>
          </w:p>
        </w:tc>
        <w:tc>
          <w:tcPr>
            <w:tcW w:w="224" w:type="dxa"/>
            <w:shd w:val="clear" w:color="auto" w:fill="auto"/>
            <w:tcMar>
              <w:left w:w="0" w:type="dxa"/>
            </w:tcMar>
          </w:tcPr>
          <w:p w14:paraId="7CDEE143" w14:textId="77777777" w:rsidR="004A3BE4" w:rsidRPr="00793D78" w:rsidRDefault="004A3BE4" w:rsidP="000A72BC">
            <w:pPr>
              <w:pStyle w:val="Textpoznpodarou1"/>
              <w:jc w:val="both"/>
            </w:pPr>
          </w:p>
        </w:tc>
        <w:tc>
          <w:tcPr>
            <w:tcW w:w="7611" w:type="dxa"/>
            <w:shd w:val="clear" w:color="auto" w:fill="auto"/>
            <w:tcMar>
              <w:left w:w="0" w:type="dxa"/>
            </w:tcMar>
          </w:tcPr>
          <w:p w14:paraId="0D74CFA3" w14:textId="77777777" w:rsidR="004A3BE4" w:rsidRDefault="004A3BE4" w:rsidP="000A72BC">
            <w:r>
              <w:t xml:space="preserve">Nabídkové ceny bytů v Česku v 1. čtvrtletí 2023 meziročně vzrostly o 9,8 %. Ve srovnání s předchozím kvartálem tempo výrazně zpomalilo. Mírnější byl přírůstek nabídkových cen bytů v ČR bez Prahy (9,3 %), v Praze se nabídkové ceny bytů meziročně zvýšily o 10,3 %. Meziroční index nabídkových cen za Prahu byl v 1. čtvrtletí 2023 vyšší než v Česku poprvé od 1. kvartálu 2019. Mezičtvrtletně nabídkové ceny bytů klesly o 1,9 %, což byl první pokles od 4. čtvrtletí 2014. Z toho ceny v Praze byly nižší o 1,8 % a ceny mimo Prahu o 1,9 %. Ochlazení realitního trhu související s klesající dostupností úvěrů i s propadem reálné kupní síly domácností bylo ještě patrnější na vývoji realizovaných cen starších bytů. Ty se meziročně zvýšily o 3,7 %, což bylo nejméně od 2. čtvrtletí 2014. Přitom přírůstek realizovaných cen v Praze klesl až na 1,2 %, nejméně od konce roku 2013. V 1. čtvrtletí 2023 se mezičtvrtletní pokles realizovaných cen starších bytů prohloubil na −3,2 %. Ceny silně klesaly v Praze (−3,4 %) i ve zbytku Česka (−3,1 %). Poprvé od konce roku 2013 a rovnou poměrně </w:t>
            </w:r>
            <w:r>
              <w:lastRenderedPageBreak/>
              <w:t xml:space="preserve">hluboce se meziročně snížily ceny realizovaných cen nových bytů v Praze (−6,0 %). Mezičtvrtletně tento index klesl potřetí v řadě a to o 1,2 %.  </w:t>
            </w:r>
          </w:p>
        </w:tc>
      </w:tr>
      <w:tr w:rsidR="004A3BE4" w:rsidRPr="009110F7" w14:paraId="1241D5F5" w14:textId="77777777" w:rsidTr="019CB78C">
        <w:trPr>
          <w:trHeight w:val="145"/>
        </w:trPr>
        <w:tc>
          <w:tcPr>
            <w:tcW w:w="1804" w:type="dxa"/>
            <w:shd w:val="clear" w:color="auto" w:fill="auto"/>
            <w:tcMar>
              <w:left w:w="0" w:type="dxa"/>
            </w:tcMar>
          </w:tcPr>
          <w:p w14:paraId="3B436413" w14:textId="77777777" w:rsidR="004A3BE4" w:rsidRDefault="004A3BE4" w:rsidP="000A72BC">
            <w:pPr>
              <w:pStyle w:val="Marginlie"/>
              <w:rPr>
                <w:spacing w:val="0"/>
              </w:rPr>
            </w:pPr>
            <w:r>
              <w:rPr>
                <w:spacing w:val="0"/>
              </w:rPr>
              <w:lastRenderedPageBreak/>
              <w:t>Meziroční růst cen průmyslových výrobců zpomalil.</w:t>
            </w:r>
          </w:p>
        </w:tc>
        <w:tc>
          <w:tcPr>
            <w:tcW w:w="224" w:type="dxa"/>
            <w:shd w:val="clear" w:color="auto" w:fill="auto"/>
            <w:tcMar>
              <w:left w:w="0" w:type="dxa"/>
            </w:tcMar>
          </w:tcPr>
          <w:p w14:paraId="2362F91B" w14:textId="77777777" w:rsidR="004A3BE4" w:rsidRPr="00793D78" w:rsidRDefault="004A3BE4" w:rsidP="000A72BC">
            <w:pPr>
              <w:pStyle w:val="Textpoznpodarou1"/>
              <w:jc w:val="both"/>
            </w:pPr>
          </w:p>
        </w:tc>
        <w:tc>
          <w:tcPr>
            <w:tcW w:w="7611" w:type="dxa"/>
            <w:shd w:val="clear" w:color="auto" w:fill="auto"/>
            <w:tcMar>
              <w:left w:w="0" w:type="dxa"/>
            </w:tcMar>
          </w:tcPr>
          <w:p w14:paraId="26FB503C" w14:textId="77777777" w:rsidR="004A3BE4" w:rsidRDefault="004A3BE4" w:rsidP="000A72BC">
            <w:r>
              <w:t>Ceny průmyslových výrobců v 1. čtvrtletí 2023 meziročně vzrostly o 15,0 %. Meziroční dynamika tak výrazně zpomalila ve srovnání s předchozím čtvrtletím (21,8 %), za čímž stála zejména vysoká srovnávací základna loňského roku. Mezičtvrtletně se totiž ceny průmyslových výrobců v 1. kvartálu navýšily o výrazných 4,2 %. K meziročnímu růstu cen průmyslových výrobců ale zároveň i k jeho zmírnění v 1. čtvrtletí nejvíce přispíval vývoj cen výrobků a služeb zpracovatelského průmyslu (10,3 %). Meziroční dynamika cen zpomalila u většiny oddílů v této sekci. Výrazný byl nadále přírůstek cen potravinářských výrobků (26,5 %) nebo ostatních nekovových minerálních výrobků (24,2 %). Zmíněné oslabení meziročního tempa se týkalo zejména papíru a výrobků z něj (11,0 %), pryžových a plastových výrobků (9,3 %), kovodělných výrobků (7,9 %), dřeva a dřevěných výrobků (7,5 %), chemických látek a přípravků (7,2 %) a základních kovů (5,1 %). Meziročně klesly pouze ceny koksu a rafinovaných ropných výrobků</w:t>
            </w:r>
            <w:r>
              <w:rPr>
                <w:rStyle w:val="Znakapoznpodarou"/>
              </w:rPr>
              <w:footnoteReference w:id="43"/>
            </w:r>
            <w:r>
              <w:t xml:space="preserve">. </w:t>
            </w:r>
          </w:p>
        </w:tc>
      </w:tr>
      <w:tr w:rsidR="004A3BE4" w:rsidRPr="009110F7" w14:paraId="7DEE8BB0" w14:textId="77777777" w:rsidTr="019CB78C">
        <w:trPr>
          <w:trHeight w:val="145"/>
        </w:trPr>
        <w:tc>
          <w:tcPr>
            <w:tcW w:w="1804" w:type="dxa"/>
            <w:shd w:val="clear" w:color="auto" w:fill="auto"/>
            <w:tcMar>
              <w:left w:w="0" w:type="dxa"/>
            </w:tcMar>
          </w:tcPr>
          <w:p w14:paraId="02B9C869" w14:textId="77777777" w:rsidR="004A3BE4" w:rsidRDefault="004A3BE4" w:rsidP="000A72BC">
            <w:pPr>
              <w:pStyle w:val="Marginlie"/>
              <w:rPr>
                <w:spacing w:val="0"/>
              </w:rPr>
            </w:pPr>
            <w:r>
              <w:rPr>
                <w:spacing w:val="0"/>
              </w:rPr>
              <w:t xml:space="preserve">Prudce posílila meziroční dynamika cen těžby </w:t>
            </w:r>
            <w:r>
              <w:rPr>
                <w:spacing w:val="0"/>
              </w:rPr>
              <w:br/>
              <w:t>a dobývání.</w:t>
            </w:r>
          </w:p>
        </w:tc>
        <w:tc>
          <w:tcPr>
            <w:tcW w:w="224" w:type="dxa"/>
            <w:shd w:val="clear" w:color="auto" w:fill="auto"/>
            <w:tcMar>
              <w:left w:w="0" w:type="dxa"/>
            </w:tcMar>
          </w:tcPr>
          <w:p w14:paraId="2C4A24A9" w14:textId="77777777" w:rsidR="004A3BE4" w:rsidRPr="00793D78" w:rsidRDefault="004A3BE4" w:rsidP="000A72BC">
            <w:pPr>
              <w:pStyle w:val="Textpoznpodarou1"/>
              <w:jc w:val="both"/>
            </w:pPr>
          </w:p>
        </w:tc>
        <w:tc>
          <w:tcPr>
            <w:tcW w:w="7611" w:type="dxa"/>
            <w:shd w:val="clear" w:color="auto" w:fill="auto"/>
            <w:tcMar>
              <w:left w:w="0" w:type="dxa"/>
            </w:tcMar>
          </w:tcPr>
          <w:p w14:paraId="336D29EF" w14:textId="77777777" w:rsidR="004A3BE4" w:rsidRDefault="004A3BE4" w:rsidP="000A72BC">
            <w:r>
              <w:t xml:space="preserve">Ceny elektřiny, plynu, páry a klimatizovaného vzduchu v 1. čtvrtletí meziročně vzrostly o 28,4 %. Přírůstek výrazně zpomalil, na čemž měla podíl i vysoká srovnávací základna loňského 1. kvartálu. Naopak prudce zrychlil meziroční růst cen těžby a dobývání (54,0 %). Stálo za tím hlavně výraznější navýšení cen černého a hnědého uhlí a lignitu (81,3 %) a pak ropy a zemního plynu (73,2 %). Vysoké meziroční tempo si držely ceny ostatní těžby (24,1 %). Ceny zásobování vodou a služeb souvisejících s odpadními vodami se meziročně zvýšily o 16,3 %.  </w:t>
            </w:r>
          </w:p>
        </w:tc>
      </w:tr>
      <w:tr w:rsidR="004A3BE4" w:rsidRPr="009110F7" w14:paraId="351ED1D2" w14:textId="77777777" w:rsidTr="019CB78C">
        <w:trPr>
          <w:trHeight w:val="170"/>
        </w:trPr>
        <w:tc>
          <w:tcPr>
            <w:tcW w:w="1804" w:type="dxa"/>
            <w:vMerge w:val="restart"/>
            <w:shd w:val="clear" w:color="auto" w:fill="auto"/>
            <w:tcMar>
              <w:left w:w="0" w:type="dxa"/>
            </w:tcMar>
          </w:tcPr>
          <w:p w14:paraId="4371E549" w14:textId="77777777" w:rsidR="004A3BE4" w:rsidRDefault="004A3BE4" w:rsidP="000A72BC">
            <w:pPr>
              <w:pStyle w:val="Marginlie"/>
              <w:rPr>
                <w:spacing w:val="0"/>
              </w:rPr>
            </w:pPr>
          </w:p>
        </w:tc>
        <w:tc>
          <w:tcPr>
            <w:tcW w:w="224" w:type="dxa"/>
            <w:vMerge w:val="restart"/>
            <w:shd w:val="clear" w:color="auto" w:fill="auto"/>
            <w:tcMar>
              <w:left w:w="0" w:type="dxa"/>
            </w:tcMar>
          </w:tcPr>
          <w:p w14:paraId="0375EF39" w14:textId="77777777" w:rsidR="004A3BE4" w:rsidRPr="00793D78" w:rsidRDefault="004A3BE4" w:rsidP="000A72BC">
            <w:pPr>
              <w:pStyle w:val="Textpoznpodarou1"/>
              <w:jc w:val="both"/>
              <w:rPr>
                <w:highlight w:val="yellow"/>
              </w:rPr>
            </w:pPr>
          </w:p>
        </w:tc>
        <w:tc>
          <w:tcPr>
            <w:tcW w:w="7611" w:type="dxa"/>
            <w:shd w:val="clear" w:color="auto" w:fill="auto"/>
            <w:tcMar>
              <w:left w:w="0" w:type="dxa"/>
            </w:tcMar>
          </w:tcPr>
          <w:p w14:paraId="5E671F0B" w14:textId="77777777" w:rsidR="004A3BE4" w:rsidRPr="00D75AC1" w:rsidRDefault="004A3BE4" w:rsidP="000A72BC">
            <w:pPr>
              <w:spacing w:after="0"/>
              <w:rPr>
                <w:b/>
                <w:szCs w:val="20"/>
              </w:rPr>
            </w:pPr>
            <w:r>
              <w:rPr>
                <w:b/>
                <w:sz w:val="18"/>
                <w:szCs w:val="18"/>
              </w:rPr>
              <w:t>Graf č. 13</w:t>
            </w:r>
            <w:r w:rsidRPr="00793D78">
              <w:rPr>
                <w:b/>
                <w:sz w:val="18"/>
                <w:szCs w:val="18"/>
              </w:rPr>
              <w:t xml:space="preserve"> </w:t>
            </w:r>
            <w:r w:rsidRPr="00793D78">
              <w:rPr>
                <w:b/>
                <w:sz w:val="18"/>
                <w:szCs w:val="18"/>
                <w:lang w:eastAsia="en-US"/>
              </w:rPr>
              <w:t xml:space="preserve">Ceny hlavních skupin průmyslových výrobců </w:t>
            </w:r>
            <w:r w:rsidRPr="009067EA">
              <w:rPr>
                <w:sz w:val="18"/>
                <w:szCs w:val="18"/>
                <w:lang w:eastAsia="en-US"/>
              </w:rPr>
              <w:t>(meziroční změna, v %, podle klasifikace CPA)</w:t>
            </w:r>
          </w:p>
        </w:tc>
      </w:tr>
      <w:tr w:rsidR="004A3BE4" w:rsidRPr="009110F7" w14:paraId="62409B27" w14:textId="77777777" w:rsidTr="019CB78C">
        <w:tblPrEx>
          <w:tblCellMar>
            <w:left w:w="70" w:type="dxa"/>
            <w:right w:w="70" w:type="dxa"/>
          </w:tblCellMar>
        </w:tblPrEx>
        <w:trPr>
          <w:trHeight w:val="170"/>
        </w:trPr>
        <w:tc>
          <w:tcPr>
            <w:tcW w:w="1804" w:type="dxa"/>
            <w:vMerge/>
          </w:tcPr>
          <w:p w14:paraId="7A64438C" w14:textId="77777777" w:rsidR="004A3BE4" w:rsidRPr="00793D78" w:rsidRDefault="004A3BE4" w:rsidP="000A72BC">
            <w:pPr>
              <w:pStyle w:val="Marginlie"/>
              <w:rPr>
                <w:spacing w:val="0"/>
              </w:rPr>
            </w:pPr>
          </w:p>
        </w:tc>
        <w:tc>
          <w:tcPr>
            <w:tcW w:w="224" w:type="dxa"/>
            <w:vMerge/>
          </w:tcPr>
          <w:p w14:paraId="73803F07" w14:textId="77777777" w:rsidR="004A3BE4" w:rsidRPr="00793D78" w:rsidRDefault="004A3BE4" w:rsidP="000A72BC">
            <w:pPr>
              <w:pStyle w:val="Textpoznpodarou1"/>
              <w:jc w:val="both"/>
            </w:pPr>
          </w:p>
        </w:tc>
        <w:tc>
          <w:tcPr>
            <w:tcW w:w="7611" w:type="dxa"/>
            <w:shd w:val="clear" w:color="auto" w:fill="auto"/>
          </w:tcPr>
          <w:p w14:paraId="19FEE269" w14:textId="77777777" w:rsidR="004A3BE4" w:rsidRPr="00793D78" w:rsidRDefault="004A3BE4" w:rsidP="000A72BC">
            <w:pPr>
              <w:spacing w:after="0"/>
            </w:pPr>
            <w:r>
              <w:rPr>
                <w:noProof/>
              </w:rPr>
              <w:drawing>
                <wp:inline distT="0" distB="0" distL="0" distR="0" wp14:anchorId="5AB140DF" wp14:editId="5D1290C3">
                  <wp:extent cx="4737600" cy="3378575"/>
                  <wp:effectExtent l="0" t="0" r="6350" b="0"/>
                  <wp:docPr id="2059200324" name="Graf 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4A3BE4" w:rsidRPr="009110F7" w14:paraId="48C87EDA" w14:textId="77777777" w:rsidTr="019CB78C">
        <w:trPr>
          <w:trHeight w:val="170"/>
        </w:trPr>
        <w:tc>
          <w:tcPr>
            <w:tcW w:w="1804" w:type="dxa"/>
            <w:vMerge/>
            <w:tcMar>
              <w:left w:w="0" w:type="dxa"/>
            </w:tcMar>
          </w:tcPr>
          <w:p w14:paraId="638D0C2B" w14:textId="77777777" w:rsidR="004A3BE4" w:rsidRPr="00793D78" w:rsidRDefault="004A3BE4" w:rsidP="000A72BC">
            <w:pPr>
              <w:pStyle w:val="Marginlie"/>
              <w:rPr>
                <w:spacing w:val="0"/>
              </w:rPr>
            </w:pPr>
          </w:p>
        </w:tc>
        <w:tc>
          <w:tcPr>
            <w:tcW w:w="224" w:type="dxa"/>
            <w:vMerge/>
            <w:tcMar>
              <w:left w:w="0" w:type="dxa"/>
            </w:tcMar>
          </w:tcPr>
          <w:p w14:paraId="3518C821" w14:textId="77777777" w:rsidR="004A3BE4" w:rsidRPr="00793D78" w:rsidRDefault="004A3BE4" w:rsidP="000A72BC">
            <w:pPr>
              <w:pStyle w:val="Textpoznpodarou1"/>
              <w:jc w:val="both"/>
            </w:pPr>
          </w:p>
        </w:tc>
        <w:tc>
          <w:tcPr>
            <w:tcW w:w="7611" w:type="dxa"/>
            <w:shd w:val="clear" w:color="auto" w:fill="auto"/>
            <w:tcMar>
              <w:left w:w="0" w:type="dxa"/>
            </w:tcMar>
          </w:tcPr>
          <w:p w14:paraId="12C27328" w14:textId="77777777" w:rsidR="004A3BE4" w:rsidRPr="00793D78" w:rsidRDefault="004A3BE4" w:rsidP="000A72BC">
            <w:r w:rsidRPr="00793D78">
              <w:rPr>
                <w:sz w:val="14"/>
                <w:szCs w:val="14"/>
              </w:rPr>
              <w:t>Zdroj: ČSÚ</w:t>
            </w:r>
          </w:p>
        </w:tc>
      </w:tr>
      <w:tr w:rsidR="004A3BE4" w:rsidRPr="009110F7" w14:paraId="0AF0861E" w14:textId="77777777" w:rsidTr="019CB78C">
        <w:trPr>
          <w:trHeight w:val="145"/>
        </w:trPr>
        <w:tc>
          <w:tcPr>
            <w:tcW w:w="1804" w:type="dxa"/>
            <w:shd w:val="clear" w:color="auto" w:fill="auto"/>
            <w:tcMar>
              <w:left w:w="0" w:type="dxa"/>
            </w:tcMar>
          </w:tcPr>
          <w:p w14:paraId="4EB7494F" w14:textId="77777777" w:rsidR="004A3BE4" w:rsidRDefault="004A3BE4" w:rsidP="000A72BC">
            <w:pPr>
              <w:pStyle w:val="Marginlie"/>
              <w:rPr>
                <w:spacing w:val="0"/>
              </w:rPr>
            </w:pPr>
            <w:r>
              <w:rPr>
                <w:spacing w:val="0"/>
              </w:rPr>
              <w:t>Meziroční růst cen průmyslových výrobců v EU výrazně zpomalil.</w:t>
            </w:r>
          </w:p>
        </w:tc>
        <w:tc>
          <w:tcPr>
            <w:tcW w:w="224" w:type="dxa"/>
            <w:shd w:val="clear" w:color="auto" w:fill="auto"/>
            <w:tcMar>
              <w:left w:w="0" w:type="dxa"/>
            </w:tcMar>
          </w:tcPr>
          <w:p w14:paraId="68844CEA" w14:textId="77777777" w:rsidR="004A3BE4" w:rsidRPr="00793D78" w:rsidRDefault="004A3BE4" w:rsidP="000A72BC">
            <w:pPr>
              <w:pStyle w:val="Textpoznpodarou1"/>
              <w:jc w:val="both"/>
            </w:pPr>
          </w:p>
        </w:tc>
        <w:tc>
          <w:tcPr>
            <w:tcW w:w="7611" w:type="dxa"/>
            <w:shd w:val="clear" w:color="auto" w:fill="auto"/>
            <w:tcMar>
              <w:left w:w="0" w:type="dxa"/>
            </w:tcMar>
          </w:tcPr>
          <w:p w14:paraId="36879875" w14:textId="74806FA2" w:rsidR="004A3BE4" w:rsidRDefault="004A3BE4" w:rsidP="000A72BC">
            <w:r>
              <w:t>Meziroční růst cen průmyslových výrobců v EU</w:t>
            </w:r>
            <w:r>
              <w:rPr>
                <w:rStyle w:val="Znakapoznpodarou"/>
              </w:rPr>
              <w:footnoteReference w:id="44"/>
            </w:r>
            <w:r>
              <w:t xml:space="preserve"> v 1. čtvrtletí 2022 dosáhl 12,5 % a výrazně zpomalil oproti předchozímu kvartálu. Přírůstek byl nejnižší od 2. čtvrtletí 2021 a pod 20 % klesl po pěti kvartálech. Meziroční přírůstek cen v EU zpomalil v případě těžby a dobývání (28,5 %), výrobků a služeb zpracovatelského průmyslu </w:t>
            </w:r>
            <w:r>
              <w:lastRenderedPageBreak/>
              <w:t>(9,4 %) i elektřiny, plynu, páry a klimatizovaného vzduchu (16,4 %). Meziroční růst cen průmyslových výrobců byl nejsilnější v Maďarsku (54,9 %), na Slovensku (34,2 %) a v Lotyšsku (33,</w:t>
            </w:r>
            <w:r w:rsidR="6D951AA9">
              <w:t>6</w:t>
            </w:r>
            <w:r>
              <w:t xml:space="preserve"> %). Jen v Irsku byl zaznamenán meziroční pokles cen průmyslových výrobců (−14,0 %), nejméně pak rostly ceny v Řecku (1,9 %) a Portugalsku (2,9 %). Podruhé v řadě ceny průmyslových výrobců klesly mezičtvrtletně (−2,6 %). Snížení se odehrálo celkem ve 14 zemích EU, nejvýraznější bylo v Bulharsku (−10,7), Itálii (−8,0 %) a Irsku (−7,7 %). O 11,3 % mezičtvrtletně vzrostly ceny průmyslových výrobců na Slovensku, druhý nejvyšší příspěvek mělo Česko (4,2 %) a následovala Francie (3,7 %).  </w:t>
            </w:r>
          </w:p>
        </w:tc>
      </w:tr>
      <w:tr w:rsidR="004A3BE4" w:rsidRPr="009110F7" w14:paraId="163892EA" w14:textId="77777777" w:rsidTr="019CB78C">
        <w:trPr>
          <w:trHeight w:val="145"/>
        </w:trPr>
        <w:tc>
          <w:tcPr>
            <w:tcW w:w="1804" w:type="dxa"/>
            <w:shd w:val="clear" w:color="auto" w:fill="auto"/>
            <w:tcMar>
              <w:left w:w="0" w:type="dxa"/>
            </w:tcMar>
          </w:tcPr>
          <w:p w14:paraId="4855D68F" w14:textId="77777777" w:rsidR="004A3BE4" w:rsidRDefault="004A3BE4" w:rsidP="000A72BC">
            <w:pPr>
              <w:pStyle w:val="Marginlie"/>
              <w:rPr>
                <w:spacing w:val="0"/>
              </w:rPr>
            </w:pPr>
            <w:r>
              <w:rPr>
                <w:spacing w:val="0"/>
              </w:rPr>
              <w:lastRenderedPageBreak/>
              <w:t>Pokračovalo zmírňování meziročního růstu cen stavebních prací.</w:t>
            </w:r>
          </w:p>
        </w:tc>
        <w:tc>
          <w:tcPr>
            <w:tcW w:w="224" w:type="dxa"/>
            <w:shd w:val="clear" w:color="auto" w:fill="auto"/>
            <w:tcMar>
              <w:left w:w="0" w:type="dxa"/>
            </w:tcMar>
          </w:tcPr>
          <w:p w14:paraId="2015057E" w14:textId="77777777" w:rsidR="004A3BE4" w:rsidRPr="00793D78" w:rsidRDefault="004A3BE4" w:rsidP="000A72BC">
            <w:pPr>
              <w:pStyle w:val="Textpoznpodarou1"/>
              <w:jc w:val="both"/>
            </w:pPr>
          </w:p>
        </w:tc>
        <w:tc>
          <w:tcPr>
            <w:tcW w:w="7611" w:type="dxa"/>
            <w:shd w:val="clear" w:color="auto" w:fill="auto"/>
            <w:tcMar>
              <w:left w:w="0" w:type="dxa"/>
            </w:tcMar>
          </w:tcPr>
          <w:p w14:paraId="61806892" w14:textId="77777777" w:rsidR="004A3BE4" w:rsidRPr="00793D78" w:rsidRDefault="004A3BE4" w:rsidP="000A72BC">
            <w:r>
              <w:t xml:space="preserve">Ceny stavebních prací v 1. čtvrtletí podle odhadů meziročně vzrostly o 10,3 %. Jejich meziroční přírůstek tak dál zpomaloval. Mezičtvrtletně se ceny stavebních prací zvýšily o 1,7 %. Ceny materiálů a výrobků spotřebovávaných ve stavebnictví byly meziročně vyšší o 12,7 % a mezičtvrtletně vzrostly o 1,9 %.    </w:t>
            </w:r>
          </w:p>
        </w:tc>
      </w:tr>
      <w:tr w:rsidR="004A3BE4" w:rsidRPr="009110F7" w14:paraId="7033B85A" w14:textId="77777777" w:rsidTr="019CB78C">
        <w:trPr>
          <w:trHeight w:val="145"/>
        </w:trPr>
        <w:tc>
          <w:tcPr>
            <w:tcW w:w="1804" w:type="dxa"/>
            <w:shd w:val="clear" w:color="auto" w:fill="auto"/>
            <w:tcMar>
              <w:left w:w="0" w:type="dxa"/>
            </w:tcMar>
          </w:tcPr>
          <w:p w14:paraId="1368E7BD" w14:textId="77777777" w:rsidR="004A3BE4" w:rsidRPr="00793D78" w:rsidRDefault="004A3BE4" w:rsidP="000A72BC">
            <w:pPr>
              <w:pStyle w:val="Marginlie"/>
              <w:rPr>
                <w:spacing w:val="0"/>
              </w:rPr>
            </w:pPr>
            <w:r>
              <w:rPr>
                <w:spacing w:val="0"/>
              </w:rPr>
              <w:t xml:space="preserve">Vývoj u cen dopravy, skladování </w:t>
            </w:r>
            <w:r>
              <w:rPr>
                <w:spacing w:val="0"/>
              </w:rPr>
              <w:br/>
              <w:t>a souvisejících služeb přispěl ke zmírnění meziročního přírůstku cen tržních služeb.</w:t>
            </w:r>
          </w:p>
        </w:tc>
        <w:tc>
          <w:tcPr>
            <w:tcW w:w="224" w:type="dxa"/>
            <w:shd w:val="clear" w:color="auto" w:fill="auto"/>
            <w:tcMar>
              <w:left w:w="0" w:type="dxa"/>
            </w:tcMar>
          </w:tcPr>
          <w:p w14:paraId="3A8EF123" w14:textId="77777777" w:rsidR="004A3BE4" w:rsidRPr="00793D78" w:rsidRDefault="004A3BE4" w:rsidP="000A72BC">
            <w:pPr>
              <w:pStyle w:val="Textpoznpodarou1"/>
              <w:jc w:val="both"/>
            </w:pPr>
          </w:p>
        </w:tc>
        <w:tc>
          <w:tcPr>
            <w:tcW w:w="7611" w:type="dxa"/>
            <w:shd w:val="clear" w:color="auto" w:fill="auto"/>
            <w:tcMar>
              <w:left w:w="0" w:type="dxa"/>
            </w:tcMar>
          </w:tcPr>
          <w:p w14:paraId="18C59D64" w14:textId="77777777" w:rsidR="004A3BE4" w:rsidRPr="00793D78" w:rsidRDefault="004A3BE4" w:rsidP="000A72BC">
            <w:r>
              <w:t xml:space="preserve">Ceny tržních služeb se v 1. čtvrtletí 2023 meziročně zvýšily o 5,8 %. Přírůstek tak podobně jako u ostatních indexů zpomalil ve srovnání s koncem roku 2022. Mezičtvrtletně ceny tržních služeb vzrostly o 1,4 %. Za zpomalením celkového meziročního růstu stál v 1. kvartálu 2023 zejména vývoj cen skladování a podpůrných služeb v dopravě (snížení přírůstku na 3,6 % z 15,2 % ve 4. čtvrtletí 2022), reklamních služeb a průzkumu trhu (na 4,8 % z 15,0 % ve 4. čtvrtletí) a pozemní a potrubní dopravy (na 4,9 % ze 7,7 % ve 4. čtvrtletí). Naopak posiloval a k celkovému růstu významně přispíval přírůstek cen služeb v oblasti programování a souvisejícího poradenství (8,5 %), služeb v oblasti zaměstnání (25,9 %) a služeb v oblasti nemovitostí (5,2 %). Důležitý byl i příspěvek meziročního růstu cen architektonických a inženýrských služeb a technických zkoušek a analýz (5,1 %), informačních služeb (13,1 %), služeb souvisejících se stavbami a úpravou krajiny (12,5 %), služeb v oblasti pronájmu a operativního leasingu (8,2 %) nebo poštovních a kurýrních služeb (7,3 %).     </w:t>
            </w:r>
          </w:p>
        </w:tc>
      </w:tr>
      <w:tr w:rsidR="004A3BE4" w:rsidRPr="009110F7" w14:paraId="32E404D1" w14:textId="77777777" w:rsidTr="019CB78C">
        <w:trPr>
          <w:trHeight w:val="145"/>
        </w:trPr>
        <w:tc>
          <w:tcPr>
            <w:tcW w:w="1804" w:type="dxa"/>
            <w:shd w:val="clear" w:color="auto" w:fill="auto"/>
            <w:tcMar>
              <w:left w:w="0" w:type="dxa"/>
            </w:tcMar>
          </w:tcPr>
          <w:p w14:paraId="0B34494A" w14:textId="77777777" w:rsidR="004A3BE4" w:rsidRPr="00793D78" w:rsidRDefault="004A3BE4" w:rsidP="000A72BC">
            <w:pPr>
              <w:pStyle w:val="Marginlie"/>
              <w:rPr>
                <w:spacing w:val="0"/>
              </w:rPr>
            </w:pPr>
            <w:r>
              <w:rPr>
                <w:spacing w:val="0"/>
              </w:rPr>
              <w:t>Zatímco u rostlinné výroby přírůstek cen zmírnil, u živočišné výroby pokračoval silný růst.</w:t>
            </w:r>
          </w:p>
        </w:tc>
        <w:tc>
          <w:tcPr>
            <w:tcW w:w="224" w:type="dxa"/>
            <w:shd w:val="clear" w:color="auto" w:fill="auto"/>
            <w:tcMar>
              <w:left w:w="0" w:type="dxa"/>
            </w:tcMar>
          </w:tcPr>
          <w:p w14:paraId="6FEC4145" w14:textId="77777777" w:rsidR="004A3BE4" w:rsidRPr="00793D78" w:rsidRDefault="004A3BE4" w:rsidP="000A72BC">
            <w:pPr>
              <w:pStyle w:val="Textpoznpodarou1"/>
              <w:jc w:val="both"/>
            </w:pPr>
          </w:p>
        </w:tc>
        <w:tc>
          <w:tcPr>
            <w:tcW w:w="7611" w:type="dxa"/>
            <w:shd w:val="clear" w:color="auto" w:fill="auto"/>
            <w:tcMar>
              <w:left w:w="0" w:type="dxa"/>
            </w:tcMar>
          </w:tcPr>
          <w:p w14:paraId="5590E668" w14:textId="77777777" w:rsidR="004A3BE4" w:rsidRDefault="004A3BE4" w:rsidP="000A72BC">
            <w:r>
              <w:t xml:space="preserve">Ceny zemědělské výroby (včetně ryb) se v 1. čtvrtletí 2023 meziročně zvýšily </w:t>
            </w:r>
            <w:r>
              <w:br/>
              <w:t xml:space="preserve">o 19,4 %. Tempo tak výrazně zpomalilo oproti předchozímu kvartálu, svou roli ale hrála také vysoká srovnávací základna loňského roku. Mezičtvrtletně se ceny zemědělských výrobců zvýšily o 2,6 %. Meziroční růst cen rostlinné výroby v 1. čtvrtletí zpomalil na 9,8 %. Výrazně se na tom podílel vývoj dynamiky cen obilovin (16,3 %). Mírněji meziročně narůstaly ceny pšenice (13,7 %), žita (37,5 %), ječmene (18,0 %), ovsa (22,3 %) i kukuřice (24,6 %). Do meziročního poklesu se dostaly průmyslové plodiny (−7,0 %), především pod vlivem olejnin (−8,6 %). Krmné plodiny meziročně zdražily o 2,0 %. Výrazný přírůstek cen si naopak zachovala zelenina a zahradnické produkty (18,1 %) a posílil růst cen brambor (37,3 %). Meziročně nižší byly ceny ovoce (−8,7 %). Meziroční růst cen živočišné výroby polevil v 1. čtvrtletí jen mírně a přírůstek dosáhl 34,8 %. Ceny hospodářských zvířat byly vyšší o 32,2 %, z toho u skotu došlo ke zmírnění tempa na 16,2 %. Naopak dál velmi silně rostly ceny prasat a selat (51,1 %) a drůbeže (29,8 %). V případě živočišných výrobků se udrželo vysoké meziroční navýšení cen (36,5 %). Ceny mléka byly v 1. čtvrtletí vyšší o 31,6 % a u vajec tempo prudce narostlo na 82,9 %.   </w:t>
            </w:r>
          </w:p>
        </w:tc>
      </w:tr>
      <w:tr w:rsidR="004A3BE4" w:rsidRPr="009110F7" w14:paraId="4F34F9CD" w14:textId="77777777" w:rsidTr="019CB78C">
        <w:trPr>
          <w:trHeight w:val="145"/>
        </w:trPr>
        <w:tc>
          <w:tcPr>
            <w:tcW w:w="1804" w:type="dxa"/>
            <w:shd w:val="clear" w:color="auto" w:fill="auto"/>
            <w:tcMar>
              <w:left w:w="0" w:type="dxa"/>
            </w:tcMar>
          </w:tcPr>
          <w:p w14:paraId="70998204" w14:textId="77777777" w:rsidR="004A3BE4" w:rsidRPr="00793D78" w:rsidRDefault="004A3BE4" w:rsidP="000A72BC">
            <w:pPr>
              <w:pStyle w:val="Marginlie"/>
              <w:rPr>
                <w:spacing w:val="0"/>
              </w:rPr>
            </w:pPr>
            <w:r>
              <w:rPr>
                <w:spacing w:val="0"/>
              </w:rPr>
              <w:t>Meziroční růst cen exportu zpomalil.</w:t>
            </w:r>
          </w:p>
        </w:tc>
        <w:tc>
          <w:tcPr>
            <w:tcW w:w="224" w:type="dxa"/>
            <w:shd w:val="clear" w:color="auto" w:fill="auto"/>
            <w:tcMar>
              <w:left w:w="0" w:type="dxa"/>
            </w:tcMar>
          </w:tcPr>
          <w:p w14:paraId="4C1DC738" w14:textId="77777777" w:rsidR="004A3BE4" w:rsidRPr="00793D78" w:rsidRDefault="004A3BE4" w:rsidP="000A72BC">
            <w:pPr>
              <w:pStyle w:val="Textpoznpodarou1"/>
              <w:jc w:val="both"/>
            </w:pPr>
          </w:p>
        </w:tc>
        <w:tc>
          <w:tcPr>
            <w:tcW w:w="7611" w:type="dxa"/>
            <w:shd w:val="clear" w:color="auto" w:fill="auto"/>
            <w:tcMar>
              <w:left w:w="0" w:type="dxa"/>
            </w:tcMar>
          </w:tcPr>
          <w:p w14:paraId="2D707B3F" w14:textId="77777777" w:rsidR="004A3BE4" w:rsidRPr="00793D78" w:rsidRDefault="004A3BE4" w:rsidP="000A72BC">
            <w:r>
              <w:t>Na meziročním vývoji cen zahraničního obchodu se v 1. čtvrtletí projevovala vysoká srovnávací základna loňského roku. Přírůstek cen exportu zboží zpomalil na 6,3 %. Kurzové vlivy působily na ceny na obou stranách zahraničního obchodu protiinflačně</w:t>
            </w:r>
            <w:r>
              <w:rPr>
                <w:rStyle w:val="Znakapoznpodarou"/>
              </w:rPr>
              <w:footnoteReference w:id="45"/>
            </w:r>
            <w:r>
              <w:t xml:space="preserve">, hlavně díky meziročnímu posílení kurzu vůči euru. Oslabovala meziroční dynamika cen vývozu u většiny tříd zboží. Nejvíce meziročně rostly ceny vývozu minerálních paliv </w:t>
            </w:r>
            <w:r>
              <w:lastRenderedPageBreak/>
              <w:t>(40,5 %), nápojů a tabáku (přírůstek posílil na 19,9 %) a potravin a živých zvířat (12,1 %). Meziročně vyšší byly i ceny polotovarů</w:t>
            </w:r>
            <w:r>
              <w:rPr>
                <w:rStyle w:val="Znakapoznpodarou"/>
              </w:rPr>
              <w:footnoteReference w:id="46"/>
            </w:r>
            <w:r>
              <w:t xml:space="preserve"> (6,9 %), průmyslového spotřebního zboží (4,2 %), mírně posílil růst cen strojů a dopravních prostředků (2,9 %) a rostly ceny chemikálií a příbuzných výrobků (2,5 %). Výrazně klesly jen ceny ostatních surovin</w:t>
            </w:r>
            <w:r>
              <w:rPr>
                <w:rStyle w:val="Znakapoznpodarou"/>
              </w:rPr>
              <w:footnoteReference w:id="47"/>
            </w:r>
            <w:r>
              <w:t xml:space="preserve"> (−9,9 %). Mezičtvrtletně byly ceny vývozu zboží nižší o 1,3 %.</w:t>
            </w:r>
          </w:p>
        </w:tc>
      </w:tr>
      <w:tr w:rsidR="004A3BE4" w:rsidRPr="009110F7" w14:paraId="25EEDCEC" w14:textId="77777777" w:rsidTr="019CB78C">
        <w:trPr>
          <w:trHeight w:val="145"/>
        </w:trPr>
        <w:tc>
          <w:tcPr>
            <w:tcW w:w="1804" w:type="dxa"/>
            <w:shd w:val="clear" w:color="auto" w:fill="auto"/>
            <w:tcMar>
              <w:left w:w="0" w:type="dxa"/>
            </w:tcMar>
          </w:tcPr>
          <w:p w14:paraId="3E60061D" w14:textId="77777777" w:rsidR="004A3BE4" w:rsidRPr="00793D78" w:rsidRDefault="004A3BE4" w:rsidP="000A72BC">
            <w:pPr>
              <w:pStyle w:val="Marginlie"/>
              <w:rPr>
                <w:spacing w:val="0"/>
              </w:rPr>
            </w:pPr>
            <w:r>
              <w:rPr>
                <w:spacing w:val="0"/>
              </w:rPr>
              <w:lastRenderedPageBreak/>
              <w:t>Směnné relace byly kladné.</w:t>
            </w:r>
          </w:p>
        </w:tc>
        <w:tc>
          <w:tcPr>
            <w:tcW w:w="224" w:type="dxa"/>
            <w:shd w:val="clear" w:color="auto" w:fill="auto"/>
            <w:tcMar>
              <w:left w:w="0" w:type="dxa"/>
            </w:tcMar>
          </w:tcPr>
          <w:p w14:paraId="04D75BCF" w14:textId="77777777" w:rsidR="004A3BE4" w:rsidRPr="00793D78" w:rsidRDefault="004A3BE4" w:rsidP="000A72BC">
            <w:pPr>
              <w:pStyle w:val="Textpoznpodarou1"/>
              <w:jc w:val="both"/>
            </w:pPr>
          </w:p>
        </w:tc>
        <w:tc>
          <w:tcPr>
            <w:tcW w:w="7611" w:type="dxa"/>
            <w:shd w:val="clear" w:color="auto" w:fill="auto"/>
            <w:tcMar>
              <w:left w:w="0" w:type="dxa"/>
            </w:tcMar>
          </w:tcPr>
          <w:p w14:paraId="54E9BC6F" w14:textId="77777777" w:rsidR="004A3BE4" w:rsidRDefault="004A3BE4" w:rsidP="000A72BC">
            <w:r>
              <w:t xml:space="preserve">Ceny importu se v 1. čtvrtletí meziročně zvýšily o 3,2 %. To představuje velmi výrazné zpomalení tempa oproti předchozímu čtvrtletí. S výjimkou nápojů a tabáku (meziroční růst o 23,9 %) zpomalil přírůstek u všech tříd zboží. Dovoz nápojů a tabáku zdražoval nejvíce, ale silně se zvyšovaly i ceny importu potravin a živých zvířat (15,8 %) </w:t>
            </w:r>
            <w:r>
              <w:br/>
              <w:t xml:space="preserve">a výrazný byl přírůstek u průmyslového spotřebního zboží (8,4 %). Prudce zpomalil meziroční růst cen dovozu minerálních paliv (5,6 %), mírně vyšší byly ceny ostatních surovin (1,4 %), polotovarů (1,2 %) i strojů a dopravních prostředků (0,9 %). Meziročně klesly ceny dovozu chemikálií a příbuzných výrobků (−0,3 %). Mezičtvrtletní snížení cen dovozu zboží dosáhlo 4,3 %. Meziroční směnné relace se po sedmi čtvrtletích opět dostaly do pozitivních hodnot (103,0 %). Výrazně kladné byly směnné relace obchodu s minerálními palivy (133,0 %) a pozitivní byly také relace u polotovarů (105,6 %), chemikálií a příbuzných výrobků (102,8 %) a strojů a dopravních prostředků (102,0 %). Naopak záporné byly směnné relace obchodu s ostatními surovinami (88,9 %), průmyslovým spotřebním zbožím (96,1 %), potravinami a živými zvířaty (96,8 %) a nápoji a tabákem (96,8 %).  </w:t>
            </w:r>
          </w:p>
        </w:tc>
      </w:tr>
    </w:tbl>
    <w:p w14:paraId="579E011B" w14:textId="77777777" w:rsidR="004A3BE4" w:rsidRPr="00E42054" w:rsidRDefault="004A3BE4" w:rsidP="004A3BE4">
      <w:pPr>
        <w:pStyle w:val="Nadpis11"/>
        <w:rPr>
          <w:b w:val="0"/>
          <w:sz w:val="2"/>
          <w:szCs w:val="2"/>
        </w:rPr>
      </w:pPr>
    </w:p>
    <w:p w14:paraId="639D4B90" w14:textId="77777777" w:rsidR="004A3BE4" w:rsidRPr="000F45E7" w:rsidRDefault="004A3BE4" w:rsidP="004A3BE4">
      <w:pPr>
        <w:pStyle w:val="Nadpis11"/>
        <w:spacing w:after="0"/>
        <w:rPr>
          <w:b w:val="0"/>
          <w:sz w:val="2"/>
          <w:szCs w:val="2"/>
        </w:rPr>
      </w:pPr>
    </w:p>
    <w:p w14:paraId="2468BC97" w14:textId="77777777" w:rsidR="004A3BE4" w:rsidRPr="00E42054" w:rsidRDefault="004A3BE4" w:rsidP="004A3BE4">
      <w:pPr>
        <w:pStyle w:val="Nadpis11"/>
        <w:rPr>
          <w:b w:val="0"/>
          <w:sz w:val="2"/>
          <w:szCs w:val="2"/>
        </w:rPr>
      </w:pPr>
    </w:p>
    <w:p w14:paraId="6117A832" w14:textId="77777777" w:rsidR="004A3BE4" w:rsidRPr="001C3855" w:rsidRDefault="004A3BE4" w:rsidP="004A3BE4">
      <w:pPr>
        <w:pStyle w:val="Nadpis11"/>
        <w:rPr>
          <w:sz w:val="2"/>
          <w:szCs w:val="2"/>
        </w:rPr>
      </w:pPr>
    </w:p>
    <w:p w14:paraId="24BE6C1E" w14:textId="77777777" w:rsidR="0087722C" w:rsidRPr="000F45E7" w:rsidRDefault="0087722C" w:rsidP="0087722C">
      <w:pPr>
        <w:pStyle w:val="Nadpis11"/>
        <w:spacing w:after="0"/>
        <w:rPr>
          <w:b w:val="0"/>
          <w:sz w:val="2"/>
          <w:szCs w:val="2"/>
        </w:rPr>
      </w:pPr>
    </w:p>
    <w:p w14:paraId="38468288" w14:textId="77777777" w:rsidR="0087722C" w:rsidRPr="00E42054" w:rsidRDefault="0087722C" w:rsidP="0087722C">
      <w:pPr>
        <w:pStyle w:val="Nadpis11"/>
        <w:rPr>
          <w:b w:val="0"/>
          <w:sz w:val="2"/>
          <w:szCs w:val="2"/>
        </w:rPr>
      </w:pPr>
    </w:p>
    <w:p w14:paraId="6F53A4E4" w14:textId="77777777" w:rsidR="0087722C" w:rsidRDefault="0087722C">
      <w:pPr>
        <w:spacing w:after="0" w:line="240" w:lineRule="auto"/>
        <w:jc w:val="left"/>
        <w:rPr>
          <w:rFonts w:eastAsia="MS Gothic"/>
          <w:b/>
          <w:bCs/>
          <w:color w:val="71818C"/>
          <w:sz w:val="32"/>
          <w:szCs w:val="28"/>
        </w:rPr>
      </w:pPr>
      <w:r>
        <w:br w:type="page"/>
      </w:r>
    </w:p>
    <w:p w14:paraId="09EBA099" w14:textId="77777777" w:rsidR="00765928" w:rsidRDefault="00765928" w:rsidP="00765928">
      <w:pPr>
        <w:pStyle w:val="Nadpis11"/>
        <w:spacing w:after="120"/>
      </w:pPr>
      <w:bookmarkStart w:id="36" w:name="_Toc121993822"/>
      <w:bookmarkStart w:id="37" w:name="_Toc137721913"/>
      <w:bookmarkEnd w:id="34"/>
      <w:r w:rsidRPr="00B43216">
        <w:lastRenderedPageBreak/>
        <w:t>6. Trh práce</w:t>
      </w:r>
      <w:bookmarkEnd w:id="36"/>
      <w:bookmarkEnd w:id="37"/>
    </w:p>
    <w:tbl>
      <w:tblPr>
        <w:tblW w:w="9674" w:type="dxa"/>
        <w:tblInd w:w="-35" w:type="dxa"/>
        <w:tblCellMar>
          <w:left w:w="0" w:type="dxa"/>
          <w:right w:w="0" w:type="dxa"/>
        </w:tblCellMar>
        <w:tblLook w:val="00A0" w:firstRow="1" w:lastRow="0" w:firstColumn="1" w:lastColumn="0" w:noHBand="0" w:noVBand="0"/>
      </w:tblPr>
      <w:tblGrid>
        <w:gridCol w:w="1736"/>
        <w:gridCol w:w="195"/>
        <w:gridCol w:w="7743"/>
      </w:tblGrid>
      <w:tr w:rsidR="00765928" w:rsidRPr="009F0D7F" w14:paraId="6B92270C" w14:textId="77777777" w:rsidTr="00FD4372">
        <w:trPr>
          <w:trHeight w:val="155"/>
        </w:trPr>
        <w:tc>
          <w:tcPr>
            <w:tcW w:w="1814" w:type="dxa"/>
            <w:shd w:val="clear" w:color="auto" w:fill="auto"/>
            <w:tcMar>
              <w:left w:w="0" w:type="dxa"/>
            </w:tcMar>
          </w:tcPr>
          <w:p w14:paraId="2F7CBA77" w14:textId="77777777" w:rsidR="00765928" w:rsidRDefault="00765928" w:rsidP="00FD4372">
            <w:pPr>
              <w:pStyle w:val="Marginlie"/>
              <w:spacing w:after="120"/>
              <w:rPr>
                <w:color w:val="0D0D0D" w:themeColor="text1" w:themeTint="F2"/>
                <w:spacing w:val="-4"/>
              </w:rPr>
            </w:pPr>
            <w:r>
              <w:rPr>
                <w:color w:val="0D0D0D" w:themeColor="text1" w:themeTint="F2"/>
                <w:spacing w:val="-4"/>
              </w:rPr>
              <w:t xml:space="preserve">Dopady hospodářské recese na trh práce nebyly dosud výrazné, v řadě oblasti služeb převážil efekt </w:t>
            </w:r>
            <w:proofErr w:type="spellStart"/>
            <w:r>
              <w:rPr>
                <w:color w:val="0D0D0D" w:themeColor="text1" w:themeTint="F2"/>
                <w:spacing w:val="-4"/>
              </w:rPr>
              <w:t>postpandemického</w:t>
            </w:r>
            <w:proofErr w:type="spellEnd"/>
            <w:r>
              <w:rPr>
                <w:color w:val="0D0D0D" w:themeColor="text1" w:themeTint="F2"/>
                <w:spacing w:val="-4"/>
              </w:rPr>
              <w:t xml:space="preserve"> zotavování.</w:t>
            </w:r>
          </w:p>
        </w:tc>
        <w:tc>
          <w:tcPr>
            <w:tcW w:w="204" w:type="dxa"/>
            <w:shd w:val="clear" w:color="auto" w:fill="auto"/>
            <w:tcMar>
              <w:left w:w="0" w:type="dxa"/>
            </w:tcMar>
          </w:tcPr>
          <w:p w14:paraId="5F0A3980" w14:textId="77777777" w:rsidR="00765928" w:rsidRPr="009F0D7F" w:rsidRDefault="00765928" w:rsidP="00FD4372">
            <w:pPr>
              <w:pStyle w:val="Textpoznpodarou"/>
              <w:spacing w:after="120"/>
              <w:jc w:val="both"/>
              <w:rPr>
                <w:color w:val="0D0D0D" w:themeColor="text1" w:themeTint="F2"/>
                <w:spacing w:val="-4"/>
              </w:rPr>
            </w:pPr>
          </w:p>
        </w:tc>
        <w:tc>
          <w:tcPr>
            <w:tcW w:w="7751" w:type="dxa"/>
            <w:shd w:val="clear" w:color="auto" w:fill="auto"/>
            <w:tcMar>
              <w:left w:w="0" w:type="dxa"/>
            </w:tcMar>
          </w:tcPr>
          <w:p w14:paraId="264CCE46" w14:textId="77777777" w:rsidR="00765928" w:rsidRPr="00FE39EE" w:rsidRDefault="00765928" w:rsidP="00FD4372">
            <w:pPr>
              <w:rPr>
                <w:color w:val="0D0D0D" w:themeColor="text1" w:themeTint="F2"/>
                <w:spacing w:val="-4"/>
              </w:rPr>
            </w:pPr>
            <w:r w:rsidRPr="00FE39EE">
              <w:rPr>
                <w:color w:val="0D0D0D" w:themeColor="text1" w:themeTint="F2"/>
                <w:spacing w:val="-4"/>
              </w:rPr>
              <w:t>Tuzemský trh práce</w:t>
            </w:r>
            <w:r>
              <w:rPr>
                <w:color w:val="0D0D0D" w:themeColor="text1" w:themeTint="F2"/>
                <w:spacing w:val="-4"/>
              </w:rPr>
              <w:t xml:space="preserve"> reagoval na mělkou hospodářskou recesi, patrnou ve druhé polovině loňského roku, se zpožděním a v řadě ohledů navíc dosud nejednoznačně. Dopady energetického šoku i předcházejících pandemických restrikcí byly z pohledu odvětví či postavení pracovníků v zaměstnání značně nerovnoměrné. Produkce v řadě energeticky náročných oborů loni i letos klesala, na což podniky postupně reagovaly sníženou poptávkou po práci. Slabší byly také krátkodobé výhledy u zaměstnanosti. Na druhou stranu mnohá tržní odvětví služeb pokračovala v </w:t>
            </w:r>
            <w:proofErr w:type="spellStart"/>
            <w:r>
              <w:rPr>
                <w:color w:val="0D0D0D" w:themeColor="text1" w:themeTint="F2"/>
                <w:spacing w:val="-4"/>
              </w:rPr>
              <w:t>postpandemickém</w:t>
            </w:r>
            <w:proofErr w:type="spellEnd"/>
            <w:r>
              <w:rPr>
                <w:color w:val="0D0D0D" w:themeColor="text1" w:themeTint="F2"/>
                <w:spacing w:val="-4"/>
              </w:rPr>
              <w:t xml:space="preserve"> zotavování podpořeném posílením příjezdového cestovního ruchu i uprchlickou vlnou z Ukrajiny. Počet evidovaných volných pracovních míst se sice meziročně snížil (i vlivem postupné absorpce žen z Ukrajiny na pracovní trh), obecná míra nezaměstnanosti však výrazněji nevzrostla a setrvávala blízko historického minima. Obavy lidí z růstu nezaměstnanosti od počátku letošního roku slábly. Příznivé postavení zaměstnanců na pracovním trhu práce doprovázené nebývale silným růstem životních nákladů domácností zvyšovalo tlak na růst mezd v ekonomice.</w:t>
            </w:r>
          </w:p>
        </w:tc>
      </w:tr>
      <w:tr w:rsidR="00765928" w:rsidRPr="009F0D7F" w14:paraId="181EB3C2" w14:textId="77777777" w:rsidTr="00FD4372">
        <w:trPr>
          <w:trHeight w:val="155"/>
        </w:trPr>
        <w:tc>
          <w:tcPr>
            <w:tcW w:w="1814" w:type="dxa"/>
            <w:shd w:val="clear" w:color="auto" w:fill="auto"/>
            <w:tcMar>
              <w:left w:w="0" w:type="dxa"/>
            </w:tcMar>
          </w:tcPr>
          <w:p w14:paraId="60F0EC78" w14:textId="77777777" w:rsidR="00765928" w:rsidRDefault="00765928" w:rsidP="00FD4372">
            <w:pPr>
              <w:pStyle w:val="Marginlie"/>
              <w:spacing w:after="120"/>
              <w:rPr>
                <w:color w:val="0D0D0D" w:themeColor="text1" w:themeTint="F2"/>
                <w:spacing w:val="-4"/>
              </w:rPr>
            </w:pPr>
            <w:proofErr w:type="spellStart"/>
            <w:r>
              <w:rPr>
                <w:color w:val="0D0D0D" w:themeColor="text1" w:themeTint="F2"/>
                <w:spacing w:val="-4"/>
              </w:rPr>
              <w:t>Mezikvartální</w:t>
            </w:r>
            <w:proofErr w:type="spellEnd"/>
            <w:r>
              <w:rPr>
                <w:color w:val="0D0D0D" w:themeColor="text1" w:themeTint="F2"/>
                <w:spacing w:val="-4"/>
              </w:rPr>
              <w:t xml:space="preserve"> pokles zaměstnanosti se zastavil díky nárůstu počtu drobných podnikatelů na počátku roku. </w:t>
            </w:r>
          </w:p>
          <w:p w14:paraId="15ACB434" w14:textId="77777777" w:rsidR="00765928" w:rsidRDefault="00765928" w:rsidP="00FD4372">
            <w:pPr>
              <w:pStyle w:val="Marginlie"/>
              <w:spacing w:after="120"/>
              <w:rPr>
                <w:color w:val="0D0D0D" w:themeColor="text1" w:themeTint="F2"/>
                <w:spacing w:val="-4"/>
              </w:rPr>
            </w:pPr>
          </w:p>
          <w:p w14:paraId="1D89E4FE" w14:textId="77777777" w:rsidR="00765928" w:rsidRDefault="00765928" w:rsidP="00FD4372">
            <w:pPr>
              <w:pStyle w:val="Marginlie"/>
              <w:spacing w:after="120"/>
              <w:rPr>
                <w:color w:val="0D0D0D" w:themeColor="text1" w:themeTint="F2"/>
                <w:spacing w:val="-4"/>
              </w:rPr>
            </w:pPr>
          </w:p>
          <w:p w14:paraId="4E229D4B" w14:textId="77777777" w:rsidR="00765928" w:rsidRDefault="00765928" w:rsidP="00FD4372">
            <w:pPr>
              <w:pStyle w:val="Marginlie"/>
              <w:spacing w:after="120"/>
              <w:rPr>
                <w:color w:val="0D0D0D" w:themeColor="text1" w:themeTint="F2"/>
                <w:spacing w:val="-4"/>
              </w:rPr>
            </w:pPr>
          </w:p>
          <w:p w14:paraId="20F928DB" w14:textId="77777777" w:rsidR="00765928" w:rsidRDefault="00765928" w:rsidP="00FD4372">
            <w:pPr>
              <w:pStyle w:val="Marginlie"/>
              <w:spacing w:after="120"/>
              <w:rPr>
                <w:color w:val="0D0D0D" w:themeColor="text1" w:themeTint="F2"/>
                <w:spacing w:val="-4"/>
              </w:rPr>
            </w:pPr>
            <w:r>
              <w:rPr>
                <w:color w:val="0D0D0D" w:themeColor="text1" w:themeTint="F2"/>
                <w:spacing w:val="-4"/>
              </w:rPr>
              <w:t>K meziročnímu růstu zaměstnanosti přispěly především veřejné služby, v průmyslu počty pracovníků stagnovaly.</w:t>
            </w:r>
          </w:p>
        </w:tc>
        <w:tc>
          <w:tcPr>
            <w:tcW w:w="204" w:type="dxa"/>
            <w:shd w:val="clear" w:color="auto" w:fill="auto"/>
            <w:tcMar>
              <w:left w:w="0" w:type="dxa"/>
            </w:tcMar>
          </w:tcPr>
          <w:p w14:paraId="11A10E89" w14:textId="77777777" w:rsidR="00765928" w:rsidRPr="009F0D7F" w:rsidRDefault="00765928" w:rsidP="00FD4372">
            <w:pPr>
              <w:pStyle w:val="Textpoznpodarou"/>
              <w:spacing w:after="120"/>
              <w:jc w:val="both"/>
              <w:rPr>
                <w:color w:val="0D0D0D" w:themeColor="text1" w:themeTint="F2"/>
                <w:spacing w:val="-4"/>
              </w:rPr>
            </w:pPr>
          </w:p>
        </w:tc>
        <w:tc>
          <w:tcPr>
            <w:tcW w:w="7751" w:type="dxa"/>
            <w:shd w:val="clear" w:color="auto" w:fill="auto"/>
            <w:tcMar>
              <w:left w:w="0" w:type="dxa"/>
            </w:tcMar>
          </w:tcPr>
          <w:p w14:paraId="6AB7615A" w14:textId="77777777" w:rsidR="00765928" w:rsidRPr="00FE39EE" w:rsidRDefault="00765928" w:rsidP="00FD4372">
            <w:pPr>
              <w:rPr>
                <w:color w:val="0D0D0D" w:themeColor="text1" w:themeTint="F2"/>
                <w:spacing w:val="-4"/>
              </w:rPr>
            </w:pPr>
            <w:r>
              <w:rPr>
                <w:color w:val="0D0D0D" w:themeColor="text1" w:themeTint="F2"/>
                <w:spacing w:val="-4"/>
              </w:rPr>
              <w:t>Celková zaměstnanost</w:t>
            </w:r>
            <w:r w:rsidRPr="00FE39EE">
              <w:rPr>
                <w:color w:val="0D0D0D" w:themeColor="text1" w:themeTint="F2"/>
                <w:spacing w:val="-4"/>
                <w:vertAlign w:val="superscript"/>
              </w:rPr>
              <w:footnoteReference w:id="48"/>
            </w:r>
            <w:r>
              <w:rPr>
                <w:color w:val="0D0D0D" w:themeColor="text1" w:themeTint="F2"/>
                <w:spacing w:val="-4"/>
              </w:rPr>
              <w:t xml:space="preserve"> se letos v 1. čtvrtletí </w:t>
            </w:r>
            <w:proofErr w:type="spellStart"/>
            <w:r w:rsidRPr="00FE39EE">
              <w:rPr>
                <w:color w:val="0D0D0D" w:themeColor="text1" w:themeTint="F2"/>
                <w:spacing w:val="-4"/>
              </w:rPr>
              <w:t>mezikvartáln</w:t>
            </w:r>
            <w:r>
              <w:rPr>
                <w:color w:val="0D0D0D" w:themeColor="text1" w:themeTint="F2"/>
                <w:spacing w:val="-4"/>
              </w:rPr>
              <w:t>ě</w:t>
            </w:r>
            <w:proofErr w:type="spellEnd"/>
            <w:r>
              <w:rPr>
                <w:color w:val="0D0D0D" w:themeColor="text1" w:themeTint="F2"/>
                <w:spacing w:val="-4"/>
              </w:rPr>
              <w:t xml:space="preserve"> mírně zvýšila o 0,4 % a fakticky tak kompenzovala mělký pokles z 2. pololetí 2022. Počet pracovníků v ekonomice (5,47 mil.) jen těsně zaostal za absolutním maximem. Letošní oživení souviselo s citelným růstem počtu drobných podnikatelů, resp. </w:t>
            </w:r>
            <w:proofErr w:type="spellStart"/>
            <w:r>
              <w:rPr>
                <w:color w:val="0D0D0D" w:themeColor="text1" w:themeTint="F2"/>
                <w:spacing w:val="-4"/>
              </w:rPr>
              <w:t>sebezaměstnaných</w:t>
            </w:r>
            <w:proofErr w:type="spellEnd"/>
            <w:r>
              <w:rPr>
                <w:rStyle w:val="Znakapoznpodarou"/>
                <w:spacing w:val="-5"/>
              </w:rPr>
              <w:footnoteReference w:id="49"/>
            </w:r>
            <w:r>
              <w:rPr>
                <w:color w:val="0D0D0D" w:themeColor="text1" w:themeTint="F2"/>
                <w:spacing w:val="-4"/>
              </w:rPr>
              <w:t xml:space="preserve"> (mezičtvrtletně o 3,4 %), k němuž došlo napříč takřka všemi hlavními odvětvími (vyjma oblasti nemovitostí). </w:t>
            </w:r>
            <w:proofErr w:type="spellStart"/>
            <w:r>
              <w:rPr>
                <w:color w:val="0D0D0D" w:themeColor="text1" w:themeTint="F2"/>
                <w:spacing w:val="-4"/>
              </w:rPr>
              <w:t>Sebezaměstnaných</w:t>
            </w:r>
            <w:proofErr w:type="spellEnd"/>
            <w:r>
              <w:rPr>
                <w:color w:val="0D0D0D" w:themeColor="text1" w:themeTint="F2"/>
                <w:spacing w:val="-4"/>
              </w:rPr>
              <w:t xml:space="preserve"> přibylo i v meziročním srovnání (+17 tis.), za vrcholem z éry </w:t>
            </w:r>
            <w:proofErr w:type="spellStart"/>
            <w:r>
              <w:rPr>
                <w:color w:val="0D0D0D" w:themeColor="text1" w:themeTint="F2"/>
                <w:spacing w:val="-4"/>
              </w:rPr>
              <w:t>předpandemické</w:t>
            </w:r>
            <w:proofErr w:type="spellEnd"/>
            <w:r>
              <w:rPr>
                <w:color w:val="0D0D0D" w:themeColor="text1" w:themeTint="F2"/>
                <w:spacing w:val="-4"/>
              </w:rPr>
              <w:t xml:space="preserve"> konjunktury ale jejich počet stále znatelně zaostával</w:t>
            </w:r>
            <w:r>
              <w:rPr>
                <w:rStyle w:val="Znakapoznpodarou"/>
                <w:color w:val="0D0D0D" w:themeColor="text1" w:themeTint="F2"/>
                <w:spacing w:val="-4"/>
              </w:rPr>
              <w:footnoteReference w:id="50"/>
            </w:r>
            <w:r>
              <w:rPr>
                <w:color w:val="0D0D0D" w:themeColor="text1" w:themeTint="F2"/>
                <w:spacing w:val="-4"/>
              </w:rPr>
              <w:t>. Meziroční růst celkové zaměstnanosti ovšem i letos táhli zejména zaměstnanci (+59 tis.), na rozdíl od předchozích let docházelo k rozšiřování pracovních míst z drtivé části jen v terciárním sektoru. V něm se nejvíce projevilo zrychlení růstu zaměstnanosti ve veřejných službách, kde vznikaly nové pozice v oblastech tradičně spojených s vysokým zastoupením žen (vzdělávání, zdravotní a sociální péče). Relativně nejvíce (obdobně jako za celý loňský rok) ale narůstaly stavy zaměstnanců v i</w:t>
            </w:r>
            <w:r w:rsidRPr="0089526E">
              <w:rPr>
                <w:color w:val="0D0D0D" w:themeColor="text1" w:themeTint="F2"/>
                <w:spacing w:val="-4"/>
              </w:rPr>
              <w:t>nformační</w:t>
            </w:r>
            <w:r>
              <w:rPr>
                <w:color w:val="0D0D0D" w:themeColor="text1" w:themeTint="F2"/>
                <w:spacing w:val="-4"/>
              </w:rPr>
              <w:t>ch</w:t>
            </w:r>
            <w:r w:rsidRPr="0089526E">
              <w:rPr>
                <w:color w:val="0D0D0D" w:themeColor="text1" w:themeTint="F2"/>
                <w:spacing w:val="-4"/>
              </w:rPr>
              <w:t xml:space="preserve"> a</w:t>
            </w:r>
            <w:r>
              <w:rPr>
                <w:color w:val="0D0D0D" w:themeColor="text1" w:themeTint="F2"/>
                <w:spacing w:val="-4"/>
              </w:rPr>
              <w:t> </w:t>
            </w:r>
            <w:r w:rsidRPr="0089526E">
              <w:rPr>
                <w:color w:val="0D0D0D" w:themeColor="text1" w:themeTint="F2"/>
                <w:spacing w:val="-4"/>
              </w:rPr>
              <w:t>komunikační</w:t>
            </w:r>
            <w:r>
              <w:rPr>
                <w:color w:val="0D0D0D" w:themeColor="text1" w:themeTint="F2"/>
                <w:spacing w:val="-4"/>
              </w:rPr>
              <w:t>ch</w:t>
            </w:r>
            <w:r w:rsidRPr="0089526E">
              <w:rPr>
                <w:color w:val="0D0D0D" w:themeColor="text1" w:themeTint="F2"/>
                <w:spacing w:val="-4"/>
              </w:rPr>
              <w:t xml:space="preserve"> činnos</w:t>
            </w:r>
            <w:r>
              <w:rPr>
                <w:color w:val="0D0D0D" w:themeColor="text1" w:themeTint="F2"/>
                <w:spacing w:val="-4"/>
              </w:rPr>
              <w:t xml:space="preserve">tech (+4,3 %), vyšší poptávku po práci signalizovaly i sofistikovanější </w:t>
            </w:r>
            <w:r w:rsidRPr="00533728">
              <w:rPr>
                <w:color w:val="0D0D0D" w:themeColor="text1" w:themeTint="F2"/>
                <w:spacing w:val="-8"/>
              </w:rPr>
              <w:t>služby pro podniky (přibývalo zaměstnanců i drobných podnikatelů). Naopak</w:t>
            </w:r>
            <w:r>
              <w:rPr>
                <w:color w:val="0D0D0D" w:themeColor="text1" w:themeTint="F2"/>
                <w:spacing w:val="-8"/>
              </w:rPr>
              <w:t xml:space="preserve"> </w:t>
            </w:r>
            <w:r w:rsidRPr="00533728">
              <w:rPr>
                <w:color w:val="0D0D0D" w:themeColor="text1" w:themeTint="F2"/>
                <w:spacing w:val="-8"/>
              </w:rPr>
              <w:t>ve zpracovatelském</w:t>
            </w:r>
            <w:r>
              <w:rPr>
                <w:color w:val="0D0D0D" w:themeColor="text1" w:themeTint="F2"/>
                <w:spacing w:val="-4"/>
              </w:rPr>
              <w:t xml:space="preserve"> průmyslu pod vlivem přetrvávajících problémů s dodavatelskými řetězci umocněných silnými nákladovými tlaky vyvolanými růstem energií a dalšími </w:t>
            </w:r>
            <w:proofErr w:type="spellStart"/>
            <w:r>
              <w:rPr>
                <w:color w:val="0D0D0D" w:themeColor="text1" w:themeTint="F2"/>
                <w:spacing w:val="-4"/>
              </w:rPr>
              <w:t>mezivstupy</w:t>
            </w:r>
            <w:proofErr w:type="spellEnd"/>
            <w:r>
              <w:rPr>
                <w:color w:val="0D0D0D" w:themeColor="text1" w:themeTint="F2"/>
                <w:spacing w:val="-4"/>
              </w:rPr>
              <w:t xml:space="preserve"> celkový počet pracovníků meziročně pouze stagnoval a dosáhl nejslabší dynamiky od poloviny roku 2021. Na loňské úrovni setrvala zaměstnanost i v těžbě a energetice. Za vyšším letošním počtem pracovníků ve stavebnictví (+3,5 %) i v primárním sektoru (+1,5 %) stáli převážně drobní podnikatelé. </w:t>
            </w:r>
          </w:p>
        </w:tc>
      </w:tr>
      <w:tr w:rsidR="00765928" w:rsidRPr="009F0D7F" w14:paraId="4E738115" w14:textId="77777777" w:rsidTr="00FD4372">
        <w:trPr>
          <w:trHeight w:val="155"/>
        </w:trPr>
        <w:tc>
          <w:tcPr>
            <w:tcW w:w="1814" w:type="dxa"/>
            <w:shd w:val="clear" w:color="auto" w:fill="auto"/>
            <w:tcMar>
              <w:left w:w="0" w:type="dxa"/>
            </w:tcMar>
          </w:tcPr>
          <w:p w14:paraId="6CE2C8D4" w14:textId="77777777" w:rsidR="00765928" w:rsidRDefault="00765928" w:rsidP="00FD4372">
            <w:pPr>
              <w:pStyle w:val="Marginlie"/>
              <w:spacing w:after="120"/>
              <w:rPr>
                <w:color w:val="0D0D0D" w:themeColor="text1" w:themeTint="F2"/>
                <w:spacing w:val="-4"/>
              </w:rPr>
            </w:pPr>
            <w:r>
              <w:rPr>
                <w:color w:val="0D0D0D" w:themeColor="text1" w:themeTint="F2"/>
                <w:spacing w:val="-4"/>
              </w:rPr>
              <w:t>Růst odpracovaných hodin byl ovlivněn meziročním poklesem nemocnosti.</w:t>
            </w:r>
          </w:p>
        </w:tc>
        <w:tc>
          <w:tcPr>
            <w:tcW w:w="204" w:type="dxa"/>
            <w:shd w:val="clear" w:color="auto" w:fill="auto"/>
            <w:tcMar>
              <w:left w:w="0" w:type="dxa"/>
            </w:tcMar>
          </w:tcPr>
          <w:p w14:paraId="533F656D" w14:textId="77777777" w:rsidR="00765928" w:rsidRPr="009F0D7F" w:rsidRDefault="00765928" w:rsidP="00FD4372">
            <w:pPr>
              <w:pStyle w:val="Textpoznpodarou"/>
              <w:spacing w:after="120"/>
              <w:jc w:val="both"/>
              <w:rPr>
                <w:color w:val="0D0D0D" w:themeColor="text1" w:themeTint="F2"/>
                <w:spacing w:val="-4"/>
              </w:rPr>
            </w:pPr>
          </w:p>
        </w:tc>
        <w:tc>
          <w:tcPr>
            <w:tcW w:w="7751" w:type="dxa"/>
            <w:shd w:val="clear" w:color="auto" w:fill="auto"/>
            <w:tcMar>
              <w:left w:w="0" w:type="dxa"/>
            </w:tcMar>
          </w:tcPr>
          <w:p w14:paraId="4222DC8A" w14:textId="77777777" w:rsidR="00765928" w:rsidRPr="00FE39EE" w:rsidRDefault="00765928" w:rsidP="00FD4372">
            <w:pPr>
              <w:rPr>
                <w:color w:val="0D0D0D" w:themeColor="text1" w:themeTint="F2"/>
                <w:spacing w:val="-4"/>
              </w:rPr>
            </w:pPr>
            <w:r>
              <w:rPr>
                <w:color w:val="0D0D0D" w:themeColor="text1" w:themeTint="F2"/>
                <w:spacing w:val="-4"/>
              </w:rPr>
              <w:t>Celkový počet odpracovaných hodin v ekonomice se v 1. čtvrtletí meziročně zvýšil o 1,6 %, rostl tak mírně vyšším tempem než celková zaměstnanost. Za vyšší odpracovanou dobou stál pokles nemocnosti (1. čtvrtletí 2022 bylo ještě negativně ovlivněno doznívající pandemií), v opačném směru patrně působilo rozšiřování zkrácených pracovních úvazků (související s rostoucí zaměstnaností žen podpořenou uprchlickou vlnou i nově zavedeným daňovým zvýhodněním zkrácených úvazků). Růst odpracované doby předbíhal dynamiku zaměstnanosti zejména ve veřejných službách a v oblasti služeb pro podniky.</w:t>
            </w:r>
          </w:p>
        </w:tc>
      </w:tr>
      <w:tr w:rsidR="00765928" w:rsidRPr="009F0D7F" w14:paraId="7BD265A1" w14:textId="77777777" w:rsidTr="00FD4372">
        <w:trPr>
          <w:trHeight w:val="155"/>
        </w:trPr>
        <w:tc>
          <w:tcPr>
            <w:tcW w:w="1814" w:type="dxa"/>
            <w:shd w:val="clear" w:color="auto" w:fill="auto"/>
            <w:tcMar>
              <w:left w:w="0" w:type="dxa"/>
            </w:tcMar>
          </w:tcPr>
          <w:p w14:paraId="402BF27F" w14:textId="77777777" w:rsidR="00765928" w:rsidRDefault="00765928" w:rsidP="00FD4372">
            <w:pPr>
              <w:pStyle w:val="Marginlie"/>
              <w:spacing w:after="120"/>
              <w:rPr>
                <w:color w:val="0D0D0D" w:themeColor="text1" w:themeTint="F2"/>
                <w:spacing w:val="-4"/>
              </w:rPr>
            </w:pPr>
            <w:r>
              <w:rPr>
                <w:color w:val="0D0D0D" w:themeColor="text1" w:themeTint="F2"/>
                <w:spacing w:val="-4"/>
              </w:rPr>
              <w:t xml:space="preserve">Tuzemští </w:t>
            </w:r>
            <w:proofErr w:type="gramStart"/>
            <w:r>
              <w:rPr>
                <w:color w:val="0D0D0D" w:themeColor="text1" w:themeTint="F2"/>
                <w:spacing w:val="-4"/>
              </w:rPr>
              <w:t>zaměstnavatelé dále</w:t>
            </w:r>
            <w:proofErr w:type="gramEnd"/>
            <w:r>
              <w:rPr>
                <w:color w:val="0D0D0D" w:themeColor="text1" w:themeTint="F2"/>
                <w:spacing w:val="-4"/>
              </w:rPr>
              <w:t xml:space="preserve"> poptávali pracovníky ze zahraničí. Od ledna do dubna 2023 se však již počet zaměstnaných cizinců příliš neměnil, což </w:t>
            </w:r>
            <w:r>
              <w:rPr>
                <w:color w:val="0D0D0D" w:themeColor="text1" w:themeTint="F2"/>
                <w:spacing w:val="-4"/>
              </w:rPr>
              <w:lastRenderedPageBreak/>
              <w:t>mohlo souviset se slabšími výsledky tradičních výrobních odvětví v Česku.</w:t>
            </w:r>
          </w:p>
        </w:tc>
        <w:tc>
          <w:tcPr>
            <w:tcW w:w="204" w:type="dxa"/>
            <w:shd w:val="clear" w:color="auto" w:fill="auto"/>
            <w:tcMar>
              <w:left w:w="0" w:type="dxa"/>
            </w:tcMar>
          </w:tcPr>
          <w:p w14:paraId="7102D33E" w14:textId="77777777" w:rsidR="00765928" w:rsidRPr="009F0D7F" w:rsidRDefault="00765928" w:rsidP="00FD4372">
            <w:pPr>
              <w:pStyle w:val="Textpoznpodarou"/>
              <w:spacing w:after="120"/>
              <w:jc w:val="both"/>
              <w:rPr>
                <w:color w:val="0D0D0D" w:themeColor="text1" w:themeTint="F2"/>
                <w:spacing w:val="-4"/>
              </w:rPr>
            </w:pPr>
          </w:p>
        </w:tc>
        <w:tc>
          <w:tcPr>
            <w:tcW w:w="7751" w:type="dxa"/>
            <w:shd w:val="clear" w:color="auto" w:fill="auto"/>
            <w:tcMar>
              <w:left w:w="0" w:type="dxa"/>
            </w:tcMar>
          </w:tcPr>
          <w:p w14:paraId="146EDAF3" w14:textId="77777777" w:rsidR="00765928" w:rsidRPr="00031007" w:rsidRDefault="00765928" w:rsidP="00FD4372">
            <w:pPr>
              <w:rPr>
                <w:color w:val="0D0D0D" w:themeColor="text1" w:themeTint="F2"/>
                <w:spacing w:val="-6"/>
              </w:rPr>
            </w:pPr>
            <w:r w:rsidRPr="00031007">
              <w:rPr>
                <w:color w:val="0D0D0D" w:themeColor="text1" w:themeTint="F2"/>
                <w:spacing w:val="-6"/>
              </w:rPr>
              <w:t xml:space="preserve">Vzhledem k značně omezenému rezervoáru volných pracovních sil v Česku i silnému tlaku na optimalizaci výrobních nákladů poptávali </w:t>
            </w:r>
            <w:r>
              <w:rPr>
                <w:color w:val="0D0D0D" w:themeColor="text1" w:themeTint="F2"/>
                <w:spacing w:val="-6"/>
              </w:rPr>
              <w:t xml:space="preserve">tuzemští zaměstnavatelé </w:t>
            </w:r>
            <w:r w:rsidRPr="00031007">
              <w:rPr>
                <w:color w:val="0D0D0D" w:themeColor="text1" w:themeTint="F2"/>
                <w:spacing w:val="-6"/>
              </w:rPr>
              <w:t xml:space="preserve">nadále ve zvýšené míře nové pracovníky ze zahraničí. Příležitost zde nepochybně představovali uprchlíci z Ukrajiny, kteří se sice svou demografickou skladbou (vysoké zastoupení žen s dětmi) i motivací příchodu </w:t>
            </w:r>
            <w:r>
              <w:rPr>
                <w:color w:val="0D0D0D" w:themeColor="text1" w:themeTint="F2"/>
                <w:spacing w:val="-6"/>
              </w:rPr>
              <w:t xml:space="preserve">odlišují </w:t>
            </w:r>
            <w:r w:rsidRPr="00031007">
              <w:rPr>
                <w:color w:val="0D0D0D" w:themeColor="text1" w:themeTint="F2"/>
                <w:spacing w:val="-6"/>
              </w:rPr>
              <w:t xml:space="preserve">od tradičních skupin pracovních migrantů z východu, jejich nábor je však pro firmy </w:t>
            </w:r>
            <w:r w:rsidRPr="00031007">
              <w:rPr>
                <w:color w:val="0D0D0D" w:themeColor="text1" w:themeTint="F2"/>
                <w:spacing w:val="-6"/>
              </w:rPr>
              <w:lastRenderedPageBreak/>
              <w:t xml:space="preserve">spojen </w:t>
            </w:r>
            <w:r>
              <w:rPr>
                <w:color w:val="0D0D0D" w:themeColor="text1" w:themeTint="F2"/>
                <w:spacing w:val="-6"/>
              </w:rPr>
              <w:t xml:space="preserve">s </w:t>
            </w:r>
            <w:r w:rsidRPr="00031007">
              <w:rPr>
                <w:color w:val="0D0D0D" w:themeColor="text1" w:themeTint="F2"/>
                <w:spacing w:val="-6"/>
              </w:rPr>
              <w:t xml:space="preserve">relativně nižšími administrativními náklady. Celkový počet cizích státních příslušníků v zaměstnaneckém postavení na území ČR dosáhl (dle evidence úřadů práce) letos v dubnu 776 tis. a oproti loňskému lednu vzrostl o 78,9 tis. K tomu zásadně přispěli občané Ukrajiny (+57,6 tis., z toho ženy +47,5 tis.), s odstupem Slováci (+5,1 tis.), Filipínci (+2,1 tis.) a Poláci (+1,8 tis.), dále Indové, Vietnamci, Rusové a Maďaři. Mírně ale klesly stavy zaměstnanců z Běloruska i Bulharska. Počet všech pracujících cizinců se však během letošních měsíců již téměř neměnil, zaměstnanců z Ukrajiny </w:t>
            </w:r>
            <w:r>
              <w:rPr>
                <w:color w:val="0D0D0D" w:themeColor="text1" w:themeTint="F2"/>
                <w:spacing w:val="-6"/>
              </w:rPr>
              <w:t>dokonce</w:t>
            </w:r>
            <w:r w:rsidRPr="00031007">
              <w:rPr>
                <w:color w:val="0D0D0D" w:themeColor="text1" w:themeTint="F2"/>
                <w:spacing w:val="-6"/>
              </w:rPr>
              <w:t xml:space="preserve"> mírně ubylo (z 261,7 tis. v lednu na 256,1 tis. </w:t>
            </w:r>
            <w:r>
              <w:rPr>
                <w:color w:val="0D0D0D" w:themeColor="text1" w:themeTint="F2"/>
                <w:spacing w:val="-6"/>
              </w:rPr>
              <w:t>v</w:t>
            </w:r>
            <w:r w:rsidRPr="00031007">
              <w:rPr>
                <w:color w:val="0D0D0D" w:themeColor="text1" w:themeTint="F2"/>
                <w:spacing w:val="-6"/>
              </w:rPr>
              <w:t xml:space="preserve"> dubnu), což mohlo souviset se zastavením růstu </w:t>
            </w:r>
            <w:r>
              <w:rPr>
                <w:color w:val="0D0D0D" w:themeColor="text1" w:themeTint="F2"/>
                <w:spacing w:val="-6"/>
              </w:rPr>
              <w:t xml:space="preserve">celkové </w:t>
            </w:r>
            <w:r w:rsidRPr="00031007">
              <w:rPr>
                <w:color w:val="0D0D0D" w:themeColor="text1" w:themeTint="F2"/>
                <w:spacing w:val="-6"/>
              </w:rPr>
              <w:t xml:space="preserve">zaměstnanosti v průmyslu. </w:t>
            </w:r>
          </w:p>
        </w:tc>
      </w:tr>
      <w:tr w:rsidR="00765928" w:rsidRPr="009F0D7F" w14:paraId="007D8564" w14:textId="77777777" w:rsidTr="00FD4372">
        <w:trPr>
          <w:trHeight w:val="155"/>
        </w:trPr>
        <w:tc>
          <w:tcPr>
            <w:tcW w:w="1814" w:type="dxa"/>
            <w:shd w:val="clear" w:color="auto" w:fill="auto"/>
            <w:tcMar>
              <w:left w:w="0" w:type="dxa"/>
            </w:tcMar>
          </w:tcPr>
          <w:p w14:paraId="5191CB05" w14:textId="77777777" w:rsidR="00765928" w:rsidRDefault="00765928" w:rsidP="00FD4372">
            <w:pPr>
              <w:pStyle w:val="Marginlie"/>
              <w:rPr>
                <w:color w:val="0D0D0D" w:themeColor="text1" w:themeTint="F2"/>
                <w:spacing w:val="-4"/>
              </w:rPr>
            </w:pPr>
            <w:r>
              <w:rPr>
                <w:color w:val="0D0D0D" w:themeColor="text1" w:themeTint="F2"/>
                <w:spacing w:val="-4"/>
              </w:rPr>
              <w:lastRenderedPageBreak/>
              <w:t xml:space="preserve">Očekávání podniků v oblasti zaměstnanosti se postupně zhoršovala. Obchodníci si stále udržovali mírný optimismus.  </w:t>
            </w:r>
          </w:p>
          <w:p w14:paraId="612670A1" w14:textId="77777777" w:rsidR="00765928" w:rsidRDefault="00765928" w:rsidP="00FD4372">
            <w:pPr>
              <w:pStyle w:val="Marginlie"/>
              <w:rPr>
                <w:color w:val="0D0D0D" w:themeColor="text1" w:themeTint="F2"/>
                <w:spacing w:val="-4"/>
              </w:rPr>
            </w:pPr>
          </w:p>
          <w:p w14:paraId="1ABBCD52" w14:textId="77777777" w:rsidR="00765928" w:rsidRDefault="00765928" w:rsidP="00FD4372">
            <w:pPr>
              <w:pStyle w:val="Marginlie"/>
              <w:rPr>
                <w:color w:val="0D0D0D" w:themeColor="text1" w:themeTint="F2"/>
                <w:spacing w:val="-4"/>
              </w:rPr>
            </w:pPr>
          </w:p>
          <w:p w14:paraId="31C08DCB" w14:textId="77777777" w:rsidR="00765928" w:rsidRDefault="00765928" w:rsidP="00FD4372">
            <w:pPr>
              <w:pStyle w:val="Marginlie"/>
              <w:rPr>
                <w:color w:val="0D0D0D" w:themeColor="text1" w:themeTint="F2"/>
                <w:spacing w:val="-4"/>
              </w:rPr>
            </w:pPr>
          </w:p>
          <w:p w14:paraId="430C77C4" w14:textId="77777777" w:rsidR="00765928" w:rsidRDefault="00765928" w:rsidP="00FD4372">
            <w:pPr>
              <w:pStyle w:val="Marginlie"/>
              <w:rPr>
                <w:color w:val="0D0D0D" w:themeColor="text1" w:themeTint="F2"/>
                <w:spacing w:val="-4"/>
              </w:rPr>
            </w:pPr>
          </w:p>
          <w:p w14:paraId="505B7DEF" w14:textId="77777777" w:rsidR="00765928" w:rsidRDefault="00765928" w:rsidP="00FD4372">
            <w:pPr>
              <w:pStyle w:val="Marginlie"/>
              <w:rPr>
                <w:color w:val="0D0D0D" w:themeColor="text1" w:themeTint="F2"/>
                <w:spacing w:val="-4"/>
              </w:rPr>
            </w:pPr>
            <w:r>
              <w:rPr>
                <w:color w:val="0D0D0D" w:themeColor="text1" w:themeTint="F2"/>
                <w:spacing w:val="-4"/>
              </w:rPr>
              <w:t xml:space="preserve">Mírně poklesla role nedostatku pracovníků jako důležité růstové bariéry v hlavních odvětvích. </w:t>
            </w:r>
          </w:p>
          <w:p w14:paraId="60FB0A98" w14:textId="77777777" w:rsidR="00765928" w:rsidRDefault="00765928" w:rsidP="00FD4372">
            <w:pPr>
              <w:pStyle w:val="Marginlie"/>
              <w:spacing w:after="120"/>
              <w:rPr>
                <w:color w:val="0D0D0D" w:themeColor="text1" w:themeTint="F2"/>
                <w:spacing w:val="-4"/>
              </w:rPr>
            </w:pPr>
          </w:p>
        </w:tc>
        <w:tc>
          <w:tcPr>
            <w:tcW w:w="204" w:type="dxa"/>
            <w:shd w:val="clear" w:color="auto" w:fill="auto"/>
            <w:tcMar>
              <w:left w:w="0" w:type="dxa"/>
            </w:tcMar>
          </w:tcPr>
          <w:p w14:paraId="19D26215" w14:textId="77777777" w:rsidR="00765928" w:rsidRPr="009F0D7F" w:rsidRDefault="00765928" w:rsidP="00FD4372">
            <w:pPr>
              <w:pStyle w:val="Textpoznpodarou"/>
              <w:spacing w:after="120"/>
              <w:jc w:val="both"/>
              <w:rPr>
                <w:color w:val="0D0D0D" w:themeColor="text1" w:themeTint="F2"/>
                <w:spacing w:val="-4"/>
              </w:rPr>
            </w:pPr>
          </w:p>
        </w:tc>
        <w:tc>
          <w:tcPr>
            <w:tcW w:w="7751" w:type="dxa"/>
            <w:shd w:val="clear" w:color="auto" w:fill="auto"/>
            <w:tcMar>
              <w:left w:w="0" w:type="dxa"/>
            </w:tcMar>
          </w:tcPr>
          <w:p w14:paraId="37097295" w14:textId="77777777" w:rsidR="00765928" w:rsidRPr="007A3342" w:rsidRDefault="00765928" w:rsidP="00FD4372">
            <w:pPr>
              <w:rPr>
                <w:spacing w:val="-5"/>
              </w:rPr>
            </w:pPr>
            <w:r w:rsidRPr="00A60C4D">
              <w:rPr>
                <w:color w:val="0D0D0D" w:themeColor="text1" w:themeTint="F2"/>
                <w:spacing w:val="-4"/>
              </w:rPr>
              <w:t xml:space="preserve">Krátkodobá očekávání podniků v celé ekonomice v oblasti zaměstnanosti se po optimistických výhledech z počátku </w:t>
            </w:r>
            <w:r>
              <w:rPr>
                <w:color w:val="0D0D0D" w:themeColor="text1" w:themeTint="F2"/>
                <w:spacing w:val="-4"/>
              </w:rPr>
              <w:t>loňského roku (kdy byla nejpříznivěj</w:t>
            </w:r>
            <w:r w:rsidRPr="00A60C4D">
              <w:rPr>
                <w:color w:val="0D0D0D" w:themeColor="text1" w:themeTint="F2"/>
                <w:spacing w:val="-4"/>
              </w:rPr>
              <w:t>ší od léta 2019) postupně mírně zhoršovala.</w:t>
            </w:r>
            <w:r>
              <w:rPr>
                <w:color w:val="0D0D0D" w:themeColor="text1" w:themeTint="F2"/>
                <w:spacing w:val="-4"/>
              </w:rPr>
              <w:t xml:space="preserve"> Tento nepříznivý vývoj souvisel zejména s trendy v průmyslu a stavebnictví. Pozitivní výhled v oblasti zaměstnanosti si i přes klesající spotřebu domácností udržovaly podniky v obchodu. Dle údajů z dubna 2023 naopak plánovalo v nejbližších třech měsících snižovat počty zaměstnanců 14 % podniků v průmyslu, 18 % ve stavebnictví a 27 % ve službách. Situace na úrovni dílčích odvětví v rámci průmyslu i služeb se přirozeně </w:t>
            </w:r>
            <w:r w:rsidRPr="007B5F31">
              <w:rPr>
                <w:color w:val="0D0D0D" w:themeColor="text1" w:themeTint="F2"/>
                <w:spacing w:val="-4"/>
              </w:rPr>
              <w:t>odlišovala</w:t>
            </w:r>
            <w:r w:rsidRPr="007B5F31">
              <w:rPr>
                <w:rStyle w:val="Znakapoznpodarou"/>
                <w:color w:val="0D0D0D" w:themeColor="text1" w:themeTint="F2"/>
                <w:spacing w:val="-4"/>
              </w:rPr>
              <w:footnoteReference w:id="51"/>
            </w:r>
            <w:r w:rsidRPr="007B5F31">
              <w:rPr>
                <w:color w:val="0D0D0D" w:themeColor="text1" w:themeTint="F2"/>
                <w:spacing w:val="-4"/>
              </w:rPr>
              <w:t xml:space="preserve">. Vlivem </w:t>
            </w:r>
            <w:r>
              <w:rPr>
                <w:color w:val="0D0D0D" w:themeColor="text1" w:themeTint="F2"/>
                <w:spacing w:val="-4"/>
              </w:rPr>
              <w:t>zhoršení</w:t>
            </w:r>
            <w:r w:rsidRPr="00A60C4D">
              <w:rPr>
                <w:color w:val="0D0D0D" w:themeColor="text1" w:themeTint="F2"/>
                <w:spacing w:val="-4"/>
              </w:rPr>
              <w:t xml:space="preserve"> celkových ekonomických výhledů</w:t>
            </w:r>
            <w:r>
              <w:rPr>
                <w:color w:val="0D0D0D" w:themeColor="text1" w:themeTint="F2"/>
                <w:spacing w:val="-4"/>
              </w:rPr>
              <w:t xml:space="preserve"> i neočekávaného většího přílivu osob z Ukrajiny na tuzemský pracovní trh klesl oproti počátku loňského</w:t>
            </w:r>
            <w:r w:rsidRPr="00A60C4D">
              <w:rPr>
                <w:color w:val="0D0D0D" w:themeColor="text1" w:themeTint="F2"/>
                <w:spacing w:val="-4"/>
              </w:rPr>
              <w:t xml:space="preserve"> roku </w:t>
            </w:r>
            <w:r>
              <w:rPr>
                <w:color w:val="0D0D0D" w:themeColor="text1" w:themeTint="F2"/>
                <w:spacing w:val="-4"/>
              </w:rPr>
              <w:t>ve většině</w:t>
            </w:r>
            <w:r w:rsidRPr="00A60C4D">
              <w:rPr>
                <w:color w:val="0D0D0D" w:themeColor="text1" w:themeTint="F2"/>
                <w:spacing w:val="-4"/>
              </w:rPr>
              <w:t xml:space="preserve"> </w:t>
            </w:r>
            <w:r>
              <w:rPr>
                <w:color w:val="0D0D0D" w:themeColor="text1" w:themeTint="F2"/>
                <w:spacing w:val="-4"/>
              </w:rPr>
              <w:t>hlavních odvětví</w:t>
            </w:r>
            <w:r w:rsidRPr="00A60C4D">
              <w:rPr>
                <w:color w:val="0D0D0D" w:themeColor="text1" w:themeTint="F2"/>
                <w:spacing w:val="-4"/>
              </w:rPr>
              <w:t xml:space="preserve"> </w:t>
            </w:r>
            <w:r>
              <w:rPr>
                <w:color w:val="0D0D0D" w:themeColor="text1" w:themeTint="F2"/>
                <w:spacing w:val="-4"/>
              </w:rPr>
              <w:t>podíl</w:t>
            </w:r>
            <w:r w:rsidRPr="00A60C4D">
              <w:rPr>
                <w:color w:val="0D0D0D" w:themeColor="text1" w:themeTint="F2"/>
                <w:spacing w:val="-4"/>
              </w:rPr>
              <w:t xml:space="preserve"> podniků, pro něž představuje nedostatek pracovní síly jednu z </w:t>
            </w:r>
            <w:r>
              <w:rPr>
                <w:color w:val="0D0D0D" w:themeColor="text1" w:themeTint="F2"/>
                <w:spacing w:val="-4"/>
              </w:rPr>
              <w:t>významných růstových bariér – nejvíce patrné to bylo ve stavebnictví (kde však stále tento problém představoval hlavní bariéru), nejméně v průmyslu.</w:t>
            </w:r>
          </w:p>
        </w:tc>
      </w:tr>
      <w:tr w:rsidR="00765928" w:rsidRPr="009F2A8A" w14:paraId="5FE950DE" w14:textId="77777777" w:rsidTr="00FD4372">
        <w:trPr>
          <w:trHeight w:val="155"/>
        </w:trPr>
        <w:tc>
          <w:tcPr>
            <w:tcW w:w="1814" w:type="dxa"/>
            <w:vMerge w:val="restart"/>
            <w:shd w:val="clear" w:color="auto" w:fill="auto"/>
            <w:tcMar>
              <w:left w:w="0" w:type="dxa"/>
            </w:tcMar>
          </w:tcPr>
          <w:p w14:paraId="6A72F6D6" w14:textId="77777777" w:rsidR="00765928" w:rsidRPr="00B43216" w:rsidRDefault="00765928" w:rsidP="00FD4372">
            <w:pPr>
              <w:pStyle w:val="Marginlie"/>
              <w:spacing w:after="120"/>
              <w:rPr>
                <w:spacing w:val="-4"/>
              </w:rPr>
            </w:pPr>
          </w:p>
        </w:tc>
        <w:tc>
          <w:tcPr>
            <w:tcW w:w="204" w:type="dxa"/>
            <w:vMerge w:val="restart"/>
            <w:shd w:val="clear" w:color="auto" w:fill="auto"/>
            <w:tcMar>
              <w:left w:w="0" w:type="dxa"/>
            </w:tcMar>
          </w:tcPr>
          <w:p w14:paraId="577461B5" w14:textId="77777777" w:rsidR="00765928" w:rsidRPr="00B43216" w:rsidRDefault="00765928" w:rsidP="00FD4372">
            <w:pPr>
              <w:pStyle w:val="Textpoznpodarou"/>
              <w:spacing w:after="120"/>
              <w:jc w:val="both"/>
              <w:rPr>
                <w:spacing w:val="-4"/>
              </w:rPr>
            </w:pPr>
          </w:p>
        </w:tc>
        <w:tc>
          <w:tcPr>
            <w:tcW w:w="7751" w:type="dxa"/>
            <w:shd w:val="clear" w:color="auto" w:fill="auto"/>
            <w:tcMar>
              <w:left w:w="0" w:type="dxa"/>
            </w:tcMar>
          </w:tcPr>
          <w:p w14:paraId="26D54CA0" w14:textId="77777777" w:rsidR="00765928" w:rsidRPr="00CA5850" w:rsidRDefault="00765928" w:rsidP="00FD4372">
            <w:pPr>
              <w:spacing w:after="0"/>
              <w:rPr>
                <w:spacing w:val="-2"/>
              </w:rPr>
            </w:pPr>
            <w:r>
              <w:rPr>
                <w:rFonts w:cs="Arial"/>
                <w:b/>
                <w:bCs/>
                <w:color w:val="000000"/>
                <w:szCs w:val="20"/>
              </w:rPr>
              <w:t>Graf č. 13</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tc>
      </w:tr>
      <w:tr w:rsidR="00765928" w:rsidRPr="00B43216" w14:paraId="3D97F638" w14:textId="77777777" w:rsidTr="00FD4372">
        <w:tblPrEx>
          <w:tblCellMar>
            <w:left w:w="70" w:type="dxa"/>
            <w:right w:w="70" w:type="dxa"/>
          </w:tblCellMar>
        </w:tblPrEx>
        <w:trPr>
          <w:trHeight w:val="155"/>
        </w:trPr>
        <w:tc>
          <w:tcPr>
            <w:tcW w:w="1814" w:type="dxa"/>
            <w:vMerge/>
            <w:shd w:val="clear" w:color="auto" w:fill="auto"/>
          </w:tcPr>
          <w:p w14:paraId="14D03E13" w14:textId="77777777" w:rsidR="00765928" w:rsidRPr="00B43216" w:rsidRDefault="00765928" w:rsidP="00FD4372">
            <w:pPr>
              <w:pStyle w:val="Marginlie"/>
              <w:spacing w:after="120"/>
              <w:rPr>
                <w:spacing w:val="-4"/>
              </w:rPr>
            </w:pPr>
          </w:p>
        </w:tc>
        <w:tc>
          <w:tcPr>
            <w:tcW w:w="204" w:type="dxa"/>
            <w:vMerge/>
            <w:shd w:val="clear" w:color="auto" w:fill="auto"/>
          </w:tcPr>
          <w:p w14:paraId="13EA282F" w14:textId="77777777" w:rsidR="00765928" w:rsidRPr="00B43216" w:rsidRDefault="00765928" w:rsidP="00FD4372">
            <w:pPr>
              <w:pStyle w:val="Textpoznpodarou"/>
              <w:spacing w:after="120"/>
              <w:jc w:val="both"/>
              <w:rPr>
                <w:spacing w:val="-4"/>
              </w:rPr>
            </w:pPr>
          </w:p>
        </w:tc>
        <w:tc>
          <w:tcPr>
            <w:tcW w:w="7751" w:type="dxa"/>
            <w:shd w:val="clear" w:color="auto" w:fill="auto"/>
          </w:tcPr>
          <w:p w14:paraId="19145F47" w14:textId="77777777" w:rsidR="00765928" w:rsidRPr="00B43216" w:rsidRDefault="00765928" w:rsidP="00FD4372">
            <w:pPr>
              <w:spacing w:after="0"/>
              <w:rPr>
                <w:spacing w:val="-4"/>
              </w:rPr>
            </w:pPr>
            <w:r>
              <w:rPr>
                <w:noProof/>
              </w:rPr>
              <w:drawing>
                <wp:inline distT="0" distB="0" distL="0" distR="0" wp14:anchorId="537C202B" wp14:editId="5BEB029D">
                  <wp:extent cx="4642485" cy="3456000"/>
                  <wp:effectExtent l="0" t="0" r="571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765928" w:rsidRPr="00485ED5" w14:paraId="48146299" w14:textId="77777777" w:rsidTr="00FD4372">
        <w:trPr>
          <w:trHeight w:val="671"/>
        </w:trPr>
        <w:tc>
          <w:tcPr>
            <w:tcW w:w="1814" w:type="dxa"/>
            <w:vMerge/>
            <w:shd w:val="clear" w:color="auto" w:fill="auto"/>
            <w:tcMar>
              <w:left w:w="0" w:type="dxa"/>
            </w:tcMar>
          </w:tcPr>
          <w:p w14:paraId="09CD8A81" w14:textId="77777777" w:rsidR="00765928" w:rsidRPr="00B43216" w:rsidRDefault="00765928" w:rsidP="00FD4372">
            <w:pPr>
              <w:pStyle w:val="Marginlie"/>
              <w:spacing w:after="120"/>
              <w:rPr>
                <w:spacing w:val="-4"/>
              </w:rPr>
            </w:pPr>
          </w:p>
        </w:tc>
        <w:tc>
          <w:tcPr>
            <w:tcW w:w="204" w:type="dxa"/>
            <w:vMerge/>
            <w:shd w:val="clear" w:color="auto" w:fill="auto"/>
            <w:tcMar>
              <w:left w:w="0" w:type="dxa"/>
            </w:tcMar>
          </w:tcPr>
          <w:p w14:paraId="2D472745" w14:textId="77777777" w:rsidR="00765928" w:rsidRPr="00B43216" w:rsidRDefault="00765928" w:rsidP="00FD4372">
            <w:pPr>
              <w:pStyle w:val="Textpoznpodarou"/>
              <w:spacing w:after="120"/>
              <w:jc w:val="both"/>
              <w:rPr>
                <w:spacing w:val="-4"/>
              </w:rPr>
            </w:pPr>
          </w:p>
        </w:tc>
        <w:tc>
          <w:tcPr>
            <w:tcW w:w="7751" w:type="dxa"/>
            <w:shd w:val="clear" w:color="auto" w:fill="auto"/>
            <w:tcMar>
              <w:left w:w="0" w:type="dxa"/>
            </w:tcMar>
          </w:tcPr>
          <w:p w14:paraId="1DBA4295" w14:textId="77777777" w:rsidR="00765928" w:rsidRDefault="00765928" w:rsidP="00FD4372">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0D9910AB" w14:textId="77777777" w:rsidR="00765928" w:rsidRDefault="00765928" w:rsidP="00FD4372">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 xml:space="preserve">očekávání vyjadřuje rozdíl v p. b. </w:t>
            </w:r>
            <w:proofErr w:type="gramStart"/>
            <w:r>
              <w:rPr>
                <w:rFonts w:cs="Arial"/>
                <w:color w:val="0D0D0D" w:themeColor="text1" w:themeTint="F2"/>
                <w:sz w:val="14"/>
                <w:szCs w:val="14"/>
              </w:rPr>
              <w:t>mezi</w:t>
            </w:r>
            <w:proofErr w:type="gramEnd"/>
            <w:r>
              <w:rPr>
                <w:rFonts w:cs="Arial"/>
                <w:color w:val="0D0D0D" w:themeColor="text1" w:themeTint="F2"/>
                <w:sz w:val="14"/>
                <w:szCs w:val="14"/>
              </w:rPr>
              <w:t xml:space="preserve"> kategoriemi růst versus pokles zaměstnanosti v nejbližších třech měsících. Údaje jsou sezónně očištěny a vztahují se k druhému měsíci daného čtvrtletí.</w:t>
            </w:r>
          </w:p>
          <w:p w14:paraId="44212EFC" w14:textId="77777777" w:rsidR="00765928" w:rsidRPr="00485ED5" w:rsidRDefault="00765928" w:rsidP="00FD4372">
            <w:pPr>
              <w:spacing w:after="0" w:line="240" w:lineRule="auto"/>
              <w:rPr>
                <w:rFonts w:cs="Arial"/>
                <w:color w:val="0D0D0D" w:themeColor="text1" w:themeTint="F2"/>
                <w:spacing w:val="-2"/>
                <w:sz w:val="14"/>
                <w:szCs w:val="14"/>
              </w:rPr>
            </w:pPr>
            <w:r>
              <w:rPr>
                <w:rFonts w:cs="Arial"/>
                <w:sz w:val="14"/>
                <w:szCs w:val="14"/>
              </w:rPr>
              <w:t xml:space="preserve">Zdroj: ČSÚ (národní účty), </w:t>
            </w:r>
            <w:proofErr w:type="spellStart"/>
            <w:r>
              <w:rPr>
                <w:rFonts w:cs="Arial"/>
                <w:sz w:val="14"/>
                <w:szCs w:val="14"/>
              </w:rPr>
              <w:t>Eurostat</w:t>
            </w:r>
            <w:proofErr w:type="spellEnd"/>
            <w:r>
              <w:rPr>
                <w:rFonts w:cs="Arial"/>
                <w:sz w:val="14"/>
                <w:szCs w:val="14"/>
              </w:rPr>
              <w:t xml:space="preserve"> (konjunkturální průzkumy)</w:t>
            </w:r>
          </w:p>
        </w:tc>
      </w:tr>
      <w:tr w:rsidR="00765928" w:rsidRPr="00D82DBD" w14:paraId="4DE3FF6D" w14:textId="77777777" w:rsidTr="00FD4372">
        <w:trPr>
          <w:trHeight w:val="145"/>
        </w:trPr>
        <w:tc>
          <w:tcPr>
            <w:tcW w:w="1814" w:type="dxa"/>
            <w:shd w:val="clear" w:color="auto" w:fill="auto"/>
            <w:tcMar>
              <w:left w:w="0" w:type="dxa"/>
            </w:tcMar>
          </w:tcPr>
          <w:p w14:paraId="51175462" w14:textId="77777777" w:rsidR="00765928" w:rsidRDefault="00765928" w:rsidP="00FD4372">
            <w:pPr>
              <w:pStyle w:val="Marginlie"/>
              <w:rPr>
                <w:color w:val="0D0D0D" w:themeColor="text1" w:themeTint="F2"/>
                <w:spacing w:val="-5"/>
              </w:rPr>
            </w:pPr>
            <w:r>
              <w:rPr>
                <w:color w:val="0D0D0D" w:themeColor="text1" w:themeTint="F2"/>
                <w:spacing w:val="-5"/>
              </w:rPr>
              <w:lastRenderedPageBreak/>
              <w:t>Obecná míra nezaměstnanosti i počet dlouhodobě nezaměstnaných se letos mírně zvýšily.</w:t>
            </w:r>
          </w:p>
        </w:tc>
        <w:tc>
          <w:tcPr>
            <w:tcW w:w="204" w:type="dxa"/>
            <w:shd w:val="clear" w:color="auto" w:fill="auto"/>
            <w:tcMar>
              <w:left w:w="0" w:type="dxa"/>
            </w:tcMar>
          </w:tcPr>
          <w:p w14:paraId="070D146A" w14:textId="77777777" w:rsidR="00765928" w:rsidRPr="00EC1398" w:rsidRDefault="00765928" w:rsidP="00FD4372">
            <w:pPr>
              <w:pStyle w:val="Textpoznpodarou"/>
              <w:spacing w:after="120"/>
              <w:jc w:val="both"/>
              <w:rPr>
                <w:color w:val="0D0D0D" w:themeColor="text1" w:themeTint="F2"/>
                <w:spacing w:val="-4"/>
              </w:rPr>
            </w:pPr>
          </w:p>
        </w:tc>
        <w:tc>
          <w:tcPr>
            <w:tcW w:w="7751" w:type="dxa"/>
            <w:shd w:val="clear" w:color="auto" w:fill="auto"/>
            <w:tcMar>
              <w:left w:w="0" w:type="dxa"/>
            </w:tcMar>
          </w:tcPr>
          <w:p w14:paraId="1BD4CDB3" w14:textId="2E734F50" w:rsidR="00765928" w:rsidRDefault="00765928" w:rsidP="00FD4372">
            <w:pPr>
              <w:spacing w:after="200"/>
              <w:rPr>
                <w:color w:val="0D0D0D" w:themeColor="text1" w:themeTint="F2"/>
                <w:spacing w:val="-4"/>
              </w:rPr>
            </w:pPr>
            <w:r>
              <w:rPr>
                <w:color w:val="0D0D0D" w:themeColor="text1" w:themeTint="F2"/>
                <w:spacing w:val="-4"/>
              </w:rPr>
              <w:t>Obecná míra nezaměstnanosti</w:t>
            </w:r>
            <w:r w:rsidRPr="00A812A7">
              <w:rPr>
                <w:rStyle w:val="Znakapoznpodarou"/>
                <w:color w:val="0D0D0D" w:themeColor="text1" w:themeTint="F2"/>
                <w:spacing w:val="-4"/>
              </w:rPr>
              <w:footnoteReference w:id="52"/>
            </w:r>
            <w:r>
              <w:rPr>
                <w:color w:val="0D0D0D" w:themeColor="text1" w:themeTint="F2"/>
                <w:spacing w:val="-4"/>
              </w:rPr>
              <w:t>, jež po většinu loňského roku stagnovala blízko historického minima, se od počátku letošního roku začala mírně zvyšovat. V dubnu tak bylo bez práce 2,3 % ekonomicky aktivních mužů (</w:t>
            </w:r>
            <w:r w:rsidRPr="00A812A7">
              <w:rPr>
                <w:color w:val="0D0D0D" w:themeColor="text1" w:themeTint="F2"/>
                <w:spacing w:val="-4"/>
              </w:rPr>
              <w:t>ve věku 15 až 64 let</w:t>
            </w:r>
            <w:r>
              <w:rPr>
                <w:color w:val="0D0D0D" w:themeColor="text1" w:themeTint="F2"/>
                <w:spacing w:val="-4"/>
              </w:rPr>
              <w:t>), resp. 3,5 % žen. V obou případech činilo meziroční navýšení míry 0,3 p. b. S tím korespondují také údaje o uchazečích o zaměstnání registrovaných na úřadech práce (ÚP), jejichž průběh odpovídal běžným sezónním vlivům</w:t>
            </w:r>
            <w:r>
              <w:rPr>
                <w:rStyle w:val="Znakapoznpodarou"/>
                <w:color w:val="0D0D0D" w:themeColor="text1" w:themeTint="F2"/>
                <w:spacing w:val="-4"/>
              </w:rPr>
              <w:footnoteReference w:id="53"/>
            </w:r>
            <w:r>
              <w:rPr>
                <w:color w:val="0D0D0D" w:themeColor="text1" w:themeTint="F2"/>
                <w:spacing w:val="-4"/>
              </w:rPr>
              <w:t xml:space="preserve">. Rovněž počet dlouhodobě nezaměstnaných se meziročně navýšil jen mírně. V 1. čtvrtletí 2023 dle údajů VŠPS činil necelých 40 tis. a tvořil zhruba čtvrtinu všech nezaměstnaných. Žen nezaměstnaných déle než rok meziročně ubylo (zejména vlivem poklesu ve skupině 30–44 let, což může naznačovat lepší možnosti pracovního uplatnění žen s malými dětmi), u mužů došlo naopak k mírnému růstu (hlavně vlivem vyšší dlouhodobé nezaměstnanosti ve vyšším produktivním věku). Nezaměstnanost v ČR má při přetrvávající vysoké zásobě </w:t>
            </w:r>
            <w:r>
              <w:rPr>
                <w:color w:val="1D1B11" w:themeColor="background2" w:themeShade="1A"/>
                <w:spacing w:val="-4"/>
              </w:rPr>
              <w:t>volných pracovních míst</w:t>
            </w:r>
            <w:r>
              <w:rPr>
                <w:rStyle w:val="Znakapoznpodarou"/>
                <w:color w:val="1D1B11" w:themeColor="background2" w:themeShade="1A"/>
                <w:spacing w:val="-4"/>
              </w:rPr>
              <w:footnoteReference w:id="54"/>
            </w:r>
            <w:r>
              <w:rPr>
                <w:color w:val="1D1B11" w:themeColor="background2" w:themeShade="1A"/>
                <w:spacing w:val="-4"/>
              </w:rPr>
              <w:t xml:space="preserve"> do značné míry stále frikční charakter. Na druhou stranu v 1. čtvrtletí poprvé po dvou letech výrazněji vzrostl počet ekonomicky neaktivních osob deklarujících ochotu pracovat, ale v současnosti práci aktivně nehledajících (z 50 tis. v předchozím čtvrtletí na 74 tis., často kvůli nemožnosti okamžitého nástupu do zaměstnání). </w:t>
            </w:r>
          </w:p>
        </w:tc>
      </w:tr>
      <w:tr w:rsidR="00765928" w:rsidRPr="00B43216" w14:paraId="3543F6A5" w14:textId="77777777" w:rsidTr="00FD4372">
        <w:trPr>
          <w:trHeight w:val="155"/>
        </w:trPr>
        <w:tc>
          <w:tcPr>
            <w:tcW w:w="1814" w:type="dxa"/>
            <w:vMerge w:val="restart"/>
            <w:shd w:val="clear" w:color="auto" w:fill="auto"/>
            <w:tcMar>
              <w:left w:w="0" w:type="dxa"/>
            </w:tcMar>
          </w:tcPr>
          <w:p w14:paraId="3ECAE9AA" w14:textId="77777777" w:rsidR="00765928" w:rsidRPr="00B43216" w:rsidRDefault="00765928" w:rsidP="00FD4372">
            <w:pPr>
              <w:pStyle w:val="Marginlie"/>
              <w:spacing w:after="120"/>
              <w:rPr>
                <w:spacing w:val="-4"/>
              </w:rPr>
            </w:pPr>
          </w:p>
        </w:tc>
        <w:tc>
          <w:tcPr>
            <w:tcW w:w="204" w:type="dxa"/>
            <w:vMerge w:val="restart"/>
            <w:shd w:val="clear" w:color="auto" w:fill="auto"/>
            <w:tcMar>
              <w:left w:w="0" w:type="dxa"/>
            </w:tcMar>
          </w:tcPr>
          <w:p w14:paraId="0972FC46" w14:textId="77777777" w:rsidR="00765928" w:rsidRPr="00B43216" w:rsidRDefault="00765928" w:rsidP="00FD4372">
            <w:pPr>
              <w:pStyle w:val="Textpoznpodarou"/>
              <w:spacing w:after="120"/>
              <w:jc w:val="both"/>
              <w:rPr>
                <w:spacing w:val="-4"/>
              </w:rPr>
            </w:pPr>
          </w:p>
        </w:tc>
        <w:tc>
          <w:tcPr>
            <w:tcW w:w="7751" w:type="dxa"/>
            <w:shd w:val="clear" w:color="auto" w:fill="auto"/>
            <w:tcMar>
              <w:left w:w="0" w:type="dxa"/>
            </w:tcMar>
          </w:tcPr>
          <w:p w14:paraId="1B44B0EB" w14:textId="77777777" w:rsidR="00765928" w:rsidRPr="00926D74" w:rsidRDefault="00765928" w:rsidP="00FD4372">
            <w:pPr>
              <w:spacing w:after="0"/>
              <w:rPr>
                <w:b/>
                <w:spacing w:val="-2"/>
              </w:rPr>
            </w:pPr>
            <w:r w:rsidRPr="00926D74">
              <w:rPr>
                <w:b/>
                <w:spacing w:val="-2"/>
              </w:rPr>
              <w:t xml:space="preserve">Graf č. 14 </w:t>
            </w:r>
            <w:r w:rsidRPr="00926D74">
              <w:rPr>
                <w:rFonts w:cs="Arial"/>
                <w:b/>
                <w:spacing w:val="-2"/>
              </w:rPr>
              <w:t xml:space="preserve">Obecná míra nezaměstnanosti </w:t>
            </w:r>
            <w:r w:rsidRPr="00926D74">
              <w:rPr>
                <w:rFonts w:cs="Arial"/>
                <w:b/>
                <w:bCs/>
                <w:spacing w:val="-2"/>
              </w:rPr>
              <w:t>a</w:t>
            </w:r>
            <w:r w:rsidRPr="00926D74">
              <w:rPr>
                <w:rFonts w:cs="Arial"/>
                <w:bCs/>
                <w:spacing w:val="-2"/>
              </w:rPr>
              <w:t xml:space="preserve"> </w:t>
            </w:r>
            <w:r w:rsidRPr="00926D74">
              <w:rPr>
                <w:rFonts w:cs="Arial"/>
                <w:b/>
                <w:spacing w:val="-2"/>
              </w:rPr>
              <w:t>míra ekonomické aktivity</w:t>
            </w:r>
            <w:r w:rsidRPr="00926D74">
              <w:rPr>
                <w:rFonts w:cs="Arial"/>
                <w:bCs/>
                <w:spacing w:val="-2"/>
              </w:rPr>
              <w:t xml:space="preserve"> (v %, věk 15 až 64 let)</w:t>
            </w:r>
            <w:r w:rsidRPr="00926D74">
              <w:rPr>
                <w:rFonts w:cs="Arial"/>
                <w:b/>
                <w:spacing w:val="-2"/>
              </w:rPr>
              <w:t xml:space="preserve">, ekonomicky neaktivní chtějící pracovat </w:t>
            </w:r>
            <w:r w:rsidRPr="00926D74">
              <w:rPr>
                <w:rFonts w:cs="Arial"/>
                <w:bCs/>
                <w:spacing w:val="-2"/>
              </w:rPr>
              <w:t>(v tis. osob)*</w:t>
            </w:r>
            <w:r w:rsidRPr="00926D74">
              <w:rPr>
                <w:rFonts w:cs="Arial"/>
                <w:b/>
                <w:bCs/>
                <w:spacing w:val="-2"/>
              </w:rPr>
              <w:t xml:space="preserve">, volná pracovní místa </w:t>
            </w:r>
            <w:r>
              <w:rPr>
                <w:rFonts w:cs="Arial"/>
                <w:bCs/>
                <w:spacing w:val="-2"/>
              </w:rPr>
              <w:t>(v</w:t>
            </w:r>
            <w:r w:rsidRPr="00926D74">
              <w:rPr>
                <w:rFonts w:cs="Arial"/>
                <w:bCs/>
                <w:spacing w:val="-2"/>
              </w:rPr>
              <w:t xml:space="preserve"> tis.) </w:t>
            </w:r>
            <w:r w:rsidRPr="00926D74">
              <w:rPr>
                <w:rFonts w:cs="Arial"/>
                <w:b/>
                <w:bCs/>
                <w:spacing w:val="-2"/>
              </w:rPr>
              <w:t>a</w:t>
            </w:r>
            <w:r w:rsidRPr="00926D74">
              <w:rPr>
                <w:rFonts w:cs="Arial"/>
                <w:bCs/>
                <w:spacing w:val="-2"/>
              </w:rPr>
              <w:t xml:space="preserve"> </w:t>
            </w:r>
            <w:r w:rsidRPr="00926D74">
              <w:rPr>
                <w:rFonts w:cs="Arial"/>
                <w:b/>
                <w:bCs/>
                <w:spacing w:val="-2"/>
              </w:rPr>
              <w:t>očekávání nezaměstnanosti od domácností</w:t>
            </w:r>
            <w:r w:rsidRPr="00926D74">
              <w:rPr>
                <w:rFonts w:cs="Arial"/>
                <w:bCs/>
                <w:spacing w:val="-2"/>
              </w:rPr>
              <w:t xml:space="preserve"> (v p. b.)**</w:t>
            </w:r>
          </w:p>
        </w:tc>
      </w:tr>
      <w:tr w:rsidR="00765928" w:rsidRPr="00B43216" w14:paraId="247F66C2" w14:textId="77777777" w:rsidTr="00FD4372">
        <w:tblPrEx>
          <w:tblCellMar>
            <w:left w:w="70" w:type="dxa"/>
            <w:right w:w="70" w:type="dxa"/>
          </w:tblCellMar>
        </w:tblPrEx>
        <w:trPr>
          <w:trHeight w:val="155"/>
        </w:trPr>
        <w:tc>
          <w:tcPr>
            <w:tcW w:w="1814" w:type="dxa"/>
            <w:vMerge/>
            <w:shd w:val="clear" w:color="auto" w:fill="auto"/>
          </w:tcPr>
          <w:p w14:paraId="0B59F887" w14:textId="77777777" w:rsidR="00765928" w:rsidRPr="00B43216" w:rsidRDefault="00765928" w:rsidP="00FD4372">
            <w:pPr>
              <w:pStyle w:val="Marginlie"/>
              <w:spacing w:after="120"/>
              <w:rPr>
                <w:spacing w:val="-4"/>
              </w:rPr>
            </w:pPr>
          </w:p>
        </w:tc>
        <w:tc>
          <w:tcPr>
            <w:tcW w:w="204" w:type="dxa"/>
            <w:vMerge/>
            <w:shd w:val="clear" w:color="auto" w:fill="auto"/>
          </w:tcPr>
          <w:p w14:paraId="15A00BB1" w14:textId="77777777" w:rsidR="00765928" w:rsidRPr="00B43216" w:rsidRDefault="00765928" w:rsidP="00FD4372">
            <w:pPr>
              <w:pStyle w:val="Textpoznpodarou"/>
              <w:spacing w:after="120"/>
              <w:jc w:val="both"/>
              <w:rPr>
                <w:spacing w:val="-4"/>
              </w:rPr>
            </w:pPr>
          </w:p>
        </w:tc>
        <w:tc>
          <w:tcPr>
            <w:tcW w:w="7751" w:type="dxa"/>
            <w:shd w:val="clear" w:color="auto" w:fill="auto"/>
          </w:tcPr>
          <w:p w14:paraId="37ED4511" w14:textId="77777777" w:rsidR="00765928" w:rsidRPr="00B43216" w:rsidRDefault="00765928" w:rsidP="00FD4372">
            <w:pPr>
              <w:spacing w:after="0"/>
              <w:rPr>
                <w:spacing w:val="-4"/>
              </w:rPr>
            </w:pPr>
            <w:r>
              <w:rPr>
                <w:noProof/>
              </w:rPr>
              <w:drawing>
                <wp:inline distT="0" distB="0" distL="0" distR="0" wp14:anchorId="61D01793" wp14:editId="07255ABE">
                  <wp:extent cx="4691380" cy="34560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765928" w:rsidRPr="00B43216" w14:paraId="3721E8A0" w14:textId="77777777" w:rsidTr="00FD4372">
        <w:trPr>
          <w:trHeight w:val="132"/>
        </w:trPr>
        <w:tc>
          <w:tcPr>
            <w:tcW w:w="1814" w:type="dxa"/>
            <w:vMerge/>
            <w:shd w:val="clear" w:color="auto" w:fill="auto"/>
            <w:tcMar>
              <w:left w:w="0" w:type="dxa"/>
            </w:tcMar>
          </w:tcPr>
          <w:p w14:paraId="4695E230" w14:textId="77777777" w:rsidR="00765928" w:rsidRPr="00B43216" w:rsidRDefault="00765928" w:rsidP="00FD4372">
            <w:pPr>
              <w:pStyle w:val="Marginlie"/>
              <w:rPr>
                <w:spacing w:val="-4"/>
              </w:rPr>
            </w:pPr>
          </w:p>
        </w:tc>
        <w:tc>
          <w:tcPr>
            <w:tcW w:w="204" w:type="dxa"/>
            <w:vMerge/>
            <w:shd w:val="clear" w:color="auto" w:fill="auto"/>
            <w:tcMar>
              <w:left w:w="0" w:type="dxa"/>
            </w:tcMar>
          </w:tcPr>
          <w:p w14:paraId="7F1330BD" w14:textId="77777777" w:rsidR="00765928" w:rsidRPr="00B43216" w:rsidRDefault="00765928" w:rsidP="00FD4372">
            <w:pPr>
              <w:pStyle w:val="Textpoznpodarou"/>
              <w:jc w:val="both"/>
              <w:rPr>
                <w:spacing w:val="-4"/>
              </w:rPr>
            </w:pPr>
          </w:p>
        </w:tc>
        <w:tc>
          <w:tcPr>
            <w:tcW w:w="7751" w:type="dxa"/>
            <w:shd w:val="clear" w:color="auto" w:fill="auto"/>
            <w:tcMar>
              <w:left w:w="0" w:type="dxa"/>
            </w:tcMar>
          </w:tcPr>
          <w:p w14:paraId="1E41B2AE" w14:textId="77777777" w:rsidR="00765928" w:rsidRPr="00D94F3D" w:rsidRDefault="00765928" w:rsidP="00FD4372">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Pozn.: Míry nezaměstnanosti i ekonomické</w:t>
            </w:r>
            <w:r w:rsidRPr="00D94F3D">
              <w:rPr>
                <w:rFonts w:cs="Arial"/>
                <w:color w:val="0D0D0D" w:themeColor="text1" w:themeTint="F2"/>
                <w:spacing w:val="-4"/>
                <w:sz w:val="14"/>
                <w:szCs w:val="14"/>
              </w:rPr>
              <w:t xml:space="preserve"> ak</w:t>
            </w:r>
            <w:r>
              <w:rPr>
                <w:rFonts w:cs="Arial"/>
                <w:color w:val="0D0D0D" w:themeColor="text1" w:themeTint="F2"/>
                <w:spacing w:val="-4"/>
                <w:sz w:val="14"/>
                <w:szCs w:val="14"/>
              </w:rPr>
              <w:t>tivity jsou sezónně očištěny</w:t>
            </w:r>
            <w:r w:rsidRPr="00D94F3D">
              <w:rPr>
                <w:rFonts w:cs="Arial"/>
                <w:color w:val="0D0D0D" w:themeColor="text1" w:themeTint="F2"/>
                <w:spacing w:val="-4"/>
                <w:sz w:val="14"/>
                <w:szCs w:val="14"/>
              </w:rPr>
              <w:t>. VPM = volná pracovní místa (stav na konci čtvrtletí)</w:t>
            </w:r>
          </w:p>
          <w:p w14:paraId="597085F7" w14:textId="77777777" w:rsidR="00765928" w:rsidRDefault="00765928" w:rsidP="00FD4372">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4CD03CE1" w14:textId="77777777" w:rsidR="00765928" w:rsidRDefault="00765928" w:rsidP="00FD4372">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Vztahuje se k prostřednímu měsíci daného čtvrtletí.</w:t>
            </w:r>
          </w:p>
          <w:p w14:paraId="6BBC7002" w14:textId="77777777" w:rsidR="00765928" w:rsidRPr="00485ED5" w:rsidRDefault="00765928" w:rsidP="00FD4372">
            <w:pPr>
              <w:spacing w:after="20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 MPSV (volná pracovní místa registrovaná na úřadech práce v ČR)</w:t>
            </w:r>
          </w:p>
        </w:tc>
      </w:tr>
      <w:tr w:rsidR="00765928" w:rsidRPr="00B43216" w14:paraId="30539202" w14:textId="77777777" w:rsidTr="00FD4372">
        <w:trPr>
          <w:trHeight w:val="132"/>
        </w:trPr>
        <w:tc>
          <w:tcPr>
            <w:tcW w:w="1814" w:type="dxa"/>
            <w:shd w:val="clear" w:color="auto" w:fill="auto"/>
            <w:tcMar>
              <w:left w:w="0" w:type="dxa"/>
            </w:tcMar>
          </w:tcPr>
          <w:p w14:paraId="2AE60B2F" w14:textId="77777777" w:rsidR="00765928" w:rsidRDefault="00765928" w:rsidP="00FD4372">
            <w:pPr>
              <w:pStyle w:val="Marginlie"/>
              <w:rPr>
                <w:spacing w:val="-4"/>
              </w:rPr>
            </w:pPr>
            <w:r>
              <w:rPr>
                <w:color w:val="0D0D0D" w:themeColor="text1" w:themeTint="F2"/>
                <w:spacing w:val="-5"/>
              </w:rPr>
              <w:t xml:space="preserve">Obavy lidí z růstu nezaměstnanosti v 1. čtvrtletí slábly, přesto </w:t>
            </w:r>
            <w:r>
              <w:rPr>
                <w:color w:val="0D0D0D" w:themeColor="text1" w:themeTint="F2"/>
                <w:spacing w:val="-5"/>
              </w:rPr>
              <w:lastRenderedPageBreak/>
              <w:t>zůstaly nad dlouhodobým průměrem.</w:t>
            </w:r>
          </w:p>
        </w:tc>
        <w:tc>
          <w:tcPr>
            <w:tcW w:w="204" w:type="dxa"/>
            <w:shd w:val="clear" w:color="auto" w:fill="auto"/>
            <w:tcMar>
              <w:left w:w="0" w:type="dxa"/>
            </w:tcMar>
          </w:tcPr>
          <w:p w14:paraId="5647C15F" w14:textId="77777777" w:rsidR="00765928" w:rsidRPr="00B43216" w:rsidRDefault="00765928" w:rsidP="00FD4372">
            <w:pPr>
              <w:pStyle w:val="Textpoznpodarou"/>
              <w:jc w:val="both"/>
              <w:rPr>
                <w:spacing w:val="-4"/>
              </w:rPr>
            </w:pPr>
          </w:p>
        </w:tc>
        <w:tc>
          <w:tcPr>
            <w:tcW w:w="7751" w:type="dxa"/>
            <w:shd w:val="clear" w:color="auto" w:fill="auto"/>
            <w:tcMar>
              <w:left w:w="0" w:type="dxa"/>
            </w:tcMar>
          </w:tcPr>
          <w:p w14:paraId="19D2354D" w14:textId="77777777" w:rsidR="00765928" w:rsidRPr="00F503A4" w:rsidRDefault="00765928" w:rsidP="00FD4372">
            <w:pPr>
              <w:rPr>
                <w:color w:val="1D1B11" w:themeColor="background2" w:themeShade="1A"/>
                <w:spacing w:val="-4"/>
              </w:rPr>
            </w:pPr>
            <w:r>
              <w:rPr>
                <w:color w:val="1D1B11" w:themeColor="background2" w:themeShade="1A"/>
                <w:spacing w:val="-4"/>
              </w:rPr>
              <w:t xml:space="preserve">Obavy lidí z růstu nezaměstnanosti, jež se po většinu loňského roku zvyšovaly, patrně kulminovaly ve 4. čtvrtletí. Současně s nižším negativním očekáváním celkové ekonomické </w:t>
            </w:r>
            <w:r>
              <w:rPr>
                <w:color w:val="1D1B11" w:themeColor="background2" w:themeShade="1A"/>
                <w:spacing w:val="-4"/>
              </w:rPr>
              <w:lastRenderedPageBreak/>
              <w:t xml:space="preserve">situace od počátku roku 2023 postupně slábly i předpokládané vlastní finanční kondice domácností. I přesto byl počet lidí očekávajících v nejbližších dvanácti měsících růst nezaměstnanosti znatelně vyšší než v konjunkturním období na konci minulé dekády. </w:t>
            </w:r>
          </w:p>
        </w:tc>
      </w:tr>
      <w:tr w:rsidR="00765928" w:rsidRPr="00B43216" w14:paraId="2B535810" w14:textId="77777777" w:rsidTr="00FD4372">
        <w:trPr>
          <w:trHeight w:val="132"/>
        </w:trPr>
        <w:tc>
          <w:tcPr>
            <w:tcW w:w="1814" w:type="dxa"/>
            <w:shd w:val="clear" w:color="auto" w:fill="auto"/>
            <w:tcMar>
              <w:left w:w="0" w:type="dxa"/>
            </w:tcMar>
          </w:tcPr>
          <w:p w14:paraId="111511B3" w14:textId="77777777" w:rsidR="00765928" w:rsidRDefault="00765928" w:rsidP="00FD4372">
            <w:pPr>
              <w:pStyle w:val="Marginlie"/>
              <w:rPr>
                <w:spacing w:val="-4"/>
              </w:rPr>
            </w:pPr>
            <w:proofErr w:type="spellStart"/>
            <w:r>
              <w:rPr>
                <w:spacing w:val="-4"/>
              </w:rPr>
              <w:lastRenderedPageBreak/>
              <w:t>Mezikvartální</w:t>
            </w:r>
            <w:proofErr w:type="spellEnd"/>
            <w:r>
              <w:rPr>
                <w:spacing w:val="-4"/>
              </w:rPr>
              <w:t xml:space="preserve"> nominální růst průměrné mzdy mírně zrychloval.</w:t>
            </w:r>
          </w:p>
          <w:p w14:paraId="7054B1A1" w14:textId="77777777" w:rsidR="00765928" w:rsidRDefault="00765928" w:rsidP="00FD4372">
            <w:pPr>
              <w:pStyle w:val="Marginlie"/>
              <w:rPr>
                <w:spacing w:val="-4"/>
              </w:rPr>
            </w:pPr>
          </w:p>
          <w:p w14:paraId="7C2F50C4" w14:textId="77777777" w:rsidR="00765928" w:rsidRDefault="00765928" w:rsidP="00FD4372">
            <w:pPr>
              <w:pStyle w:val="Marginlie"/>
              <w:rPr>
                <w:spacing w:val="-4"/>
              </w:rPr>
            </w:pPr>
          </w:p>
          <w:p w14:paraId="3E3A62F8" w14:textId="77777777" w:rsidR="00765928" w:rsidRDefault="00765928" w:rsidP="00FD4372">
            <w:pPr>
              <w:pStyle w:val="Marginlie"/>
              <w:rPr>
                <w:spacing w:val="-4"/>
              </w:rPr>
            </w:pPr>
          </w:p>
          <w:p w14:paraId="60F38FFF" w14:textId="77777777" w:rsidR="00765928" w:rsidRDefault="00765928" w:rsidP="00FD4372">
            <w:pPr>
              <w:pStyle w:val="Marginlie"/>
              <w:rPr>
                <w:spacing w:val="-4"/>
              </w:rPr>
            </w:pPr>
          </w:p>
          <w:p w14:paraId="7AE8038C" w14:textId="77777777" w:rsidR="00765928" w:rsidRDefault="00765928" w:rsidP="00FD4372">
            <w:pPr>
              <w:pStyle w:val="Marginlie"/>
              <w:rPr>
                <w:spacing w:val="-4"/>
              </w:rPr>
            </w:pPr>
            <w:r>
              <w:rPr>
                <w:spacing w:val="-4"/>
              </w:rPr>
              <w:t xml:space="preserve">Hluboký </w:t>
            </w:r>
            <w:r>
              <w:rPr>
                <w:color w:val="0D0D0D" w:themeColor="text1" w:themeTint="F2"/>
                <w:spacing w:val="-5"/>
              </w:rPr>
              <w:t>meziroční propad reálných mezd pokračoval šestý kvartál v řadě. Koupěschopnost průměrných výdělků dosáhla pouze úrovně roku 2017.</w:t>
            </w:r>
          </w:p>
          <w:p w14:paraId="31DD10DD" w14:textId="77777777" w:rsidR="00765928" w:rsidRPr="00B43216" w:rsidRDefault="00765928" w:rsidP="00FD4372">
            <w:pPr>
              <w:pStyle w:val="Marginlie"/>
              <w:rPr>
                <w:spacing w:val="-4"/>
              </w:rPr>
            </w:pPr>
          </w:p>
        </w:tc>
        <w:tc>
          <w:tcPr>
            <w:tcW w:w="204" w:type="dxa"/>
            <w:shd w:val="clear" w:color="auto" w:fill="auto"/>
            <w:tcMar>
              <w:left w:w="0" w:type="dxa"/>
            </w:tcMar>
          </w:tcPr>
          <w:p w14:paraId="08DCC3A2" w14:textId="77777777" w:rsidR="00765928" w:rsidRPr="00B43216" w:rsidRDefault="00765928" w:rsidP="00FD4372">
            <w:pPr>
              <w:pStyle w:val="Textpoznpodarou"/>
              <w:jc w:val="both"/>
              <w:rPr>
                <w:spacing w:val="-4"/>
              </w:rPr>
            </w:pPr>
          </w:p>
        </w:tc>
        <w:tc>
          <w:tcPr>
            <w:tcW w:w="7751" w:type="dxa"/>
            <w:shd w:val="clear" w:color="auto" w:fill="auto"/>
            <w:tcMar>
              <w:left w:w="0" w:type="dxa"/>
            </w:tcMar>
          </w:tcPr>
          <w:p w14:paraId="1849CD0F" w14:textId="77777777" w:rsidR="00765928" w:rsidRPr="00FA68D2" w:rsidRDefault="00765928" w:rsidP="00FD4372">
            <w:pPr>
              <w:spacing w:after="0"/>
              <w:rPr>
                <w:spacing w:val="-4"/>
              </w:rPr>
            </w:pPr>
            <w:r w:rsidRPr="00FA68D2">
              <w:rPr>
                <w:color w:val="0D0D0D" w:themeColor="text1" w:themeTint="F2"/>
                <w:spacing w:val="-4"/>
              </w:rPr>
              <w:t>Průměrná hrubá měsíční nominální mzda (na zaměstnance, při zohledně</w:t>
            </w:r>
            <w:r>
              <w:rPr>
                <w:color w:val="0D0D0D" w:themeColor="text1" w:themeTint="F2"/>
                <w:spacing w:val="-4"/>
              </w:rPr>
              <w:t>ní délky úvazku) činila v 1. čtvrtletí 2023 na 41 265</w:t>
            </w:r>
            <w:r w:rsidRPr="00FA68D2">
              <w:rPr>
                <w:color w:val="0D0D0D" w:themeColor="text1" w:themeTint="F2"/>
                <w:spacing w:val="-4"/>
              </w:rPr>
              <w:t xml:space="preserve"> tis. </w:t>
            </w:r>
            <w:r>
              <w:rPr>
                <w:color w:val="0D0D0D" w:themeColor="text1" w:themeTint="F2"/>
                <w:spacing w:val="-4"/>
              </w:rPr>
              <w:t>korun a meziročně byla vyšší o 8,6</w:t>
            </w:r>
            <w:r w:rsidRPr="00FA68D2">
              <w:rPr>
                <w:color w:val="0D0D0D" w:themeColor="text1" w:themeTint="F2"/>
                <w:spacing w:val="-4"/>
              </w:rPr>
              <w:t xml:space="preserve"> %. </w:t>
            </w:r>
            <w:r w:rsidRPr="00FA68D2">
              <w:rPr>
                <w:spacing w:val="-4"/>
              </w:rPr>
              <w:t xml:space="preserve">Mzda po očištění od sezónních vlivů se </w:t>
            </w:r>
            <w:proofErr w:type="spellStart"/>
            <w:r w:rsidRPr="00FA68D2">
              <w:rPr>
                <w:color w:val="0D0D0D" w:themeColor="text1" w:themeTint="F2"/>
                <w:spacing w:val="-4"/>
              </w:rPr>
              <w:t>mezikvartálně</w:t>
            </w:r>
            <w:proofErr w:type="spellEnd"/>
            <w:r w:rsidRPr="00FA68D2">
              <w:rPr>
                <w:color w:val="0D0D0D" w:themeColor="text1" w:themeTint="F2"/>
                <w:spacing w:val="-4"/>
              </w:rPr>
              <w:t xml:space="preserve"> navýšila </w:t>
            </w:r>
            <w:r>
              <w:rPr>
                <w:spacing w:val="-4"/>
              </w:rPr>
              <w:t>o 2,2 % – tedy nejvíce za posledních sedm čtvrtletí.</w:t>
            </w:r>
            <w:r w:rsidRPr="00FA68D2">
              <w:rPr>
                <w:spacing w:val="-4"/>
              </w:rPr>
              <w:t xml:space="preserve"> </w:t>
            </w:r>
            <w:r>
              <w:rPr>
                <w:spacing w:val="-4"/>
              </w:rPr>
              <w:t xml:space="preserve">Ani mírná mzdová akcelerace </w:t>
            </w:r>
            <w:r w:rsidRPr="00FA68D2">
              <w:rPr>
                <w:spacing w:val="-4"/>
              </w:rPr>
              <w:t xml:space="preserve">ale </w:t>
            </w:r>
            <w:r>
              <w:rPr>
                <w:spacing w:val="-4"/>
              </w:rPr>
              <w:t xml:space="preserve">zdaleka </w:t>
            </w:r>
            <w:r w:rsidRPr="00FA68D2">
              <w:rPr>
                <w:spacing w:val="-4"/>
              </w:rPr>
              <w:t>nestačila zaměstnancům pokrýt prudce rostoucí živo</w:t>
            </w:r>
            <w:r>
              <w:rPr>
                <w:spacing w:val="-4"/>
              </w:rPr>
              <w:t xml:space="preserve">tní náklady. Meziroční dynamika spotřebitelských cen se totiž v 1. čtvrtletí ve srovnání s koncem loňského roku ještě mírně zvýšila a reálná mzda se tak na počátku roku propadla o 6,7 %. Snížení kupní síly průměrných zaměstnaneckých výdělků pokračovalo již šestý kvartál v řadě (nejdéle v současném miléniu) a intenzita tohoto „znehodnocení“ byla natolik vysoká, že letošní reálná mzda zhruba odpovídala úrovni z roku 2017. Meziroční pokles reálné mzdy </w:t>
            </w:r>
            <w:r w:rsidRPr="00972373">
              <w:rPr>
                <w:spacing w:val="-6"/>
              </w:rPr>
              <w:t>nastal letos téměř ve všech sledovaných odvětvových sekcích (vyjma energetiky) i u veškerých</w:t>
            </w:r>
            <w:r>
              <w:rPr>
                <w:spacing w:val="-4"/>
              </w:rPr>
              <w:t xml:space="preserve"> hlavních průmyslových oborů, shod</w:t>
            </w:r>
            <w:r w:rsidRPr="00FA68D2">
              <w:rPr>
                <w:spacing w:val="-4"/>
              </w:rPr>
              <w:t xml:space="preserve">ně jako napříč </w:t>
            </w:r>
            <w:r>
              <w:rPr>
                <w:spacing w:val="-4"/>
              </w:rPr>
              <w:t xml:space="preserve">všemi </w:t>
            </w:r>
            <w:r w:rsidRPr="00FA68D2">
              <w:rPr>
                <w:spacing w:val="-4"/>
              </w:rPr>
              <w:t>kraji ČR</w:t>
            </w:r>
            <w:r>
              <w:rPr>
                <w:spacing w:val="-4"/>
              </w:rPr>
              <w:t xml:space="preserve">. </w:t>
            </w:r>
            <w:r w:rsidRPr="00FA68D2">
              <w:rPr>
                <w:spacing w:val="-4"/>
              </w:rPr>
              <w:t xml:space="preserve">Mzdový vývoj </w:t>
            </w:r>
            <w:r>
              <w:rPr>
                <w:spacing w:val="-4"/>
              </w:rPr>
              <w:t>v 1</w:t>
            </w:r>
            <w:r w:rsidRPr="00FA68D2">
              <w:rPr>
                <w:spacing w:val="-4"/>
              </w:rPr>
              <w:t xml:space="preserve">. čtvrtletí </w:t>
            </w:r>
            <w:r>
              <w:rPr>
                <w:spacing w:val="-4"/>
              </w:rPr>
              <w:t xml:space="preserve">2023 </w:t>
            </w:r>
            <w:r w:rsidRPr="00FA68D2">
              <w:rPr>
                <w:spacing w:val="-4"/>
              </w:rPr>
              <w:t>(shodně</w:t>
            </w:r>
            <w:r>
              <w:rPr>
                <w:spacing w:val="-4"/>
              </w:rPr>
              <w:t xml:space="preserve"> jako po celý loňský rok</w:t>
            </w:r>
            <w:r w:rsidRPr="00FA68D2">
              <w:rPr>
                <w:spacing w:val="-4"/>
              </w:rPr>
              <w:t>) tak byl patrně rozhodujícím faktorem snížení celkové kupní síly tuzemských domácností</w:t>
            </w:r>
            <w:r w:rsidRPr="00FA68D2">
              <w:rPr>
                <w:rStyle w:val="Znakapoznpodarou"/>
                <w:spacing w:val="-4"/>
              </w:rPr>
              <w:footnoteReference w:id="55"/>
            </w:r>
            <w:r w:rsidRPr="00FA68D2">
              <w:rPr>
                <w:spacing w:val="-4"/>
              </w:rPr>
              <w:t>.</w:t>
            </w:r>
            <w:r>
              <w:rPr>
                <w:spacing w:val="-4"/>
              </w:rPr>
              <w:t xml:space="preserve"> </w:t>
            </w:r>
          </w:p>
          <w:p w14:paraId="624C7C8F" w14:textId="77777777" w:rsidR="00765928" w:rsidRPr="00FA68D2" w:rsidRDefault="00765928" w:rsidP="00FD4372">
            <w:pPr>
              <w:spacing w:after="0" w:line="240" w:lineRule="auto"/>
              <w:rPr>
                <w:rFonts w:cs="Arial"/>
                <w:color w:val="0D0D0D" w:themeColor="text1" w:themeTint="F2"/>
                <w:spacing w:val="-4"/>
                <w:szCs w:val="20"/>
              </w:rPr>
            </w:pPr>
          </w:p>
        </w:tc>
      </w:tr>
      <w:tr w:rsidR="00765928" w:rsidRPr="00B43216" w14:paraId="36ACCC69" w14:textId="77777777" w:rsidTr="00FD4372">
        <w:trPr>
          <w:trHeight w:val="132"/>
        </w:trPr>
        <w:tc>
          <w:tcPr>
            <w:tcW w:w="1814" w:type="dxa"/>
            <w:shd w:val="clear" w:color="auto" w:fill="auto"/>
            <w:tcMar>
              <w:left w:w="0" w:type="dxa"/>
            </w:tcMar>
          </w:tcPr>
          <w:p w14:paraId="376616AF" w14:textId="77777777" w:rsidR="00765928" w:rsidRPr="00B02B6A" w:rsidRDefault="00765928" w:rsidP="00FD4372">
            <w:pPr>
              <w:pStyle w:val="Marginlie"/>
              <w:rPr>
                <w:color w:val="0D0D0D" w:themeColor="text1" w:themeTint="F2"/>
                <w:spacing w:val="-6"/>
              </w:rPr>
            </w:pPr>
            <w:r w:rsidRPr="00B02B6A">
              <w:rPr>
                <w:color w:val="0D0D0D" w:themeColor="text1" w:themeTint="F2"/>
                <w:spacing w:val="-6"/>
              </w:rPr>
              <w:t>Mzdový růst stimulovalo přetrvávající napětí na pracovním trhu pos</w:t>
            </w:r>
            <w:r>
              <w:rPr>
                <w:color w:val="0D0D0D" w:themeColor="text1" w:themeTint="F2"/>
                <w:spacing w:val="-6"/>
              </w:rPr>
              <w:t>ílené snahou zaměstnanců o</w:t>
            </w:r>
            <w:r>
              <w:rPr>
                <w:color w:val="0D0D0D" w:themeColor="text1" w:themeTint="F2"/>
                <w:spacing w:val="-5"/>
              </w:rPr>
              <w:t> </w:t>
            </w:r>
            <w:r>
              <w:rPr>
                <w:color w:val="0D0D0D" w:themeColor="text1" w:themeTint="F2"/>
                <w:spacing w:val="-6"/>
              </w:rPr>
              <w:t>kompenzaci pokračujícího propadu reálných výdělků</w:t>
            </w:r>
            <w:r w:rsidRPr="00B02B6A">
              <w:rPr>
                <w:color w:val="0D0D0D" w:themeColor="text1" w:themeTint="F2"/>
                <w:spacing w:val="-6"/>
              </w:rPr>
              <w:t>.</w:t>
            </w:r>
          </w:p>
          <w:p w14:paraId="62810C3E" w14:textId="77777777" w:rsidR="00765928" w:rsidRDefault="00765928" w:rsidP="00FD4372">
            <w:pPr>
              <w:pStyle w:val="Marginlie"/>
              <w:rPr>
                <w:color w:val="0D0D0D" w:themeColor="text1" w:themeTint="F2"/>
                <w:spacing w:val="-4"/>
              </w:rPr>
            </w:pPr>
          </w:p>
          <w:p w14:paraId="0BBF8A1B" w14:textId="77777777" w:rsidR="00765928" w:rsidRDefault="00765928" w:rsidP="00FD4372">
            <w:pPr>
              <w:pStyle w:val="Marginlie"/>
              <w:rPr>
                <w:color w:val="0D0D0D" w:themeColor="text1" w:themeTint="F2"/>
                <w:spacing w:val="-4"/>
              </w:rPr>
            </w:pPr>
          </w:p>
          <w:p w14:paraId="4E21F0A5" w14:textId="77777777" w:rsidR="00765928" w:rsidRPr="00B02B6A" w:rsidRDefault="00765928" w:rsidP="00FD4372">
            <w:pPr>
              <w:pStyle w:val="Marginlie"/>
              <w:rPr>
                <w:color w:val="0D0D0D" w:themeColor="text1" w:themeTint="F2"/>
                <w:spacing w:val="-4"/>
              </w:rPr>
            </w:pPr>
          </w:p>
          <w:p w14:paraId="0719C4AF" w14:textId="77777777" w:rsidR="00765928" w:rsidRPr="00B02B6A" w:rsidRDefault="00765928" w:rsidP="00FD4372">
            <w:pPr>
              <w:pStyle w:val="Marginlie"/>
              <w:rPr>
                <w:color w:val="0D0D0D" w:themeColor="text1" w:themeTint="F2"/>
                <w:spacing w:val="-4"/>
              </w:rPr>
            </w:pPr>
            <w:r w:rsidRPr="00B02B6A">
              <w:rPr>
                <w:color w:val="0D0D0D" w:themeColor="text1" w:themeTint="F2"/>
                <w:spacing w:val="-4"/>
              </w:rPr>
              <w:t>V odvětví</w:t>
            </w:r>
            <w:r>
              <w:rPr>
                <w:color w:val="0D0D0D" w:themeColor="text1" w:themeTint="F2"/>
                <w:spacing w:val="-4"/>
              </w:rPr>
              <w:t>ch s dominancí státu převažov</w:t>
            </w:r>
            <w:r w:rsidRPr="00B02B6A">
              <w:rPr>
                <w:color w:val="0D0D0D" w:themeColor="text1" w:themeTint="F2"/>
                <w:spacing w:val="-4"/>
              </w:rPr>
              <w:t>al vliv úsporných opatření.</w:t>
            </w:r>
          </w:p>
        </w:tc>
        <w:tc>
          <w:tcPr>
            <w:tcW w:w="204" w:type="dxa"/>
            <w:shd w:val="clear" w:color="auto" w:fill="auto"/>
            <w:tcMar>
              <w:left w:w="0" w:type="dxa"/>
            </w:tcMar>
          </w:tcPr>
          <w:p w14:paraId="029B1FC8" w14:textId="77777777" w:rsidR="00765928" w:rsidRPr="00B43216" w:rsidRDefault="00765928" w:rsidP="00FD4372">
            <w:pPr>
              <w:pStyle w:val="Textpoznpodarou"/>
              <w:jc w:val="both"/>
              <w:rPr>
                <w:spacing w:val="-4"/>
              </w:rPr>
            </w:pPr>
          </w:p>
        </w:tc>
        <w:tc>
          <w:tcPr>
            <w:tcW w:w="7751" w:type="dxa"/>
            <w:shd w:val="clear" w:color="auto" w:fill="auto"/>
            <w:tcMar>
              <w:left w:w="0" w:type="dxa"/>
            </w:tcMar>
          </w:tcPr>
          <w:p w14:paraId="141EE399" w14:textId="77777777" w:rsidR="00765928" w:rsidRDefault="00765928" w:rsidP="00FD4372">
            <w:pPr>
              <w:spacing w:after="0"/>
              <w:rPr>
                <w:spacing w:val="-5"/>
              </w:rPr>
            </w:pPr>
            <w:r>
              <w:rPr>
                <w:rFonts w:cs="Arial"/>
                <w:color w:val="0D0D0D" w:themeColor="text1" w:themeTint="F2"/>
                <w:spacing w:val="-4"/>
                <w:szCs w:val="20"/>
              </w:rPr>
              <w:t xml:space="preserve">Mzdový růst odrážel </w:t>
            </w:r>
            <w:r>
              <w:rPr>
                <w:spacing w:val="-5"/>
              </w:rPr>
              <w:t>přetrvávající nerovnováhy</w:t>
            </w:r>
            <w:r w:rsidRPr="00D766A7">
              <w:rPr>
                <w:spacing w:val="-5"/>
              </w:rPr>
              <w:t xml:space="preserve"> na pracov</w:t>
            </w:r>
            <w:r>
              <w:rPr>
                <w:spacing w:val="-5"/>
              </w:rPr>
              <w:t>ním trhu spojené se stále nízkou nezaměstnaností,</w:t>
            </w:r>
            <w:r w:rsidRPr="00D766A7">
              <w:rPr>
                <w:spacing w:val="-5"/>
              </w:rPr>
              <w:t xml:space="preserve"> vyso</w:t>
            </w:r>
            <w:r>
              <w:rPr>
                <w:spacing w:val="-5"/>
              </w:rPr>
              <w:t>kým počtem volných míst i tím</w:t>
            </w:r>
            <w:r w:rsidRPr="00D766A7">
              <w:rPr>
                <w:spacing w:val="-5"/>
              </w:rPr>
              <w:t>,</w:t>
            </w:r>
            <w:r>
              <w:rPr>
                <w:spacing w:val="-5"/>
              </w:rPr>
              <w:t xml:space="preserve"> že nedostatek zaměstnanců významně</w:t>
            </w:r>
            <w:r w:rsidRPr="00D766A7">
              <w:rPr>
                <w:spacing w:val="-5"/>
              </w:rPr>
              <w:t xml:space="preserve"> limitoval produkci v některých odvětví</w:t>
            </w:r>
            <w:r>
              <w:rPr>
                <w:spacing w:val="-5"/>
              </w:rPr>
              <w:t>ch</w:t>
            </w:r>
            <w:r w:rsidRPr="00D766A7">
              <w:rPr>
                <w:spacing w:val="-5"/>
              </w:rPr>
              <w:t xml:space="preserve">. </w:t>
            </w:r>
            <w:r>
              <w:rPr>
                <w:spacing w:val="-5"/>
              </w:rPr>
              <w:t xml:space="preserve">To bylo posíleno dopadem </w:t>
            </w:r>
            <w:r>
              <w:rPr>
                <w:color w:val="0D0D0D" w:themeColor="text1" w:themeTint="F2"/>
                <w:spacing w:val="-4"/>
              </w:rPr>
              <w:t xml:space="preserve">silného růstu životních nákladů domácností, jenž motivoval zaměstnance k odpovídajícímu posílení pracovních příjmů (tlakem na stávající zaměstnavatele, popř. vyšší ekonomickou aktivitou – např. formou vedlejších pracovních úvazků). Částečně, byť patrně v menší míře, působilo v některých odvětvích na výši výdělků </w:t>
            </w:r>
            <w:r w:rsidRPr="00D766A7">
              <w:rPr>
                <w:spacing w:val="-5"/>
              </w:rPr>
              <w:t>pokračující navyšování minimální mzd</w:t>
            </w:r>
            <w:r>
              <w:rPr>
                <w:spacing w:val="-5"/>
              </w:rPr>
              <w:t>y</w:t>
            </w:r>
            <w:r>
              <w:rPr>
                <w:rStyle w:val="Znakapoznpodarou"/>
                <w:spacing w:val="-5"/>
              </w:rPr>
              <w:footnoteReference w:id="56"/>
            </w:r>
            <w:r>
              <w:rPr>
                <w:spacing w:val="-5"/>
              </w:rPr>
              <w:t xml:space="preserve">. Mezi nejvýznamnější faktory tlumící mzdový růst v ekonomice patřila zhoršená finanční situace některých podniků (z důvodu klesající poptávky po produkci a silného růstu nemzdových výrobních nákladů), úsporná opatření ve veřejném sektoru projevující se </w:t>
            </w:r>
            <w:r w:rsidRPr="002B1DAD">
              <w:rPr>
                <w:color w:val="0D0D0D" w:themeColor="text1" w:themeTint="F2"/>
                <w:spacing w:val="-5"/>
              </w:rPr>
              <w:t xml:space="preserve">nastavením </w:t>
            </w:r>
            <w:r w:rsidRPr="00D766A7">
              <w:rPr>
                <w:spacing w:val="-5"/>
              </w:rPr>
              <w:t>platových tarifů v rozpočtové sféře (zmrazení či jen velmi mírný rů</w:t>
            </w:r>
            <w:r>
              <w:rPr>
                <w:spacing w:val="-5"/>
              </w:rPr>
              <w:t>st u většiny skupin pracovníků)</w:t>
            </w:r>
            <w:r>
              <w:rPr>
                <w:rStyle w:val="Znakapoznpodarou"/>
                <w:spacing w:val="-5"/>
              </w:rPr>
              <w:footnoteReference w:id="57"/>
            </w:r>
            <w:r>
              <w:rPr>
                <w:spacing w:val="-5"/>
              </w:rPr>
              <w:t xml:space="preserve">. Zatím zřejmě omezený a nejednoznačný dopad na </w:t>
            </w:r>
            <w:r w:rsidRPr="00D766A7">
              <w:rPr>
                <w:spacing w:val="-5"/>
              </w:rPr>
              <w:t>úroveň průměrných mezd</w:t>
            </w:r>
            <w:r>
              <w:rPr>
                <w:spacing w:val="-5"/>
              </w:rPr>
              <w:t xml:space="preserve"> měl </w:t>
            </w:r>
            <w:r w:rsidRPr="00D766A7">
              <w:rPr>
                <w:spacing w:val="-5"/>
              </w:rPr>
              <w:t>příchod ukrajinských uprchlíků</w:t>
            </w:r>
            <w:r w:rsidRPr="00D766A7">
              <w:rPr>
                <w:rStyle w:val="Znakapoznpodarou"/>
                <w:spacing w:val="-5"/>
              </w:rPr>
              <w:footnoteReference w:id="58"/>
            </w:r>
            <w:r>
              <w:rPr>
                <w:spacing w:val="-5"/>
              </w:rPr>
              <w:t>.</w:t>
            </w:r>
          </w:p>
          <w:p w14:paraId="000E10F2" w14:textId="77777777" w:rsidR="00765928" w:rsidRPr="00D94F3D" w:rsidRDefault="00765928" w:rsidP="00FD4372">
            <w:pPr>
              <w:spacing w:after="0"/>
              <w:rPr>
                <w:rFonts w:cs="Arial"/>
                <w:color w:val="0D0D0D" w:themeColor="text1" w:themeTint="F2"/>
                <w:spacing w:val="-4"/>
                <w:sz w:val="14"/>
                <w:szCs w:val="14"/>
              </w:rPr>
            </w:pPr>
          </w:p>
        </w:tc>
      </w:tr>
      <w:tr w:rsidR="00765928" w:rsidRPr="00B43216" w14:paraId="12EF6324" w14:textId="77777777" w:rsidTr="00FD4372">
        <w:trPr>
          <w:trHeight w:val="132"/>
        </w:trPr>
        <w:tc>
          <w:tcPr>
            <w:tcW w:w="1814" w:type="dxa"/>
            <w:shd w:val="clear" w:color="auto" w:fill="auto"/>
            <w:tcMar>
              <w:left w:w="0" w:type="dxa"/>
            </w:tcMar>
          </w:tcPr>
          <w:p w14:paraId="1E2AB057" w14:textId="77777777" w:rsidR="00765928" w:rsidRDefault="00765928" w:rsidP="00FD4372">
            <w:pPr>
              <w:pStyle w:val="Marginlie"/>
              <w:rPr>
                <w:spacing w:val="-4"/>
              </w:rPr>
            </w:pPr>
            <w:r>
              <w:rPr>
                <w:spacing w:val="-4"/>
              </w:rPr>
              <w:t>Mzdový růst byl mezi odvětvími značně různorodý.</w:t>
            </w:r>
          </w:p>
          <w:p w14:paraId="66BBB2B3" w14:textId="77777777" w:rsidR="00765928" w:rsidRDefault="00765928" w:rsidP="00FD4372">
            <w:pPr>
              <w:pStyle w:val="Marginlie"/>
              <w:rPr>
                <w:spacing w:val="-4"/>
              </w:rPr>
            </w:pPr>
          </w:p>
          <w:p w14:paraId="49C3669A" w14:textId="77777777" w:rsidR="00765928" w:rsidRDefault="00765928" w:rsidP="00FD4372">
            <w:pPr>
              <w:pStyle w:val="Marginlie"/>
              <w:rPr>
                <w:spacing w:val="-4"/>
              </w:rPr>
            </w:pPr>
          </w:p>
          <w:p w14:paraId="6843F929" w14:textId="77777777" w:rsidR="00765928" w:rsidRDefault="00765928" w:rsidP="00FD4372">
            <w:pPr>
              <w:pStyle w:val="Marginlie"/>
              <w:rPr>
                <w:spacing w:val="-4"/>
              </w:rPr>
            </w:pPr>
            <w:r>
              <w:rPr>
                <w:spacing w:val="-4"/>
              </w:rPr>
              <w:t>Příznivé hospodářské výsledky se odrazily v rekordním mzdovém růstu v energetice.</w:t>
            </w:r>
          </w:p>
          <w:p w14:paraId="12BA8439" w14:textId="77777777" w:rsidR="00765928" w:rsidRDefault="00765928" w:rsidP="00FD4372">
            <w:pPr>
              <w:pStyle w:val="Marginlie"/>
              <w:rPr>
                <w:spacing w:val="-4"/>
              </w:rPr>
            </w:pPr>
          </w:p>
          <w:p w14:paraId="186F2885" w14:textId="77777777" w:rsidR="00765928" w:rsidRDefault="00765928" w:rsidP="00FD4372">
            <w:pPr>
              <w:pStyle w:val="Marginlie"/>
              <w:rPr>
                <w:spacing w:val="-4"/>
              </w:rPr>
            </w:pPr>
          </w:p>
          <w:p w14:paraId="7B72376D" w14:textId="77777777" w:rsidR="00765928" w:rsidRDefault="00765928" w:rsidP="00FD4372">
            <w:pPr>
              <w:pStyle w:val="Marginlie"/>
              <w:rPr>
                <w:spacing w:val="-4"/>
              </w:rPr>
            </w:pPr>
          </w:p>
          <w:p w14:paraId="67C54AE1" w14:textId="77777777" w:rsidR="00765928" w:rsidRDefault="00765928" w:rsidP="00FD4372">
            <w:pPr>
              <w:pStyle w:val="Marginlie"/>
              <w:rPr>
                <w:spacing w:val="-4"/>
              </w:rPr>
            </w:pPr>
          </w:p>
          <w:p w14:paraId="16D6845D" w14:textId="77777777" w:rsidR="00765928" w:rsidRDefault="00765928" w:rsidP="00FD4372">
            <w:pPr>
              <w:pStyle w:val="Marginlie"/>
              <w:rPr>
                <w:spacing w:val="-4"/>
              </w:rPr>
            </w:pPr>
          </w:p>
          <w:p w14:paraId="3EA0A978" w14:textId="77777777" w:rsidR="00765928" w:rsidRDefault="00765928" w:rsidP="00FD4372">
            <w:pPr>
              <w:pStyle w:val="Marginlie"/>
              <w:rPr>
                <w:spacing w:val="-4"/>
              </w:rPr>
            </w:pPr>
            <w:r>
              <w:rPr>
                <w:spacing w:val="-4"/>
              </w:rPr>
              <w:t xml:space="preserve">Dynamický růst výdělků v činnostech v oblasti </w:t>
            </w:r>
            <w:r>
              <w:rPr>
                <w:spacing w:val="-4"/>
              </w:rPr>
              <w:lastRenderedPageBreak/>
              <w:t xml:space="preserve">nemovitostí pokračoval, k oživení došlo v oblasti ubytování, stravování a pohostinství. </w:t>
            </w:r>
          </w:p>
          <w:p w14:paraId="34923796" w14:textId="77777777" w:rsidR="00765928" w:rsidRDefault="00765928" w:rsidP="00FD4372">
            <w:pPr>
              <w:pStyle w:val="Marginlie"/>
              <w:rPr>
                <w:spacing w:val="-4"/>
              </w:rPr>
            </w:pPr>
          </w:p>
          <w:p w14:paraId="686B4AE9" w14:textId="77777777" w:rsidR="00765928" w:rsidRDefault="00765928" w:rsidP="00FD4372">
            <w:pPr>
              <w:pStyle w:val="Marginlie"/>
              <w:rPr>
                <w:spacing w:val="-4"/>
              </w:rPr>
            </w:pPr>
            <w:r>
              <w:rPr>
                <w:spacing w:val="-4"/>
              </w:rPr>
              <w:t>V dopravě a obchodu rostly průměrné výdělky obdobně jako v celé ekonomice, objem vyplacených mezd zde ale mírně zaostával.</w:t>
            </w:r>
          </w:p>
          <w:p w14:paraId="7725A92E" w14:textId="77777777" w:rsidR="00765928" w:rsidRDefault="00765928" w:rsidP="00FD4372">
            <w:pPr>
              <w:pStyle w:val="Marginlie"/>
              <w:rPr>
                <w:spacing w:val="-4"/>
              </w:rPr>
            </w:pPr>
            <w:r>
              <w:rPr>
                <w:spacing w:val="-4"/>
              </w:rPr>
              <w:t xml:space="preserve"> </w:t>
            </w:r>
          </w:p>
        </w:tc>
        <w:tc>
          <w:tcPr>
            <w:tcW w:w="204" w:type="dxa"/>
            <w:shd w:val="clear" w:color="auto" w:fill="auto"/>
            <w:tcMar>
              <w:left w:w="0" w:type="dxa"/>
            </w:tcMar>
          </w:tcPr>
          <w:p w14:paraId="7AD8300F" w14:textId="77777777" w:rsidR="00765928" w:rsidRPr="00B43216" w:rsidRDefault="00765928" w:rsidP="00FD4372">
            <w:pPr>
              <w:pStyle w:val="Textpoznpodarou"/>
              <w:jc w:val="both"/>
              <w:rPr>
                <w:spacing w:val="-4"/>
              </w:rPr>
            </w:pPr>
          </w:p>
        </w:tc>
        <w:tc>
          <w:tcPr>
            <w:tcW w:w="7751" w:type="dxa"/>
            <w:shd w:val="clear" w:color="auto" w:fill="auto"/>
            <w:tcMar>
              <w:left w:w="0" w:type="dxa"/>
            </w:tcMar>
          </w:tcPr>
          <w:p w14:paraId="52B8B472" w14:textId="708EB302" w:rsidR="00765928" w:rsidRDefault="00765928" w:rsidP="00FD4372">
            <w:pPr>
              <w:spacing w:after="200"/>
              <w:rPr>
                <w:rFonts w:cs="Arial"/>
                <w:color w:val="0D0D0D" w:themeColor="text1" w:themeTint="F2"/>
                <w:spacing w:val="-4"/>
                <w:szCs w:val="20"/>
              </w:rPr>
            </w:pPr>
            <w:r>
              <w:rPr>
                <w:rFonts w:cs="Arial"/>
                <w:color w:val="0D0D0D" w:themeColor="text1" w:themeTint="F2"/>
                <w:spacing w:val="-4"/>
                <w:szCs w:val="20"/>
              </w:rPr>
              <w:t>Mzdový růst se v 1. čtvrtletí 2023 mezi hlavními odvětvími značně odlišoval, a to jak v tržní sféře, tak v oblasti, kde o výši výdělků rozhoduje primárně stát. Nejrychleji rostla zaměstnancům průměrná mzda v malém a na kvalifikační požadavky náročném odvětví energetiky</w:t>
            </w:r>
            <w:r>
              <w:rPr>
                <w:rStyle w:val="Znakapoznpodarou"/>
                <w:color w:val="0D0D0D" w:themeColor="text1" w:themeTint="F2"/>
                <w:spacing w:val="-4"/>
                <w:szCs w:val="20"/>
              </w:rPr>
              <w:footnoteReference w:id="59"/>
            </w:r>
            <w:r>
              <w:rPr>
                <w:rFonts w:cs="Arial"/>
                <w:color w:val="0D0D0D" w:themeColor="text1" w:themeTint="F2"/>
                <w:spacing w:val="-4"/>
                <w:szCs w:val="20"/>
              </w:rPr>
              <w:t xml:space="preserve"> (+23,1</w:t>
            </w:r>
            <w:r>
              <w:rPr>
                <w:spacing w:val="-5"/>
              </w:rPr>
              <w:t> </w:t>
            </w:r>
            <w:r>
              <w:rPr>
                <w:rFonts w:cs="Arial"/>
                <w:color w:val="0D0D0D" w:themeColor="text1" w:themeTint="F2"/>
                <w:spacing w:val="-4"/>
                <w:szCs w:val="20"/>
              </w:rPr>
              <w:t xml:space="preserve">%). V rekordním mzdovém tempu se zde promítly zejména mimořádné odměny vázané na příznivé hospodářské výsledky. Průměrná hrubá měsíční mzda pracovníků v tomto odvětví tak přesáhla 79 tis. </w:t>
            </w:r>
            <w:r w:rsidRPr="00BE2A81">
              <w:rPr>
                <w:rFonts w:cs="Arial"/>
                <w:color w:val="0D0D0D" w:themeColor="text1" w:themeTint="F2"/>
                <w:spacing w:val="-2"/>
                <w:szCs w:val="20"/>
              </w:rPr>
              <w:t>korun a poprvé v historii převýšila úroveň výdělků jak v oblasti finančnictví, tak IT. V informačních</w:t>
            </w:r>
            <w:r>
              <w:rPr>
                <w:rFonts w:cs="Arial"/>
                <w:color w:val="0D0D0D" w:themeColor="text1" w:themeTint="F2"/>
                <w:spacing w:val="-4"/>
                <w:szCs w:val="20"/>
              </w:rPr>
              <w:t xml:space="preserve"> a komunikačních činnostech se mzdy zvýšily v průměru o 8,4 % (při pokračujícím svižném růstu evidenčního počtu zaměstnanců), v peněžnictví a pojišťovnictví jen o 4,8 % (částečně i vlivem loňské základny navýšené o mimořádné odměny). I tak činil letos průměrný absolutní růst měsíčních mezd ve finančnictví 3 466 korun a byl skoro o desetinu vyšší než v celé ekonomice. Z tržních odvětví služeb vykázalo svižný mzdový růst ubytování, stravování a pohostinství (+11,4 %). Spíše než o dopad navýšené minimální mzdy zde šlo o důsledek </w:t>
            </w:r>
            <w:proofErr w:type="spellStart"/>
            <w:r>
              <w:rPr>
                <w:rFonts w:cs="Arial"/>
                <w:color w:val="0D0D0D" w:themeColor="text1" w:themeTint="F2"/>
                <w:spacing w:val="-4"/>
                <w:szCs w:val="20"/>
              </w:rPr>
              <w:t>pokrizového</w:t>
            </w:r>
            <w:proofErr w:type="spellEnd"/>
            <w:r>
              <w:rPr>
                <w:rFonts w:cs="Arial"/>
                <w:color w:val="0D0D0D" w:themeColor="text1" w:themeTint="F2"/>
                <w:spacing w:val="-4"/>
                <w:szCs w:val="20"/>
              </w:rPr>
              <w:t xml:space="preserve"> oživení </w:t>
            </w:r>
            <w:r>
              <w:rPr>
                <w:rFonts w:cs="Arial"/>
                <w:color w:val="0D0D0D" w:themeColor="text1" w:themeTint="F2"/>
                <w:spacing w:val="-4"/>
                <w:szCs w:val="20"/>
              </w:rPr>
              <w:lastRenderedPageBreak/>
              <w:t xml:space="preserve">(o čemž svědčí také rostoucí zaměstnanost) v kombinaci s obtížným hledáním nových či udržením stávajících pracovníků (průměrná mzda zde nedosáhla ani třetiny úrovně všech výše uvedených odvětví). Výdělky rostly svižně i v činnostech v oblasti nemovitostí </w:t>
            </w:r>
            <w:r>
              <w:rPr>
                <w:rFonts w:cs="Arial"/>
                <w:color w:val="0D0D0D" w:themeColor="text1" w:themeTint="F2"/>
                <w:spacing w:val="-4"/>
                <w:szCs w:val="20"/>
              </w:rPr>
              <w:br/>
              <w:t xml:space="preserve">(+10,4 %), dvojciferný růst zaznamenaly druhý rok v řadě. Ve váhově významných odvětvích obchodu a dopravy se průměrné mzdy zvyšovaly obdobným tempem jako v celé ekonomice, na rozdíl od většiny odvětví služeb ale nebyly doprovázeny přírůstkem zaměstnaneckých míst. Těch naopak (po nepříznivém loňském vývoji) letos přibylo v administrativních a podpůrných činnostech, v nichž jsou (v pojetí podnikových statistik) zahrnuti agenturní pracovníci. Průměrná měsíční mzda zde zřejmě vlivem nástupu nových pracovníků na nízko-kvalifikované pozice vzrostla mírněji (+7,0 %) a nepřesáhla 30 tis. korun. </w:t>
            </w:r>
          </w:p>
        </w:tc>
      </w:tr>
      <w:tr w:rsidR="00765928" w:rsidRPr="00B43216" w14:paraId="4065861E" w14:textId="77777777" w:rsidTr="00FD4372">
        <w:trPr>
          <w:trHeight w:val="132"/>
        </w:trPr>
        <w:tc>
          <w:tcPr>
            <w:tcW w:w="1814" w:type="dxa"/>
            <w:shd w:val="clear" w:color="auto" w:fill="auto"/>
            <w:tcMar>
              <w:left w:w="0" w:type="dxa"/>
            </w:tcMar>
          </w:tcPr>
          <w:p w14:paraId="04BB1ADF" w14:textId="77777777" w:rsidR="00765928" w:rsidRPr="00B6005F" w:rsidRDefault="00765928" w:rsidP="00FD4372">
            <w:pPr>
              <w:pStyle w:val="Marginlie"/>
            </w:pPr>
            <w:r w:rsidRPr="00B6005F">
              <w:lastRenderedPageBreak/>
              <w:t>Meziroční růst průměrných mezd v odvětvích s významnou rolí státu</w:t>
            </w:r>
            <w:r>
              <w:t xml:space="preserve"> zaostal</w:t>
            </w:r>
            <w:r w:rsidRPr="00B6005F">
              <w:t xml:space="preserve"> za úrovní celé ekonomiky</w:t>
            </w:r>
            <w:r>
              <w:t>.</w:t>
            </w:r>
            <w:r w:rsidRPr="00B6005F">
              <w:t xml:space="preserve"> </w:t>
            </w:r>
          </w:p>
          <w:p w14:paraId="190298BB" w14:textId="77777777" w:rsidR="00765928" w:rsidRDefault="00765928" w:rsidP="00FD4372">
            <w:pPr>
              <w:pStyle w:val="Marginlie"/>
              <w:rPr>
                <w:spacing w:val="-4"/>
              </w:rPr>
            </w:pPr>
          </w:p>
          <w:p w14:paraId="13AA0EDC" w14:textId="77777777" w:rsidR="00765928" w:rsidRDefault="00765928" w:rsidP="00FD4372">
            <w:pPr>
              <w:pStyle w:val="Marginlie"/>
              <w:rPr>
                <w:spacing w:val="-4"/>
              </w:rPr>
            </w:pPr>
          </w:p>
          <w:p w14:paraId="7E08C7FD" w14:textId="77777777" w:rsidR="00765928" w:rsidRDefault="00765928" w:rsidP="00FD4372">
            <w:pPr>
              <w:pStyle w:val="Marginlie"/>
              <w:rPr>
                <w:spacing w:val="-4"/>
              </w:rPr>
            </w:pPr>
          </w:p>
          <w:p w14:paraId="31ED2C59" w14:textId="77777777" w:rsidR="00765928" w:rsidRDefault="00765928" w:rsidP="00FD4372">
            <w:pPr>
              <w:pStyle w:val="Marginlie"/>
              <w:rPr>
                <w:spacing w:val="-4"/>
              </w:rPr>
            </w:pPr>
          </w:p>
          <w:p w14:paraId="72CB1A7C" w14:textId="77777777" w:rsidR="00765928" w:rsidRDefault="00765928" w:rsidP="00FD4372">
            <w:pPr>
              <w:pStyle w:val="Marginlie"/>
              <w:rPr>
                <w:spacing w:val="-4"/>
              </w:rPr>
            </w:pPr>
          </w:p>
          <w:p w14:paraId="74C4042D" w14:textId="77777777" w:rsidR="00765928" w:rsidRDefault="00765928" w:rsidP="00FD4372">
            <w:pPr>
              <w:pStyle w:val="Marginlie"/>
              <w:rPr>
                <w:spacing w:val="-4"/>
              </w:rPr>
            </w:pPr>
          </w:p>
          <w:p w14:paraId="1EE11960" w14:textId="77777777" w:rsidR="00765928" w:rsidRPr="00B6005F" w:rsidRDefault="00765928" w:rsidP="00FD4372">
            <w:pPr>
              <w:pStyle w:val="Marginlie"/>
            </w:pPr>
            <w:r w:rsidRPr="00B6005F">
              <w:t>K akceleraci průměrných mezd mohly průmyslové podniky přistoupit i díky racionalizaci pracovních míst.</w:t>
            </w:r>
          </w:p>
        </w:tc>
        <w:tc>
          <w:tcPr>
            <w:tcW w:w="204" w:type="dxa"/>
            <w:shd w:val="clear" w:color="auto" w:fill="auto"/>
            <w:tcMar>
              <w:left w:w="0" w:type="dxa"/>
            </w:tcMar>
          </w:tcPr>
          <w:p w14:paraId="3C97486C" w14:textId="77777777" w:rsidR="00765928" w:rsidRPr="00B43216" w:rsidRDefault="00765928" w:rsidP="00FD4372">
            <w:pPr>
              <w:pStyle w:val="Textpoznpodarou"/>
              <w:jc w:val="both"/>
              <w:rPr>
                <w:spacing w:val="-4"/>
              </w:rPr>
            </w:pPr>
          </w:p>
        </w:tc>
        <w:tc>
          <w:tcPr>
            <w:tcW w:w="7751" w:type="dxa"/>
            <w:shd w:val="clear" w:color="auto" w:fill="auto"/>
            <w:tcMar>
              <w:left w:w="0" w:type="dxa"/>
            </w:tcMar>
          </w:tcPr>
          <w:p w14:paraId="12C23B31" w14:textId="77777777" w:rsidR="00765928" w:rsidRDefault="00765928" w:rsidP="00FD4372">
            <w:pPr>
              <w:spacing w:after="220"/>
              <w:rPr>
                <w:rFonts w:cs="Arial"/>
                <w:color w:val="0D0D0D" w:themeColor="text1" w:themeTint="F2"/>
                <w:spacing w:val="-4"/>
                <w:szCs w:val="20"/>
              </w:rPr>
            </w:pPr>
            <w:r>
              <w:rPr>
                <w:rFonts w:cs="Arial"/>
                <w:color w:val="0D0D0D" w:themeColor="text1" w:themeTint="F2"/>
                <w:spacing w:val="-4"/>
                <w:szCs w:val="20"/>
              </w:rPr>
              <w:t>Mzdy v odvětvích s významnou rolí státu</w:t>
            </w:r>
            <w:r>
              <w:rPr>
                <w:rStyle w:val="Znakapoznpodarou"/>
                <w:color w:val="0D0D0D" w:themeColor="text1" w:themeTint="F2"/>
                <w:spacing w:val="-4"/>
                <w:szCs w:val="20"/>
              </w:rPr>
              <w:footnoteReference w:id="60"/>
            </w:r>
            <w:r>
              <w:rPr>
                <w:rFonts w:cs="Arial"/>
                <w:color w:val="0D0D0D" w:themeColor="text1" w:themeTint="F2"/>
                <w:spacing w:val="-4"/>
                <w:szCs w:val="20"/>
              </w:rPr>
              <w:t xml:space="preserve"> rostly v úhrnu letos (stejně jako po celý loňský rok) podprůměrně (meziročně o 7,2 %). I tak se zde v rámci 1. čtvrtletí jednalo o relativně nejsilnější navýšení za poslední čtyři roky. Bylo taženo především oblastí veřejné správy (vč. obrany a </w:t>
            </w:r>
            <w:r w:rsidRPr="00D16130">
              <w:rPr>
                <w:rFonts w:cs="Arial"/>
                <w:color w:val="0D0D0D" w:themeColor="text1" w:themeTint="F2"/>
                <w:spacing w:val="-4"/>
                <w:szCs w:val="20"/>
              </w:rPr>
              <w:t>povinné</w:t>
            </w:r>
            <w:r>
              <w:rPr>
                <w:rFonts w:cs="Arial"/>
                <w:color w:val="0D0D0D" w:themeColor="text1" w:themeTint="F2"/>
                <w:spacing w:val="-4"/>
                <w:szCs w:val="20"/>
              </w:rPr>
              <w:t>ho</w:t>
            </w:r>
            <w:r w:rsidRPr="00D16130">
              <w:rPr>
                <w:rFonts w:cs="Arial"/>
                <w:color w:val="0D0D0D" w:themeColor="text1" w:themeTint="F2"/>
                <w:spacing w:val="-4"/>
                <w:szCs w:val="20"/>
              </w:rPr>
              <w:t xml:space="preserve"> sociální</w:t>
            </w:r>
            <w:r>
              <w:rPr>
                <w:rFonts w:cs="Arial"/>
                <w:color w:val="0D0D0D" w:themeColor="text1" w:themeTint="F2"/>
                <w:spacing w:val="-4"/>
                <w:szCs w:val="20"/>
              </w:rPr>
              <w:t>ho</w:t>
            </w:r>
            <w:r w:rsidRPr="00D16130">
              <w:rPr>
                <w:rFonts w:cs="Arial"/>
                <w:color w:val="0D0D0D" w:themeColor="text1" w:themeTint="F2"/>
                <w:spacing w:val="-4"/>
                <w:szCs w:val="20"/>
              </w:rPr>
              <w:t xml:space="preserve"> zabezpečení</w:t>
            </w:r>
            <w:r>
              <w:rPr>
                <w:rFonts w:cs="Arial"/>
                <w:color w:val="0D0D0D" w:themeColor="text1" w:themeTint="F2"/>
                <w:spacing w:val="-4"/>
                <w:szCs w:val="20"/>
              </w:rPr>
              <w:t>), kde však došlo v předchozích dvou letech k faktickému zmrazení platové úrovně. Menší roli sehrálo také navýšení platových tarifů zaměstnancům v kultuře (jež bylo realizováno loni v září). Naopak mnohem střídměji rostly výdělky ve zdravotnictví (+5,9 %) a rovněž ve vzdělávání (+3,9 %)</w:t>
            </w:r>
            <w:r>
              <w:rPr>
                <w:rStyle w:val="Znakapoznpodarou"/>
                <w:color w:val="0D0D0D" w:themeColor="text1" w:themeTint="F2"/>
                <w:spacing w:val="-4"/>
                <w:szCs w:val="20"/>
              </w:rPr>
              <w:footnoteReference w:id="61"/>
            </w:r>
            <w:r>
              <w:rPr>
                <w:rFonts w:cs="Arial"/>
                <w:color w:val="0D0D0D" w:themeColor="text1" w:themeTint="F2"/>
                <w:spacing w:val="-4"/>
                <w:szCs w:val="20"/>
              </w:rPr>
              <w:t>, v němž jejich výše nedosáhla úrovně národního hospodářství (podobně tomu bylo na počátku roku také v předchozích letech). Mimo terciární sektor si významněji polepšili zaměstnanci ve zpracovatelském průmyslu, kde mzdový růst zrychlil až na 9,8 % (přesto zde výše výdělků mírně zaostávala za úrovní celé ekonomiky). Nadprůměrné mzdové tempo vykázaly v 1. čtvrtletí všechny (z hlediska zaměstnanosti) nejvýznamnější průmyslové obory (vyjma energeticky náročné výroby stavebních materiálů). K akceleraci průměrných mezd mohly průmyslové firmy v období zhoršených hospodářských výsledků přistoupit i díky racionalizaci pracovních míst. K té dlouhodobě dochází v těžbě a dobývání, kde mzdy letos v průměru posílily o 11,6 % (v rámci 1. čtvrtletí šlo o nejvyšší tempo od roku 2008).</w:t>
            </w:r>
          </w:p>
        </w:tc>
      </w:tr>
      <w:tr w:rsidR="00765928" w:rsidRPr="00716203" w14:paraId="3304A01D" w14:textId="77777777" w:rsidTr="00FD4372">
        <w:trPr>
          <w:trHeight w:val="132"/>
        </w:trPr>
        <w:tc>
          <w:tcPr>
            <w:tcW w:w="1814" w:type="dxa"/>
            <w:shd w:val="clear" w:color="auto" w:fill="auto"/>
            <w:tcMar>
              <w:left w:w="0" w:type="dxa"/>
            </w:tcMar>
          </w:tcPr>
          <w:p w14:paraId="11D6F309" w14:textId="77777777" w:rsidR="00765928" w:rsidRPr="00A90A79" w:rsidRDefault="00765928" w:rsidP="00FD4372">
            <w:pPr>
              <w:pStyle w:val="Marginlie"/>
              <w:rPr>
                <w:spacing w:val="-4"/>
              </w:rPr>
            </w:pPr>
          </w:p>
        </w:tc>
        <w:tc>
          <w:tcPr>
            <w:tcW w:w="204" w:type="dxa"/>
            <w:shd w:val="clear" w:color="auto" w:fill="auto"/>
            <w:tcMar>
              <w:left w:w="0" w:type="dxa"/>
            </w:tcMar>
          </w:tcPr>
          <w:p w14:paraId="7E365457" w14:textId="77777777" w:rsidR="00765928" w:rsidRPr="00B43216" w:rsidRDefault="00765928" w:rsidP="00FD4372">
            <w:pPr>
              <w:pStyle w:val="Textpoznpodarou"/>
              <w:jc w:val="both"/>
              <w:rPr>
                <w:spacing w:val="-4"/>
              </w:rPr>
            </w:pPr>
          </w:p>
        </w:tc>
        <w:tc>
          <w:tcPr>
            <w:tcW w:w="7751" w:type="dxa"/>
            <w:shd w:val="clear" w:color="auto" w:fill="auto"/>
            <w:tcMar>
              <w:left w:w="0" w:type="dxa"/>
            </w:tcMar>
          </w:tcPr>
          <w:p w14:paraId="054E9707" w14:textId="77777777" w:rsidR="00765928" w:rsidRPr="00940D61" w:rsidRDefault="00765928" w:rsidP="00FD4372">
            <w:pPr>
              <w:spacing w:after="0"/>
              <w:rPr>
                <w:rFonts w:cs="Arial"/>
                <w:b/>
                <w:color w:val="0D0D0D" w:themeColor="text1" w:themeTint="F2"/>
                <w:spacing w:val="-4"/>
                <w:szCs w:val="20"/>
              </w:rPr>
            </w:pPr>
            <w:r w:rsidRPr="00A90A79">
              <w:rPr>
                <w:rFonts w:cs="Arial"/>
                <w:b/>
                <w:color w:val="0D0D0D" w:themeColor="text1" w:themeTint="F2"/>
                <w:spacing w:val="-4"/>
                <w:szCs w:val="20"/>
              </w:rPr>
              <w:t xml:space="preserve">Graf č. 15 </w:t>
            </w:r>
            <w:r w:rsidRPr="003E01D3">
              <w:rPr>
                <w:b/>
                <w:spacing w:val="-4"/>
              </w:rPr>
              <w:t>Průměrná nominální</w:t>
            </w:r>
            <w:r>
              <w:rPr>
                <w:b/>
                <w:spacing w:val="-4"/>
              </w:rPr>
              <w:t xml:space="preserve"> a </w:t>
            </w:r>
            <w:r w:rsidRPr="003E01D3">
              <w:rPr>
                <w:b/>
                <w:spacing w:val="-4"/>
              </w:rPr>
              <w:t>reálná mzda a</w:t>
            </w:r>
            <w:r>
              <w:rPr>
                <w:b/>
                <w:spacing w:val="-4"/>
              </w:rPr>
              <w:t> </w:t>
            </w:r>
            <w:r w:rsidRPr="003E01D3">
              <w:rPr>
                <w:b/>
                <w:spacing w:val="-4"/>
              </w:rPr>
              <w:t>mzdový medián</w:t>
            </w:r>
            <w:r>
              <w:rPr>
                <w:spacing w:val="-4"/>
              </w:rPr>
              <w:t xml:space="preserve"> </w:t>
            </w:r>
            <w:r w:rsidRPr="003E01D3">
              <w:rPr>
                <w:spacing w:val="-4"/>
              </w:rPr>
              <w:t>(meziročně, v %)</w:t>
            </w:r>
          </w:p>
        </w:tc>
      </w:tr>
      <w:tr w:rsidR="00765928" w:rsidRPr="003E01D3" w14:paraId="3F4F15DF" w14:textId="77777777" w:rsidTr="00FD4372">
        <w:tblPrEx>
          <w:tblCellMar>
            <w:left w:w="70" w:type="dxa"/>
            <w:right w:w="70" w:type="dxa"/>
          </w:tblCellMar>
        </w:tblPrEx>
        <w:trPr>
          <w:trHeight w:val="132"/>
        </w:trPr>
        <w:tc>
          <w:tcPr>
            <w:tcW w:w="1814" w:type="dxa"/>
            <w:shd w:val="clear" w:color="auto" w:fill="auto"/>
          </w:tcPr>
          <w:p w14:paraId="537F57B1" w14:textId="77777777" w:rsidR="00765928" w:rsidRPr="00A90A79" w:rsidRDefault="00765928" w:rsidP="00FD4372">
            <w:pPr>
              <w:pStyle w:val="Marginlie"/>
              <w:rPr>
                <w:spacing w:val="-4"/>
              </w:rPr>
            </w:pPr>
          </w:p>
        </w:tc>
        <w:tc>
          <w:tcPr>
            <w:tcW w:w="204" w:type="dxa"/>
            <w:shd w:val="clear" w:color="auto" w:fill="auto"/>
          </w:tcPr>
          <w:p w14:paraId="5754155D" w14:textId="77777777" w:rsidR="00765928" w:rsidRPr="00B43216" w:rsidRDefault="00765928" w:rsidP="00FD4372">
            <w:pPr>
              <w:pStyle w:val="Textpoznpodarou"/>
              <w:jc w:val="both"/>
              <w:rPr>
                <w:spacing w:val="-4"/>
              </w:rPr>
            </w:pPr>
          </w:p>
        </w:tc>
        <w:tc>
          <w:tcPr>
            <w:tcW w:w="7751" w:type="dxa"/>
            <w:shd w:val="clear" w:color="auto" w:fill="auto"/>
          </w:tcPr>
          <w:p w14:paraId="4FC4787C" w14:textId="77777777" w:rsidR="00765928" w:rsidRPr="00A90A79" w:rsidRDefault="00765928" w:rsidP="00FD4372">
            <w:pPr>
              <w:spacing w:after="0" w:line="240" w:lineRule="auto"/>
              <w:rPr>
                <w:rFonts w:cs="Arial"/>
                <w:color w:val="0D0D0D" w:themeColor="text1" w:themeTint="F2"/>
                <w:spacing w:val="-4"/>
                <w:sz w:val="14"/>
                <w:szCs w:val="14"/>
              </w:rPr>
            </w:pPr>
            <w:r>
              <w:rPr>
                <w:noProof/>
              </w:rPr>
              <w:drawing>
                <wp:inline distT="0" distB="0" distL="0" distR="0" wp14:anchorId="3F16D38F" wp14:editId="69BEF90D">
                  <wp:extent cx="4794389" cy="3456000"/>
                  <wp:effectExtent l="0" t="0" r="635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765928" w:rsidRPr="00F6560A" w14:paraId="5F2684D2" w14:textId="77777777" w:rsidTr="00FD4372">
        <w:trPr>
          <w:trHeight w:val="132"/>
        </w:trPr>
        <w:tc>
          <w:tcPr>
            <w:tcW w:w="1814" w:type="dxa"/>
            <w:shd w:val="clear" w:color="auto" w:fill="auto"/>
            <w:tcMar>
              <w:left w:w="0" w:type="dxa"/>
            </w:tcMar>
          </w:tcPr>
          <w:p w14:paraId="5806EA45" w14:textId="77777777" w:rsidR="00765928" w:rsidRPr="00A90A79" w:rsidRDefault="00765928" w:rsidP="00FD4372">
            <w:pPr>
              <w:pStyle w:val="Marginlie"/>
              <w:rPr>
                <w:spacing w:val="-4"/>
              </w:rPr>
            </w:pPr>
          </w:p>
        </w:tc>
        <w:tc>
          <w:tcPr>
            <w:tcW w:w="204" w:type="dxa"/>
            <w:shd w:val="clear" w:color="auto" w:fill="auto"/>
            <w:tcMar>
              <w:left w:w="0" w:type="dxa"/>
            </w:tcMar>
          </w:tcPr>
          <w:p w14:paraId="1C56463D" w14:textId="77777777" w:rsidR="00765928" w:rsidRPr="00B43216" w:rsidRDefault="00765928" w:rsidP="00FD4372">
            <w:pPr>
              <w:pStyle w:val="Textpoznpodarou"/>
              <w:jc w:val="both"/>
              <w:rPr>
                <w:spacing w:val="-4"/>
              </w:rPr>
            </w:pPr>
          </w:p>
        </w:tc>
        <w:tc>
          <w:tcPr>
            <w:tcW w:w="7751" w:type="dxa"/>
            <w:shd w:val="clear" w:color="auto" w:fill="auto"/>
            <w:tcMar>
              <w:left w:w="0" w:type="dxa"/>
            </w:tcMar>
          </w:tcPr>
          <w:p w14:paraId="34D15E97" w14:textId="77777777" w:rsidR="00765928" w:rsidRPr="00A90A79" w:rsidRDefault="00765928" w:rsidP="00765928">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w:t>
            </w:r>
            <w:r w:rsidRPr="00A90A79">
              <w:rPr>
                <w:rFonts w:cs="Arial"/>
                <w:color w:val="0D0D0D" w:themeColor="text1" w:themeTint="F2"/>
                <w:spacing w:val="-4"/>
                <w:sz w:val="14"/>
                <w:szCs w:val="14"/>
              </w:rPr>
              <w:t>Zahrnuj</w:t>
            </w:r>
            <w:r>
              <w:rPr>
                <w:rFonts w:cs="Arial"/>
                <w:color w:val="0D0D0D" w:themeColor="text1" w:themeTint="F2"/>
                <w:spacing w:val="-4"/>
                <w:sz w:val="14"/>
                <w:szCs w:val="14"/>
              </w:rPr>
              <w:t>e odvětví s významnou rolí vládního sektoru</w:t>
            </w:r>
            <w:r w:rsidRPr="00A90A79">
              <w:rPr>
                <w:rFonts w:cs="Arial"/>
                <w:color w:val="0D0D0D" w:themeColor="text1" w:themeTint="F2"/>
                <w:spacing w:val="-4"/>
                <w:sz w:val="14"/>
                <w:szCs w:val="14"/>
              </w:rPr>
              <w:t>: Veřejná správa a obrana, povinné sociální zabezpečení; Vzdělávání; Zdravotní a sociální péče; Kulturn</w:t>
            </w:r>
            <w:r>
              <w:rPr>
                <w:rFonts w:cs="Arial"/>
                <w:color w:val="0D0D0D" w:themeColor="text1" w:themeTint="F2"/>
                <w:spacing w:val="-4"/>
                <w:sz w:val="14"/>
                <w:szCs w:val="14"/>
              </w:rPr>
              <w:t xml:space="preserve">í, zábavní a rekreační činnosti.                                                                                                                    </w:t>
            </w:r>
            <w:r w:rsidRPr="00A90A79">
              <w:rPr>
                <w:rFonts w:cs="Arial"/>
                <w:color w:val="0D0D0D" w:themeColor="text1" w:themeTint="F2"/>
                <w:spacing w:val="-4"/>
                <w:sz w:val="14"/>
                <w:szCs w:val="14"/>
              </w:rPr>
              <w:t>Zdroj: ČSÚ</w:t>
            </w:r>
          </w:p>
        </w:tc>
      </w:tr>
      <w:tr w:rsidR="00765928" w:rsidRPr="00D94F3D" w14:paraId="570C28C0" w14:textId="77777777" w:rsidTr="00FD4372">
        <w:trPr>
          <w:trHeight w:val="132"/>
        </w:trPr>
        <w:tc>
          <w:tcPr>
            <w:tcW w:w="1814" w:type="dxa"/>
            <w:shd w:val="clear" w:color="auto" w:fill="auto"/>
            <w:tcMar>
              <w:left w:w="0" w:type="dxa"/>
            </w:tcMar>
          </w:tcPr>
          <w:p w14:paraId="63C24E71" w14:textId="77777777" w:rsidR="00765928" w:rsidRPr="00B6005F" w:rsidRDefault="00765928" w:rsidP="00FD4372">
            <w:pPr>
              <w:pStyle w:val="Marginlie"/>
            </w:pPr>
            <w:r w:rsidRPr="00B6005F">
              <w:lastRenderedPageBreak/>
              <w:t xml:space="preserve">Růst mzdového mediánu zrychloval. Střední výdělky rostly svižněji mužům než ženám. </w:t>
            </w:r>
            <w:r>
              <w:t>Celková mzdová diferenciace se nezměnila.</w:t>
            </w:r>
          </w:p>
        </w:tc>
        <w:tc>
          <w:tcPr>
            <w:tcW w:w="204" w:type="dxa"/>
            <w:shd w:val="clear" w:color="auto" w:fill="auto"/>
            <w:tcMar>
              <w:left w:w="0" w:type="dxa"/>
            </w:tcMar>
          </w:tcPr>
          <w:p w14:paraId="3048434E" w14:textId="77777777" w:rsidR="00765928" w:rsidRPr="00E47D75" w:rsidRDefault="00765928" w:rsidP="00FD4372">
            <w:pPr>
              <w:pStyle w:val="Textpoznpodarou"/>
              <w:jc w:val="both"/>
              <w:rPr>
                <w:rFonts w:eastAsia="Times New Roman"/>
                <w:i/>
                <w:spacing w:val="-4"/>
                <w:sz w:val="16"/>
                <w:szCs w:val="16"/>
              </w:rPr>
            </w:pPr>
          </w:p>
        </w:tc>
        <w:tc>
          <w:tcPr>
            <w:tcW w:w="7751" w:type="dxa"/>
            <w:shd w:val="clear" w:color="auto" w:fill="auto"/>
            <w:tcMar>
              <w:left w:w="0" w:type="dxa"/>
            </w:tcMar>
          </w:tcPr>
          <w:p w14:paraId="5F4AE3A5" w14:textId="77777777" w:rsidR="00765928" w:rsidRPr="00841D1B" w:rsidRDefault="00765928" w:rsidP="00FD4372">
            <w:pPr>
              <w:spacing w:after="0"/>
              <w:rPr>
                <w:rFonts w:cs="Arial"/>
                <w:color w:val="0D0D0D" w:themeColor="text1" w:themeTint="F2"/>
                <w:spacing w:val="-4"/>
                <w:szCs w:val="20"/>
              </w:rPr>
            </w:pPr>
            <w:r>
              <w:rPr>
                <w:rFonts w:cs="Arial"/>
                <w:color w:val="0D0D0D" w:themeColor="text1" w:themeTint="F2"/>
                <w:spacing w:val="-4"/>
                <w:szCs w:val="20"/>
              </w:rPr>
              <w:t xml:space="preserve">Medián mezd v celé ekonomice se v 1. čtvrtletí 2023 meziročně zvýšil o 8,9 % a potvrzoval i na prostřední úrovni výdělků, že jejich nominální růst od poloviny loňského roku akceleroval. Medián mzdy mužů činil letos měsíčně 37,7 tis. korun, u žen 31,9 tis. korun. Shodně jako po celý loňský rok rostly výdělky svižněji mužům (+9,7 %) než ženám (+8,6 %), což souviselo se slabší mzdovou dynamikou v oblasti veřejných služeb. Mezera mediánových výdělků mezi pohlavími se tak mírně prohloubila (na 15,5 %). U velmi nízkých výdělků (dolní decil) však ženy pobíraly v hrubém jen o 7,3 % méně než muži. Celková mzdová diferenciace se v posledních čtvrtletích neměnila, také v letošním roce vzrostly mzdy nejlépe placených zaměstnanců srovnatelným procentním tempem jako výdělky osob v nejnižším příjmovém decilu. </w:t>
            </w:r>
          </w:p>
        </w:tc>
      </w:tr>
    </w:tbl>
    <w:p w14:paraId="0884389A" w14:textId="77777777" w:rsidR="00765928" w:rsidRPr="00DF0187" w:rsidRDefault="00765928" w:rsidP="00765928">
      <w:pPr>
        <w:pStyle w:val="Nadpis11"/>
        <w:spacing w:after="120"/>
        <w:rPr>
          <w:b w:val="0"/>
          <w:sz w:val="2"/>
          <w:szCs w:val="2"/>
        </w:rPr>
      </w:pPr>
    </w:p>
    <w:p w14:paraId="666C9C5B" w14:textId="77777777" w:rsidR="005A05DF" w:rsidRDefault="005A05DF">
      <w:pPr>
        <w:spacing w:after="0" w:line="240" w:lineRule="auto"/>
        <w:jc w:val="left"/>
        <w:rPr>
          <w:rFonts w:eastAsia="MS Gothic"/>
          <w:b/>
          <w:bCs/>
          <w:color w:val="71818C"/>
          <w:sz w:val="32"/>
          <w:szCs w:val="28"/>
        </w:rPr>
      </w:pPr>
      <w:r>
        <w:br w:type="page"/>
      </w:r>
    </w:p>
    <w:p w14:paraId="3278B38A" w14:textId="59CB46EB" w:rsidR="004A3BE4" w:rsidRDefault="004A3BE4" w:rsidP="004A3BE4">
      <w:pPr>
        <w:pStyle w:val="Nadpis11"/>
        <w:spacing w:after="120"/>
      </w:pPr>
      <w:bookmarkStart w:id="38" w:name="_Toc137721914"/>
      <w:r>
        <w:lastRenderedPageBreak/>
        <w:t>7. Měnové podmínky</w:t>
      </w:r>
      <w:bookmarkEnd w:id="38"/>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4A3BE4" w:rsidRPr="0037004A" w14:paraId="5FDB1DD1" w14:textId="77777777" w:rsidTr="000A72BC">
        <w:trPr>
          <w:trHeight w:val="145"/>
        </w:trPr>
        <w:tc>
          <w:tcPr>
            <w:tcW w:w="1802" w:type="dxa"/>
          </w:tcPr>
          <w:p w14:paraId="5B8C82E8" w14:textId="77777777" w:rsidR="004A3BE4" w:rsidRDefault="004A3BE4" w:rsidP="000A72BC">
            <w:pPr>
              <w:pStyle w:val="Marginlie"/>
              <w:rPr>
                <w:lang w:eastAsia="en-US"/>
              </w:rPr>
            </w:pPr>
            <w:r>
              <w:rPr>
                <w:lang w:eastAsia="en-US"/>
              </w:rPr>
              <w:t xml:space="preserve">Nastavení </w:t>
            </w:r>
            <w:proofErr w:type="spellStart"/>
            <w:r>
              <w:rPr>
                <w:lang w:eastAsia="en-US"/>
              </w:rPr>
              <w:t>měnověpolitických</w:t>
            </w:r>
            <w:proofErr w:type="spellEnd"/>
            <w:r>
              <w:rPr>
                <w:lang w:eastAsia="en-US"/>
              </w:rPr>
              <w:t xml:space="preserve"> sazeb se v 1. čtvrtletí neměnilo.</w:t>
            </w:r>
          </w:p>
        </w:tc>
        <w:tc>
          <w:tcPr>
            <w:tcW w:w="229" w:type="dxa"/>
          </w:tcPr>
          <w:p w14:paraId="3886ECF3" w14:textId="77777777" w:rsidR="004A3BE4" w:rsidRDefault="004A3BE4" w:rsidP="000A72BC">
            <w:pPr>
              <w:pStyle w:val="Textpoznpodarou"/>
              <w:jc w:val="both"/>
              <w:rPr>
                <w:spacing w:val="-4"/>
                <w:lang w:eastAsia="en-US"/>
              </w:rPr>
            </w:pPr>
          </w:p>
        </w:tc>
        <w:tc>
          <w:tcPr>
            <w:tcW w:w="7610" w:type="dxa"/>
          </w:tcPr>
          <w:p w14:paraId="2B3D0AFC" w14:textId="77777777" w:rsidR="004A3BE4" w:rsidRPr="0037004A" w:rsidRDefault="004A3BE4" w:rsidP="000A72BC">
            <w:pPr>
              <w:rPr>
                <w:spacing w:val="-2"/>
                <w:lang w:eastAsia="en-US"/>
              </w:rPr>
            </w:pPr>
            <w:r>
              <w:rPr>
                <w:spacing w:val="-2"/>
                <w:lang w:eastAsia="en-US"/>
              </w:rPr>
              <w:t xml:space="preserve">Hlavní </w:t>
            </w:r>
            <w:proofErr w:type="spellStart"/>
            <w:r>
              <w:rPr>
                <w:spacing w:val="-2"/>
                <w:lang w:eastAsia="en-US"/>
              </w:rPr>
              <w:t>měnověpolitické</w:t>
            </w:r>
            <w:proofErr w:type="spellEnd"/>
            <w:r>
              <w:rPr>
                <w:spacing w:val="-2"/>
                <w:lang w:eastAsia="en-US"/>
              </w:rPr>
              <w:t xml:space="preserve"> sazby byly v 1. čtvrtletí 2023 ponechány na hodnotách, které mají už od poloviny loňského roku. Dvoutýdenní </w:t>
            </w:r>
            <w:proofErr w:type="spellStart"/>
            <w:r>
              <w:rPr>
                <w:spacing w:val="-2"/>
                <w:lang w:eastAsia="en-US"/>
              </w:rPr>
              <w:t>repo</w:t>
            </w:r>
            <w:proofErr w:type="spellEnd"/>
            <w:r>
              <w:rPr>
                <w:spacing w:val="-2"/>
                <w:lang w:eastAsia="en-US"/>
              </w:rPr>
              <w:t xml:space="preserve"> sazba dosahovala 7,00 %</w:t>
            </w:r>
            <w:r w:rsidRPr="0037004A">
              <w:rPr>
                <w:rStyle w:val="Znakapoznpodarou"/>
                <w:spacing w:val="-2"/>
                <w:lang w:eastAsia="en-US"/>
              </w:rPr>
              <w:footnoteReference w:id="62"/>
            </w:r>
            <w:r>
              <w:rPr>
                <w:spacing w:val="-2"/>
                <w:lang w:eastAsia="en-US"/>
              </w:rPr>
              <w:t>, diskontní sazba byla na 6,00 % a lombardní sazba na 8,00 %. Kurz koruny navázal na posilování, ke kterému došlo ve druhé polovině roku 2022. Kurz vůči euru posílil z 24,18 CZK/EUR na začátku roku až na 23,49 CZK/EUR ke konci čtvrtletí. V průměru tak kurz vůči euru činil 23,79 korun, meziročně byl silnější o 3,5 % a mezičtvrtletně o 2,5 %. Kurz koruny vůči dolaru dosahoval na začátku roku 22,88 CZK/USD a postupně posílil až na 21,60 CZK/USD k 31. 3. Průměrný kurz vůči dolaru v 1. čtvrtletí dosáhl 22,17 korun. Meziročně byl kurz slabší o 0,8 %, ale mezičtvrtletně posílil o 7,3 %. Kurzové vlivy tak celkově působily protiinflačně.</w:t>
            </w:r>
          </w:p>
        </w:tc>
      </w:tr>
      <w:tr w:rsidR="004A3BE4" w14:paraId="653DDE15" w14:textId="77777777" w:rsidTr="000A72BC">
        <w:trPr>
          <w:trHeight w:val="145"/>
        </w:trPr>
        <w:tc>
          <w:tcPr>
            <w:tcW w:w="1802" w:type="dxa"/>
          </w:tcPr>
          <w:p w14:paraId="7413C492" w14:textId="77777777" w:rsidR="004A3BE4" w:rsidRDefault="004A3BE4" w:rsidP="000A72BC">
            <w:pPr>
              <w:pStyle w:val="Marginlie"/>
              <w:rPr>
                <w:lang w:eastAsia="en-US"/>
              </w:rPr>
            </w:pPr>
            <w:r>
              <w:rPr>
                <w:lang w:eastAsia="en-US"/>
              </w:rPr>
              <w:t>Mírně rostly výnosy vládních dluhopisů s krátkodobou splatností.</w:t>
            </w:r>
          </w:p>
        </w:tc>
        <w:tc>
          <w:tcPr>
            <w:tcW w:w="229" w:type="dxa"/>
          </w:tcPr>
          <w:p w14:paraId="35691997" w14:textId="77777777" w:rsidR="004A3BE4" w:rsidRDefault="004A3BE4" w:rsidP="000A72BC">
            <w:pPr>
              <w:pStyle w:val="Textpoznpodarou"/>
              <w:jc w:val="both"/>
              <w:rPr>
                <w:spacing w:val="-4"/>
                <w:lang w:eastAsia="en-US"/>
              </w:rPr>
            </w:pPr>
          </w:p>
        </w:tc>
        <w:tc>
          <w:tcPr>
            <w:tcW w:w="7610" w:type="dxa"/>
          </w:tcPr>
          <w:p w14:paraId="1C0775C6" w14:textId="77777777" w:rsidR="004A3BE4" w:rsidRDefault="004A3BE4" w:rsidP="000A72BC">
            <w:pPr>
              <w:rPr>
                <w:spacing w:val="-1"/>
                <w:lang w:eastAsia="en-US"/>
              </w:rPr>
            </w:pPr>
            <w:r>
              <w:rPr>
                <w:spacing w:val="-1"/>
                <w:lang w:eastAsia="en-US"/>
              </w:rPr>
              <w:t xml:space="preserve">Vzhledem k neměnnému nastavení </w:t>
            </w:r>
            <w:proofErr w:type="spellStart"/>
            <w:r>
              <w:rPr>
                <w:spacing w:val="-1"/>
                <w:lang w:eastAsia="en-US"/>
              </w:rPr>
              <w:t>měnověpolitických</w:t>
            </w:r>
            <w:proofErr w:type="spellEnd"/>
            <w:r>
              <w:rPr>
                <w:spacing w:val="-1"/>
                <w:lang w:eastAsia="en-US"/>
              </w:rPr>
              <w:t xml:space="preserve"> úrokových sazeb se v 1. čtvrtletí roku prakticky neměnily ani sazby mezibankovního trhu. Úroková sazba PRIBOR s tříměsíční splatností ke konci čtvrtletí dosahovala 7,19 %, což představovalo jen nepatrné snížení o 0,06 p. b.</w:t>
            </w:r>
            <w:r>
              <w:rPr>
                <w:rStyle w:val="Znakapoznpodarou"/>
                <w:spacing w:val="-1"/>
                <w:lang w:eastAsia="en-US"/>
              </w:rPr>
              <w:footnoteReference w:id="63"/>
            </w:r>
            <w:r>
              <w:rPr>
                <w:spacing w:val="-1"/>
                <w:lang w:eastAsia="en-US"/>
              </w:rPr>
              <w:t xml:space="preserve"> Velmi podobně se vyvíjely i sazby ostatních splatností a zároveň se všechny srovnaly na podobné výši okolo 7,2 % (s výjimkou měsíční splatnosti, kde se sazba držela na 7,11 %). Výnosy vládních dluhopisů v 1. čtvrtletí mírně narostly v případě splatností do dvou let včetně (+0,10 p. b. </w:t>
            </w:r>
            <w:proofErr w:type="gramStart"/>
            <w:r>
              <w:rPr>
                <w:spacing w:val="-1"/>
                <w:lang w:eastAsia="en-US"/>
              </w:rPr>
              <w:t>na</w:t>
            </w:r>
            <w:proofErr w:type="gramEnd"/>
            <w:r>
              <w:rPr>
                <w:spacing w:val="-1"/>
                <w:lang w:eastAsia="en-US"/>
              </w:rPr>
              <w:t xml:space="preserve"> 5,29 % v březnu). U dluhopisů se střednědobou (4,89 % v březnu) a dlouhodobou splatností (4,67 % v březnu) výnosy prakticky stagnovaly.  </w:t>
            </w:r>
          </w:p>
        </w:tc>
      </w:tr>
      <w:tr w:rsidR="004A3BE4" w14:paraId="60A8472A" w14:textId="77777777" w:rsidTr="000A72BC">
        <w:trPr>
          <w:trHeight w:val="145"/>
        </w:trPr>
        <w:tc>
          <w:tcPr>
            <w:tcW w:w="1802" w:type="dxa"/>
          </w:tcPr>
          <w:p w14:paraId="117DAB77" w14:textId="77777777" w:rsidR="004A3BE4" w:rsidRDefault="004A3BE4" w:rsidP="000A72BC">
            <w:pPr>
              <w:pStyle w:val="Marginlie"/>
              <w:rPr>
                <w:lang w:eastAsia="en-US"/>
              </w:rPr>
            </w:pPr>
            <w:r>
              <w:rPr>
                <w:lang w:eastAsia="en-US"/>
              </w:rPr>
              <w:t>Nefinančním podnikům se dál zvyšovalo úročení běžných i termínovaných účtů.</w:t>
            </w:r>
          </w:p>
        </w:tc>
        <w:tc>
          <w:tcPr>
            <w:tcW w:w="229" w:type="dxa"/>
          </w:tcPr>
          <w:p w14:paraId="1D27B3EC" w14:textId="77777777" w:rsidR="004A3BE4" w:rsidRDefault="004A3BE4" w:rsidP="000A72BC">
            <w:pPr>
              <w:pStyle w:val="Textpoznpodarou"/>
              <w:jc w:val="both"/>
              <w:rPr>
                <w:spacing w:val="-4"/>
                <w:lang w:eastAsia="en-US"/>
              </w:rPr>
            </w:pPr>
          </w:p>
        </w:tc>
        <w:tc>
          <w:tcPr>
            <w:tcW w:w="7610" w:type="dxa"/>
          </w:tcPr>
          <w:p w14:paraId="172E2759" w14:textId="77777777" w:rsidR="004A3BE4" w:rsidRDefault="004A3BE4" w:rsidP="000A72BC">
            <w:pPr>
              <w:rPr>
                <w:spacing w:val="-3"/>
                <w:lang w:eastAsia="en-US"/>
              </w:rPr>
            </w:pPr>
            <w:r>
              <w:rPr>
                <w:spacing w:val="-3"/>
                <w:lang w:eastAsia="en-US"/>
              </w:rPr>
              <w:t xml:space="preserve">Prakticky se zastavil i nárůst úrokových sazeb na účtech domácností, který byl patrný v loňském roce. U jednodenních vkladů (zahrnujících i některé spořicí účty, kde jsou prostředky okamžitě dostupné k výběru) došlo k navýšení o 0,21 p. b. </w:t>
            </w:r>
            <w:proofErr w:type="gramStart"/>
            <w:r>
              <w:rPr>
                <w:spacing w:val="-3"/>
                <w:lang w:eastAsia="en-US"/>
              </w:rPr>
              <w:t>na</w:t>
            </w:r>
            <w:proofErr w:type="gramEnd"/>
            <w:r>
              <w:rPr>
                <w:spacing w:val="-3"/>
                <w:lang w:eastAsia="en-US"/>
              </w:rPr>
              <w:t xml:space="preserve"> průměrných 1,54 %. U běžných účtů domácností dosahovalo průměrné úročení na konci března 0,24 % (+0,02 p. b.). Účty s dohodnutou splatností byly celkově průměrně úročeny 6,04 % (+0,05 p. b.). Výraznější navýšení (+1,04 p. b. </w:t>
            </w:r>
            <w:proofErr w:type="gramStart"/>
            <w:r>
              <w:rPr>
                <w:spacing w:val="-3"/>
                <w:lang w:eastAsia="en-US"/>
              </w:rPr>
              <w:t>na</w:t>
            </w:r>
            <w:proofErr w:type="gramEnd"/>
            <w:r>
              <w:rPr>
                <w:spacing w:val="-3"/>
                <w:lang w:eastAsia="en-US"/>
              </w:rPr>
              <w:t xml:space="preserve"> 5,84 %) bylo patrné pouze u vkladů se splatností nad dva roky, které ale mají v celkové skladbě malou váhu. Nefinančním podnikům úročení vkladů naopak rostlo i na začátku letošního roku. Jejich běžné účty tak v průměru ke konci března nesly úrok 1,01 % (+0,20 p. b.) a vklady s dohodnutou splatností byly úročeny 6,49 % (+0,71 p. b.). Dál pokračoval trend, kdy za veškerým meziročním nárůstem vkladů (7,3 %, +453,0 mld. korun) stály vklady termínované (41,4 %, +725,9 mld.). Naopak objem netermínovaných vkladů byl meziročně nižší o 6,2 % (−272,8 mld. korun) a podobně jako v minulých pěti čtvrtletích u nich došlo k velmi netypickému mezičtvrtletnímu snížení. Z hlediska sektorů v 1. čtvrtletí ve větší míře meziročně narůstaly vklady finančních institucí (35,5 %), vládních institucí (12,8 %) i nefinančních podniků (9,9 %), zatímco domácnosti</w:t>
            </w:r>
            <w:r>
              <w:rPr>
                <w:rStyle w:val="Znakapoznpodarou"/>
                <w:spacing w:val="-3"/>
                <w:lang w:eastAsia="en-US"/>
              </w:rPr>
              <w:footnoteReference w:id="64"/>
            </w:r>
            <w:r>
              <w:rPr>
                <w:spacing w:val="-3"/>
                <w:lang w:eastAsia="en-US"/>
              </w:rPr>
              <w:t xml:space="preserve"> střádaly pomaleji (5,0 %). </w:t>
            </w:r>
          </w:p>
        </w:tc>
      </w:tr>
      <w:tr w:rsidR="004A3BE4" w14:paraId="7834D218" w14:textId="77777777" w:rsidTr="000A72BC">
        <w:trPr>
          <w:trHeight w:val="145"/>
        </w:trPr>
        <w:tc>
          <w:tcPr>
            <w:tcW w:w="1802" w:type="dxa"/>
          </w:tcPr>
          <w:p w14:paraId="32BEFB30" w14:textId="77777777" w:rsidR="004A3BE4" w:rsidRDefault="004A3BE4" w:rsidP="000A72BC">
            <w:pPr>
              <w:pStyle w:val="Marginlie"/>
              <w:rPr>
                <w:lang w:eastAsia="en-US"/>
              </w:rPr>
            </w:pPr>
            <w:r>
              <w:rPr>
                <w:lang w:eastAsia="en-US"/>
              </w:rPr>
              <w:t xml:space="preserve">Rostly úrokové sazby úvěrů na bydlení. Objem poskytnutých úvěrů na bydlení rostl nejpomaleji za dobu měření. </w:t>
            </w:r>
          </w:p>
        </w:tc>
        <w:tc>
          <w:tcPr>
            <w:tcW w:w="229" w:type="dxa"/>
          </w:tcPr>
          <w:p w14:paraId="63B72D9D" w14:textId="77777777" w:rsidR="004A3BE4" w:rsidRDefault="004A3BE4" w:rsidP="000A72BC">
            <w:pPr>
              <w:pStyle w:val="Textpoznpodarou"/>
              <w:jc w:val="both"/>
              <w:rPr>
                <w:spacing w:val="-4"/>
                <w:lang w:eastAsia="en-US"/>
              </w:rPr>
            </w:pPr>
          </w:p>
        </w:tc>
        <w:tc>
          <w:tcPr>
            <w:tcW w:w="7610" w:type="dxa"/>
          </w:tcPr>
          <w:p w14:paraId="055DBD53" w14:textId="77777777" w:rsidR="004A3BE4" w:rsidRDefault="004A3BE4" w:rsidP="000A72BC">
            <w:pPr>
              <w:rPr>
                <w:lang w:eastAsia="en-US"/>
              </w:rPr>
            </w:pPr>
            <w:r>
              <w:rPr>
                <w:lang w:eastAsia="en-US"/>
              </w:rPr>
              <w:t xml:space="preserve">Úrokové sazby spotřebitelských úvěrů pro domácnosti v 1. čtvrtletí po delším období růstu opět výrazněji klesly. Ke konci března dosahovaly v průměru 9,49 % (−0,17 p. b.). Úročení úvěrů na bydlení naopak v průměru rostlo. Ke konci března průměrná úroková sazba činila 5,19 %, což představovalo nárůst o 0,30 p. b. Zvyšovaly se především úrokové sazby úvěrů se splatností do 1 roku. Objem úvěrů na spotřebu, které byly domácnostem poskytnuty, v 1. čtvrtletí vzrostl o 6,7 %. Přírůstek zpomalil a nadále výrazně zaostával za růstem cenové hladiny. Meziroční růst objemu poskytnutých úvěrů na bydlení v 1. čtvrtletí zpomalil na 3,4 %, což byl nejmenší zaznamenaný přírůstek. Ze statistik o nových smlouvách hypotečních úvěrů vyplývá, že objem ostatních nových ujednání (9,9 mld. korun) byl v 1. čtvrtletí mírně vyšší než čisté nové </w:t>
            </w:r>
            <w:r>
              <w:rPr>
                <w:lang w:eastAsia="en-US"/>
              </w:rPr>
              <w:lastRenderedPageBreak/>
              <w:t>úvěry včetně navýšení</w:t>
            </w:r>
            <w:r>
              <w:rPr>
                <w:rStyle w:val="Znakapoznpodarou"/>
                <w:lang w:eastAsia="en-US"/>
              </w:rPr>
              <w:footnoteReference w:id="65"/>
            </w:r>
            <w:r>
              <w:rPr>
                <w:lang w:eastAsia="en-US"/>
              </w:rPr>
              <w:t xml:space="preserve"> (9,2 mld.). Pokračuje tedy proces změn úvěrových podmínek (a nárůst úrokových sazeb) úvěrů sjednaných v období hypotečního boomu. </w:t>
            </w:r>
          </w:p>
        </w:tc>
      </w:tr>
      <w:tr w:rsidR="004A3BE4" w14:paraId="5087F91E" w14:textId="77777777" w:rsidTr="000A72BC">
        <w:trPr>
          <w:trHeight w:val="145"/>
        </w:trPr>
        <w:tc>
          <w:tcPr>
            <w:tcW w:w="1802" w:type="dxa"/>
          </w:tcPr>
          <w:p w14:paraId="1D6CE4B9" w14:textId="77777777" w:rsidR="004A3BE4" w:rsidRDefault="004A3BE4" w:rsidP="000A72BC">
            <w:pPr>
              <w:pStyle w:val="Marginlie"/>
              <w:rPr>
                <w:lang w:eastAsia="en-US"/>
              </w:rPr>
            </w:pPr>
            <w:r>
              <w:rPr>
                <w:lang w:eastAsia="en-US"/>
              </w:rPr>
              <w:lastRenderedPageBreak/>
              <w:t>Nefinanční podniky čelily nárůstu sazeb u úvěrů s malým a středním objemem.</w:t>
            </w:r>
          </w:p>
        </w:tc>
        <w:tc>
          <w:tcPr>
            <w:tcW w:w="229" w:type="dxa"/>
          </w:tcPr>
          <w:p w14:paraId="758F4660" w14:textId="77777777" w:rsidR="004A3BE4" w:rsidRDefault="004A3BE4" w:rsidP="000A72BC">
            <w:pPr>
              <w:pStyle w:val="Textpoznpodarou"/>
              <w:jc w:val="both"/>
              <w:rPr>
                <w:spacing w:val="-4"/>
                <w:lang w:eastAsia="en-US"/>
              </w:rPr>
            </w:pPr>
          </w:p>
        </w:tc>
        <w:tc>
          <w:tcPr>
            <w:tcW w:w="7610" w:type="dxa"/>
          </w:tcPr>
          <w:p w14:paraId="148BC16C" w14:textId="77777777" w:rsidR="004A3BE4" w:rsidRDefault="004A3BE4" w:rsidP="000A72BC">
            <w:pPr>
              <w:rPr>
                <w:lang w:eastAsia="en-US"/>
              </w:rPr>
            </w:pPr>
            <w:r>
              <w:rPr>
                <w:lang w:eastAsia="en-US"/>
              </w:rPr>
              <w:t xml:space="preserve">V případě nefinančních podniků se diferencoval vývoj úrokových sazeb v závislosti na výši úvěru. U nejmenší kategorie úvěrů do 7,5 mil. korun vzrostlo průměrné úročení o 1,12 p. b. </w:t>
            </w:r>
            <w:proofErr w:type="gramStart"/>
            <w:r>
              <w:rPr>
                <w:lang w:eastAsia="en-US"/>
              </w:rPr>
              <w:t>na</w:t>
            </w:r>
            <w:proofErr w:type="gramEnd"/>
            <w:r>
              <w:rPr>
                <w:lang w:eastAsia="en-US"/>
              </w:rPr>
              <w:t xml:space="preserve"> 8,66 %. V kategorii od 7,5 do 30 mil. korun se zvýšily úrokové sazby o 0,10 p. b. </w:t>
            </w:r>
            <w:proofErr w:type="gramStart"/>
            <w:r>
              <w:rPr>
                <w:lang w:eastAsia="en-US"/>
              </w:rPr>
              <w:t>na</w:t>
            </w:r>
            <w:proofErr w:type="gramEnd"/>
            <w:r>
              <w:rPr>
                <w:lang w:eastAsia="en-US"/>
              </w:rPr>
              <w:t xml:space="preserve"> 9,14 %. Přes pokles o 0,11 p. b. </w:t>
            </w:r>
            <w:proofErr w:type="gramStart"/>
            <w:r>
              <w:rPr>
                <w:lang w:eastAsia="en-US"/>
              </w:rPr>
              <w:t>ale</w:t>
            </w:r>
            <w:proofErr w:type="gramEnd"/>
            <w:r>
              <w:rPr>
                <w:lang w:eastAsia="en-US"/>
              </w:rPr>
              <w:t xml:space="preserve"> zůstalo nejvyšší průměrné úročení úvěrů v objemu nad 30 mil. korun (9,20 %). Celkový objem úvěrů a pohledávek nefinančních podniků meziročně vzrostl o 2,5 %. Dál pokračoval prudký růst úvěrů v cizí měně (30,9 %)</w:t>
            </w:r>
            <w:r>
              <w:rPr>
                <w:rStyle w:val="Znakapoznpodarou"/>
                <w:lang w:eastAsia="en-US"/>
              </w:rPr>
              <w:footnoteReference w:id="66"/>
            </w:r>
            <w:r>
              <w:rPr>
                <w:lang w:eastAsia="en-US"/>
              </w:rPr>
              <w:t xml:space="preserve">, zatímco ty korunové se propadaly (−13,9 %). Nejvíce v 1. čtvrtletí meziročně rostly úvěry poskytnuté v odvětví peněžnictví a pojišťovnictví (20,7 %), výrobě a rozvodu elektřiny, plynu, tepla, vzduchu, vody a odpadních vod (13,3 %) a ve stavebnictví (12,6 %). Mírně posílil růst úvěrů v činnostech v oblasti nemovitostí (9,0 %). Oslabil nárůst úvěrů ve zpracovatelském průmyslu (2,5 %) nebo v ubytování, stravování a pohostinství (4,9 %) a velkoobchodě, maloobchodě a opravách a údržbě motorových vozidel (0,5 %). Výrazně se meziročně propadl objem úvěrů poskytnutých v informačních a komunikačních činnostech (−20,7 %) a v dopravě a skladování (−11,4 %).    </w:t>
            </w:r>
          </w:p>
        </w:tc>
      </w:tr>
      <w:tr w:rsidR="004A3BE4" w14:paraId="31B443D0" w14:textId="77777777" w:rsidTr="000A72BC">
        <w:trPr>
          <w:trHeight w:val="304"/>
        </w:trPr>
        <w:tc>
          <w:tcPr>
            <w:tcW w:w="1802" w:type="dxa"/>
            <w:vMerge w:val="restart"/>
          </w:tcPr>
          <w:p w14:paraId="0B6CC62C" w14:textId="77777777" w:rsidR="004A3BE4" w:rsidRDefault="004A3BE4" w:rsidP="000A72BC">
            <w:pPr>
              <w:pStyle w:val="Marginlie"/>
              <w:rPr>
                <w:lang w:eastAsia="en-US"/>
              </w:rPr>
            </w:pPr>
          </w:p>
        </w:tc>
        <w:tc>
          <w:tcPr>
            <w:tcW w:w="229" w:type="dxa"/>
            <w:vMerge w:val="restart"/>
          </w:tcPr>
          <w:p w14:paraId="66FB4A64" w14:textId="77777777" w:rsidR="004A3BE4" w:rsidRDefault="004A3BE4" w:rsidP="000A72BC">
            <w:pPr>
              <w:pStyle w:val="Textpoznpodarou"/>
              <w:jc w:val="both"/>
              <w:rPr>
                <w:spacing w:val="-4"/>
                <w:lang w:eastAsia="en-US"/>
              </w:rPr>
            </w:pPr>
          </w:p>
        </w:tc>
        <w:tc>
          <w:tcPr>
            <w:tcW w:w="7610" w:type="dxa"/>
            <w:hideMark/>
          </w:tcPr>
          <w:p w14:paraId="5161D850" w14:textId="77777777" w:rsidR="004A3BE4" w:rsidRPr="00D721B4" w:rsidRDefault="004A3BE4" w:rsidP="000A72BC">
            <w:pPr>
              <w:spacing w:after="0"/>
              <w:rPr>
                <w:szCs w:val="20"/>
                <w:lang w:eastAsia="en-US"/>
              </w:rPr>
            </w:pPr>
            <w:r>
              <w:rPr>
                <w:rFonts w:cs="Arial"/>
                <w:b/>
                <w:bCs/>
                <w:color w:val="000000"/>
                <w:szCs w:val="20"/>
                <w:lang w:eastAsia="en-US"/>
              </w:rPr>
              <w:t>Graf č. 17</w:t>
            </w:r>
            <w:r w:rsidRPr="00D721B4">
              <w:rPr>
                <w:rFonts w:cs="Arial"/>
                <w:b/>
                <w:bCs/>
                <w:color w:val="000000"/>
                <w:szCs w:val="20"/>
                <w:lang w:eastAsia="en-US"/>
              </w:rPr>
              <w:t xml:space="preserve"> </w:t>
            </w:r>
            <w:r w:rsidRPr="00D721B4">
              <w:rPr>
                <w:b/>
                <w:spacing w:val="-4"/>
                <w:szCs w:val="20"/>
                <w:lang w:eastAsia="en-US"/>
              </w:rPr>
              <w:t xml:space="preserve">Tržní úrokové sazby </w:t>
            </w:r>
            <w:r w:rsidRPr="00D721B4">
              <w:rPr>
                <w:bCs/>
                <w:spacing w:val="-4"/>
                <w:szCs w:val="20"/>
                <w:lang w:eastAsia="en-US"/>
              </w:rPr>
              <w:t>(v</w:t>
            </w:r>
            <w:r>
              <w:rPr>
                <w:bCs/>
                <w:spacing w:val="-4"/>
                <w:szCs w:val="20"/>
                <w:lang w:eastAsia="en-US"/>
              </w:rPr>
              <w:t> %</w:t>
            </w:r>
            <w:r w:rsidRPr="00D721B4">
              <w:rPr>
                <w:bCs/>
                <w:spacing w:val="-4"/>
                <w:szCs w:val="20"/>
                <w:lang w:eastAsia="en-US"/>
              </w:rPr>
              <w:t>)</w:t>
            </w:r>
          </w:p>
        </w:tc>
      </w:tr>
      <w:tr w:rsidR="004A3BE4" w14:paraId="63AE078C" w14:textId="77777777" w:rsidTr="000A72BC">
        <w:tblPrEx>
          <w:tblCellMar>
            <w:left w:w="70" w:type="dxa"/>
            <w:right w:w="70" w:type="dxa"/>
          </w:tblCellMar>
        </w:tblPrEx>
        <w:trPr>
          <w:trHeight w:val="170"/>
        </w:trPr>
        <w:tc>
          <w:tcPr>
            <w:tcW w:w="1802" w:type="dxa"/>
            <w:vMerge/>
            <w:vAlign w:val="center"/>
            <w:hideMark/>
          </w:tcPr>
          <w:p w14:paraId="6B9A58BA" w14:textId="77777777" w:rsidR="004A3BE4" w:rsidRDefault="004A3BE4" w:rsidP="000A72BC">
            <w:pPr>
              <w:spacing w:after="0" w:line="240" w:lineRule="auto"/>
              <w:jc w:val="left"/>
              <w:rPr>
                <w:spacing w:val="-2"/>
                <w:sz w:val="16"/>
                <w:szCs w:val="16"/>
                <w:lang w:eastAsia="en-US"/>
              </w:rPr>
            </w:pPr>
          </w:p>
        </w:tc>
        <w:tc>
          <w:tcPr>
            <w:tcW w:w="229" w:type="dxa"/>
            <w:vMerge/>
            <w:vAlign w:val="center"/>
            <w:hideMark/>
          </w:tcPr>
          <w:p w14:paraId="1B4AD36E" w14:textId="77777777" w:rsidR="004A3BE4" w:rsidRDefault="004A3BE4" w:rsidP="000A72BC">
            <w:pPr>
              <w:spacing w:after="0" w:line="240" w:lineRule="auto"/>
              <w:jc w:val="left"/>
              <w:rPr>
                <w:rFonts w:eastAsia="Calibri"/>
                <w:spacing w:val="-4"/>
                <w:szCs w:val="20"/>
                <w:lang w:eastAsia="en-US"/>
              </w:rPr>
            </w:pPr>
          </w:p>
        </w:tc>
        <w:tc>
          <w:tcPr>
            <w:tcW w:w="7610" w:type="dxa"/>
            <w:hideMark/>
          </w:tcPr>
          <w:p w14:paraId="209DE02E" w14:textId="77777777" w:rsidR="004A3BE4" w:rsidRDefault="004A3BE4" w:rsidP="000A72BC">
            <w:pPr>
              <w:spacing w:after="0"/>
              <w:rPr>
                <w:sz w:val="14"/>
                <w:szCs w:val="14"/>
                <w:lang w:eastAsia="en-US"/>
              </w:rPr>
            </w:pPr>
            <w:r>
              <w:rPr>
                <w:noProof/>
              </w:rPr>
              <w:drawing>
                <wp:inline distT="0" distB="0" distL="0" distR="0" wp14:anchorId="1DA622C9" wp14:editId="099136B0">
                  <wp:extent cx="4734425" cy="3375400"/>
                  <wp:effectExtent l="0" t="0" r="0" b="0"/>
                  <wp:docPr id="1226634226" name="Graf 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4A3BE4" w14:paraId="6D03B49A" w14:textId="77777777" w:rsidTr="000A72BC">
        <w:trPr>
          <w:trHeight w:val="170"/>
        </w:trPr>
        <w:tc>
          <w:tcPr>
            <w:tcW w:w="0" w:type="auto"/>
            <w:vMerge/>
            <w:vAlign w:val="center"/>
            <w:hideMark/>
          </w:tcPr>
          <w:p w14:paraId="26646099" w14:textId="77777777" w:rsidR="004A3BE4" w:rsidRDefault="004A3BE4" w:rsidP="000A72BC">
            <w:pPr>
              <w:spacing w:after="0" w:line="240" w:lineRule="auto"/>
              <w:jc w:val="left"/>
              <w:rPr>
                <w:spacing w:val="-2"/>
                <w:sz w:val="16"/>
                <w:szCs w:val="16"/>
                <w:lang w:eastAsia="en-US"/>
              </w:rPr>
            </w:pPr>
          </w:p>
        </w:tc>
        <w:tc>
          <w:tcPr>
            <w:tcW w:w="0" w:type="auto"/>
            <w:vMerge/>
            <w:vAlign w:val="center"/>
            <w:hideMark/>
          </w:tcPr>
          <w:p w14:paraId="73DAA625" w14:textId="77777777" w:rsidR="004A3BE4" w:rsidRDefault="004A3BE4" w:rsidP="000A72BC">
            <w:pPr>
              <w:spacing w:after="0" w:line="240" w:lineRule="auto"/>
              <w:jc w:val="left"/>
              <w:rPr>
                <w:rFonts w:eastAsia="Calibri"/>
                <w:spacing w:val="-4"/>
                <w:szCs w:val="20"/>
                <w:lang w:eastAsia="en-US"/>
              </w:rPr>
            </w:pPr>
          </w:p>
        </w:tc>
        <w:tc>
          <w:tcPr>
            <w:tcW w:w="7610" w:type="dxa"/>
            <w:hideMark/>
          </w:tcPr>
          <w:p w14:paraId="2624CE1B" w14:textId="77777777" w:rsidR="004A3BE4" w:rsidRDefault="004A3BE4" w:rsidP="000A72BC">
            <w:pPr>
              <w:spacing w:after="0"/>
              <w:rPr>
                <w:sz w:val="14"/>
                <w:szCs w:val="14"/>
                <w:lang w:eastAsia="en-US"/>
              </w:rPr>
            </w:pPr>
            <w:r>
              <w:rPr>
                <w:sz w:val="14"/>
                <w:szCs w:val="14"/>
                <w:lang w:eastAsia="en-US"/>
              </w:rPr>
              <w:t>Zdroj: ARAD, ČNB</w:t>
            </w:r>
          </w:p>
        </w:tc>
      </w:tr>
    </w:tbl>
    <w:p w14:paraId="42346D22" w14:textId="77777777" w:rsidR="004A3BE4" w:rsidRPr="00E42054" w:rsidRDefault="004A3BE4" w:rsidP="004A3BE4">
      <w:pPr>
        <w:pStyle w:val="Nadpis11"/>
        <w:rPr>
          <w:b w:val="0"/>
          <w:sz w:val="2"/>
          <w:szCs w:val="2"/>
        </w:rPr>
      </w:pPr>
    </w:p>
    <w:p w14:paraId="704B8E7C" w14:textId="77777777" w:rsidR="004A3BE4" w:rsidRDefault="004A3BE4" w:rsidP="004A3BE4">
      <w:pPr>
        <w:pStyle w:val="Nadpis11"/>
        <w:rPr>
          <w:szCs w:val="32"/>
        </w:rPr>
      </w:pPr>
    </w:p>
    <w:p w14:paraId="39B9870D" w14:textId="77777777" w:rsidR="004A3BE4" w:rsidRDefault="004A3BE4">
      <w:pPr>
        <w:spacing w:after="0" w:line="240" w:lineRule="auto"/>
        <w:jc w:val="left"/>
        <w:rPr>
          <w:rFonts w:eastAsia="MS Gothic"/>
          <w:b/>
          <w:bCs/>
          <w:color w:val="71818C"/>
          <w:sz w:val="32"/>
          <w:szCs w:val="32"/>
        </w:rPr>
      </w:pPr>
      <w:r>
        <w:rPr>
          <w:szCs w:val="32"/>
        </w:rPr>
        <w:br w:type="page"/>
      </w:r>
    </w:p>
    <w:p w14:paraId="6C0BF61C" w14:textId="77777777" w:rsidR="004A3BE4" w:rsidRDefault="004A3BE4" w:rsidP="004A3BE4">
      <w:pPr>
        <w:pStyle w:val="Nadpis11"/>
      </w:pPr>
      <w:bookmarkStart w:id="39" w:name="_Toc137721915"/>
      <w:r w:rsidRPr="00787441">
        <w:rPr>
          <w:szCs w:val="32"/>
        </w:rPr>
        <w:lastRenderedPageBreak/>
        <w:t>8</w:t>
      </w:r>
      <w:r>
        <w:t>. </w:t>
      </w:r>
      <w:r w:rsidRPr="009110F7">
        <w:t>Státní rozpočet</w:t>
      </w:r>
      <w:bookmarkEnd w:id="39"/>
    </w:p>
    <w:tbl>
      <w:tblPr>
        <w:tblW w:w="9669" w:type="dxa"/>
        <w:tblInd w:w="-20" w:type="dxa"/>
        <w:tblCellMar>
          <w:left w:w="0" w:type="dxa"/>
          <w:right w:w="0" w:type="dxa"/>
        </w:tblCellMar>
        <w:tblLook w:val="00A0" w:firstRow="1" w:lastRow="0" w:firstColumn="1" w:lastColumn="0" w:noHBand="0" w:noVBand="0"/>
      </w:tblPr>
      <w:tblGrid>
        <w:gridCol w:w="1773"/>
        <w:gridCol w:w="217"/>
        <w:gridCol w:w="7679"/>
      </w:tblGrid>
      <w:tr w:rsidR="004A3BE4" w:rsidRPr="003C07E6" w14:paraId="569A0F6E" w14:textId="77777777" w:rsidTr="000A72BC">
        <w:trPr>
          <w:trHeight w:val="145"/>
        </w:trPr>
        <w:tc>
          <w:tcPr>
            <w:tcW w:w="1773" w:type="dxa"/>
            <w:shd w:val="clear" w:color="auto" w:fill="auto"/>
            <w:tcMar>
              <w:left w:w="0" w:type="dxa"/>
            </w:tcMar>
          </w:tcPr>
          <w:p w14:paraId="21ED8FB4" w14:textId="77777777" w:rsidR="004A3BE4" w:rsidRPr="00CB5638" w:rsidRDefault="004A3BE4" w:rsidP="000A72BC">
            <w:pPr>
              <w:pStyle w:val="Marginlie"/>
            </w:pPr>
            <w:r>
              <w:t>Hospodaření SR se na počátku roku propadlo do rekordního schodku, jenž přesáhl polovinu očekávaného celoročního deficitu. Podílely se na tom mimořádné, zčásti dočasně působící vlivy.</w:t>
            </w:r>
          </w:p>
        </w:tc>
        <w:tc>
          <w:tcPr>
            <w:tcW w:w="217" w:type="dxa"/>
            <w:shd w:val="clear" w:color="auto" w:fill="auto"/>
            <w:tcMar>
              <w:left w:w="0" w:type="dxa"/>
            </w:tcMar>
          </w:tcPr>
          <w:p w14:paraId="31AEA5DD" w14:textId="77777777" w:rsidR="004A3BE4" w:rsidRDefault="004A3BE4" w:rsidP="000A72BC">
            <w:pPr>
              <w:pStyle w:val="Textpoznpodarou"/>
              <w:jc w:val="both"/>
              <w:rPr>
                <w:spacing w:val="-4"/>
              </w:rPr>
            </w:pPr>
          </w:p>
        </w:tc>
        <w:tc>
          <w:tcPr>
            <w:tcW w:w="7679" w:type="dxa"/>
            <w:shd w:val="clear" w:color="auto" w:fill="auto"/>
            <w:tcMar>
              <w:left w:w="0" w:type="dxa"/>
            </w:tcMar>
          </w:tcPr>
          <w:p w14:paraId="141DCEFA" w14:textId="77777777" w:rsidR="004A3BE4" w:rsidRPr="008262D3" w:rsidRDefault="004A3BE4" w:rsidP="000A72BC">
            <w:pPr>
              <w:spacing w:after="220"/>
              <w:rPr>
                <w:spacing w:val="-2"/>
              </w:rPr>
            </w:pPr>
            <w:r w:rsidRPr="00EC0AAD">
              <w:rPr>
                <w:spacing w:val="-2"/>
              </w:rPr>
              <w:t>V 1. čtvrtletí 2023 došlo k prudkému navýšení schodku hospodaření státního rozpočtu (SR)</w:t>
            </w:r>
            <w:r w:rsidRPr="00EC0AAD">
              <w:rPr>
                <w:rStyle w:val="Znakapoznpodarou"/>
                <w:spacing w:val="-2"/>
              </w:rPr>
              <w:footnoteReference w:id="67"/>
            </w:r>
            <w:r>
              <w:rPr>
                <w:spacing w:val="-2"/>
              </w:rPr>
              <w:t xml:space="preserve">, a to </w:t>
            </w:r>
            <w:r w:rsidRPr="00EC0AAD">
              <w:rPr>
                <w:spacing w:val="-2"/>
              </w:rPr>
              <w:t>na rekordních 166,2 mld. korun</w:t>
            </w:r>
            <w:r>
              <w:rPr>
                <w:rStyle w:val="Znakapoznpodarou"/>
                <w:spacing w:val="-2"/>
              </w:rPr>
              <w:footnoteReference w:id="68"/>
            </w:r>
            <w:r w:rsidRPr="00EC0AAD">
              <w:rPr>
                <w:spacing w:val="-2"/>
              </w:rPr>
              <w:t>. To představovalo již více než polovinu plánovaného deficitu</w:t>
            </w:r>
            <w:r>
              <w:rPr>
                <w:spacing w:val="-2"/>
              </w:rPr>
              <w:t xml:space="preserve"> na celý letošní rok</w:t>
            </w:r>
            <w:r w:rsidRPr="00EC0AAD">
              <w:rPr>
                <w:rStyle w:val="Znakapoznpodarou"/>
                <w:spacing w:val="-2"/>
              </w:rPr>
              <w:footnoteReference w:id="69"/>
            </w:r>
            <w:r>
              <w:rPr>
                <w:spacing w:val="-2"/>
              </w:rPr>
              <w:t xml:space="preserve"> (takto vysoká alikvotní část schodku nebyla v rámci 1. čtvrtletí v současném miléniu dosud zaznamenána). Schodkové hospodaření</w:t>
            </w:r>
            <w:r w:rsidRPr="00EC0AAD">
              <w:rPr>
                <w:spacing w:val="-2"/>
              </w:rPr>
              <w:t xml:space="preserve"> přetrvávalo pátý </w:t>
            </w:r>
            <w:r w:rsidRPr="008262D3">
              <w:rPr>
                <w:spacing w:val="-3"/>
              </w:rPr>
              <w:t xml:space="preserve">rok v řadě. Za meziročním prohloubením deficitu (o 107 mld. korun) stály letos </w:t>
            </w:r>
            <w:r>
              <w:rPr>
                <w:spacing w:val="-3"/>
              </w:rPr>
              <w:t>do značné míry</w:t>
            </w:r>
            <w:r>
              <w:rPr>
                <w:spacing w:val="-2"/>
              </w:rPr>
              <w:t xml:space="preserve"> mimořádné vlivy, z nichž některé mají patrně jen dočasný charakter. Loni na počátku roku bylo čerpání běžných i kapitálových výdajů omezeno rozpočtovým provizoriem a letos (především v březnu) navíc došlo k vyššímu předfinancování u dotací, zejména v sociální oblasti, školství či výzkumu a vývoji</w:t>
            </w:r>
            <w:r>
              <w:rPr>
                <w:rStyle w:val="Znakapoznpodarou"/>
                <w:spacing w:val="-2"/>
              </w:rPr>
              <w:footnoteReference w:id="70"/>
            </w:r>
            <w:r>
              <w:rPr>
                <w:spacing w:val="-2"/>
              </w:rPr>
              <w:t>. V silném růstu výdajů SR na počátku letošního roku se dále promítala jak pomoc státu související s vysokými cenami energií (dosud nedostatečně kompenzovaná mimořádnými příjmy ze zdanění vybraných sektorů ekonomiky), tak dopady přetrvávající pádivé inflace (valorizace důchodů, vyšší objem vyplacených sociálních dávek, rostoucí splátky státního dluhu). Kromě toho měl na prohlubující se schodek SR vliv i slábnoucí výkon tuzemské ekonomiky, který ovlivňoval inkaso některých váhově významných rozpočtových příjmů</w:t>
            </w:r>
            <w:r>
              <w:rPr>
                <w:rStyle w:val="Znakapoznpodarou"/>
                <w:spacing w:val="-2"/>
              </w:rPr>
              <w:footnoteReference w:id="71"/>
            </w:r>
            <w:r>
              <w:rPr>
                <w:spacing w:val="-2"/>
              </w:rPr>
              <w:t xml:space="preserve">. </w:t>
            </w:r>
          </w:p>
        </w:tc>
      </w:tr>
      <w:tr w:rsidR="004A3BE4" w:rsidRPr="003C07E6" w14:paraId="5499F127" w14:textId="77777777" w:rsidTr="000A72BC">
        <w:trPr>
          <w:trHeight w:val="145"/>
        </w:trPr>
        <w:tc>
          <w:tcPr>
            <w:tcW w:w="1773" w:type="dxa"/>
            <w:shd w:val="clear" w:color="auto" w:fill="auto"/>
            <w:tcMar>
              <w:left w:w="0" w:type="dxa"/>
            </w:tcMar>
          </w:tcPr>
          <w:p w14:paraId="6F4EDB28" w14:textId="77777777" w:rsidR="004A3BE4" w:rsidRDefault="004A3BE4" w:rsidP="000A72BC">
            <w:pPr>
              <w:pStyle w:val="Marginlie"/>
              <w:rPr>
                <w:spacing w:val="-5"/>
              </w:rPr>
            </w:pPr>
            <w:r w:rsidRPr="00CB5638">
              <w:t>Růst daňových příjmů zrychlil, za rozpočtovým očekáváním však zaostal. K vyšším příjmům přispěl zejména výběr pojistného</w:t>
            </w:r>
            <w:r>
              <w:rPr>
                <w:spacing w:val="-5"/>
              </w:rPr>
              <w:t xml:space="preserve">. </w:t>
            </w:r>
          </w:p>
        </w:tc>
        <w:tc>
          <w:tcPr>
            <w:tcW w:w="217" w:type="dxa"/>
            <w:shd w:val="clear" w:color="auto" w:fill="auto"/>
            <w:tcMar>
              <w:left w:w="0" w:type="dxa"/>
            </w:tcMar>
          </w:tcPr>
          <w:p w14:paraId="3F3A7276" w14:textId="77777777" w:rsidR="004A3BE4" w:rsidRDefault="004A3BE4" w:rsidP="000A72BC">
            <w:pPr>
              <w:pStyle w:val="Textpoznpodarou"/>
              <w:jc w:val="both"/>
              <w:rPr>
                <w:spacing w:val="-4"/>
              </w:rPr>
            </w:pPr>
          </w:p>
        </w:tc>
        <w:tc>
          <w:tcPr>
            <w:tcW w:w="7679" w:type="dxa"/>
            <w:shd w:val="clear" w:color="auto" w:fill="auto"/>
            <w:tcMar>
              <w:left w:w="0" w:type="dxa"/>
            </w:tcMar>
          </w:tcPr>
          <w:p w14:paraId="4045E61E" w14:textId="77777777" w:rsidR="004A3BE4" w:rsidRDefault="004A3BE4" w:rsidP="000A72BC">
            <w:pPr>
              <w:spacing w:after="220"/>
              <w:rPr>
                <w:spacing w:val="-4"/>
              </w:rPr>
            </w:pPr>
            <w:r>
              <w:rPr>
                <w:spacing w:val="-4"/>
              </w:rPr>
              <w:t>Ačkoli celkové příjmy SR vzrostly letos v 1. čtvrtletí meziročně procentuálně nejvíce za posledních deset let (+13,0 %, resp. 46 mld. korun), dosáhly pouze pětiny celoroční rozpočtované výše</w:t>
            </w:r>
            <w:r>
              <w:rPr>
                <w:rStyle w:val="Znakapoznpodarou"/>
                <w:spacing w:val="-4"/>
              </w:rPr>
              <w:footnoteReference w:id="72"/>
            </w:r>
            <w:r>
              <w:rPr>
                <w:spacing w:val="-4"/>
              </w:rPr>
              <w:t>. Zatímco na počátku loňského roku byl růst celkových příjmů tažen převážně inkasem DPH, od ledna do března 2023 se o něj zasloužil primárně vyšší výběr pojistného na sociální zabezpečení (+15,6 mld. korun). Z daňové oblasti přispěly letos nejvíce energetické firmy, a to prostřednictvím nově zavedeného odvodu z nadměrných příjmů (+8,2 mld. korun)</w:t>
            </w:r>
            <w:r>
              <w:rPr>
                <w:rStyle w:val="Znakapoznpodarou"/>
                <w:spacing w:val="-4"/>
              </w:rPr>
              <w:footnoteReference w:id="73"/>
            </w:r>
            <w:r>
              <w:rPr>
                <w:spacing w:val="-4"/>
              </w:rPr>
              <w:t xml:space="preserve">. SR však získal meziročně více na všech váhově významných daňových příjmech (vyjma spotřební daně). </w:t>
            </w:r>
            <w:r w:rsidRPr="00E712F5">
              <w:rPr>
                <w:color w:val="0D0D0D" w:themeColor="text1" w:themeTint="F2"/>
                <w:spacing w:val="-4"/>
              </w:rPr>
              <w:t>Celostátní daňové inkaso (bez pojistného)</w:t>
            </w:r>
            <w:r>
              <w:rPr>
                <w:color w:val="0D0D0D" w:themeColor="text1" w:themeTint="F2"/>
                <w:spacing w:val="-4"/>
              </w:rPr>
              <w:t xml:space="preserve"> na úrovni všech veřejných rozpočtů vzrostlo v 1. čtvrtletí 2023 meziročně o 15,4 %. Trend slábnoucího tempa inkasa, patrný ve druhé polovině loňského roku, se zastavil. Dynamika výběru nepřímých daní ovšem nadále za cenovým růstem v ekonomice citelně zaostávala a dokládala tak pokračující pokles poptávky domácností.</w:t>
            </w:r>
          </w:p>
        </w:tc>
      </w:tr>
      <w:tr w:rsidR="004A3BE4" w:rsidRPr="003C07E6" w14:paraId="7EB22C59" w14:textId="77777777" w:rsidTr="000A72BC">
        <w:trPr>
          <w:trHeight w:val="145"/>
        </w:trPr>
        <w:tc>
          <w:tcPr>
            <w:tcW w:w="1773" w:type="dxa"/>
            <w:shd w:val="clear" w:color="auto" w:fill="auto"/>
            <w:tcMar>
              <w:left w:w="0" w:type="dxa"/>
            </w:tcMar>
          </w:tcPr>
          <w:p w14:paraId="30C5405B" w14:textId="77777777" w:rsidR="004A3BE4" w:rsidRDefault="004A3BE4" w:rsidP="000A72BC">
            <w:pPr>
              <w:pStyle w:val="Marginlie"/>
              <w:rPr>
                <w:spacing w:val="-5"/>
              </w:rPr>
            </w:pPr>
            <w:r>
              <w:rPr>
                <w:spacing w:val="-5"/>
              </w:rPr>
              <w:t>Silný cenový růst se nadále promítal do svižného tempa výběru DPH, které však bylo tlumeno klesající spotřebou domácností.</w:t>
            </w:r>
          </w:p>
          <w:p w14:paraId="1A42BF13" w14:textId="77777777" w:rsidR="004A3BE4" w:rsidRDefault="004A3BE4" w:rsidP="000A72BC">
            <w:pPr>
              <w:pStyle w:val="Marginlie"/>
              <w:rPr>
                <w:spacing w:val="-5"/>
              </w:rPr>
            </w:pPr>
          </w:p>
          <w:p w14:paraId="0DA8F17B" w14:textId="77777777" w:rsidR="004A3BE4" w:rsidRDefault="004A3BE4" w:rsidP="000A72BC">
            <w:pPr>
              <w:pStyle w:val="Marginlie"/>
              <w:rPr>
                <w:spacing w:val="-5"/>
              </w:rPr>
            </w:pPr>
          </w:p>
          <w:p w14:paraId="2544AA4A" w14:textId="77777777" w:rsidR="004A3BE4" w:rsidRDefault="004A3BE4" w:rsidP="000A72BC">
            <w:pPr>
              <w:pStyle w:val="Marginlie"/>
              <w:rPr>
                <w:spacing w:val="-5"/>
              </w:rPr>
            </w:pPr>
          </w:p>
          <w:p w14:paraId="5645B1F9" w14:textId="77777777" w:rsidR="004A3BE4" w:rsidRDefault="004A3BE4" w:rsidP="000A72BC">
            <w:pPr>
              <w:pStyle w:val="Marginlie"/>
              <w:rPr>
                <w:spacing w:val="-5"/>
              </w:rPr>
            </w:pPr>
          </w:p>
          <w:p w14:paraId="4AC9762C" w14:textId="77777777" w:rsidR="004A3BE4" w:rsidRDefault="004A3BE4" w:rsidP="000A72BC">
            <w:pPr>
              <w:pStyle w:val="Marginlie"/>
              <w:rPr>
                <w:spacing w:val="-5"/>
              </w:rPr>
            </w:pPr>
          </w:p>
          <w:p w14:paraId="2DC75239" w14:textId="77777777" w:rsidR="004A3BE4" w:rsidRDefault="004A3BE4" w:rsidP="000A72BC">
            <w:pPr>
              <w:pStyle w:val="Marginlie"/>
              <w:rPr>
                <w:spacing w:val="-5"/>
              </w:rPr>
            </w:pPr>
          </w:p>
          <w:p w14:paraId="52AA1F2F" w14:textId="77777777" w:rsidR="004A3BE4" w:rsidRDefault="004A3BE4" w:rsidP="000A72BC">
            <w:pPr>
              <w:pStyle w:val="Marginlie"/>
              <w:rPr>
                <w:spacing w:val="-5"/>
              </w:rPr>
            </w:pPr>
          </w:p>
          <w:p w14:paraId="637B3D0B" w14:textId="77777777" w:rsidR="004A3BE4" w:rsidRPr="00980316" w:rsidRDefault="004A3BE4" w:rsidP="000A72BC">
            <w:pPr>
              <w:pStyle w:val="Marginlie"/>
              <w:rPr>
                <w:spacing w:val="-5"/>
              </w:rPr>
            </w:pPr>
            <w:r>
              <w:rPr>
                <w:spacing w:val="-5"/>
              </w:rPr>
              <w:lastRenderedPageBreak/>
              <w:t xml:space="preserve">Pokles inkasa spotřební daně odrážel nižší výběr daně z minerálních olejů </w:t>
            </w:r>
            <w:r>
              <w:rPr>
                <w:spacing w:val="-5"/>
              </w:rPr>
              <w:br/>
              <w:t xml:space="preserve">i dopad úspor domácností a firem v oblasti energií. </w:t>
            </w:r>
          </w:p>
        </w:tc>
        <w:tc>
          <w:tcPr>
            <w:tcW w:w="217" w:type="dxa"/>
            <w:shd w:val="clear" w:color="auto" w:fill="auto"/>
            <w:tcMar>
              <w:left w:w="0" w:type="dxa"/>
            </w:tcMar>
          </w:tcPr>
          <w:p w14:paraId="09E1A937" w14:textId="77777777" w:rsidR="004A3BE4" w:rsidRDefault="004A3BE4" w:rsidP="000A72BC">
            <w:pPr>
              <w:pStyle w:val="Textpoznpodarou"/>
              <w:jc w:val="both"/>
              <w:rPr>
                <w:spacing w:val="-4"/>
              </w:rPr>
            </w:pPr>
          </w:p>
        </w:tc>
        <w:tc>
          <w:tcPr>
            <w:tcW w:w="7679" w:type="dxa"/>
            <w:shd w:val="clear" w:color="auto" w:fill="auto"/>
            <w:tcMar>
              <w:left w:w="0" w:type="dxa"/>
            </w:tcMar>
          </w:tcPr>
          <w:p w14:paraId="31254AC5" w14:textId="77777777" w:rsidR="004A3BE4" w:rsidRDefault="004A3BE4" w:rsidP="000A72BC">
            <w:pPr>
              <w:spacing w:after="220"/>
              <w:rPr>
                <w:spacing w:val="-4"/>
              </w:rPr>
            </w:pPr>
            <w:r>
              <w:rPr>
                <w:spacing w:val="-4"/>
              </w:rPr>
              <w:t>Nejvýznamnějším daňovým příjmem pro SR zůstává tradičně DPH. V 1. čtvrtletí 2023 jeho inkaso meziročně posílilo o 9,7 %, obdobným tempem jako ve 2. pololetí 2022. Shodně jako po celý loňský rok byl letos pro vývoj výběru DPH zásadní silný cenový růst v ekonomice. Negativně oproti tomu působil pokračující pokles spotřeby domácností a nově také zvýšení limitu tržeb pro registraci DPH (z 1 na 2 mil. korun). Na spotřební dani (</w:t>
            </w:r>
            <w:r w:rsidRPr="00ED7FD4">
              <w:rPr>
                <w:spacing w:val="-4"/>
              </w:rPr>
              <w:t>včetně energetických daní a daně z digitálních služeb</w:t>
            </w:r>
            <w:r>
              <w:rPr>
                <w:spacing w:val="-4"/>
              </w:rPr>
              <w:t>) plynulo do SR meziročně o 3,7 % méně a výše inkasa tak zatím (stejně jako u DPH) nenaplňovala rozpočtové očekávání. Z váhově významnějších položek této daně se výběr zvýšil pouze u tabákových výrobků (+2,8 %), výhradně ovšem vlivem pokračujícího navyšování daňové sazby. Administrativní opatření</w:t>
            </w:r>
            <w:r>
              <w:rPr>
                <w:rStyle w:val="Znakapoznpodarou"/>
                <w:spacing w:val="-4"/>
              </w:rPr>
              <w:footnoteReference w:id="74"/>
            </w:r>
            <w:r>
              <w:rPr>
                <w:spacing w:val="-4"/>
              </w:rPr>
              <w:t xml:space="preserve"> </w:t>
            </w:r>
            <w:r w:rsidRPr="00ED7FD4">
              <w:rPr>
                <w:spacing w:val="-6"/>
              </w:rPr>
              <w:t>sehrálo zásadní roli i u klíčové daně z minerálních olejů, na níž stát vybral meziročně o 7,2</w:t>
            </w:r>
            <w:r>
              <w:rPr>
                <w:spacing w:val="-4"/>
              </w:rPr>
              <w:t xml:space="preserve"> % méně (v absolutní </w:t>
            </w:r>
            <w:r>
              <w:rPr>
                <w:spacing w:val="-4"/>
              </w:rPr>
              <w:lastRenderedPageBreak/>
              <w:t xml:space="preserve">výši šlo v rámci 1. čtvrtletí o druhé nejnižší inkaso za posledních devět let). Po loňském oživení klesal i výběr daně z lihu (−3 %) či vína a meziproduktů (−6 %), naopak inkaso daně z piva letos rostlo druhým rokem v řadě (za výší z 1. čtvrtletí 2019 ale stále zaostávalo). V důsledku citelného snížení spotřeby elektřiny, plynu i pevných paliv meziročně výrazně poklesl výběr energetických daní (o 14 %). </w:t>
            </w:r>
          </w:p>
        </w:tc>
      </w:tr>
      <w:tr w:rsidR="004A3BE4" w:rsidRPr="003C07E6" w14:paraId="10E68FCF" w14:textId="77777777" w:rsidTr="000A72BC">
        <w:trPr>
          <w:trHeight w:val="145"/>
        </w:trPr>
        <w:tc>
          <w:tcPr>
            <w:tcW w:w="1773" w:type="dxa"/>
            <w:shd w:val="clear" w:color="auto" w:fill="auto"/>
            <w:tcMar>
              <w:left w:w="0" w:type="dxa"/>
            </w:tcMar>
          </w:tcPr>
          <w:p w14:paraId="145C48CC" w14:textId="77777777" w:rsidR="004A3BE4" w:rsidRPr="005E6492" w:rsidRDefault="004A3BE4" w:rsidP="000A72BC">
            <w:pPr>
              <w:pStyle w:val="Marginlie"/>
              <w:rPr>
                <w:color w:val="0D0D0D" w:themeColor="text1" w:themeTint="F2"/>
                <w:spacing w:val="-5"/>
              </w:rPr>
            </w:pPr>
            <w:r>
              <w:rPr>
                <w:color w:val="0D0D0D" w:themeColor="text1" w:themeTint="F2"/>
              </w:rPr>
              <w:lastRenderedPageBreak/>
              <w:t xml:space="preserve">Výběr daně </w:t>
            </w:r>
            <w:r>
              <w:t>z příjmů právnických osob pokračoval ve svižném tempu a nad úrovní očekávání rozpočtu.</w:t>
            </w:r>
          </w:p>
        </w:tc>
        <w:tc>
          <w:tcPr>
            <w:tcW w:w="217" w:type="dxa"/>
            <w:shd w:val="clear" w:color="auto" w:fill="auto"/>
            <w:tcMar>
              <w:left w:w="0" w:type="dxa"/>
            </w:tcMar>
          </w:tcPr>
          <w:p w14:paraId="33617454" w14:textId="77777777" w:rsidR="004A3BE4" w:rsidRPr="005E6492" w:rsidRDefault="004A3BE4" w:rsidP="000A72BC">
            <w:pPr>
              <w:pStyle w:val="Textpoznpodarou"/>
              <w:jc w:val="both"/>
              <w:rPr>
                <w:color w:val="0D0D0D" w:themeColor="text1" w:themeTint="F2"/>
                <w:spacing w:val="-4"/>
              </w:rPr>
            </w:pPr>
          </w:p>
        </w:tc>
        <w:tc>
          <w:tcPr>
            <w:tcW w:w="7679" w:type="dxa"/>
            <w:shd w:val="clear" w:color="auto" w:fill="auto"/>
            <w:tcMar>
              <w:left w:w="0" w:type="dxa"/>
            </w:tcMar>
          </w:tcPr>
          <w:p w14:paraId="3CB89986" w14:textId="40112C8F" w:rsidR="004A3BE4" w:rsidRPr="00E51C90" w:rsidRDefault="004A3BE4" w:rsidP="000A72BC">
            <w:pPr>
              <w:spacing w:after="220"/>
              <w:rPr>
                <w:spacing w:val="-4"/>
              </w:rPr>
            </w:pPr>
            <w:r>
              <w:rPr>
                <w:spacing w:val="-4"/>
              </w:rPr>
              <w:t>Na korporátní dani získal SR meziročně o pětinu více (podobným tempem se zvyšovalo inkaso této daně i ve druhé polovině loňského roku). Také o</w:t>
            </w:r>
            <w:r w:rsidRPr="001D578B">
              <w:rPr>
                <w:spacing w:val="-4"/>
              </w:rPr>
              <w:t>dvod</w:t>
            </w:r>
            <w:r>
              <w:rPr>
                <w:spacing w:val="-4"/>
              </w:rPr>
              <w:t>y</w:t>
            </w:r>
            <w:r w:rsidRPr="001D578B">
              <w:rPr>
                <w:spacing w:val="-4"/>
              </w:rPr>
              <w:t xml:space="preserve"> z nadměrných příjmů</w:t>
            </w:r>
            <w:r>
              <w:rPr>
                <w:spacing w:val="-4"/>
              </w:rPr>
              <w:t xml:space="preserve"> z prodeje elektřiny rostly letos v 1. čtvrtletí rychleji, než činilo rozpočtové očekávání. Naopak u jiného mimořádného příjmu – daně z neočekávaných zisků</w:t>
            </w:r>
            <w:r>
              <w:rPr>
                <w:rStyle w:val="Znakapoznpodarou"/>
                <w:spacing w:val="-4"/>
              </w:rPr>
              <w:footnoteReference w:id="75"/>
            </w:r>
            <w:r>
              <w:rPr>
                <w:spacing w:val="-4"/>
              </w:rPr>
              <w:t xml:space="preserve"> – se předpokládají první splátky podniků až letos v září. Nicméně původní rozpočtový odhad tohoto celoročního inkasa byl již letos v dubnu razantně revidován (</w:t>
            </w:r>
            <w:r w:rsidR="00FD4372">
              <w:rPr>
                <w:spacing w:val="-4"/>
              </w:rPr>
              <w:t xml:space="preserve">z </w:t>
            </w:r>
            <w:r>
              <w:rPr>
                <w:spacing w:val="-4"/>
              </w:rPr>
              <w:t>85 mld. korun na 28 mld.</w:t>
            </w:r>
            <w:r w:rsidR="00FD4372">
              <w:rPr>
                <w:spacing w:val="-4"/>
              </w:rPr>
              <w:t xml:space="preserve"> korun</w:t>
            </w:r>
            <w:r>
              <w:rPr>
                <w:spacing w:val="-4"/>
              </w:rPr>
              <w:t>).</w:t>
            </w:r>
          </w:p>
        </w:tc>
      </w:tr>
      <w:tr w:rsidR="004A3BE4" w:rsidRPr="003C07E6" w14:paraId="159D09AB" w14:textId="77777777" w:rsidTr="000A72BC">
        <w:trPr>
          <w:trHeight w:val="145"/>
        </w:trPr>
        <w:tc>
          <w:tcPr>
            <w:tcW w:w="1773" w:type="dxa"/>
            <w:shd w:val="clear" w:color="auto" w:fill="auto"/>
            <w:tcMar>
              <w:left w:w="0" w:type="dxa"/>
            </w:tcMar>
          </w:tcPr>
          <w:p w14:paraId="7827C1C7" w14:textId="77777777" w:rsidR="004A3BE4" w:rsidRPr="005E6492" w:rsidRDefault="004A3BE4" w:rsidP="000A72BC">
            <w:pPr>
              <w:pStyle w:val="Marginlie"/>
              <w:rPr>
                <w:color w:val="0D0D0D" w:themeColor="text1" w:themeTint="F2"/>
              </w:rPr>
            </w:pPr>
            <w:r>
              <w:t>Svižný růst inkasa daně z příjmu fyzických osob reflektoval příznivou pozici zaměstnanců na pracovním trhu.</w:t>
            </w:r>
          </w:p>
        </w:tc>
        <w:tc>
          <w:tcPr>
            <w:tcW w:w="217" w:type="dxa"/>
            <w:shd w:val="clear" w:color="auto" w:fill="auto"/>
            <w:tcMar>
              <w:left w:w="0" w:type="dxa"/>
            </w:tcMar>
          </w:tcPr>
          <w:p w14:paraId="2841D75F" w14:textId="77777777" w:rsidR="004A3BE4" w:rsidRPr="005E6492" w:rsidRDefault="004A3BE4" w:rsidP="000A72BC">
            <w:pPr>
              <w:pStyle w:val="Textpoznpodarou"/>
              <w:jc w:val="both"/>
              <w:rPr>
                <w:color w:val="0D0D0D" w:themeColor="text1" w:themeTint="F2"/>
                <w:spacing w:val="-4"/>
              </w:rPr>
            </w:pPr>
          </w:p>
        </w:tc>
        <w:tc>
          <w:tcPr>
            <w:tcW w:w="7679" w:type="dxa"/>
            <w:shd w:val="clear" w:color="auto" w:fill="auto"/>
            <w:tcMar>
              <w:left w:w="0" w:type="dxa"/>
            </w:tcMar>
          </w:tcPr>
          <w:p w14:paraId="00F01688" w14:textId="77777777" w:rsidR="004A3BE4" w:rsidRPr="003B064D" w:rsidRDefault="004A3BE4" w:rsidP="000A72BC">
            <w:pPr>
              <w:spacing w:after="220"/>
              <w:rPr>
                <w:spacing w:val="-4"/>
              </w:rPr>
            </w:pPr>
            <w:r>
              <w:rPr>
                <w:spacing w:val="-4"/>
              </w:rPr>
              <w:t xml:space="preserve">Svižně vzrostl i příjem SR z </w:t>
            </w:r>
            <w:r w:rsidRPr="00FF192C">
              <w:rPr>
                <w:spacing w:val="-4"/>
              </w:rPr>
              <w:t>daně z</w:t>
            </w:r>
            <w:r w:rsidRPr="005C1CC6">
              <w:rPr>
                <w:color w:val="0D0D0D" w:themeColor="text1" w:themeTint="F2"/>
                <w:spacing w:val="-4"/>
              </w:rPr>
              <w:t> příjmů od fyzických osob (DPFO</w:t>
            </w:r>
            <w:r>
              <w:rPr>
                <w:spacing w:val="-4"/>
              </w:rPr>
              <w:t>), když byl meziročně vyšší o 23,5 %, resp. 6,9 mld. korun</w:t>
            </w:r>
            <w:r>
              <w:rPr>
                <w:rStyle w:val="Znakapoznpodarou"/>
                <w:spacing w:val="-4"/>
              </w:rPr>
              <w:footnoteReference w:id="76"/>
            </w:r>
            <w:r>
              <w:rPr>
                <w:spacing w:val="-4"/>
              </w:rPr>
              <w:t xml:space="preserve">. Stalo se tak především zásluhou klíčové příjmové daně placené plátci (ze závislé činnosti), do níž se promítal pokračující růst zaměstnanosti i mírně zrychlující růst průměrné mzdy. V menší míře se zde projevil i vliv daňových změn (zrušení kompenzačního bonusu na pomoc drobným podnikatelům během pandemie, pokračující navyšování daňové slevy na poplatníka). Dařilo se také inkasu DPFO vybírané srážkou, na níž stát vybral meziročně o polovinu více (zásluhou růstu úrokových sazeb </w:t>
            </w:r>
            <w:r>
              <w:rPr>
                <w:spacing w:val="-4"/>
              </w:rPr>
              <w:br/>
              <w:t xml:space="preserve">i vyššího počtu osob pracujících na dohody). Naopak výběr váhově méně významné daně DPFO placené poplatníky, jež cílí především na drobné podnikatele, se meziročně </w:t>
            </w:r>
            <w:r>
              <w:rPr>
                <w:spacing w:val="-4"/>
              </w:rPr>
              <w:br/>
              <w:t>o desetinu snížil</w:t>
            </w:r>
            <w:r>
              <w:rPr>
                <w:rStyle w:val="Znakapoznpodarou"/>
                <w:spacing w:val="-4"/>
              </w:rPr>
              <w:footnoteReference w:id="77"/>
            </w:r>
            <w:r>
              <w:rPr>
                <w:spacing w:val="-4"/>
              </w:rPr>
              <w:t xml:space="preserve">. Nižší inkaso souvisí i s navýšením slevy na poplatníka a s posunem zákonných lhůt pro podání daně (u osob, jež mají povinnost podávat přiznání elektronicky). </w:t>
            </w:r>
          </w:p>
        </w:tc>
      </w:tr>
      <w:tr w:rsidR="004A3BE4" w:rsidRPr="00F704D2" w14:paraId="65593B19" w14:textId="77777777" w:rsidTr="000A72BC">
        <w:trPr>
          <w:trHeight w:val="170"/>
        </w:trPr>
        <w:tc>
          <w:tcPr>
            <w:tcW w:w="1773" w:type="dxa"/>
            <w:vMerge w:val="restart"/>
            <w:shd w:val="clear" w:color="auto" w:fill="auto"/>
            <w:tcMar>
              <w:left w:w="0" w:type="dxa"/>
            </w:tcMar>
          </w:tcPr>
          <w:p w14:paraId="4488A9AF" w14:textId="77777777" w:rsidR="004A3BE4" w:rsidRDefault="004A3BE4" w:rsidP="000A72BC">
            <w:pPr>
              <w:pStyle w:val="Marginlie"/>
            </w:pPr>
          </w:p>
        </w:tc>
        <w:tc>
          <w:tcPr>
            <w:tcW w:w="217" w:type="dxa"/>
            <w:vMerge w:val="restart"/>
            <w:shd w:val="clear" w:color="auto" w:fill="auto"/>
            <w:tcMar>
              <w:left w:w="0" w:type="dxa"/>
            </w:tcMar>
          </w:tcPr>
          <w:p w14:paraId="49E26545" w14:textId="77777777" w:rsidR="004A3BE4" w:rsidRDefault="004A3BE4" w:rsidP="000A72BC">
            <w:pPr>
              <w:pStyle w:val="Textpoznpodarou"/>
              <w:jc w:val="both"/>
              <w:rPr>
                <w:spacing w:val="-4"/>
              </w:rPr>
            </w:pPr>
          </w:p>
        </w:tc>
        <w:tc>
          <w:tcPr>
            <w:tcW w:w="7679" w:type="dxa"/>
            <w:shd w:val="clear" w:color="auto" w:fill="auto"/>
            <w:tcMar>
              <w:left w:w="0" w:type="dxa"/>
            </w:tcMar>
          </w:tcPr>
          <w:p w14:paraId="0D53DD30" w14:textId="77777777" w:rsidR="004A3BE4" w:rsidRPr="00CC3017" w:rsidRDefault="004A3BE4" w:rsidP="000A72BC">
            <w:pPr>
              <w:spacing w:after="20"/>
              <w:rPr>
                <w:rFonts w:cs="Arial"/>
                <w:b/>
                <w:bCs/>
                <w:color w:val="000000"/>
                <w:spacing w:val="-4"/>
                <w:szCs w:val="20"/>
              </w:rPr>
            </w:pPr>
            <w:r>
              <w:rPr>
                <w:rFonts w:cs="Arial"/>
                <w:b/>
                <w:bCs/>
                <w:color w:val="000000"/>
                <w:spacing w:val="-4"/>
                <w:szCs w:val="20"/>
              </w:rPr>
              <w:t>Graf č. 18</w:t>
            </w:r>
            <w:r w:rsidRPr="00A66749">
              <w:rPr>
                <w:rFonts w:cs="Arial"/>
                <w:b/>
                <w:bCs/>
                <w:color w:val="000000"/>
                <w:spacing w:val="-4"/>
                <w:szCs w:val="20"/>
              </w:rPr>
              <w:t xml:space="preserve"> </w:t>
            </w:r>
            <w:r>
              <w:rPr>
                <w:rFonts w:cs="Arial"/>
                <w:b/>
                <w:bCs/>
                <w:color w:val="000000"/>
                <w:spacing w:val="-4"/>
                <w:szCs w:val="20"/>
              </w:rPr>
              <w:t>Příspěvek dílčích příjmů k meziročnímu růstu c</w:t>
            </w:r>
            <w:r w:rsidRPr="00C37D7A">
              <w:rPr>
                <w:rFonts w:cs="Arial"/>
                <w:b/>
                <w:bCs/>
                <w:color w:val="000000"/>
                <w:spacing w:val="-4"/>
                <w:szCs w:val="20"/>
              </w:rPr>
              <w:t>elostátní</w:t>
            </w:r>
            <w:r>
              <w:rPr>
                <w:rFonts w:cs="Arial"/>
                <w:b/>
                <w:bCs/>
                <w:color w:val="000000"/>
                <w:spacing w:val="-4"/>
                <w:szCs w:val="20"/>
              </w:rPr>
              <w:t>ho inkas</w:t>
            </w:r>
            <w:r w:rsidRPr="00C37D7A">
              <w:rPr>
                <w:rFonts w:cs="Arial"/>
                <w:b/>
                <w:bCs/>
                <w:color w:val="000000"/>
                <w:spacing w:val="-4"/>
                <w:szCs w:val="20"/>
              </w:rPr>
              <w:t xml:space="preserve">a daňových příjmů </w:t>
            </w:r>
            <w:r w:rsidRPr="00CC7FBA">
              <w:rPr>
                <w:rFonts w:cs="Arial"/>
                <w:bCs/>
                <w:color w:val="000000"/>
                <w:spacing w:val="-4"/>
                <w:szCs w:val="20"/>
              </w:rPr>
              <w:t>(v p. b.)</w:t>
            </w:r>
            <w:r w:rsidRPr="00C37D7A">
              <w:rPr>
                <w:rFonts w:cs="Arial"/>
                <w:b/>
                <w:bCs/>
                <w:color w:val="000000"/>
                <w:spacing w:val="-4"/>
                <w:szCs w:val="20"/>
              </w:rPr>
              <w:t xml:space="preserve"> a saldo státního rozpočtu </w:t>
            </w:r>
            <w:r w:rsidRPr="00CC7FBA">
              <w:rPr>
                <w:rFonts w:cs="Arial"/>
                <w:bCs/>
                <w:color w:val="000000"/>
                <w:spacing w:val="-4"/>
                <w:szCs w:val="20"/>
              </w:rPr>
              <w:t>(v mld. korun)</w:t>
            </w:r>
            <w:r>
              <w:rPr>
                <w:rFonts w:cs="Arial"/>
                <w:b/>
                <w:bCs/>
                <w:color w:val="000000"/>
                <w:spacing w:val="-4"/>
                <w:szCs w:val="20"/>
              </w:rPr>
              <w:t xml:space="preserve"> v rámci 1. čtvrtletí</w:t>
            </w:r>
          </w:p>
        </w:tc>
      </w:tr>
      <w:tr w:rsidR="004A3BE4" w14:paraId="707001AD" w14:textId="77777777" w:rsidTr="000A72BC">
        <w:tblPrEx>
          <w:tblCellMar>
            <w:left w:w="70" w:type="dxa"/>
            <w:right w:w="70" w:type="dxa"/>
          </w:tblCellMar>
        </w:tblPrEx>
        <w:trPr>
          <w:trHeight w:val="170"/>
        </w:trPr>
        <w:tc>
          <w:tcPr>
            <w:tcW w:w="1773" w:type="dxa"/>
            <w:vMerge/>
            <w:shd w:val="clear" w:color="auto" w:fill="auto"/>
          </w:tcPr>
          <w:p w14:paraId="2B3D24EB" w14:textId="77777777" w:rsidR="004A3BE4" w:rsidRDefault="004A3BE4" w:rsidP="000A72BC">
            <w:pPr>
              <w:pStyle w:val="Marginlie"/>
            </w:pPr>
          </w:p>
        </w:tc>
        <w:tc>
          <w:tcPr>
            <w:tcW w:w="217" w:type="dxa"/>
            <w:vMerge/>
            <w:shd w:val="clear" w:color="auto" w:fill="auto"/>
          </w:tcPr>
          <w:p w14:paraId="63BE285B" w14:textId="77777777" w:rsidR="004A3BE4" w:rsidRDefault="004A3BE4" w:rsidP="000A72BC">
            <w:pPr>
              <w:pStyle w:val="Textpoznpodarou"/>
              <w:jc w:val="both"/>
              <w:rPr>
                <w:spacing w:val="-4"/>
              </w:rPr>
            </w:pPr>
          </w:p>
        </w:tc>
        <w:tc>
          <w:tcPr>
            <w:tcW w:w="7679" w:type="dxa"/>
            <w:shd w:val="clear" w:color="auto" w:fill="auto"/>
          </w:tcPr>
          <w:p w14:paraId="111F14DC" w14:textId="77777777" w:rsidR="004A3BE4" w:rsidRPr="0067514E" w:rsidRDefault="004A3BE4" w:rsidP="000A72BC">
            <w:pPr>
              <w:spacing w:after="0"/>
              <w:rPr>
                <w:spacing w:val="-6"/>
              </w:rPr>
            </w:pPr>
            <w:r>
              <w:rPr>
                <w:noProof/>
              </w:rPr>
              <w:drawing>
                <wp:inline distT="0" distB="0" distL="0" distR="0" wp14:anchorId="647D4C46" wp14:editId="35E3FD03">
                  <wp:extent cx="4741545" cy="3418764"/>
                  <wp:effectExtent l="0" t="0" r="1905"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4A3BE4" w:rsidRPr="007B3A78" w14:paraId="7AD7F169" w14:textId="77777777" w:rsidTr="000A72BC">
        <w:trPr>
          <w:trHeight w:val="170"/>
        </w:trPr>
        <w:tc>
          <w:tcPr>
            <w:tcW w:w="1773" w:type="dxa"/>
            <w:vMerge/>
            <w:shd w:val="clear" w:color="auto" w:fill="auto"/>
            <w:tcMar>
              <w:left w:w="0" w:type="dxa"/>
            </w:tcMar>
          </w:tcPr>
          <w:p w14:paraId="13FD4E2D" w14:textId="77777777" w:rsidR="004A3BE4" w:rsidRDefault="004A3BE4" w:rsidP="000A72BC">
            <w:pPr>
              <w:pStyle w:val="Marginlie"/>
            </w:pPr>
          </w:p>
        </w:tc>
        <w:tc>
          <w:tcPr>
            <w:tcW w:w="217" w:type="dxa"/>
            <w:vMerge/>
            <w:shd w:val="clear" w:color="auto" w:fill="auto"/>
            <w:tcMar>
              <w:left w:w="0" w:type="dxa"/>
            </w:tcMar>
          </w:tcPr>
          <w:p w14:paraId="77ACBF6E" w14:textId="77777777" w:rsidR="004A3BE4" w:rsidRDefault="004A3BE4" w:rsidP="000A72BC">
            <w:pPr>
              <w:pStyle w:val="Textpoznpodarou"/>
              <w:jc w:val="both"/>
              <w:rPr>
                <w:spacing w:val="-4"/>
              </w:rPr>
            </w:pPr>
          </w:p>
        </w:tc>
        <w:tc>
          <w:tcPr>
            <w:tcW w:w="7679" w:type="dxa"/>
            <w:shd w:val="clear" w:color="auto" w:fill="auto"/>
            <w:tcMar>
              <w:left w:w="0" w:type="dxa"/>
            </w:tcMar>
          </w:tcPr>
          <w:p w14:paraId="3938C9CF" w14:textId="77777777" w:rsidR="004A3BE4" w:rsidRDefault="004A3BE4" w:rsidP="000A72BC">
            <w:pPr>
              <w:tabs>
                <w:tab w:val="right" w:pos="7683"/>
              </w:tabs>
              <w:spacing w:after="0" w:line="240" w:lineRule="auto"/>
              <w:jc w:val="left"/>
              <w:rPr>
                <w:sz w:val="16"/>
                <w:szCs w:val="16"/>
              </w:rPr>
            </w:pPr>
            <w:r>
              <w:rPr>
                <w:spacing w:val="-2"/>
                <w:sz w:val="14"/>
                <w:szCs w:val="14"/>
              </w:rPr>
              <w:t>Poznámka: Údaje očištěné o vliv prostředků z EU a Finančních mechanismů jsou k dispozici od roku 2013.</w:t>
            </w:r>
          </w:p>
          <w:p w14:paraId="52A2E4F0" w14:textId="0BF7999C" w:rsidR="004A3BE4" w:rsidRDefault="004A3BE4" w:rsidP="000A72BC">
            <w:pPr>
              <w:tabs>
                <w:tab w:val="right" w:pos="7683"/>
              </w:tabs>
              <w:spacing w:after="0" w:line="240" w:lineRule="auto"/>
              <w:jc w:val="left"/>
              <w:rPr>
                <w:sz w:val="14"/>
                <w:szCs w:val="14"/>
              </w:rPr>
            </w:pPr>
            <w:r w:rsidRPr="002777A9">
              <w:rPr>
                <w:sz w:val="14"/>
                <w:szCs w:val="14"/>
              </w:rPr>
              <w:t>*</w:t>
            </w:r>
            <w:r>
              <w:rPr>
                <w:sz w:val="14"/>
                <w:szCs w:val="14"/>
              </w:rPr>
              <w:t>Zahrnují zejména silniční daň, d</w:t>
            </w:r>
            <w:r w:rsidRPr="001F4360">
              <w:rPr>
                <w:sz w:val="14"/>
                <w:szCs w:val="14"/>
              </w:rPr>
              <w:t>aň z hazardních her</w:t>
            </w:r>
            <w:r>
              <w:rPr>
                <w:sz w:val="14"/>
                <w:szCs w:val="14"/>
              </w:rPr>
              <w:t>, d</w:t>
            </w:r>
            <w:r w:rsidRPr="001F4360">
              <w:rPr>
                <w:sz w:val="14"/>
                <w:szCs w:val="14"/>
              </w:rPr>
              <w:t>álniční poplatek</w:t>
            </w:r>
            <w:r w:rsidR="00EB6473">
              <w:rPr>
                <w:sz w:val="14"/>
                <w:szCs w:val="14"/>
              </w:rPr>
              <w:t xml:space="preserve"> a</w:t>
            </w:r>
            <w:r>
              <w:rPr>
                <w:sz w:val="14"/>
                <w:szCs w:val="14"/>
              </w:rPr>
              <w:t xml:space="preserve"> </w:t>
            </w:r>
            <w:r w:rsidR="00EB6473">
              <w:rPr>
                <w:sz w:val="14"/>
                <w:szCs w:val="14"/>
              </w:rPr>
              <w:t>mýtné.</w:t>
            </w:r>
            <w:r>
              <w:rPr>
                <w:sz w:val="14"/>
                <w:szCs w:val="14"/>
              </w:rPr>
              <w:t xml:space="preserve"> </w:t>
            </w:r>
          </w:p>
          <w:p w14:paraId="4E35A3C1" w14:textId="77777777" w:rsidR="004A3BE4" w:rsidRPr="002777A9" w:rsidRDefault="004A3BE4" w:rsidP="000A72BC">
            <w:pPr>
              <w:tabs>
                <w:tab w:val="right" w:pos="7683"/>
              </w:tabs>
              <w:spacing w:after="0" w:line="240" w:lineRule="auto"/>
              <w:jc w:val="left"/>
              <w:rPr>
                <w:spacing w:val="-2"/>
                <w:sz w:val="14"/>
                <w:szCs w:val="14"/>
              </w:rPr>
            </w:pPr>
            <w:r w:rsidRPr="002777A9">
              <w:rPr>
                <w:sz w:val="14"/>
                <w:szCs w:val="14"/>
              </w:rPr>
              <w:t>Zdroj: MF ČR</w:t>
            </w:r>
          </w:p>
        </w:tc>
      </w:tr>
      <w:tr w:rsidR="004A3BE4" w:rsidRPr="007B3A78" w14:paraId="4D2E6F13" w14:textId="77777777" w:rsidTr="000A72BC">
        <w:trPr>
          <w:trHeight w:val="170"/>
        </w:trPr>
        <w:tc>
          <w:tcPr>
            <w:tcW w:w="1773" w:type="dxa"/>
            <w:shd w:val="clear" w:color="auto" w:fill="auto"/>
            <w:tcMar>
              <w:left w:w="0" w:type="dxa"/>
            </w:tcMar>
          </w:tcPr>
          <w:p w14:paraId="4955423A" w14:textId="36B0D5D2" w:rsidR="004A3BE4" w:rsidRDefault="008F130B" w:rsidP="000A72BC">
            <w:pPr>
              <w:pStyle w:val="Marginlie"/>
            </w:pPr>
            <w:r>
              <w:lastRenderedPageBreak/>
              <w:t xml:space="preserve">Příjem z rozpočtu EU </w:t>
            </w:r>
            <w:r>
              <w:br/>
              <w:t>a Finančních mechanismů</w:t>
            </w:r>
            <w:r w:rsidR="004A3BE4">
              <w:t xml:space="preserve"> se meziročně mírně navýšil.</w:t>
            </w:r>
          </w:p>
        </w:tc>
        <w:tc>
          <w:tcPr>
            <w:tcW w:w="217" w:type="dxa"/>
            <w:shd w:val="clear" w:color="auto" w:fill="auto"/>
            <w:tcMar>
              <w:left w:w="0" w:type="dxa"/>
            </w:tcMar>
          </w:tcPr>
          <w:p w14:paraId="66DA994A" w14:textId="77777777" w:rsidR="004A3BE4" w:rsidRDefault="004A3BE4" w:rsidP="000A72BC">
            <w:pPr>
              <w:pStyle w:val="Textpoznpodarou"/>
              <w:jc w:val="both"/>
              <w:rPr>
                <w:spacing w:val="-4"/>
              </w:rPr>
            </w:pPr>
          </w:p>
        </w:tc>
        <w:tc>
          <w:tcPr>
            <w:tcW w:w="7679" w:type="dxa"/>
            <w:shd w:val="clear" w:color="auto" w:fill="auto"/>
            <w:tcMar>
              <w:left w:w="0" w:type="dxa"/>
            </w:tcMar>
          </w:tcPr>
          <w:p w14:paraId="6B378D23" w14:textId="1F0C73F8" w:rsidR="004A3BE4" w:rsidRPr="00F0531D" w:rsidRDefault="004A3BE4" w:rsidP="000A72BC">
            <w:pPr>
              <w:spacing w:after="220"/>
              <w:rPr>
                <w:spacing w:val="-5"/>
              </w:rPr>
            </w:pPr>
            <w:r w:rsidRPr="00F0531D">
              <w:rPr>
                <w:spacing w:val="-5"/>
              </w:rPr>
              <w:t>Na rozdíl od počátku loňského roku letos v 1. čtvrtletí meziročně vzrostly (+7,6 %)</w:t>
            </w:r>
            <w:r>
              <w:rPr>
                <w:spacing w:val="-5"/>
              </w:rPr>
              <w:t xml:space="preserve"> </w:t>
            </w:r>
            <w:r w:rsidRPr="00F0531D">
              <w:rPr>
                <w:spacing w:val="-5"/>
              </w:rPr>
              <w:t>nedaňové příjmy (vč. kapitálových příjmů a přijatých transferů), jejich příspěvek k navýšení celkových příjmů SR však nebyl nikterak zásadní. To souvisí s jejich dosud relativně nízkým plněním</w:t>
            </w:r>
            <w:r w:rsidRPr="00F0531D">
              <w:rPr>
                <w:rStyle w:val="Znakapoznpodarou"/>
                <w:spacing w:val="-5"/>
              </w:rPr>
              <w:footnoteReference w:id="78"/>
            </w:r>
            <w:r w:rsidRPr="00F0531D">
              <w:rPr>
                <w:spacing w:val="-5"/>
              </w:rPr>
              <w:t xml:space="preserve">, neboť do očekávaných celoročních příjmů byly zařazeny i meziročně výrazně posílené výnosy z obchodování s emisními povolenkami (většina z nich </w:t>
            </w:r>
            <w:r w:rsidR="0076579C">
              <w:rPr>
                <w:spacing w:val="-5"/>
              </w:rPr>
              <w:t>je ovšem určena na dekarbonizaci</w:t>
            </w:r>
            <w:r w:rsidRPr="00F0531D">
              <w:rPr>
                <w:spacing w:val="-5"/>
              </w:rPr>
              <w:t xml:space="preserve"> ekonomiky </w:t>
            </w:r>
            <w:r>
              <w:rPr>
                <w:spacing w:val="-5"/>
              </w:rPr>
              <w:t xml:space="preserve">a </w:t>
            </w:r>
            <w:r w:rsidRPr="00F0531D">
              <w:rPr>
                <w:spacing w:val="-5"/>
              </w:rPr>
              <w:t>realizovaná prostřednictvím Modernizačního fondu). Váhově dominantní položka nedaňových příjmů – příjmy z EU a Finančních mechanismů</w:t>
            </w:r>
            <w:r w:rsidRPr="00F0531D">
              <w:rPr>
                <w:rStyle w:val="Znakapoznpodarou"/>
                <w:spacing w:val="-5"/>
              </w:rPr>
              <w:footnoteReference w:id="79"/>
            </w:r>
            <w:r w:rsidRPr="00F0531D">
              <w:rPr>
                <w:spacing w:val="-5"/>
              </w:rPr>
              <w:t xml:space="preserve"> – v 1.</w:t>
            </w:r>
            <w:r>
              <w:rPr>
                <w:spacing w:val="-5"/>
              </w:rPr>
              <w:t> </w:t>
            </w:r>
            <w:r w:rsidRPr="00F0531D">
              <w:rPr>
                <w:spacing w:val="-6"/>
              </w:rPr>
              <w:t>čtvrtletí posílila o 6,1  % (+1,6 mld. korun), kdy došlo k proplacení dříve SR předfinancovaných</w:t>
            </w:r>
            <w:r w:rsidRPr="00F0531D">
              <w:rPr>
                <w:spacing w:val="-5"/>
              </w:rPr>
              <w:t xml:space="preserve"> výdajů v oblasti společné zemědělské politiky a </w:t>
            </w:r>
            <w:r>
              <w:rPr>
                <w:spacing w:val="-5"/>
              </w:rPr>
              <w:t xml:space="preserve">v </w:t>
            </w:r>
            <w:r w:rsidRPr="00F0531D">
              <w:rPr>
                <w:spacing w:val="-5"/>
              </w:rPr>
              <w:t>dalších podporovaných oblastech z</w:t>
            </w:r>
            <w:bookmarkStart w:id="40" w:name="OLE_LINK1"/>
            <w:r w:rsidRPr="00F0531D">
              <w:rPr>
                <w:spacing w:val="-5"/>
              </w:rPr>
              <w:t> </w:t>
            </w:r>
            <w:bookmarkEnd w:id="40"/>
            <w:r w:rsidRPr="00F0531D">
              <w:rPr>
                <w:spacing w:val="-5"/>
              </w:rPr>
              <w:t xml:space="preserve">programového období </w:t>
            </w:r>
            <w:r>
              <w:rPr>
                <w:spacing w:val="-5"/>
              </w:rPr>
              <w:t>2014+ šlo především</w:t>
            </w:r>
            <w:r w:rsidRPr="00F0531D">
              <w:rPr>
                <w:spacing w:val="-5"/>
              </w:rPr>
              <w:t xml:space="preserve"> </w:t>
            </w:r>
            <w:r>
              <w:rPr>
                <w:spacing w:val="-5"/>
              </w:rPr>
              <w:t xml:space="preserve">o </w:t>
            </w:r>
            <w:r w:rsidRPr="00F0531D">
              <w:rPr>
                <w:spacing w:val="-5"/>
              </w:rPr>
              <w:t xml:space="preserve">operační program Podnikání, inovace i konkurenceschopnost, Doprava, Životní prostředí. </w:t>
            </w:r>
          </w:p>
        </w:tc>
      </w:tr>
      <w:tr w:rsidR="004A3BE4" w:rsidRPr="007B3A78" w14:paraId="458CCD4A" w14:textId="77777777" w:rsidTr="000A72BC">
        <w:trPr>
          <w:trHeight w:val="170"/>
        </w:trPr>
        <w:tc>
          <w:tcPr>
            <w:tcW w:w="1773" w:type="dxa"/>
            <w:shd w:val="clear" w:color="auto" w:fill="auto"/>
            <w:tcMar>
              <w:left w:w="0" w:type="dxa"/>
            </w:tcMar>
          </w:tcPr>
          <w:p w14:paraId="09681362" w14:textId="77777777" w:rsidR="004A3BE4" w:rsidRDefault="004A3BE4" w:rsidP="000A72BC">
            <w:pPr>
              <w:pStyle w:val="Marginlie"/>
            </w:pPr>
            <w:r>
              <w:t>Potřeba mimořádných transferů i efekt vyššího předfinancování stály za rekordním růstem výdajů SR.</w:t>
            </w:r>
          </w:p>
        </w:tc>
        <w:tc>
          <w:tcPr>
            <w:tcW w:w="217" w:type="dxa"/>
            <w:shd w:val="clear" w:color="auto" w:fill="auto"/>
            <w:tcMar>
              <w:left w:w="0" w:type="dxa"/>
            </w:tcMar>
          </w:tcPr>
          <w:p w14:paraId="78BC4428" w14:textId="77777777" w:rsidR="004A3BE4" w:rsidRDefault="004A3BE4" w:rsidP="000A72BC">
            <w:pPr>
              <w:pStyle w:val="Textpoznpodarou"/>
              <w:jc w:val="both"/>
              <w:rPr>
                <w:spacing w:val="-4"/>
              </w:rPr>
            </w:pPr>
          </w:p>
        </w:tc>
        <w:tc>
          <w:tcPr>
            <w:tcW w:w="7679" w:type="dxa"/>
            <w:shd w:val="clear" w:color="auto" w:fill="auto"/>
            <w:tcMar>
              <w:left w:w="0" w:type="dxa"/>
            </w:tcMar>
          </w:tcPr>
          <w:p w14:paraId="698F9D27" w14:textId="18E98A34" w:rsidR="004A3BE4" w:rsidRPr="008F130B" w:rsidRDefault="008F130B" w:rsidP="000A72BC">
            <w:pPr>
              <w:spacing w:after="220"/>
              <w:rPr>
                <w:color w:val="0D0D0D" w:themeColor="text1" w:themeTint="F2"/>
                <w:spacing w:val="-4"/>
              </w:rPr>
            </w:pPr>
            <w:r w:rsidRPr="008F130B">
              <w:rPr>
                <w:color w:val="0D0D0D" w:themeColor="text1" w:themeTint="F2"/>
                <w:spacing w:val="-5"/>
              </w:rPr>
              <w:t>Celkové výdaje SR</w:t>
            </w:r>
            <w:r w:rsidR="004A3BE4" w:rsidRPr="008F130B">
              <w:rPr>
                <w:color w:val="0D0D0D" w:themeColor="text1" w:themeTint="F2"/>
                <w:spacing w:val="-5"/>
              </w:rPr>
              <w:t xml:space="preserve"> v 1. čtvrtletí 20</w:t>
            </w:r>
            <w:r w:rsidRPr="008F130B">
              <w:rPr>
                <w:color w:val="0D0D0D" w:themeColor="text1" w:themeTint="F2"/>
                <w:spacing w:val="-5"/>
              </w:rPr>
              <w:t>23 meziročně vzrostly</w:t>
            </w:r>
            <w:r w:rsidR="004A3BE4" w:rsidRPr="008F130B">
              <w:rPr>
                <w:color w:val="0D0D0D" w:themeColor="text1" w:themeTint="F2"/>
                <w:spacing w:val="-5"/>
              </w:rPr>
              <w:t xml:space="preserve"> o rekordních 36,9 %</w:t>
            </w:r>
            <w:r w:rsidR="004A3BE4" w:rsidRPr="008F130B">
              <w:rPr>
                <w:rStyle w:val="Znakapoznpodarou"/>
                <w:color w:val="0D0D0D" w:themeColor="text1" w:themeTint="F2"/>
                <w:spacing w:val="-5"/>
              </w:rPr>
              <w:footnoteReference w:id="80"/>
            </w:r>
            <w:r w:rsidR="004A3BE4" w:rsidRPr="008F130B">
              <w:rPr>
                <w:color w:val="0D0D0D" w:themeColor="text1" w:themeTint="F2"/>
                <w:spacing w:val="-5"/>
              </w:rPr>
              <w:t xml:space="preserve"> (+153 </w:t>
            </w:r>
            <w:r>
              <w:rPr>
                <w:color w:val="0D0D0D" w:themeColor="text1" w:themeTint="F2"/>
                <w:spacing w:val="-5"/>
              </w:rPr>
              <w:t xml:space="preserve">mld. </w:t>
            </w:r>
            <w:r w:rsidR="004A3BE4" w:rsidRPr="008F130B">
              <w:rPr>
                <w:color w:val="0D0D0D" w:themeColor="text1" w:themeTint="F2"/>
                <w:spacing w:val="-5"/>
              </w:rPr>
              <w:t>korun).</w:t>
            </w:r>
            <w:r w:rsidRPr="008F130B">
              <w:rPr>
                <w:color w:val="0D0D0D" w:themeColor="text1" w:themeTint="F2"/>
                <w:spacing w:val="-4"/>
              </w:rPr>
              <w:t xml:space="preserve"> Projevila se</w:t>
            </w:r>
            <w:r w:rsidR="004A3BE4" w:rsidRPr="008F130B">
              <w:rPr>
                <w:color w:val="0D0D0D" w:themeColor="text1" w:themeTint="F2"/>
                <w:spacing w:val="-4"/>
              </w:rPr>
              <w:t xml:space="preserve"> jak potřeba mimořádných transferů souvisejících s řešením dopadů pádivé inflace i s ní spojené energetické krize, tak efekt nižší loňské základny, jenž nastal v důsledku hospodaření státu v režimu rozpočtového provizoria</w:t>
            </w:r>
            <w:r w:rsidR="004A3BE4" w:rsidRPr="008F130B">
              <w:rPr>
                <w:rStyle w:val="Znakapoznpodarou"/>
                <w:color w:val="0D0D0D" w:themeColor="text1" w:themeTint="F2"/>
                <w:spacing w:val="-4"/>
              </w:rPr>
              <w:footnoteReference w:id="81"/>
            </w:r>
            <w:r>
              <w:rPr>
                <w:color w:val="0D0D0D" w:themeColor="text1" w:themeTint="F2"/>
                <w:spacing w:val="-4"/>
              </w:rPr>
              <w:t xml:space="preserve"> </w:t>
            </w:r>
            <w:r w:rsidRPr="008F130B">
              <w:rPr>
                <w:color w:val="0D0D0D" w:themeColor="text1" w:themeTint="F2"/>
                <w:spacing w:val="-4"/>
              </w:rPr>
              <w:t>(v 1. čtvrtletí 2022</w:t>
            </w:r>
            <w:r w:rsidR="004A3BE4" w:rsidRPr="008F130B">
              <w:rPr>
                <w:color w:val="0D0D0D" w:themeColor="text1" w:themeTint="F2"/>
                <w:spacing w:val="-4"/>
              </w:rPr>
              <w:t xml:space="preserve"> běžné výdaje meziročně propadly</w:t>
            </w:r>
            <w:r w:rsidRPr="008F130B">
              <w:rPr>
                <w:color w:val="0D0D0D" w:themeColor="text1" w:themeTint="F2"/>
                <w:spacing w:val="-4"/>
              </w:rPr>
              <w:t xml:space="preserve"> skoro o desetinu, investice</w:t>
            </w:r>
            <w:r>
              <w:rPr>
                <w:color w:val="0D0D0D" w:themeColor="text1" w:themeTint="F2"/>
                <w:spacing w:val="-4"/>
              </w:rPr>
              <w:t xml:space="preserve"> pak bezmála</w:t>
            </w:r>
            <w:r w:rsidR="004A3BE4" w:rsidRPr="008F130B">
              <w:rPr>
                <w:color w:val="0D0D0D" w:themeColor="text1" w:themeTint="F2"/>
                <w:spacing w:val="-4"/>
              </w:rPr>
              <w:t xml:space="preserve"> o třetinu). </w:t>
            </w:r>
          </w:p>
        </w:tc>
      </w:tr>
      <w:tr w:rsidR="004A3BE4" w:rsidRPr="007B3A78" w14:paraId="58EEE05C" w14:textId="77777777" w:rsidTr="000A72BC">
        <w:trPr>
          <w:trHeight w:val="170"/>
        </w:trPr>
        <w:tc>
          <w:tcPr>
            <w:tcW w:w="1773" w:type="dxa"/>
            <w:shd w:val="clear" w:color="auto" w:fill="auto"/>
            <w:tcMar>
              <w:left w:w="0" w:type="dxa"/>
            </w:tcMar>
          </w:tcPr>
          <w:p w14:paraId="45AC6DD8" w14:textId="77777777" w:rsidR="004A3BE4" w:rsidRDefault="004A3BE4" w:rsidP="000A72BC">
            <w:pPr>
              <w:pStyle w:val="Marginlie"/>
            </w:pPr>
            <w:r>
              <w:t xml:space="preserve">K růstu běžných výdajů přispěly nejvíce běžné transfery do obecních </w:t>
            </w:r>
            <w:r>
              <w:br/>
              <w:t xml:space="preserve">a krajských rozpočtů. </w:t>
            </w:r>
          </w:p>
          <w:p w14:paraId="02FEC8C5" w14:textId="77777777" w:rsidR="004A3BE4" w:rsidRDefault="004A3BE4" w:rsidP="000A72BC">
            <w:pPr>
              <w:pStyle w:val="Marginlie"/>
            </w:pPr>
          </w:p>
          <w:p w14:paraId="0368E41E" w14:textId="77777777" w:rsidR="004A3BE4" w:rsidRDefault="004A3BE4" w:rsidP="000A72BC">
            <w:pPr>
              <w:pStyle w:val="Marginlie"/>
            </w:pPr>
          </w:p>
          <w:p w14:paraId="6A040F5E" w14:textId="77777777" w:rsidR="004A3BE4" w:rsidRDefault="004A3BE4" w:rsidP="000A72BC">
            <w:pPr>
              <w:pStyle w:val="Marginlie"/>
            </w:pPr>
          </w:p>
          <w:p w14:paraId="38CE6A06" w14:textId="77777777" w:rsidR="004A3BE4" w:rsidRDefault="004A3BE4" w:rsidP="000A72BC">
            <w:pPr>
              <w:pStyle w:val="Marginlie"/>
            </w:pPr>
          </w:p>
          <w:p w14:paraId="61C62D69" w14:textId="77777777" w:rsidR="004A3BE4" w:rsidRDefault="004A3BE4" w:rsidP="000A72BC">
            <w:pPr>
              <w:pStyle w:val="Marginlie"/>
            </w:pPr>
          </w:p>
          <w:p w14:paraId="0AC90F0E" w14:textId="77777777" w:rsidR="004A3BE4" w:rsidRDefault="004A3BE4" w:rsidP="000A72BC">
            <w:pPr>
              <w:pStyle w:val="Marginlie"/>
            </w:pPr>
          </w:p>
          <w:p w14:paraId="5E5353DE" w14:textId="77777777" w:rsidR="004A3BE4" w:rsidRDefault="004A3BE4" w:rsidP="000A72BC">
            <w:pPr>
              <w:pStyle w:val="Marginlie"/>
            </w:pPr>
            <w:r>
              <w:t xml:space="preserve">Významným výdajem byly i kompenzace dodavatelům energií v důsledku </w:t>
            </w:r>
            <w:proofErr w:type="spellStart"/>
            <w:r>
              <w:t>zastropování</w:t>
            </w:r>
            <w:proofErr w:type="spellEnd"/>
            <w:r>
              <w:t xml:space="preserve"> jejich cen.</w:t>
            </w:r>
          </w:p>
        </w:tc>
        <w:tc>
          <w:tcPr>
            <w:tcW w:w="217" w:type="dxa"/>
            <w:shd w:val="clear" w:color="auto" w:fill="auto"/>
            <w:tcMar>
              <w:left w:w="0" w:type="dxa"/>
            </w:tcMar>
          </w:tcPr>
          <w:p w14:paraId="3DC545F0" w14:textId="77777777" w:rsidR="004A3BE4" w:rsidRDefault="004A3BE4" w:rsidP="000A72BC">
            <w:pPr>
              <w:pStyle w:val="Textpoznpodarou"/>
              <w:jc w:val="both"/>
              <w:rPr>
                <w:spacing w:val="-4"/>
              </w:rPr>
            </w:pPr>
          </w:p>
        </w:tc>
        <w:tc>
          <w:tcPr>
            <w:tcW w:w="7679" w:type="dxa"/>
            <w:shd w:val="clear" w:color="auto" w:fill="auto"/>
            <w:tcMar>
              <w:left w:w="0" w:type="dxa"/>
            </w:tcMar>
          </w:tcPr>
          <w:p w14:paraId="5418DD4E" w14:textId="77777777" w:rsidR="004A3BE4" w:rsidRPr="00893F1E" w:rsidRDefault="004A3BE4" w:rsidP="000A72BC">
            <w:pPr>
              <w:spacing w:after="220"/>
              <w:rPr>
                <w:color w:val="0D0D0D" w:themeColor="text1" w:themeTint="F2"/>
                <w:spacing w:val="-5"/>
              </w:rPr>
            </w:pPr>
            <w:r>
              <w:rPr>
                <w:color w:val="0D0D0D" w:themeColor="text1" w:themeTint="F2"/>
                <w:spacing w:val="-4"/>
              </w:rPr>
              <w:t>K meziročnímu růstu celkových běžných výdajů SR (+33,3 %, +133 mld. korun) letos nejvíce přispěly transfery územním rozpočtům (+36,5 mld. korun, oproti 1. čtvrtletí 2021 však „pouze“ +18,2 mld.), primárně kvůli efektu předfinancování v oblasti regionálního školství</w:t>
            </w:r>
            <w:r>
              <w:rPr>
                <w:rStyle w:val="Znakapoznpodarou"/>
                <w:color w:val="0D0D0D" w:themeColor="text1" w:themeTint="F2"/>
                <w:spacing w:val="-4"/>
              </w:rPr>
              <w:footnoteReference w:id="82"/>
            </w:r>
            <w:r>
              <w:rPr>
                <w:color w:val="0D0D0D" w:themeColor="text1" w:themeTint="F2"/>
                <w:spacing w:val="-4"/>
              </w:rPr>
              <w:t xml:space="preserve"> i sociálních služeb, zčásti také vlivem navýšení platových tarifů nepedagogickým pracovníkům</w:t>
            </w:r>
            <w:r>
              <w:rPr>
                <w:rStyle w:val="Znakapoznpodarou"/>
                <w:color w:val="0D0D0D" w:themeColor="text1" w:themeTint="F2"/>
                <w:spacing w:val="-4"/>
              </w:rPr>
              <w:footnoteReference w:id="83"/>
            </w:r>
            <w:r>
              <w:rPr>
                <w:color w:val="0D0D0D" w:themeColor="text1" w:themeTint="F2"/>
                <w:spacing w:val="-4"/>
              </w:rPr>
              <w:t xml:space="preserve"> či kompenzačnímu příspěvku na ubytování uprchlíků z Ukrajiny (+1,9 mld. korun). Vliv předfinancování oproti loňskému provizoriu stál také za citelným růstem transferů příspěvkovým organizacím (+14,4 mld.) směřujícím zejména vysokým školám </w:t>
            </w:r>
            <w:r>
              <w:rPr>
                <w:color w:val="0D0D0D" w:themeColor="text1" w:themeTint="F2"/>
                <w:spacing w:val="-4"/>
              </w:rPr>
              <w:br/>
              <w:t>a veřejným výzkumným organizacím. Podobně vlivy působily na počátku roku u dotací neziskovým organizacím (+2 mld. korun), u nichž větší podpora směřovala např. do oblasti sportu. Více než trojnásobně meziročně narostly transfery podnikatelům (+30,9 mld. korun)</w:t>
            </w:r>
            <w:r>
              <w:rPr>
                <w:rStyle w:val="Znakapoznpodarou"/>
                <w:color w:val="0D0D0D" w:themeColor="text1" w:themeTint="F2"/>
                <w:spacing w:val="-4"/>
              </w:rPr>
              <w:footnoteReference w:id="84"/>
            </w:r>
            <w:r>
              <w:rPr>
                <w:color w:val="0D0D0D" w:themeColor="text1" w:themeTint="F2"/>
                <w:spacing w:val="-4"/>
              </w:rPr>
              <w:t xml:space="preserve">, jež zahrnovaly mimořádné výdaje – zejména v podobě kompenzací za dodávky elektřiny a plynu zákazníkům a ztráty kvůli </w:t>
            </w:r>
            <w:proofErr w:type="spellStart"/>
            <w:r>
              <w:rPr>
                <w:color w:val="0D0D0D" w:themeColor="text1" w:themeTint="F2"/>
                <w:spacing w:val="-4"/>
              </w:rPr>
              <w:t>zastropování</w:t>
            </w:r>
            <w:proofErr w:type="spellEnd"/>
            <w:r>
              <w:rPr>
                <w:color w:val="0D0D0D" w:themeColor="text1" w:themeTint="F2"/>
                <w:spacing w:val="-4"/>
              </w:rPr>
              <w:t xml:space="preserve"> jejich cen (+23,9 mld. korun), dále pomoc firmám v energeticky náročných odvětvích či dotace provozovatelům přenosové soustavy. Pouze okrajový vliv měly naopak úspory v oblasti aktivní politiky zaměstnanosti či nižší zálohové dotace na obnovitelné zdroje energie. Další klíčový faktor fiskální expanze spočíval v oblasti sociálních dávek. Ty meziročně posílily skoro o pětinu, resp. 34,5 mld. korun a na celkových výdajích SR se podílely 38,5 %.</w:t>
            </w:r>
          </w:p>
        </w:tc>
      </w:tr>
      <w:tr w:rsidR="004A3BE4" w:rsidRPr="007B3A78" w14:paraId="0A10D087" w14:textId="77777777" w:rsidTr="000A72BC">
        <w:trPr>
          <w:trHeight w:val="170"/>
        </w:trPr>
        <w:tc>
          <w:tcPr>
            <w:tcW w:w="1773" w:type="dxa"/>
            <w:shd w:val="clear" w:color="auto" w:fill="auto"/>
            <w:tcMar>
              <w:left w:w="0" w:type="dxa"/>
            </w:tcMar>
          </w:tcPr>
          <w:p w14:paraId="5F222042" w14:textId="77777777" w:rsidR="004A3BE4" w:rsidRDefault="004A3BE4" w:rsidP="000A72BC">
            <w:pPr>
              <w:pStyle w:val="Marginlie"/>
            </w:pPr>
            <w:r>
              <w:t>Za rekordním růstem výdajů na důchody stály loňské mimořádné</w:t>
            </w:r>
            <w:r>
              <w:br/>
              <w:t xml:space="preserve"> i letošní řádná valorizace.</w:t>
            </w:r>
          </w:p>
          <w:p w14:paraId="3B3C60F7" w14:textId="77777777" w:rsidR="004A3BE4" w:rsidRDefault="004A3BE4" w:rsidP="000A72BC">
            <w:pPr>
              <w:pStyle w:val="Marginlie"/>
            </w:pPr>
          </w:p>
          <w:p w14:paraId="1660A72B" w14:textId="77777777" w:rsidR="004A3BE4" w:rsidRDefault="004A3BE4" w:rsidP="000A72BC">
            <w:pPr>
              <w:pStyle w:val="Marginlie"/>
            </w:pPr>
          </w:p>
          <w:p w14:paraId="14F9E262" w14:textId="77777777" w:rsidR="004A3BE4" w:rsidRDefault="004A3BE4" w:rsidP="000A72BC">
            <w:pPr>
              <w:pStyle w:val="Marginlie"/>
            </w:pPr>
          </w:p>
          <w:p w14:paraId="516E8133" w14:textId="77777777" w:rsidR="004A3BE4" w:rsidRDefault="004A3BE4" w:rsidP="000A72BC">
            <w:pPr>
              <w:pStyle w:val="Marginlie"/>
            </w:pPr>
          </w:p>
          <w:p w14:paraId="175F52D4" w14:textId="77777777" w:rsidR="004A3BE4" w:rsidRDefault="004A3BE4" w:rsidP="000A72BC">
            <w:pPr>
              <w:pStyle w:val="Marginlie"/>
            </w:pPr>
            <w:r>
              <w:lastRenderedPageBreak/>
              <w:t>Schodek důchodového účtu se meziročně téměř trojnásobně prohloubil.</w:t>
            </w:r>
          </w:p>
          <w:p w14:paraId="3EF94590" w14:textId="77777777" w:rsidR="004A3BE4" w:rsidRDefault="004A3BE4" w:rsidP="000A72BC">
            <w:pPr>
              <w:pStyle w:val="Marginlie"/>
            </w:pPr>
          </w:p>
        </w:tc>
        <w:tc>
          <w:tcPr>
            <w:tcW w:w="217" w:type="dxa"/>
            <w:shd w:val="clear" w:color="auto" w:fill="auto"/>
            <w:tcMar>
              <w:left w:w="0" w:type="dxa"/>
            </w:tcMar>
          </w:tcPr>
          <w:p w14:paraId="7BEE8824" w14:textId="77777777" w:rsidR="004A3BE4" w:rsidRDefault="004A3BE4" w:rsidP="000A72BC">
            <w:pPr>
              <w:pStyle w:val="Textpoznpodarou"/>
              <w:jc w:val="both"/>
              <w:rPr>
                <w:spacing w:val="-4"/>
              </w:rPr>
            </w:pPr>
          </w:p>
        </w:tc>
        <w:tc>
          <w:tcPr>
            <w:tcW w:w="7679" w:type="dxa"/>
            <w:shd w:val="clear" w:color="auto" w:fill="auto"/>
            <w:tcMar>
              <w:left w:w="0" w:type="dxa"/>
            </w:tcMar>
          </w:tcPr>
          <w:p w14:paraId="08E9BD53" w14:textId="77777777" w:rsidR="004A3BE4" w:rsidRDefault="004A3BE4" w:rsidP="000A72BC">
            <w:pPr>
              <w:spacing w:after="200"/>
              <w:rPr>
                <w:color w:val="0D0D0D" w:themeColor="text1" w:themeTint="F2"/>
                <w:spacing w:val="-4"/>
              </w:rPr>
            </w:pPr>
            <w:r>
              <w:rPr>
                <w:color w:val="0D0D0D" w:themeColor="text1" w:themeTint="F2"/>
                <w:spacing w:val="-4"/>
              </w:rPr>
              <w:t>Ohnisko růstu sociálních dávek představovaly tradičně výdaje na důchody. Ty se v 1. čtvrtletí meziročně zvýšily o rekordních 20,9 % (na 171,6 mld. korun)</w:t>
            </w:r>
            <w:r w:rsidRPr="00862F80">
              <w:rPr>
                <w:rStyle w:val="Znakapoznpodarou"/>
                <w:spacing w:val="-4"/>
                <w:szCs w:val="20"/>
              </w:rPr>
              <w:footnoteReference w:id="85"/>
            </w:r>
            <w:r>
              <w:rPr>
                <w:color w:val="0D0D0D" w:themeColor="text1" w:themeTint="F2"/>
                <w:spacing w:val="-4"/>
              </w:rPr>
              <w:t xml:space="preserve">. V jejich výši se kromě dvojí loňské mimořádné valorizace (v </w:t>
            </w:r>
            <w:r w:rsidRPr="00811A34">
              <w:rPr>
                <w:color w:val="0D0D0D" w:themeColor="text1" w:themeTint="F2"/>
                <w:spacing w:val="-4"/>
              </w:rPr>
              <w:t>červnu o 6,3 % a v září pak o</w:t>
            </w:r>
            <w:r>
              <w:rPr>
                <w:color w:val="0D0D0D" w:themeColor="text1" w:themeTint="F2"/>
                <w:spacing w:val="-4"/>
              </w:rPr>
              <w:t xml:space="preserve"> rovná 4 %) promítá i řádné zákonné navýšení od ledna 2023 (+4,7 %) a dále také nově zavedený pravidelný příspěvek za každé vychované dítě (500 korun). Počet příjemců důchodů navzdory vyššímu zájmu o předčasné penze klesal, byť mírnějším tempem než v předchozích dvou letech. </w:t>
            </w:r>
            <w:r>
              <w:rPr>
                <w:spacing w:val="-6"/>
              </w:rPr>
              <w:t>Ačkoliv stále d</w:t>
            </w:r>
            <w:r w:rsidRPr="00791977">
              <w:rPr>
                <w:spacing w:val="-6"/>
              </w:rPr>
              <w:t>obr</w:t>
            </w:r>
            <w:r>
              <w:rPr>
                <w:spacing w:val="-6"/>
              </w:rPr>
              <w:t>á kondice tuzemského trhu práce podporovala</w:t>
            </w:r>
            <w:r>
              <w:rPr>
                <w:spacing w:val="-4"/>
              </w:rPr>
              <w:t xml:space="preserve"> </w:t>
            </w:r>
            <w:r>
              <w:rPr>
                <w:spacing w:val="-4"/>
              </w:rPr>
              <w:lastRenderedPageBreak/>
              <w:t>pokračující růst</w:t>
            </w:r>
            <w:r w:rsidRPr="00862F80">
              <w:rPr>
                <w:spacing w:val="-4"/>
              </w:rPr>
              <w:t xml:space="preserve"> příjmů </w:t>
            </w:r>
            <w:r>
              <w:rPr>
                <w:rFonts w:cs="Arial"/>
                <w:color w:val="0D0D0D" w:themeColor="text1" w:themeTint="F2"/>
                <w:spacing w:val="-4"/>
              </w:rPr>
              <w:t>důchodového pojištění, jeho meziroční tempo bylo letos oproti výdajům na důchody pouze poloviční. Saldo</w:t>
            </w:r>
            <w:r w:rsidRPr="00862F80">
              <w:rPr>
                <w:rFonts w:cs="Arial"/>
                <w:color w:val="0D0D0D" w:themeColor="text1" w:themeTint="F2"/>
                <w:spacing w:val="-4"/>
              </w:rPr>
              <w:t xml:space="preserve"> </w:t>
            </w:r>
            <w:r w:rsidRPr="001C3185">
              <w:rPr>
                <w:rFonts w:cs="Arial"/>
                <w:color w:val="0D0D0D" w:themeColor="text1" w:themeTint="F2"/>
                <w:spacing w:val="-2"/>
              </w:rPr>
              <w:t>důchodového účtu</w:t>
            </w:r>
            <w:r w:rsidRPr="001C3185">
              <w:rPr>
                <w:rStyle w:val="Znakapoznpodarou"/>
                <w:color w:val="0D0D0D" w:themeColor="text1" w:themeTint="F2"/>
                <w:spacing w:val="-2"/>
              </w:rPr>
              <w:footnoteReference w:id="86"/>
            </w:r>
            <w:r w:rsidRPr="001C3185">
              <w:rPr>
                <w:rFonts w:cs="Arial"/>
                <w:color w:val="0D0D0D" w:themeColor="text1" w:themeTint="F2"/>
                <w:spacing w:val="-2"/>
              </w:rPr>
              <w:t xml:space="preserve"> se proto propadlo do výrazného deficitu (</w:t>
            </w:r>
            <w:r>
              <w:rPr>
                <w:rFonts w:cs="Arial"/>
                <w:color w:val="0D0D0D" w:themeColor="text1" w:themeTint="F2"/>
                <w:spacing w:val="-2"/>
              </w:rPr>
              <w:t>−</w:t>
            </w:r>
            <w:r w:rsidRPr="001C3185">
              <w:rPr>
                <w:rFonts w:cs="Arial"/>
                <w:color w:val="0D0D0D" w:themeColor="text1" w:themeTint="F2"/>
                <w:spacing w:val="-2"/>
              </w:rPr>
              <w:t xml:space="preserve">25 mld. korun, o rok dříve </w:t>
            </w:r>
            <w:r>
              <w:rPr>
                <w:rFonts w:cs="Arial"/>
                <w:color w:val="0D0D0D" w:themeColor="text1" w:themeTint="F2"/>
                <w:spacing w:val="-2"/>
              </w:rPr>
              <w:t>−</w:t>
            </w:r>
            <w:r w:rsidRPr="001C3185">
              <w:rPr>
                <w:rFonts w:cs="Arial"/>
                <w:color w:val="0D0D0D" w:themeColor="text1" w:themeTint="F2"/>
                <w:spacing w:val="-2"/>
              </w:rPr>
              <w:t>9 mld.),</w:t>
            </w:r>
            <w:r>
              <w:rPr>
                <w:rFonts w:cs="Arial"/>
                <w:color w:val="0D0D0D" w:themeColor="text1" w:themeTint="F2"/>
                <w:spacing w:val="-4"/>
              </w:rPr>
              <w:t xml:space="preserve"> což představovalo skoro dvakrát hlubší schodek než v donedávna rekordním saldu z počátku roku 2012.</w:t>
            </w:r>
          </w:p>
        </w:tc>
      </w:tr>
      <w:tr w:rsidR="004A3BE4" w:rsidRPr="007B3A78" w14:paraId="0B6DED14" w14:textId="77777777" w:rsidTr="000A72BC">
        <w:trPr>
          <w:trHeight w:val="170"/>
        </w:trPr>
        <w:tc>
          <w:tcPr>
            <w:tcW w:w="1773" w:type="dxa"/>
            <w:shd w:val="clear" w:color="auto" w:fill="auto"/>
            <w:tcMar>
              <w:left w:w="0" w:type="dxa"/>
            </w:tcMar>
          </w:tcPr>
          <w:p w14:paraId="421C876F" w14:textId="77777777" w:rsidR="004A3BE4" w:rsidRDefault="004A3BE4" w:rsidP="000A72BC">
            <w:pPr>
              <w:pStyle w:val="Marginlie"/>
              <w:rPr>
                <w:color w:val="0D0D0D" w:themeColor="text1" w:themeTint="F2"/>
              </w:rPr>
            </w:pPr>
            <w:r>
              <w:rPr>
                <w:color w:val="0D0D0D" w:themeColor="text1" w:themeTint="F2"/>
              </w:rPr>
              <w:lastRenderedPageBreak/>
              <w:t xml:space="preserve">Výdaje na státní sociální podporu navyšovaly příspěvky na bydlení </w:t>
            </w:r>
            <w:r>
              <w:rPr>
                <w:color w:val="0D0D0D" w:themeColor="text1" w:themeTint="F2"/>
              </w:rPr>
              <w:br/>
              <w:t>i přídavky na dítě.</w:t>
            </w:r>
          </w:p>
          <w:p w14:paraId="5B849699" w14:textId="77777777" w:rsidR="004A3BE4" w:rsidRDefault="004A3BE4" w:rsidP="000A72BC">
            <w:pPr>
              <w:pStyle w:val="Marginlie"/>
              <w:rPr>
                <w:color w:val="0D0D0D" w:themeColor="text1" w:themeTint="F2"/>
              </w:rPr>
            </w:pPr>
          </w:p>
          <w:p w14:paraId="08924D4B" w14:textId="77777777" w:rsidR="004A3BE4" w:rsidRDefault="004A3BE4" w:rsidP="000A72BC">
            <w:pPr>
              <w:pStyle w:val="Marginlie"/>
              <w:rPr>
                <w:color w:val="0D0D0D" w:themeColor="text1" w:themeTint="F2"/>
              </w:rPr>
            </w:pPr>
          </w:p>
          <w:p w14:paraId="6FABE453" w14:textId="77777777" w:rsidR="004A3BE4" w:rsidRDefault="004A3BE4" w:rsidP="000A72BC">
            <w:pPr>
              <w:pStyle w:val="Marginlie"/>
              <w:rPr>
                <w:color w:val="0D0D0D" w:themeColor="text1" w:themeTint="F2"/>
              </w:rPr>
            </w:pPr>
          </w:p>
          <w:p w14:paraId="30633931" w14:textId="77777777" w:rsidR="004A3BE4" w:rsidRDefault="004A3BE4" w:rsidP="000A72BC">
            <w:pPr>
              <w:pStyle w:val="Marginlie"/>
              <w:rPr>
                <w:color w:val="0D0D0D" w:themeColor="text1" w:themeTint="F2"/>
              </w:rPr>
            </w:pPr>
          </w:p>
          <w:p w14:paraId="6995DC26" w14:textId="77777777" w:rsidR="004A3BE4" w:rsidRDefault="004A3BE4" w:rsidP="000A72BC">
            <w:pPr>
              <w:pStyle w:val="Marginlie"/>
              <w:rPr>
                <w:color w:val="0D0D0D" w:themeColor="text1" w:themeTint="F2"/>
              </w:rPr>
            </w:pPr>
            <w:r>
              <w:rPr>
                <w:color w:val="0D0D0D" w:themeColor="text1" w:themeTint="F2"/>
              </w:rPr>
              <w:t xml:space="preserve">Vyšší dávky v hmotné nouzi souvisely s podporou uprchlíků </w:t>
            </w:r>
            <w:r>
              <w:rPr>
                <w:color w:val="0D0D0D" w:themeColor="text1" w:themeTint="F2"/>
              </w:rPr>
              <w:br/>
              <w:t>i s vyšším čerpáním příspěvků na živobytí.</w:t>
            </w:r>
          </w:p>
          <w:p w14:paraId="352B855B" w14:textId="77777777" w:rsidR="004A3BE4" w:rsidRDefault="004A3BE4" w:rsidP="000A72BC">
            <w:pPr>
              <w:pStyle w:val="Marginlie"/>
              <w:rPr>
                <w:color w:val="0D0D0D" w:themeColor="text1" w:themeTint="F2"/>
              </w:rPr>
            </w:pPr>
          </w:p>
          <w:p w14:paraId="61A7CEF2" w14:textId="77777777" w:rsidR="004A3BE4" w:rsidRDefault="004A3BE4" w:rsidP="000A72BC">
            <w:pPr>
              <w:pStyle w:val="Marginlie"/>
              <w:rPr>
                <w:color w:val="0D0D0D" w:themeColor="text1" w:themeTint="F2"/>
              </w:rPr>
            </w:pPr>
          </w:p>
          <w:p w14:paraId="0A0BCEEF" w14:textId="7BFD9BE6" w:rsidR="004A3BE4" w:rsidRDefault="004A3BE4" w:rsidP="000A72BC">
            <w:pPr>
              <w:pStyle w:val="Marginlie"/>
              <w:rPr>
                <w:color w:val="0D0D0D" w:themeColor="text1" w:themeTint="F2"/>
              </w:rPr>
            </w:pPr>
          </w:p>
          <w:p w14:paraId="020E5403" w14:textId="77777777" w:rsidR="004A3BE4" w:rsidRPr="00007EEA" w:rsidRDefault="004A3BE4" w:rsidP="000A72BC">
            <w:pPr>
              <w:pStyle w:val="Marginlie"/>
              <w:rPr>
                <w:color w:val="0D0D0D" w:themeColor="text1" w:themeTint="F2"/>
              </w:rPr>
            </w:pPr>
            <w:r>
              <w:rPr>
                <w:color w:val="0D0D0D" w:themeColor="text1" w:themeTint="F2"/>
              </w:rPr>
              <w:t xml:space="preserve">Růst výdajů na dávky nemocenského pojištění se zastavil. Výdaje však stále převyšovaly příjmy z pojistného. </w:t>
            </w:r>
          </w:p>
        </w:tc>
        <w:tc>
          <w:tcPr>
            <w:tcW w:w="217" w:type="dxa"/>
            <w:shd w:val="clear" w:color="auto" w:fill="auto"/>
            <w:tcMar>
              <w:left w:w="0" w:type="dxa"/>
            </w:tcMar>
          </w:tcPr>
          <w:p w14:paraId="7AB99881" w14:textId="77777777" w:rsidR="004A3BE4" w:rsidRPr="00007EEA" w:rsidRDefault="004A3BE4" w:rsidP="000A72BC">
            <w:pPr>
              <w:pStyle w:val="Textpoznpodarou"/>
              <w:jc w:val="both"/>
              <w:rPr>
                <w:color w:val="0D0D0D" w:themeColor="text1" w:themeTint="F2"/>
                <w:spacing w:val="-4"/>
              </w:rPr>
            </w:pPr>
          </w:p>
        </w:tc>
        <w:tc>
          <w:tcPr>
            <w:tcW w:w="7679" w:type="dxa"/>
            <w:shd w:val="clear" w:color="auto" w:fill="auto"/>
            <w:tcMar>
              <w:left w:w="0" w:type="dxa"/>
            </w:tcMar>
          </w:tcPr>
          <w:p w14:paraId="3D1C8D85" w14:textId="765D780F" w:rsidR="004A3BE4" w:rsidRPr="008F130B" w:rsidRDefault="004A3BE4" w:rsidP="000A72BC">
            <w:pPr>
              <w:spacing w:after="200"/>
              <w:rPr>
                <w:color w:val="0D0D0D" w:themeColor="text1" w:themeTint="F2"/>
                <w:spacing w:val="-4"/>
              </w:rPr>
            </w:pPr>
            <w:r w:rsidRPr="008F130B">
              <w:rPr>
                <w:color w:val="0D0D0D" w:themeColor="text1" w:themeTint="F2"/>
                <w:spacing w:val="-4"/>
              </w:rPr>
              <w:t xml:space="preserve">Svižný růst zaznamenaly letos také </w:t>
            </w:r>
            <w:r w:rsidRPr="008F130B">
              <w:rPr>
                <w:rFonts w:cs="Arial"/>
                <w:color w:val="0D0D0D" w:themeColor="text1" w:themeTint="F2"/>
                <w:spacing w:val="-4"/>
              </w:rPr>
              <w:t xml:space="preserve">i nedůchodové sociální dávky </w:t>
            </w:r>
            <w:r w:rsidR="008F130B" w:rsidRPr="008F130B">
              <w:rPr>
                <w:rFonts w:cs="Arial"/>
                <w:color w:val="0D0D0D" w:themeColor="text1" w:themeTint="F2"/>
                <w:spacing w:val="-4"/>
              </w:rPr>
              <w:t xml:space="preserve">(meziročně +11,3 %). </w:t>
            </w:r>
            <w:r w:rsidR="008F130B" w:rsidRPr="008F130B">
              <w:rPr>
                <w:rFonts w:cs="Arial"/>
                <w:color w:val="0D0D0D" w:themeColor="text1" w:themeTint="F2"/>
                <w:spacing w:val="-4"/>
              </w:rPr>
              <w:br/>
              <w:t>Z</w:t>
            </w:r>
            <w:r w:rsidRPr="008F130B">
              <w:rPr>
                <w:rFonts w:cs="Arial"/>
                <w:color w:val="0D0D0D" w:themeColor="text1" w:themeTint="F2"/>
                <w:spacing w:val="-4"/>
              </w:rPr>
              <w:t xml:space="preserve">e SR na ně </w:t>
            </w:r>
            <w:r w:rsidRPr="008F130B">
              <w:rPr>
                <w:color w:val="0D0D0D" w:themeColor="text1" w:themeTint="F2"/>
                <w:spacing w:val="-4"/>
              </w:rPr>
              <w:t xml:space="preserve">v 1. čtvrtletí putovalo 47,3 mld. korun. Za jejich posílením stály zejména výdaje na státní sociální podporu (SSP, +2,7 mld. korun), u nichž došlo k výraznému zvýšení objemu vyplacených příspěvků na bydlení (v důsledku vysokých cen energií a </w:t>
            </w:r>
            <w:r w:rsidRPr="008F130B">
              <w:rPr>
                <w:spacing w:val="-4"/>
              </w:rPr>
              <w:t>zvýšení nákladů uznatelných pro výplatu) a přídavků na dítě (vlivem jejich plošného navýšení i nárůstu životního minima). Opačně působil pokles čerpání u váhově dominantní položky SSP rodičovských příspěvků (</w:t>
            </w:r>
            <w:r w:rsidRPr="008F130B">
              <w:rPr>
                <w:color w:val="0D0D0D" w:themeColor="text1" w:themeTint="F2"/>
                <w:spacing w:val="-4"/>
              </w:rPr>
              <w:t>−5,3 %</w:t>
            </w:r>
            <w:r w:rsidRPr="008F130B">
              <w:rPr>
                <w:spacing w:val="-4"/>
              </w:rPr>
              <w:t xml:space="preserve">), k němuž došlo druhým rokem v řadě. Téměř dvojnásobně posílily meziročně výdaje na dávky v hmotné nouzi (+1,6 mld. korun), v drtivé většině vlivem výplaty humanitární dávky </w:t>
            </w:r>
            <w:r w:rsidRPr="008F130B">
              <w:rPr>
                <w:rFonts w:cs="Arial"/>
                <w:color w:val="0D0D0D" w:themeColor="text1" w:themeTint="F2"/>
                <w:spacing w:val="-4"/>
              </w:rPr>
              <w:t>uprchlíkům z</w:t>
            </w:r>
            <w:r w:rsidR="008F130B" w:rsidRPr="008F130B">
              <w:rPr>
                <w:rFonts w:cs="Arial"/>
                <w:color w:val="0D0D0D" w:themeColor="text1" w:themeTint="F2"/>
                <w:spacing w:val="-4"/>
              </w:rPr>
              <w:t> </w:t>
            </w:r>
            <w:r w:rsidRPr="008F130B">
              <w:rPr>
                <w:rFonts w:cs="Arial"/>
                <w:color w:val="0D0D0D" w:themeColor="text1" w:themeTint="F2"/>
                <w:spacing w:val="-4"/>
              </w:rPr>
              <w:t>Ukrajiny</w:t>
            </w:r>
            <w:r w:rsidR="008F130B" w:rsidRPr="008F130B">
              <w:rPr>
                <w:rFonts w:cs="Arial"/>
                <w:color w:val="0D0D0D" w:themeColor="text1" w:themeTint="F2"/>
                <w:spacing w:val="-4"/>
              </w:rPr>
              <w:t>. V</w:t>
            </w:r>
            <w:r w:rsidRPr="008F130B">
              <w:rPr>
                <w:rFonts w:cs="Arial"/>
                <w:color w:val="0D0D0D" w:themeColor="text1" w:themeTint="F2"/>
                <w:spacing w:val="-4"/>
              </w:rPr>
              <w:t>ýznamně ale narostly i příspěvky na živobytí (+41 %), jež pomáhají jednotlivcům či rodinám při nedostatečném příjmu. Podobným tempem se navýšily také dávky pro zdravotně postižené, především vlivem vyšších příspěvků na mobilitu. Po loňském poklesu se letos v 1. čtvrtletí objem vyplacených podpor v nezaměstnanosti zvýšil (+</w:t>
            </w:r>
            <w:r w:rsidR="008F130B">
              <w:rPr>
                <w:rFonts w:cs="Arial"/>
                <w:color w:val="0D0D0D" w:themeColor="text1" w:themeTint="F2"/>
                <w:spacing w:val="-4"/>
              </w:rPr>
              <w:t>8 % meziročně), což odpovídá mírnému růstu</w:t>
            </w:r>
            <w:r w:rsidRPr="008F130B">
              <w:rPr>
                <w:rFonts w:cs="Arial"/>
                <w:color w:val="0D0D0D" w:themeColor="text1" w:themeTint="F2"/>
                <w:spacing w:val="-4"/>
              </w:rPr>
              <w:t xml:space="preserve"> počtu registrovaných uchazečů o práci</w:t>
            </w:r>
            <w:r w:rsidRPr="008F130B">
              <w:rPr>
                <w:rStyle w:val="Znakapoznpodarou"/>
                <w:color w:val="0D0D0D" w:themeColor="text1" w:themeTint="F2"/>
                <w:spacing w:val="-4"/>
              </w:rPr>
              <w:footnoteReference w:id="87"/>
            </w:r>
            <w:r w:rsidRPr="008F130B">
              <w:rPr>
                <w:rFonts w:cs="Arial"/>
                <w:color w:val="0D0D0D" w:themeColor="text1" w:themeTint="F2"/>
                <w:spacing w:val="-4"/>
              </w:rPr>
              <w:t xml:space="preserve">. Výdaje na </w:t>
            </w:r>
            <w:r w:rsidRPr="008F130B">
              <w:rPr>
                <w:spacing w:val="-4"/>
              </w:rPr>
              <w:t>dávky nemocenského pojištění se díky zlepšení epidemické situace sice meziročně snížily (−5,5 %),</w:t>
            </w:r>
            <w:r w:rsidR="008F130B">
              <w:rPr>
                <w:spacing w:val="-4"/>
              </w:rPr>
              <w:t xml:space="preserve"> úroveň z 1. čtvrtletí 2019 ale</w:t>
            </w:r>
            <w:r w:rsidRPr="008F130B">
              <w:rPr>
                <w:spacing w:val="-4"/>
              </w:rPr>
              <w:t xml:space="preserve"> p</w:t>
            </w:r>
            <w:r w:rsidR="008F130B">
              <w:rPr>
                <w:spacing w:val="-4"/>
              </w:rPr>
              <w:t xml:space="preserve">ředčily o více než čtvrtinu </w:t>
            </w:r>
            <w:r w:rsidRPr="008F130B">
              <w:rPr>
                <w:spacing w:val="-4"/>
              </w:rPr>
              <w:t xml:space="preserve">a představovaly </w:t>
            </w:r>
            <w:r w:rsidR="008F130B">
              <w:rPr>
                <w:spacing w:val="-4"/>
              </w:rPr>
              <w:t xml:space="preserve">tak </w:t>
            </w:r>
            <w:r w:rsidRPr="008F130B">
              <w:rPr>
                <w:spacing w:val="-4"/>
              </w:rPr>
              <w:t>pro SR nezanedbateln</w:t>
            </w:r>
            <w:r w:rsidR="008F130B">
              <w:rPr>
                <w:spacing w:val="-4"/>
              </w:rPr>
              <w:t>ý výdaj (12,6</w:t>
            </w:r>
            <w:r w:rsidR="008F130B" w:rsidRPr="008F130B">
              <w:rPr>
                <w:rFonts w:cs="Arial"/>
                <w:color w:val="0D0D0D" w:themeColor="text1" w:themeTint="F2"/>
                <w:spacing w:val="-4"/>
              </w:rPr>
              <w:t> </w:t>
            </w:r>
            <w:r w:rsidRPr="008F130B">
              <w:rPr>
                <w:spacing w:val="-4"/>
              </w:rPr>
              <w:t>mld. korun). I přes svižný růst výběru pojistného tyto dávky stále převyšovaly příjmy z pojistného (o 2 mld. korun, v 1. čtvrtletí 2022 pak o 4 mld.).</w:t>
            </w:r>
          </w:p>
        </w:tc>
      </w:tr>
      <w:tr w:rsidR="004A3BE4" w:rsidRPr="007B3A78" w14:paraId="2CDAACC4" w14:textId="77777777" w:rsidTr="000A72BC">
        <w:trPr>
          <w:trHeight w:val="170"/>
        </w:trPr>
        <w:tc>
          <w:tcPr>
            <w:tcW w:w="1773" w:type="dxa"/>
            <w:shd w:val="clear" w:color="auto" w:fill="auto"/>
            <w:tcMar>
              <w:left w:w="0" w:type="dxa"/>
            </w:tcMar>
          </w:tcPr>
          <w:p w14:paraId="132CCFDE" w14:textId="77777777" w:rsidR="004A3BE4" w:rsidRDefault="004A3BE4" w:rsidP="000A72BC">
            <w:pPr>
              <w:pStyle w:val="Marginlie"/>
              <w:rPr>
                <w:color w:val="0D0D0D" w:themeColor="text1" w:themeTint="F2"/>
              </w:rPr>
            </w:pPr>
            <w:r>
              <w:rPr>
                <w:color w:val="0D0D0D" w:themeColor="text1" w:themeTint="F2"/>
              </w:rPr>
              <w:t>Obsluhu státního dluhu výrazně zatížily plánované výplaty úroků z protiinflačních dluhopisů.</w:t>
            </w:r>
          </w:p>
          <w:p w14:paraId="392F2295" w14:textId="77777777" w:rsidR="004A3BE4" w:rsidRDefault="004A3BE4" w:rsidP="000A72BC">
            <w:pPr>
              <w:pStyle w:val="Marginlie"/>
              <w:rPr>
                <w:color w:val="0D0D0D" w:themeColor="text1" w:themeTint="F2"/>
              </w:rPr>
            </w:pPr>
          </w:p>
          <w:p w14:paraId="604E8B0A" w14:textId="77777777" w:rsidR="004A3BE4" w:rsidRDefault="004A3BE4" w:rsidP="000A72BC">
            <w:pPr>
              <w:pStyle w:val="Marginlie"/>
              <w:rPr>
                <w:color w:val="0D0D0D" w:themeColor="text1" w:themeTint="F2"/>
              </w:rPr>
            </w:pPr>
          </w:p>
          <w:p w14:paraId="4038E177" w14:textId="77777777" w:rsidR="004A3BE4" w:rsidRDefault="004A3BE4" w:rsidP="000A72BC">
            <w:pPr>
              <w:pStyle w:val="Marginlie"/>
              <w:rPr>
                <w:color w:val="0D0D0D" w:themeColor="text1" w:themeTint="F2"/>
              </w:rPr>
            </w:pPr>
          </w:p>
          <w:p w14:paraId="612E5C1C" w14:textId="77777777" w:rsidR="004A3BE4" w:rsidRPr="003202BC" w:rsidRDefault="004A3BE4" w:rsidP="000A72BC">
            <w:pPr>
              <w:pStyle w:val="Marginlie"/>
              <w:rPr>
                <w:color w:val="0D0D0D" w:themeColor="text1" w:themeTint="F2"/>
              </w:rPr>
            </w:pPr>
            <w:r>
              <w:rPr>
                <w:color w:val="0D0D0D" w:themeColor="text1" w:themeTint="F2"/>
              </w:rPr>
              <w:t>Po zmrazení v období pandemie vzrostly výdaje na platy v organizačních složkách státu.</w:t>
            </w:r>
          </w:p>
        </w:tc>
        <w:tc>
          <w:tcPr>
            <w:tcW w:w="217" w:type="dxa"/>
            <w:shd w:val="clear" w:color="auto" w:fill="auto"/>
            <w:tcMar>
              <w:left w:w="0" w:type="dxa"/>
            </w:tcMar>
          </w:tcPr>
          <w:p w14:paraId="4A907BC2" w14:textId="77777777" w:rsidR="004A3BE4" w:rsidRPr="003202BC" w:rsidRDefault="004A3BE4" w:rsidP="000A72BC">
            <w:pPr>
              <w:pStyle w:val="Textpoznpodarou"/>
              <w:jc w:val="both"/>
              <w:rPr>
                <w:color w:val="0D0D0D" w:themeColor="text1" w:themeTint="F2"/>
                <w:spacing w:val="-4"/>
              </w:rPr>
            </w:pPr>
          </w:p>
        </w:tc>
        <w:tc>
          <w:tcPr>
            <w:tcW w:w="7679" w:type="dxa"/>
            <w:shd w:val="clear" w:color="auto" w:fill="auto"/>
            <w:tcMar>
              <w:left w:w="0" w:type="dxa"/>
            </w:tcMar>
          </w:tcPr>
          <w:p w14:paraId="23E8964C" w14:textId="77777777" w:rsidR="004A3BE4" w:rsidRPr="003202BC" w:rsidRDefault="004A3BE4" w:rsidP="000A72BC">
            <w:pPr>
              <w:spacing w:after="200"/>
              <w:rPr>
                <w:color w:val="0D0D0D" w:themeColor="text1" w:themeTint="F2"/>
                <w:spacing w:val="-4"/>
              </w:rPr>
            </w:pPr>
            <w:r w:rsidRPr="00F03440">
              <w:rPr>
                <w:color w:val="0D0D0D" w:themeColor="text1" w:themeTint="F2"/>
                <w:spacing w:val="-4"/>
              </w:rPr>
              <w:t>Výdaje na obsluhu státního dluhu</w:t>
            </w:r>
            <w:r>
              <w:rPr>
                <w:rStyle w:val="Znakapoznpodarou"/>
                <w:spacing w:val="-4"/>
              </w:rPr>
              <w:footnoteReference w:id="88"/>
            </w:r>
            <w:r>
              <w:rPr>
                <w:color w:val="0D0D0D" w:themeColor="text1" w:themeTint="F2"/>
                <w:spacing w:val="-4"/>
              </w:rPr>
              <w:t xml:space="preserve"> se letos oproti 1. čtvrtletí 2022 více než zdvojnásobily a činily rekordních 16,4 mld. korun. Projevila se zde zejména plánovaná výplata úroků ze státních protiinflačních dluhopisů. Po dvou letech stagnace vzrostly letos výdaje na platy v organizačních složkách států (+11,6 %), což souviselo s lednovým navýšením platových tarifů příslušníků bezpečnostních sborů a vojáků a loňským navýšením u zaměstnanců ve státní službě (k němuž došlo od září). Po zmrazení během pandemie se citelně zvýšily </w:t>
            </w:r>
            <w:r>
              <w:rPr>
                <w:color w:val="0D0D0D" w:themeColor="text1" w:themeTint="F2"/>
                <w:spacing w:val="-4"/>
              </w:rPr>
              <w:br/>
              <w:t xml:space="preserve">i výdaje na platy ústavních činitelů. </w:t>
            </w:r>
            <w:r>
              <w:rPr>
                <w:spacing w:val="-4"/>
              </w:rPr>
              <w:t xml:space="preserve">O necelou desetinu (na 15,1 mld. korun) posílily </w:t>
            </w:r>
            <w:r>
              <w:rPr>
                <w:spacing w:val="-4"/>
              </w:rPr>
              <w:br/>
              <w:t xml:space="preserve">i povinné odvody ČR do rozpočtu EU. Obdobné výše dosáhly na počátku roku </w:t>
            </w:r>
            <w:r>
              <w:rPr>
                <w:spacing w:val="-4"/>
              </w:rPr>
              <w:br/>
              <w:t xml:space="preserve">i neinvestiční nákupy (bez výdajů na obsluhu dluhu), které ale meziročně stagnovaly. Do běžných provozních výdajů se sice promítal cenový růst (např. u nákupů vody, paliv, energií či služeb), na druhou stranu výrazně poklesla potřeba léků, vakcín a dalšího </w:t>
            </w:r>
            <w:r w:rsidRPr="009236C0">
              <w:rPr>
                <w:color w:val="0D0D0D" w:themeColor="text1" w:themeTint="F2"/>
                <w:spacing w:val="-4"/>
              </w:rPr>
              <w:t>zdravotnické</w:t>
            </w:r>
            <w:r>
              <w:rPr>
                <w:color w:val="0D0D0D" w:themeColor="text1" w:themeTint="F2"/>
                <w:spacing w:val="-4"/>
              </w:rPr>
              <w:t>ho</w:t>
            </w:r>
            <w:r w:rsidRPr="009236C0">
              <w:rPr>
                <w:color w:val="0D0D0D" w:themeColor="text1" w:themeTint="F2"/>
                <w:spacing w:val="-4"/>
              </w:rPr>
              <w:t xml:space="preserve"> materiálu. Také </w:t>
            </w:r>
            <w:r w:rsidRPr="009236C0">
              <w:rPr>
                <w:color w:val="0D0D0D" w:themeColor="text1" w:themeTint="F2"/>
                <w:spacing w:val="-5"/>
              </w:rPr>
              <w:t>platby veřejného zdravotního pojištění za tzv. státní pojištěnce se letos oproti 1. čtvrtletí 2022 nezměnily</w:t>
            </w:r>
            <w:r>
              <w:rPr>
                <w:color w:val="0D0D0D" w:themeColor="text1" w:themeTint="F2"/>
                <w:spacing w:val="-5"/>
              </w:rPr>
              <w:t xml:space="preserve">. Ve směru růstu působil </w:t>
            </w:r>
            <w:r>
              <w:rPr>
                <w:color w:val="0D0D0D" w:themeColor="text1" w:themeTint="F2"/>
                <w:spacing w:val="-6"/>
              </w:rPr>
              <w:t>vyšší počet pojištěnců, na počátku loňského roku však dočasně platil vyšší vyměřovací základ plateb (1967 korun na osobu, oproti letos platným 1900 korunám na osobu). Oproti očekávání vydal naopak SR meziročně více (+1,2 mld. korun) na běžných transferech státním fondům. Přestože se snížily dotace do oblasti zemědělství (pouze v oblasti spolufinancované z EU), převážil dopad vyplacených prostředků na krytí deficitu Státnímu fondu dopravní infrastruktury.</w:t>
            </w:r>
          </w:p>
        </w:tc>
      </w:tr>
      <w:tr w:rsidR="004A3BE4" w:rsidRPr="007B3A78" w14:paraId="1D0DB844" w14:textId="77777777" w:rsidTr="000A72BC">
        <w:trPr>
          <w:trHeight w:val="170"/>
        </w:trPr>
        <w:tc>
          <w:tcPr>
            <w:tcW w:w="1773" w:type="dxa"/>
            <w:shd w:val="clear" w:color="auto" w:fill="auto"/>
            <w:tcMar>
              <w:left w:w="0" w:type="dxa"/>
            </w:tcMar>
          </w:tcPr>
          <w:p w14:paraId="5C2295CC" w14:textId="77777777" w:rsidR="004A3BE4" w:rsidRDefault="004A3BE4" w:rsidP="000A72BC">
            <w:pPr>
              <w:pStyle w:val="Marginlie"/>
            </w:pPr>
            <w:r>
              <w:rPr>
                <w:spacing w:val="-4"/>
              </w:rPr>
              <w:t xml:space="preserve">Kapitálové výdaje meziročně výrazně vzrostly. Jejich plnění bylo nejvyšší za posledních sedm let. </w:t>
            </w:r>
          </w:p>
        </w:tc>
        <w:tc>
          <w:tcPr>
            <w:tcW w:w="217" w:type="dxa"/>
            <w:shd w:val="clear" w:color="auto" w:fill="auto"/>
            <w:tcMar>
              <w:left w:w="0" w:type="dxa"/>
            </w:tcMar>
          </w:tcPr>
          <w:p w14:paraId="35D98E99" w14:textId="77777777" w:rsidR="004A3BE4" w:rsidRDefault="004A3BE4" w:rsidP="000A72BC">
            <w:pPr>
              <w:pStyle w:val="Textpoznpodarou"/>
              <w:jc w:val="both"/>
              <w:rPr>
                <w:spacing w:val="-4"/>
              </w:rPr>
            </w:pPr>
          </w:p>
        </w:tc>
        <w:tc>
          <w:tcPr>
            <w:tcW w:w="7679" w:type="dxa"/>
            <w:shd w:val="clear" w:color="auto" w:fill="auto"/>
            <w:tcMar>
              <w:left w:w="0" w:type="dxa"/>
            </w:tcMar>
          </w:tcPr>
          <w:p w14:paraId="7640551A" w14:textId="77777777" w:rsidR="004A3BE4" w:rsidRPr="00A660DE" w:rsidRDefault="004A3BE4" w:rsidP="000A72BC">
            <w:pPr>
              <w:spacing w:after="0"/>
              <w:rPr>
                <w:rFonts w:cs="Arial"/>
                <w:color w:val="0D0D0D" w:themeColor="text1" w:themeTint="F2"/>
                <w:spacing w:val="-5"/>
              </w:rPr>
            </w:pPr>
            <w:r w:rsidRPr="007D6F48">
              <w:rPr>
                <w:color w:val="0D0D0D" w:themeColor="text1" w:themeTint="F2"/>
                <w:spacing w:val="-4"/>
              </w:rPr>
              <w:t>Kapitálové výdaje SR</w:t>
            </w:r>
            <w:r>
              <w:rPr>
                <w:color w:val="0D0D0D" w:themeColor="text1" w:themeTint="F2"/>
                <w:spacing w:val="-4"/>
              </w:rPr>
              <w:t xml:space="preserve"> se meziročně více než zdvojnásobily (na 36 mld. korun). </w:t>
            </w:r>
            <w:r>
              <w:rPr>
                <w:color w:val="0D0D0D" w:themeColor="text1" w:themeTint="F2"/>
                <w:spacing w:val="-4"/>
              </w:rPr>
              <w:br/>
              <w:t xml:space="preserve">V 1. čtvrtletí byla letos proinvestována již více než šestina celoroční rozpočtované částky (vyšší úroveň plnění investic byla na počátku roku patrná naposledy v roce 2016). K meziročnímu růstu investic přispěly rovnoměrně jak výdaje na spolufinancování společných programů ČR a EU (s alokací 20 mld. korun), tak výdaje realizované výhradně z národních zdrojů. Na financování dopravní infrastruktury putovalo skoro 40 % všech investic (meziročně o 11 mld. více), necelých 20 % pak na Národní plán obnovy, zejména na program Nová zelená úsporám (+3,9 mld. korun). </w:t>
            </w:r>
          </w:p>
        </w:tc>
      </w:tr>
      <w:tr w:rsidR="004A3BE4" w:rsidRPr="00F704D2" w14:paraId="25EB0F94" w14:textId="77777777" w:rsidTr="000A72BC">
        <w:trPr>
          <w:trHeight w:val="170"/>
        </w:trPr>
        <w:tc>
          <w:tcPr>
            <w:tcW w:w="1773" w:type="dxa"/>
            <w:vMerge w:val="restart"/>
            <w:shd w:val="clear" w:color="auto" w:fill="auto"/>
            <w:tcMar>
              <w:left w:w="0" w:type="dxa"/>
            </w:tcMar>
          </w:tcPr>
          <w:p w14:paraId="3262B8E2" w14:textId="77777777" w:rsidR="004A3BE4" w:rsidRDefault="004A3BE4" w:rsidP="000A72BC">
            <w:pPr>
              <w:pStyle w:val="Marginlie"/>
            </w:pPr>
          </w:p>
        </w:tc>
        <w:tc>
          <w:tcPr>
            <w:tcW w:w="217" w:type="dxa"/>
            <w:vMerge w:val="restart"/>
            <w:shd w:val="clear" w:color="auto" w:fill="auto"/>
            <w:tcMar>
              <w:left w:w="0" w:type="dxa"/>
            </w:tcMar>
          </w:tcPr>
          <w:p w14:paraId="105B8814" w14:textId="77777777" w:rsidR="004A3BE4" w:rsidRDefault="004A3BE4" w:rsidP="000A72BC">
            <w:pPr>
              <w:pStyle w:val="Textpoznpodarou"/>
              <w:jc w:val="both"/>
              <w:rPr>
                <w:spacing w:val="-4"/>
              </w:rPr>
            </w:pPr>
          </w:p>
        </w:tc>
        <w:tc>
          <w:tcPr>
            <w:tcW w:w="7679" w:type="dxa"/>
            <w:shd w:val="clear" w:color="auto" w:fill="auto"/>
            <w:tcMar>
              <w:left w:w="0" w:type="dxa"/>
            </w:tcMar>
          </w:tcPr>
          <w:p w14:paraId="22800FCE" w14:textId="77777777" w:rsidR="004A3BE4" w:rsidRPr="0033093B" w:rsidRDefault="004A3BE4" w:rsidP="000A72BC">
            <w:pPr>
              <w:spacing w:after="20" w:line="240" w:lineRule="auto"/>
              <w:jc w:val="left"/>
              <w:rPr>
                <w:rFonts w:cs="Arial"/>
                <w:bCs/>
                <w:spacing w:val="-3"/>
              </w:rPr>
            </w:pPr>
            <w:r>
              <w:rPr>
                <w:b/>
                <w:spacing w:val="-3"/>
              </w:rPr>
              <w:t>Graf č. 19</w:t>
            </w:r>
            <w:r w:rsidRPr="0033093B">
              <w:rPr>
                <w:b/>
                <w:spacing w:val="-3"/>
              </w:rPr>
              <w:t xml:space="preserve"> </w:t>
            </w:r>
            <w:r w:rsidRPr="0033093B">
              <w:rPr>
                <w:rFonts w:cs="Arial"/>
                <w:b/>
                <w:bCs/>
                <w:spacing w:val="-3"/>
              </w:rPr>
              <w:t>Vyb</w:t>
            </w:r>
            <w:r>
              <w:rPr>
                <w:rFonts w:cs="Arial"/>
                <w:b/>
                <w:bCs/>
                <w:spacing w:val="-3"/>
              </w:rPr>
              <w:t xml:space="preserve">rané výdaje státního rozpočtu </w:t>
            </w:r>
            <w:r>
              <w:rPr>
                <w:rFonts w:cs="Arial"/>
                <w:b/>
                <w:bCs/>
                <w:color w:val="000000"/>
                <w:spacing w:val="-4"/>
                <w:szCs w:val="20"/>
              </w:rPr>
              <w:t>v rámci 1. čtvrtletí</w:t>
            </w:r>
            <w:r>
              <w:rPr>
                <w:rFonts w:cs="Arial"/>
                <w:bCs/>
                <w:spacing w:val="-3"/>
              </w:rPr>
              <w:t xml:space="preserve"> (</w:t>
            </w:r>
            <w:r w:rsidRPr="008223D7">
              <w:rPr>
                <w:rFonts w:cs="Arial"/>
                <w:bCs/>
                <w:spacing w:val="-3"/>
              </w:rPr>
              <w:t>v</w:t>
            </w:r>
            <w:r w:rsidRPr="0033093B">
              <w:rPr>
                <w:rFonts w:cs="Arial"/>
                <w:bCs/>
                <w:spacing w:val="-3"/>
              </w:rPr>
              <w:t xml:space="preserve"> mld. korun)</w:t>
            </w:r>
          </w:p>
        </w:tc>
      </w:tr>
      <w:tr w:rsidR="004A3BE4" w14:paraId="026A1691" w14:textId="77777777" w:rsidTr="00FD4372">
        <w:tblPrEx>
          <w:tblCellMar>
            <w:left w:w="70" w:type="dxa"/>
            <w:right w:w="70" w:type="dxa"/>
          </w:tblCellMar>
        </w:tblPrEx>
        <w:trPr>
          <w:trHeight w:val="170"/>
        </w:trPr>
        <w:tc>
          <w:tcPr>
            <w:tcW w:w="1773" w:type="dxa"/>
            <w:vMerge/>
            <w:shd w:val="clear" w:color="auto" w:fill="auto"/>
          </w:tcPr>
          <w:p w14:paraId="45C16E04" w14:textId="77777777" w:rsidR="004A3BE4" w:rsidRDefault="004A3BE4" w:rsidP="000A72BC">
            <w:pPr>
              <w:pStyle w:val="Marginlie"/>
            </w:pPr>
          </w:p>
        </w:tc>
        <w:tc>
          <w:tcPr>
            <w:tcW w:w="217" w:type="dxa"/>
            <w:vMerge/>
            <w:shd w:val="clear" w:color="auto" w:fill="auto"/>
          </w:tcPr>
          <w:p w14:paraId="28A673B5" w14:textId="77777777" w:rsidR="004A3BE4" w:rsidRDefault="004A3BE4" w:rsidP="000A72BC">
            <w:pPr>
              <w:pStyle w:val="Textpoznpodarou"/>
              <w:jc w:val="both"/>
              <w:rPr>
                <w:spacing w:val="-4"/>
              </w:rPr>
            </w:pPr>
          </w:p>
        </w:tc>
        <w:tc>
          <w:tcPr>
            <w:tcW w:w="7679" w:type="dxa"/>
            <w:shd w:val="clear" w:color="auto" w:fill="auto"/>
          </w:tcPr>
          <w:p w14:paraId="14B1C1F2" w14:textId="55C7BA79" w:rsidR="004A3BE4" w:rsidRPr="0067514E" w:rsidRDefault="00FD4372" w:rsidP="000A72BC">
            <w:pPr>
              <w:spacing w:after="0"/>
              <w:rPr>
                <w:spacing w:val="-6"/>
              </w:rPr>
            </w:pPr>
            <w:r>
              <w:rPr>
                <w:noProof/>
              </w:rPr>
              <w:drawing>
                <wp:inline distT="0" distB="0" distL="0" distR="0" wp14:anchorId="6A4988D9" wp14:editId="6D2EEBD6">
                  <wp:extent cx="4592802" cy="3401149"/>
                  <wp:effectExtent l="0" t="0" r="0" b="889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A3BE4" w:rsidRPr="00343AC1" w14:paraId="729792A8" w14:textId="77777777" w:rsidTr="000A72BC">
        <w:trPr>
          <w:trHeight w:val="170"/>
        </w:trPr>
        <w:tc>
          <w:tcPr>
            <w:tcW w:w="1773" w:type="dxa"/>
            <w:vMerge/>
            <w:shd w:val="clear" w:color="auto" w:fill="auto"/>
            <w:tcMar>
              <w:left w:w="0" w:type="dxa"/>
            </w:tcMar>
          </w:tcPr>
          <w:p w14:paraId="3AF06E40" w14:textId="77777777" w:rsidR="004A3BE4" w:rsidRDefault="004A3BE4" w:rsidP="000A72BC">
            <w:pPr>
              <w:pStyle w:val="Marginlie"/>
            </w:pPr>
          </w:p>
        </w:tc>
        <w:tc>
          <w:tcPr>
            <w:tcW w:w="217" w:type="dxa"/>
            <w:vMerge/>
            <w:shd w:val="clear" w:color="auto" w:fill="auto"/>
            <w:tcMar>
              <w:left w:w="0" w:type="dxa"/>
            </w:tcMar>
          </w:tcPr>
          <w:p w14:paraId="34C26239" w14:textId="77777777" w:rsidR="004A3BE4" w:rsidRDefault="004A3BE4" w:rsidP="000A72BC">
            <w:pPr>
              <w:pStyle w:val="Textpoznpodarou"/>
              <w:jc w:val="both"/>
              <w:rPr>
                <w:spacing w:val="-4"/>
              </w:rPr>
            </w:pPr>
          </w:p>
        </w:tc>
        <w:tc>
          <w:tcPr>
            <w:tcW w:w="7679" w:type="dxa"/>
            <w:shd w:val="clear" w:color="auto" w:fill="auto"/>
            <w:tcMar>
              <w:left w:w="0" w:type="dxa"/>
            </w:tcMar>
          </w:tcPr>
          <w:p w14:paraId="203EEE70" w14:textId="77777777" w:rsidR="004A3BE4" w:rsidRPr="008F2BE2" w:rsidRDefault="004A3BE4" w:rsidP="000A72BC">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294E0E57" w14:textId="77777777" w:rsidR="004A3BE4" w:rsidRPr="008F2BE2" w:rsidRDefault="004A3BE4" w:rsidP="000A72BC">
            <w:pPr>
              <w:pStyle w:val="Textpoznpodarou"/>
              <w:rPr>
                <w:spacing w:val="-4"/>
                <w:sz w:val="14"/>
                <w:szCs w:val="14"/>
              </w:rPr>
            </w:pPr>
            <w:r w:rsidRPr="008F2BE2">
              <w:rPr>
                <w:spacing w:val="-4"/>
                <w:sz w:val="14"/>
                <w:szCs w:val="14"/>
              </w:rPr>
              <w:t>**Zahrnuje i dávky pěstounské péče.</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Jsou zde obsaženy i dávky </w:t>
            </w:r>
            <w:r w:rsidRPr="00FB6649">
              <w:rPr>
                <w:spacing w:val="-4"/>
                <w:sz w:val="14"/>
                <w:szCs w:val="14"/>
              </w:rPr>
              <w:t>humanitární pomoc</w:t>
            </w:r>
            <w:r>
              <w:rPr>
                <w:spacing w:val="-4"/>
                <w:sz w:val="14"/>
                <w:szCs w:val="14"/>
              </w:rPr>
              <w:t>i poskytnuté občanům Ukrajiny.</w:t>
            </w:r>
          </w:p>
          <w:p w14:paraId="3288D64E" w14:textId="77777777" w:rsidR="004A3BE4" w:rsidRDefault="004A3BE4" w:rsidP="000A72BC">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469238BD" w14:textId="77777777" w:rsidR="004A3BE4" w:rsidRPr="00D94406" w:rsidRDefault="004A3BE4" w:rsidP="000A72BC">
            <w:pPr>
              <w:pStyle w:val="Textpoznpodarou"/>
              <w:spacing w:after="160"/>
              <w:rPr>
                <w:sz w:val="16"/>
                <w:szCs w:val="16"/>
              </w:rPr>
            </w:pPr>
            <w:r w:rsidRPr="000F45E7">
              <w:rPr>
                <w:spacing w:val="-4"/>
                <w:sz w:val="14"/>
                <w:szCs w:val="14"/>
              </w:rPr>
              <w:t>Zdroj: MF ČR, MPSV</w:t>
            </w:r>
          </w:p>
        </w:tc>
      </w:tr>
    </w:tbl>
    <w:p w14:paraId="3BE23BBB" w14:textId="77777777" w:rsidR="004A3BE4" w:rsidRDefault="004A3BE4" w:rsidP="004A3BE4">
      <w:pPr>
        <w:pStyle w:val="Nadpis11"/>
        <w:rPr>
          <w:b w:val="0"/>
          <w:sz w:val="2"/>
          <w:szCs w:val="2"/>
        </w:rPr>
      </w:pPr>
    </w:p>
    <w:tbl>
      <w:tblPr>
        <w:tblW w:w="9669" w:type="dxa"/>
        <w:tblInd w:w="-20" w:type="dxa"/>
        <w:tblCellMar>
          <w:left w:w="0" w:type="dxa"/>
          <w:right w:w="0" w:type="dxa"/>
        </w:tblCellMar>
        <w:tblLook w:val="00A0" w:firstRow="1" w:lastRow="0" w:firstColumn="1" w:lastColumn="0" w:noHBand="0" w:noVBand="0"/>
      </w:tblPr>
      <w:tblGrid>
        <w:gridCol w:w="1780"/>
        <w:gridCol w:w="219"/>
        <w:gridCol w:w="7670"/>
      </w:tblGrid>
      <w:tr w:rsidR="004A3BE4" w:rsidRPr="004B2C92" w14:paraId="3EC114C4" w14:textId="77777777" w:rsidTr="000A72BC">
        <w:trPr>
          <w:trHeight w:val="145"/>
        </w:trPr>
        <w:tc>
          <w:tcPr>
            <w:tcW w:w="1780" w:type="dxa"/>
            <w:shd w:val="clear" w:color="auto" w:fill="auto"/>
            <w:tcMar>
              <w:left w:w="0" w:type="dxa"/>
            </w:tcMar>
          </w:tcPr>
          <w:p w14:paraId="711A42C8" w14:textId="77777777" w:rsidR="004A3BE4" w:rsidRPr="005B591B" w:rsidRDefault="004A3BE4" w:rsidP="000A72BC">
            <w:pPr>
              <w:pStyle w:val="Marginlie"/>
            </w:pPr>
            <w:r w:rsidRPr="005B591B">
              <w:t>Státní dluh vystoupal na konci 1. čtvrtletí na bezmála 3 biliony korun. Meziroční růst dluhu oproti tempu počátku loňského roku výrazně zrychlil.</w:t>
            </w:r>
          </w:p>
        </w:tc>
        <w:tc>
          <w:tcPr>
            <w:tcW w:w="219" w:type="dxa"/>
            <w:shd w:val="clear" w:color="auto" w:fill="auto"/>
            <w:tcMar>
              <w:left w:w="0" w:type="dxa"/>
            </w:tcMar>
          </w:tcPr>
          <w:p w14:paraId="1780E84C" w14:textId="77777777" w:rsidR="004A3BE4" w:rsidRDefault="004A3BE4" w:rsidP="000A72BC">
            <w:pPr>
              <w:pStyle w:val="Textpoznpodarou"/>
              <w:jc w:val="both"/>
              <w:rPr>
                <w:spacing w:val="-4"/>
              </w:rPr>
            </w:pPr>
          </w:p>
        </w:tc>
        <w:tc>
          <w:tcPr>
            <w:tcW w:w="7670" w:type="dxa"/>
            <w:shd w:val="clear" w:color="auto" w:fill="auto"/>
            <w:tcMar>
              <w:left w:w="0" w:type="dxa"/>
            </w:tcMar>
          </w:tcPr>
          <w:p w14:paraId="475C65FA" w14:textId="0C40F8AB" w:rsidR="004A3BE4" w:rsidRPr="001830C5" w:rsidRDefault="004A3BE4" w:rsidP="000A72BC">
            <w:pPr>
              <w:spacing w:after="200"/>
              <w:rPr>
                <w:spacing w:val="-2"/>
              </w:rPr>
            </w:pPr>
            <w:r>
              <w:rPr>
                <w:color w:val="0D0D0D" w:themeColor="text1" w:themeTint="F2"/>
                <w:spacing w:val="-2"/>
              </w:rPr>
              <w:t xml:space="preserve">Pokračující hospodaření státu s hlubokými </w:t>
            </w:r>
            <w:r w:rsidRPr="00BE22C9">
              <w:rPr>
                <w:color w:val="0D0D0D" w:themeColor="text1" w:themeTint="F2"/>
                <w:spacing w:val="-2"/>
              </w:rPr>
              <w:t>rozpočtový</w:t>
            </w:r>
            <w:r>
              <w:rPr>
                <w:color w:val="0D0D0D" w:themeColor="text1" w:themeTint="F2"/>
                <w:spacing w:val="-2"/>
              </w:rPr>
              <w:t>mi schod</w:t>
            </w:r>
            <w:r w:rsidRPr="00BE22C9">
              <w:rPr>
                <w:color w:val="0D0D0D" w:themeColor="text1" w:themeTint="F2"/>
                <w:spacing w:val="-2"/>
              </w:rPr>
              <w:t>k</w:t>
            </w:r>
            <w:r>
              <w:rPr>
                <w:color w:val="0D0D0D" w:themeColor="text1" w:themeTint="F2"/>
                <w:spacing w:val="-2"/>
              </w:rPr>
              <w:t>y spolu s plánovanými splátkami dluhu se nadále promítaly ve vysoké výpůjční potřebě</w:t>
            </w:r>
            <w:r w:rsidRPr="00BE22C9">
              <w:rPr>
                <w:spacing w:val="-2"/>
              </w:rPr>
              <w:t>.</w:t>
            </w:r>
            <w:r>
              <w:rPr>
                <w:spacing w:val="-2"/>
              </w:rPr>
              <w:t xml:space="preserve"> </w:t>
            </w:r>
            <w:r w:rsidRPr="001830C5">
              <w:rPr>
                <w:color w:val="0D0D0D" w:themeColor="text1" w:themeTint="F2"/>
                <w:spacing w:val="-2"/>
              </w:rPr>
              <w:t xml:space="preserve">Státní dluh tak vystoupal </w:t>
            </w:r>
            <w:r>
              <w:rPr>
                <w:spacing w:val="-2"/>
              </w:rPr>
              <w:t>na konci letošního března na rekordních 2 997</w:t>
            </w:r>
            <w:r w:rsidRPr="00BE22C9">
              <w:rPr>
                <w:spacing w:val="-2"/>
              </w:rPr>
              <w:t xml:space="preserve"> mld. korun, </w:t>
            </w:r>
            <w:r>
              <w:rPr>
                <w:spacing w:val="-2"/>
              </w:rPr>
              <w:t>když se od počátku roku zvýšil o 102 mld. korun a meziročně byl vyšší o 403 mld. (15,5 %). Dynamika růstu dluhu ve srovnání s počátkem loňského roku citelně zrychlila. Meziročně se letos významně zvýšila emisní činnost na domácím trhu</w:t>
            </w:r>
            <w:r>
              <w:rPr>
                <w:rStyle w:val="Znakapoznpodarou"/>
                <w:spacing w:val="-2"/>
              </w:rPr>
              <w:footnoteReference w:id="89"/>
            </w:r>
            <w:r>
              <w:rPr>
                <w:spacing w:val="-2"/>
              </w:rPr>
              <w:t xml:space="preserve"> – čistá emise státních pokladničních poukázek (zahrnující výpůjčky v domácí měn</w:t>
            </w:r>
            <w:r w:rsidR="00C929FE">
              <w:rPr>
                <w:spacing w:val="-2"/>
              </w:rPr>
              <w:t>ě i eurech) činila v přepočtu 93,5</w:t>
            </w:r>
            <w:r>
              <w:rPr>
                <w:spacing w:val="-2"/>
              </w:rPr>
              <w:t xml:space="preserve"> mld. korun a čistá emise korunových středně a dlouhodobých dluhopisů se splatností nad 1 rok čítala 102,2</w:t>
            </w:r>
            <w:r>
              <w:rPr>
                <w:color w:val="0D0D0D" w:themeColor="text1" w:themeTint="F2"/>
                <w:spacing w:val="-2"/>
              </w:rPr>
              <w:t> </w:t>
            </w:r>
            <w:r>
              <w:rPr>
                <w:spacing w:val="-2"/>
              </w:rPr>
              <w:t>mld. korun</w:t>
            </w:r>
            <w:r>
              <w:rPr>
                <w:rStyle w:val="Znakapoznpodarou"/>
                <w:spacing w:val="-2"/>
              </w:rPr>
              <w:footnoteReference w:id="90"/>
            </w:r>
            <w:r>
              <w:rPr>
                <w:spacing w:val="-2"/>
              </w:rPr>
              <w:t xml:space="preserve"> </w:t>
            </w:r>
            <w:r w:rsidR="00FD4372">
              <w:rPr>
                <w:spacing w:val="-2"/>
              </w:rPr>
              <w:t xml:space="preserve">za 1. čtvrtletí 2023. </w:t>
            </w:r>
            <w:r>
              <w:rPr>
                <w:spacing w:val="-2"/>
              </w:rPr>
              <w:t>Především vlivem výše uvedeného došlo k razantnímu navýšení vnitřního státního dluhu (meziročně o 380,5 mld. korun, z toho od počátku letošního roku o 199,4 mld.). Naopak korunová hodnota vnějšího dluhu se meziročně zásadně nezměnila a hlavně vlivem splátek krátkodobých zápůjček během 1. čtvrtletí 2023 poklesla o třetinu</w:t>
            </w:r>
            <w:r>
              <w:rPr>
                <w:rStyle w:val="Znakapoznpodarou"/>
                <w:spacing w:val="-2"/>
              </w:rPr>
              <w:footnoteReference w:id="91"/>
            </w:r>
            <w:r>
              <w:rPr>
                <w:spacing w:val="-2"/>
              </w:rPr>
              <w:t xml:space="preserve">. </w:t>
            </w:r>
          </w:p>
        </w:tc>
      </w:tr>
      <w:tr w:rsidR="004A3BE4" w:rsidRPr="004B2C92" w14:paraId="0650DF9F" w14:textId="77777777" w:rsidTr="000A72BC">
        <w:trPr>
          <w:trHeight w:val="145"/>
        </w:trPr>
        <w:tc>
          <w:tcPr>
            <w:tcW w:w="1780" w:type="dxa"/>
            <w:shd w:val="clear" w:color="auto" w:fill="auto"/>
            <w:tcMar>
              <w:left w:w="0" w:type="dxa"/>
            </w:tcMar>
          </w:tcPr>
          <w:p w14:paraId="10468117" w14:textId="77777777" w:rsidR="004A3BE4" w:rsidRPr="005B591B" w:rsidRDefault="004A3BE4" w:rsidP="000A72BC">
            <w:pPr>
              <w:pStyle w:val="Marginlie"/>
            </w:pPr>
            <w:r w:rsidRPr="005B591B">
              <w:t xml:space="preserve">Sektor vládních institucí (VI) vykázal ve 4. čtvrtletí hluboký schodek přesahující </w:t>
            </w:r>
            <w:r w:rsidRPr="005B591B">
              <w:br/>
              <w:t xml:space="preserve">100 mld. korun. </w:t>
            </w:r>
          </w:p>
          <w:p w14:paraId="7BD319AE" w14:textId="7008FC0A" w:rsidR="004A3BE4" w:rsidRPr="005B591B" w:rsidRDefault="004A3BE4" w:rsidP="000A72BC">
            <w:pPr>
              <w:pStyle w:val="Marginlie"/>
            </w:pPr>
          </w:p>
          <w:p w14:paraId="23B9ECD1" w14:textId="3A97654C" w:rsidR="008F130B" w:rsidRPr="005B591B" w:rsidRDefault="008F130B" w:rsidP="000A72BC">
            <w:pPr>
              <w:pStyle w:val="Marginlie"/>
            </w:pPr>
          </w:p>
          <w:p w14:paraId="5D15E348" w14:textId="77777777" w:rsidR="008F130B" w:rsidRPr="005B591B" w:rsidRDefault="008F130B" w:rsidP="000A72BC">
            <w:pPr>
              <w:pStyle w:val="Marginlie"/>
            </w:pPr>
          </w:p>
          <w:p w14:paraId="6C8D2F9B" w14:textId="0F6BA944" w:rsidR="004A3BE4" w:rsidRPr="005B591B" w:rsidRDefault="004A3BE4" w:rsidP="000A72BC">
            <w:pPr>
              <w:pStyle w:val="Marginlie"/>
            </w:pPr>
            <w:r w:rsidRPr="005B591B">
              <w:t xml:space="preserve">Růst příjmů VI táhly zejména vyšší sociální </w:t>
            </w:r>
            <w:r w:rsidRPr="005B591B">
              <w:lastRenderedPageBreak/>
              <w:t>příspěvky, což dokládalo stále dobrou kondici trhu práce.</w:t>
            </w:r>
          </w:p>
          <w:p w14:paraId="304961C2" w14:textId="5C285598" w:rsidR="008F130B" w:rsidRPr="005B591B" w:rsidRDefault="008F130B" w:rsidP="000A72BC">
            <w:pPr>
              <w:pStyle w:val="Marginlie"/>
            </w:pPr>
          </w:p>
          <w:p w14:paraId="1268800A" w14:textId="0277C929" w:rsidR="008F130B" w:rsidRPr="005B591B" w:rsidRDefault="008F130B" w:rsidP="000A72BC">
            <w:pPr>
              <w:pStyle w:val="Marginlie"/>
            </w:pPr>
          </w:p>
          <w:p w14:paraId="486CD2BB" w14:textId="77777777" w:rsidR="008F130B" w:rsidRPr="005B591B" w:rsidRDefault="008F130B" w:rsidP="000A72BC">
            <w:pPr>
              <w:pStyle w:val="Marginlie"/>
            </w:pPr>
          </w:p>
          <w:p w14:paraId="7F682FD6" w14:textId="77777777" w:rsidR="004A3BE4" w:rsidRPr="005B591B" w:rsidRDefault="004A3BE4" w:rsidP="000A72BC">
            <w:pPr>
              <w:pStyle w:val="Marginlie"/>
            </w:pPr>
            <w:r w:rsidRPr="005B591B">
              <w:t xml:space="preserve">Vyšší výdaje souvisely primárně s posílením sociálních dávek </w:t>
            </w:r>
            <w:r w:rsidRPr="005B591B">
              <w:br/>
              <w:t xml:space="preserve">a naturálních sociálních transferů, k růstu však přispěly takřka všechny výdajové položky. </w:t>
            </w:r>
          </w:p>
          <w:p w14:paraId="5B001F8C" w14:textId="77777777" w:rsidR="004A3BE4" w:rsidRPr="005B591B" w:rsidRDefault="004A3BE4" w:rsidP="000A72BC">
            <w:pPr>
              <w:pStyle w:val="Marginlie"/>
            </w:pPr>
          </w:p>
        </w:tc>
        <w:tc>
          <w:tcPr>
            <w:tcW w:w="219" w:type="dxa"/>
            <w:shd w:val="clear" w:color="auto" w:fill="auto"/>
            <w:tcMar>
              <w:left w:w="0" w:type="dxa"/>
            </w:tcMar>
          </w:tcPr>
          <w:p w14:paraId="2EC732F9" w14:textId="77777777" w:rsidR="004A3BE4" w:rsidRDefault="004A3BE4" w:rsidP="000A72BC">
            <w:pPr>
              <w:pStyle w:val="Textpoznpodarou"/>
              <w:jc w:val="both"/>
              <w:rPr>
                <w:spacing w:val="-4"/>
              </w:rPr>
            </w:pPr>
          </w:p>
        </w:tc>
        <w:tc>
          <w:tcPr>
            <w:tcW w:w="7670" w:type="dxa"/>
            <w:shd w:val="clear" w:color="auto" w:fill="auto"/>
            <w:tcMar>
              <w:left w:w="0" w:type="dxa"/>
            </w:tcMar>
          </w:tcPr>
          <w:p w14:paraId="2AFB50A0" w14:textId="39463DFF" w:rsidR="004A3BE4" w:rsidRPr="00766F07" w:rsidRDefault="004A3BE4" w:rsidP="000A72BC">
            <w:pPr>
              <w:spacing w:after="200"/>
              <w:rPr>
                <w:szCs w:val="20"/>
              </w:rPr>
            </w:pPr>
            <w:r>
              <w:rPr>
                <w:szCs w:val="20"/>
              </w:rPr>
              <w:t xml:space="preserve">Celý sektor vládních institucí (VI) </w:t>
            </w:r>
            <w:r w:rsidR="008F130B">
              <w:rPr>
                <w:szCs w:val="20"/>
              </w:rPr>
              <w:t>hospodařil ve 4. čtvrtletí 2022</w:t>
            </w:r>
            <w:r w:rsidR="008F130B" w:rsidRPr="00006754">
              <w:rPr>
                <w:rStyle w:val="Znakapoznpodarou"/>
                <w:color w:val="0D0D0D" w:themeColor="text1" w:themeTint="F2"/>
                <w:spacing w:val="-3"/>
              </w:rPr>
              <w:footnoteReference w:id="92"/>
            </w:r>
            <w:r w:rsidR="008F130B">
              <w:rPr>
                <w:szCs w:val="20"/>
              </w:rPr>
              <w:t xml:space="preserve"> s deficitem ve výši </w:t>
            </w:r>
            <w:r>
              <w:rPr>
                <w:szCs w:val="20"/>
              </w:rPr>
              <w:t>103,8 mld. korun</w:t>
            </w:r>
            <w:r w:rsidRPr="00006754">
              <w:rPr>
                <w:rStyle w:val="Znakapoznpodarou"/>
                <w:color w:val="0D0D0D" w:themeColor="text1" w:themeTint="F2"/>
                <w:spacing w:val="-3"/>
              </w:rPr>
              <w:footnoteReference w:id="93"/>
            </w:r>
            <w:r w:rsidR="004828DA">
              <w:rPr>
                <w:szCs w:val="20"/>
              </w:rPr>
              <w:t>. H</w:t>
            </w:r>
            <w:r>
              <w:rPr>
                <w:szCs w:val="20"/>
              </w:rPr>
              <w:t xml:space="preserve">oršího výsledku na sklonku roku </w:t>
            </w:r>
            <w:r w:rsidR="008F130B">
              <w:rPr>
                <w:szCs w:val="20"/>
              </w:rPr>
              <w:t>bylo za dobu sledování</w:t>
            </w:r>
            <w:r w:rsidR="004828DA">
              <w:rPr>
                <w:szCs w:val="20"/>
              </w:rPr>
              <w:t xml:space="preserve"> dosaženo pouze</w:t>
            </w:r>
            <w:r>
              <w:rPr>
                <w:szCs w:val="20"/>
              </w:rPr>
              <w:t xml:space="preserve"> v roce 2020. Přestože tempo meziročního r</w:t>
            </w:r>
            <w:r w:rsidR="008F130B">
              <w:rPr>
                <w:szCs w:val="20"/>
              </w:rPr>
              <w:t xml:space="preserve">ůstu příjmů v posledním loňském kvartálu </w:t>
            </w:r>
            <w:r>
              <w:rPr>
                <w:szCs w:val="20"/>
              </w:rPr>
              <w:t>(+9,2 %) mírně převýšilo dynamiku výdajů (+8,9 %), celkový schodek se meziročně mírně prohloubil (o</w:t>
            </w:r>
            <w:r>
              <w:rPr>
                <w:spacing w:val="-2"/>
              </w:rPr>
              <w:t> </w:t>
            </w:r>
            <w:r>
              <w:rPr>
                <w:szCs w:val="20"/>
              </w:rPr>
              <w:t xml:space="preserve">7,0 mld. korun). Růst příjmů byl tažen zejména přijatými čistými sociálními příspěvky (+16,0 mld. korun), jejich dynamika však během loňského roku ve vazbě na mírné ochlazení trhu práce v ČR zvolňovala. Příjmy byly podpořeny také zvýšenými úroky plynoucími zejména </w:t>
            </w:r>
            <w:r w:rsidR="005B591B">
              <w:rPr>
                <w:szCs w:val="20"/>
              </w:rPr>
              <w:t>z vyšších</w:t>
            </w:r>
            <w:r>
              <w:rPr>
                <w:szCs w:val="20"/>
              </w:rPr>
              <w:t xml:space="preserve"> důc</w:t>
            </w:r>
            <w:r w:rsidR="005B591B">
              <w:rPr>
                <w:szCs w:val="20"/>
              </w:rPr>
              <w:t>hodů</w:t>
            </w:r>
            <w:r>
              <w:rPr>
                <w:szCs w:val="20"/>
              </w:rPr>
              <w:t xml:space="preserve"> z vlastnictví (+15,3 mld.), </w:t>
            </w:r>
            <w:r>
              <w:rPr>
                <w:szCs w:val="20"/>
              </w:rPr>
              <w:lastRenderedPageBreak/>
              <w:t>pozitivně se projevily i běžné daně z důc</w:t>
            </w:r>
            <w:r w:rsidR="008F130B">
              <w:rPr>
                <w:szCs w:val="20"/>
              </w:rPr>
              <w:t>hodů a jmění (+12,3 mld., +10,6</w:t>
            </w:r>
            <w:r w:rsidR="008F130B">
              <w:rPr>
                <w:color w:val="0D0D0D" w:themeColor="text1" w:themeTint="F2"/>
                <w:spacing w:val="-2"/>
              </w:rPr>
              <w:t> </w:t>
            </w:r>
            <w:r>
              <w:rPr>
                <w:szCs w:val="20"/>
              </w:rPr>
              <w:t>%) či přijaté k</w:t>
            </w:r>
            <w:r w:rsidRPr="00A06102">
              <w:rPr>
                <w:szCs w:val="20"/>
              </w:rPr>
              <w:t>apitálové transfery</w:t>
            </w:r>
            <w:r>
              <w:rPr>
                <w:szCs w:val="20"/>
              </w:rPr>
              <w:t xml:space="preserve"> (+7,7 mld.). Prudce zmírnil přírůstek váhově významné položky obdržených daní z výroby a dovozu (+4,8 mld. korun), jejich</w:t>
            </w:r>
            <w:r w:rsidR="00FD4372">
              <w:rPr>
                <w:szCs w:val="20"/>
              </w:rPr>
              <w:t>ž</w:t>
            </w:r>
            <w:r>
              <w:rPr>
                <w:szCs w:val="20"/>
              </w:rPr>
              <w:t xml:space="preserve"> meziroční růst činil na konci roku jen 2,5 % (v 1. čtvrtletí 2022 ale 17,1 %). Projevilo se zde oslabení výběru spotřebních daní, zejména u</w:t>
            </w:r>
            <w:r>
              <w:rPr>
                <w:color w:val="0D0D0D" w:themeColor="text1" w:themeTint="F2"/>
                <w:spacing w:val="-2"/>
              </w:rPr>
              <w:t> </w:t>
            </w:r>
            <w:r>
              <w:rPr>
                <w:szCs w:val="20"/>
              </w:rPr>
              <w:t>pohonných hmot, ale i slábnoucí dynamika výběru DPH (navzdory akceleraci růstu spotřebitelských cen). Meziroční růst výdajové strany VI ve 4. čtvrtletí nejvíce zatížily vyplacené sociální dávky a naturální sociální transfe</w:t>
            </w:r>
            <w:r w:rsidR="00D26133">
              <w:rPr>
                <w:szCs w:val="20"/>
              </w:rPr>
              <w:t>ry (+25,0 mld. korun, +9,1 %). M</w:t>
            </w:r>
            <w:r>
              <w:rPr>
                <w:szCs w:val="20"/>
              </w:rPr>
              <w:t>éně výrazný byl přírůstek výdajů na tvorbu hrubého kapitálu a čistého pořízení nevyráběných aktiv (+10,7 mld. korun), náhrad zaměstnancům (</w:t>
            </w:r>
            <w:r w:rsidR="005B591B">
              <w:rPr>
                <w:szCs w:val="20"/>
              </w:rPr>
              <w:t>+</w:t>
            </w:r>
            <w:r>
              <w:rPr>
                <w:szCs w:val="20"/>
              </w:rPr>
              <w:t xml:space="preserve">10,5 mld.), placených důchodů z vlastnictví (+10,0 mld., takřka výhradně vlivem zvýšených úroků) a </w:t>
            </w:r>
            <w:proofErr w:type="spellStart"/>
            <w:r>
              <w:rPr>
                <w:szCs w:val="20"/>
              </w:rPr>
              <w:t>mezispotřeby</w:t>
            </w:r>
            <w:proofErr w:type="spellEnd"/>
            <w:r>
              <w:rPr>
                <w:szCs w:val="20"/>
              </w:rPr>
              <w:t xml:space="preserve"> (+8,9 mld. korun). Po sérii meziročních poklesů souvisejících s útlumem </w:t>
            </w:r>
            <w:proofErr w:type="spellStart"/>
            <w:r>
              <w:rPr>
                <w:szCs w:val="20"/>
              </w:rPr>
              <w:t>protipandemických</w:t>
            </w:r>
            <w:proofErr w:type="spellEnd"/>
            <w:r>
              <w:rPr>
                <w:szCs w:val="20"/>
              </w:rPr>
              <w:t xml:space="preserve"> výdajů se znovu obnovil růst vyplacených dotací (+3,9 mld. korun, +10,9 %).</w:t>
            </w:r>
          </w:p>
        </w:tc>
      </w:tr>
      <w:tr w:rsidR="00780BF0" w:rsidRPr="00D52ED2" w14:paraId="7093F4EC" w14:textId="77777777" w:rsidTr="000A72BC">
        <w:trPr>
          <w:trHeight w:val="145"/>
        </w:trPr>
        <w:tc>
          <w:tcPr>
            <w:tcW w:w="1780" w:type="dxa"/>
            <w:shd w:val="clear" w:color="auto" w:fill="auto"/>
            <w:tcMar>
              <w:left w:w="0" w:type="dxa"/>
            </w:tcMar>
          </w:tcPr>
          <w:p w14:paraId="73115D5A" w14:textId="77777777" w:rsidR="00780BF0" w:rsidRDefault="00780BF0" w:rsidP="00780BF0">
            <w:pPr>
              <w:pStyle w:val="Marginlie"/>
            </w:pPr>
          </w:p>
        </w:tc>
        <w:tc>
          <w:tcPr>
            <w:tcW w:w="219" w:type="dxa"/>
            <w:shd w:val="clear" w:color="auto" w:fill="auto"/>
            <w:tcMar>
              <w:left w:w="0" w:type="dxa"/>
            </w:tcMar>
          </w:tcPr>
          <w:p w14:paraId="7C372CDE" w14:textId="77777777" w:rsidR="00780BF0" w:rsidRDefault="00780BF0" w:rsidP="00780BF0">
            <w:pPr>
              <w:pStyle w:val="Textpoznpodarou"/>
              <w:jc w:val="both"/>
              <w:rPr>
                <w:spacing w:val="-4"/>
              </w:rPr>
            </w:pPr>
          </w:p>
        </w:tc>
        <w:tc>
          <w:tcPr>
            <w:tcW w:w="7670" w:type="dxa"/>
            <w:shd w:val="clear" w:color="auto" w:fill="auto"/>
            <w:tcMar>
              <w:left w:w="0" w:type="dxa"/>
            </w:tcMar>
          </w:tcPr>
          <w:p w14:paraId="6BC1457E" w14:textId="491D9B30" w:rsidR="00780BF0" w:rsidRDefault="00780BF0" w:rsidP="00780BF0">
            <w:pPr>
              <w:spacing w:after="40"/>
              <w:rPr>
                <w:color w:val="0D0D0D" w:themeColor="text1" w:themeTint="F2"/>
                <w:spacing w:val="-4"/>
              </w:rPr>
            </w:pPr>
            <w:r w:rsidRPr="00C4556A">
              <w:rPr>
                <w:b/>
                <w:spacing w:val="-2"/>
              </w:rPr>
              <w:t xml:space="preserve">Graf č. 20 </w:t>
            </w:r>
            <w:r w:rsidRPr="00C4556A">
              <w:rPr>
                <w:rFonts w:cs="Arial"/>
                <w:b/>
                <w:bCs/>
                <w:spacing w:val="-2"/>
              </w:rPr>
              <w:t xml:space="preserve">Saldo hospodaření a konsolidovaný dluh sektoru vládních institucí v Česku, EU a eurozóně </w:t>
            </w:r>
            <w:r w:rsidRPr="00C4556A">
              <w:rPr>
                <w:rFonts w:cs="Arial"/>
                <w:bCs/>
                <w:spacing w:val="-2"/>
              </w:rPr>
              <w:t>(</w:t>
            </w:r>
            <w:r>
              <w:rPr>
                <w:rFonts w:cs="Arial"/>
                <w:bCs/>
                <w:spacing w:val="-2"/>
              </w:rPr>
              <w:t xml:space="preserve">v % HDP, </w:t>
            </w:r>
            <w:r w:rsidRPr="00C4556A">
              <w:rPr>
                <w:rFonts w:cs="Arial"/>
                <w:bCs/>
                <w:spacing w:val="-2"/>
              </w:rPr>
              <w:t>roční úhrn, resp. stav k 31.12.)</w:t>
            </w:r>
          </w:p>
        </w:tc>
      </w:tr>
      <w:tr w:rsidR="00780BF0" w:rsidRPr="00D52ED2" w14:paraId="0E788618" w14:textId="77777777" w:rsidTr="000A72BC">
        <w:trPr>
          <w:trHeight w:val="145"/>
        </w:trPr>
        <w:tc>
          <w:tcPr>
            <w:tcW w:w="1780" w:type="dxa"/>
            <w:shd w:val="clear" w:color="auto" w:fill="auto"/>
            <w:tcMar>
              <w:left w:w="0" w:type="dxa"/>
            </w:tcMar>
          </w:tcPr>
          <w:p w14:paraId="5E7832EE" w14:textId="77777777" w:rsidR="00780BF0" w:rsidRDefault="00780BF0" w:rsidP="00780BF0">
            <w:pPr>
              <w:pStyle w:val="Marginlie"/>
            </w:pPr>
          </w:p>
        </w:tc>
        <w:tc>
          <w:tcPr>
            <w:tcW w:w="219" w:type="dxa"/>
            <w:shd w:val="clear" w:color="auto" w:fill="auto"/>
            <w:tcMar>
              <w:left w:w="0" w:type="dxa"/>
            </w:tcMar>
          </w:tcPr>
          <w:p w14:paraId="4446C048" w14:textId="77777777" w:rsidR="00780BF0" w:rsidRDefault="00780BF0" w:rsidP="00780BF0">
            <w:pPr>
              <w:pStyle w:val="Textpoznpodarou"/>
              <w:jc w:val="both"/>
              <w:rPr>
                <w:spacing w:val="-4"/>
              </w:rPr>
            </w:pPr>
          </w:p>
        </w:tc>
        <w:tc>
          <w:tcPr>
            <w:tcW w:w="7670" w:type="dxa"/>
            <w:shd w:val="clear" w:color="auto" w:fill="auto"/>
            <w:tcMar>
              <w:left w:w="0" w:type="dxa"/>
            </w:tcMar>
          </w:tcPr>
          <w:p w14:paraId="694B729B" w14:textId="40BCFBC5" w:rsidR="00780BF0" w:rsidRPr="00C4556A" w:rsidRDefault="00780BF0" w:rsidP="00780BF0">
            <w:pPr>
              <w:spacing w:after="200"/>
              <w:rPr>
                <w:b/>
                <w:spacing w:val="-2"/>
              </w:rPr>
            </w:pPr>
            <w:r>
              <w:rPr>
                <w:noProof/>
              </w:rPr>
              <w:drawing>
                <wp:inline distT="0" distB="0" distL="0" distR="0" wp14:anchorId="2D137F1F" wp14:editId="600097D5">
                  <wp:extent cx="4751351" cy="3225841"/>
                  <wp:effectExtent l="0" t="0" r="11430" b="1270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780BF0" w:rsidRPr="00D52ED2" w14:paraId="77A2D4F1" w14:textId="77777777" w:rsidTr="000A72BC">
        <w:trPr>
          <w:trHeight w:val="145"/>
        </w:trPr>
        <w:tc>
          <w:tcPr>
            <w:tcW w:w="1780" w:type="dxa"/>
            <w:shd w:val="clear" w:color="auto" w:fill="auto"/>
            <w:tcMar>
              <w:left w:w="0" w:type="dxa"/>
            </w:tcMar>
          </w:tcPr>
          <w:p w14:paraId="763DDA5E" w14:textId="77777777" w:rsidR="00780BF0" w:rsidRDefault="00780BF0" w:rsidP="00780BF0">
            <w:pPr>
              <w:pStyle w:val="Marginlie"/>
            </w:pPr>
          </w:p>
        </w:tc>
        <w:tc>
          <w:tcPr>
            <w:tcW w:w="219" w:type="dxa"/>
            <w:shd w:val="clear" w:color="auto" w:fill="auto"/>
            <w:tcMar>
              <w:left w:w="0" w:type="dxa"/>
            </w:tcMar>
          </w:tcPr>
          <w:p w14:paraId="3DEF50E5" w14:textId="77777777" w:rsidR="00780BF0" w:rsidRDefault="00780BF0" w:rsidP="00780BF0">
            <w:pPr>
              <w:pStyle w:val="Textpoznpodarou"/>
              <w:jc w:val="both"/>
              <w:rPr>
                <w:spacing w:val="-4"/>
              </w:rPr>
            </w:pPr>
          </w:p>
        </w:tc>
        <w:tc>
          <w:tcPr>
            <w:tcW w:w="7670" w:type="dxa"/>
            <w:shd w:val="clear" w:color="auto" w:fill="auto"/>
            <w:tcMar>
              <w:left w:w="0" w:type="dxa"/>
            </w:tcMar>
          </w:tcPr>
          <w:p w14:paraId="20FF27B3" w14:textId="3CD0165D" w:rsidR="00780BF0" w:rsidRDefault="00780BF0" w:rsidP="00780BF0">
            <w:pPr>
              <w:spacing w:after="200"/>
              <w:rPr>
                <w:noProof/>
              </w:rPr>
            </w:pPr>
            <w:r>
              <w:rPr>
                <w:spacing w:val="-4"/>
                <w:sz w:val="14"/>
                <w:szCs w:val="14"/>
              </w:rPr>
              <w:t xml:space="preserve">Zdroj: </w:t>
            </w:r>
            <w:proofErr w:type="spellStart"/>
            <w:r>
              <w:rPr>
                <w:spacing w:val="-4"/>
                <w:sz w:val="14"/>
                <w:szCs w:val="14"/>
              </w:rPr>
              <w:t>Eurostat</w:t>
            </w:r>
            <w:proofErr w:type="spellEnd"/>
          </w:p>
        </w:tc>
      </w:tr>
      <w:tr w:rsidR="00780BF0" w:rsidRPr="00D52ED2" w14:paraId="7B0FC9A5" w14:textId="77777777" w:rsidTr="000A72BC">
        <w:trPr>
          <w:trHeight w:val="145"/>
        </w:trPr>
        <w:tc>
          <w:tcPr>
            <w:tcW w:w="1780" w:type="dxa"/>
            <w:shd w:val="clear" w:color="auto" w:fill="auto"/>
            <w:tcMar>
              <w:left w:w="0" w:type="dxa"/>
            </w:tcMar>
          </w:tcPr>
          <w:p w14:paraId="26F1F22C" w14:textId="77777777" w:rsidR="00780BF0" w:rsidRPr="008F130B" w:rsidRDefault="00780BF0" w:rsidP="00780BF0">
            <w:pPr>
              <w:pStyle w:val="Marginlie"/>
            </w:pPr>
            <w:r w:rsidRPr="008F130B">
              <w:t>Trend snižování deficitu sektoru vládních institucí se ve 2. pololetí ve většině zemí EU</w:t>
            </w:r>
            <w:r>
              <w:t xml:space="preserve"> zastavil</w:t>
            </w:r>
            <w:r w:rsidRPr="008F130B">
              <w:t>.</w:t>
            </w:r>
          </w:p>
          <w:p w14:paraId="66D859BB" w14:textId="77777777" w:rsidR="00780BF0" w:rsidRDefault="00780BF0" w:rsidP="00780BF0">
            <w:pPr>
              <w:pStyle w:val="Marginlie"/>
            </w:pPr>
          </w:p>
        </w:tc>
        <w:tc>
          <w:tcPr>
            <w:tcW w:w="219" w:type="dxa"/>
            <w:shd w:val="clear" w:color="auto" w:fill="auto"/>
            <w:tcMar>
              <w:left w:w="0" w:type="dxa"/>
            </w:tcMar>
          </w:tcPr>
          <w:p w14:paraId="14F754C5" w14:textId="77777777" w:rsidR="00780BF0" w:rsidRDefault="00780BF0" w:rsidP="00780BF0">
            <w:pPr>
              <w:pStyle w:val="Textpoznpodarou"/>
              <w:jc w:val="both"/>
              <w:rPr>
                <w:spacing w:val="-4"/>
              </w:rPr>
            </w:pPr>
          </w:p>
        </w:tc>
        <w:tc>
          <w:tcPr>
            <w:tcW w:w="7670" w:type="dxa"/>
            <w:shd w:val="clear" w:color="auto" w:fill="auto"/>
            <w:tcMar>
              <w:left w:w="0" w:type="dxa"/>
            </w:tcMar>
          </w:tcPr>
          <w:p w14:paraId="6F7BCA60" w14:textId="433B353D" w:rsidR="00780BF0" w:rsidRDefault="00780BF0" w:rsidP="00780BF0">
            <w:pPr>
              <w:spacing w:after="200"/>
              <w:rPr>
                <w:spacing w:val="-4"/>
                <w:sz w:val="14"/>
                <w:szCs w:val="14"/>
              </w:rPr>
            </w:pPr>
            <w:r w:rsidRPr="00437F71">
              <w:rPr>
                <w:color w:val="0D0D0D" w:themeColor="text1" w:themeTint="F2"/>
                <w:spacing w:val="-4"/>
              </w:rPr>
              <w:t xml:space="preserve">Zlepšování kondice veřejných financí v EU i </w:t>
            </w:r>
            <w:r>
              <w:rPr>
                <w:color w:val="0D0D0D" w:themeColor="text1" w:themeTint="F2"/>
                <w:spacing w:val="-4"/>
              </w:rPr>
              <w:t xml:space="preserve">státech eurozóny (související </w:t>
            </w:r>
            <w:r w:rsidRPr="00437F71">
              <w:rPr>
                <w:color w:val="0D0D0D" w:themeColor="text1" w:themeTint="F2"/>
                <w:spacing w:val="-4"/>
              </w:rPr>
              <w:t>s výrazným útlumem mimořádných veřejných výdajů spojených s pandemií), patrné od počátku roku 2021, se loni ve 2. pololetí zastavilo.</w:t>
            </w:r>
            <w:r>
              <w:rPr>
                <w:color w:val="0D0D0D" w:themeColor="text1" w:themeTint="F2"/>
                <w:spacing w:val="-4"/>
              </w:rPr>
              <w:t xml:space="preserve"> Ve 4. čtvrtletí 2022 se deficit hospodaření sektoru VI v Unii prohloubil na 4,5 % HDP, což znamenalo nejslabší výsledek za posledních šest kvartálů</w:t>
            </w:r>
            <w:r w:rsidRPr="00006754">
              <w:rPr>
                <w:rStyle w:val="Znakapoznpodarou"/>
                <w:color w:val="0D0D0D" w:themeColor="text1" w:themeTint="F2"/>
                <w:spacing w:val="-4"/>
              </w:rPr>
              <w:footnoteReference w:id="94"/>
            </w:r>
            <w:r w:rsidRPr="0058030F">
              <w:rPr>
                <w:color w:val="0D0D0D" w:themeColor="text1" w:themeTint="F2"/>
                <w:spacing w:val="-4"/>
              </w:rPr>
              <w:t xml:space="preserve">. </w:t>
            </w:r>
            <w:r>
              <w:rPr>
                <w:color w:val="0D0D0D" w:themeColor="text1" w:themeTint="F2"/>
                <w:spacing w:val="-4"/>
              </w:rPr>
              <w:t xml:space="preserve">Rovněž v Česku se vloni schodek prohloubil, byť svého dna dosáhl již ve 3. čtvrtletí (−4,6 % HDP) a na konci roku došlo k mírnému zlepšení (−3,9 % HDP). I přes zhoršující se makroekonomickou situaci </w:t>
            </w:r>
            <w:r w:rsidR="00FD4372">
              <w:rPr>
                <w:color w:val="0D0D0D" w:themeColor="text1" w:themeTint="F2"/>
                <w:spacing w:val="-4"/>
              </w:rPr>
              <w:t>si ve 4. čtvrtletí několik</w:t>
            </w:r>
            <w:r>
              <w:rPr>
                <w:color w:val="0D0D0D" w:themeColor="text1" w:themeTint="F2"/>
                <w:spacing w:val="-4"/>
              </w:rPr>
              <w:t xml:space="preserve"> států v Unii uchovalo přebytek hospodaření – Dánsko (+3,3 % HDP), Irsko (+1,3 %) a Bulharsko </w:t>
            </w:r>
            <w:r>
              <w:rPr>
                <w:color w:val="0D0D0D" w:themeColor="text1" w:themeTint="F2"/>
                <w:spacing w:val="-4"/>
              </w:rPr>
              <w:br/>
              <w:t>(+0,9 %)</w:t>
            </w:r>
            <w:r>
              <w:rPr>
                <w:rStyle w:val="Znakapoznpodarou"/>
                <w:color w:val="0D0D0D" w:themeColor="text1" w:themeTint="F2"/>
                <w:spacing w:val="-4"/>
              </w:rPr>
              <w:footnoteReference w:id="95"/>
            </w:r>
            <w:r>
              <w:rPr>
                <w:color w:val="0D0D0D" w:themeColor="text1" w:themeTint="F2"/>
                <w:spacing w:val="-4"/>
              </w:rPr>
              <w:t>. Naopak s hlubokými schodky převyšujícími 7 % HDP se na konci loňského roku potýkaly Maďarsko, Polsko, Rumunsko, Malta a Španělsko.</w:t>
            </w:r>
          </w:p>
        </w:tc>
      </w:tr>
      <w:tr w:rsidR="00780BF0" w:rsidRPr="00D52ED2" w14:paraId="7765495B" w14:textId="77777777" w:rsidTr="000A72BC">
        <w:trPr>
          <w:trHeight w:val="145"/>
        </w:trPr>
        <w:tc>
          <w:tcPr>
            <w:tcW w:w="1780" w:type="dxa"/>
            <w:shd w:val="clear" w:color="auto" w:fill="auto"/>
            <w:tcMar>
              <w:left w:w="0" w:type="dxa"/>
            </w:tcMar>
          </w:tcPr>
          <w:p w14:paraId="23DF706B" w14:textId="77777777" w:rsidR="00780BF0" w:rsidRDefault="00780BF0" w:rsidP="00780BF0">
            <w:pPr>
              <w:pStyle w:val="Marginlie"/>
            </w:pPr>
            <w:r>
              <w:t xml:space="preserve">Míra zadlužení sektoru vládních institucí v zemích EU naopak </w:t>
            </w:r>
            <w:r>
              <w:lastRenderedPageBreak/>
              <w:t xml:space="preserve">stále klesala a na konci roku 2022 byla nejnižší od propuknutí pandemie. </w:t>
            </w:r>
          </w:p>
          <w:p w14:paraId="4DE88FDD" w14:textId="77777777" w:rsidR="00780BF0" w:rsidRDefault="00780BF0" w:rsidP="00780BF0">
            <w:pPr>
              <w:pStyle w:val="Marginlie"/>
            </w:pPr>
          </w:p>
          <w:p w14:paraId="6DE3E6B3" w14:textId="77777777" w:rsidR="00780BF0" w:rsidRDefault="00780BF0" w:rsidP="00780BF0">
            <w:pPr>
              <w:pStyle w:val="Marginlie"/>
            </w:pPr>
          </w:p>
          <w:p w14:paraId="5B1663ED" w14:textId="77777777" w:rsidR="00780BF0" w:rsidRDefault="00780BF0" w:rsidP="00780BF0">
            <w:pPr>
              <w:pStyle w:val="Marginlie"/>
            </w:pPr>
          </w:p>
          <w:p w14:paraId="05046187" w14:textId="77777777" w:rsidR="00780BF0" w:rsidRDefault="00780BF0" w:rsidP="00780BF0">
            <w:pPr>
              <w:pStyle w:val="Marginlie"/>
            </w:pPr>
          </w:p>
          <w:p w14:paraId="141E3723" w14:textId="77777777" w:rsidR="00780BF0" w:rsidRDefault="00780BF0" w:rsidP="00780BF0">
            <w:pPr>
              <w:pStyle w:val="Marginlie"/>
            </w:pPr>
          </w:p>
          <w:p w14:paraId="6635EAF1" w14:textId="77777777" w:rsidR="00780BF0" w:rsidRDefault="00780BF0" w:rsidP="00780BF0">
            <w:pPr>
              <w:pStyle w:val="Marginlie"/>
            </w:pPr>
          </w:p>
          <w:p w14:paraId="3D83065A" w14:textId="77777777" w:rsidR="00780BF0" w:rsidRDefault="00780BF0" w:rsidP="00780BF0">
            <w:pPr>
              <w:pStyle w:val="Marginlie"/>
            </w:pPr>
          </w:p>
          <w:p w14:paraId="66978CA0" w14:textId="77777777" w:rsidR="00780BF0" w:rsidRDefault="00780BF0" w:rsidP="00780BF0">
            <w:pPr>
              <w:pStyle w:val="Marginlie"/>
            </w:pPr>
          </w:p>
          <w:p w14:paraId="5EFABF79" w14:textId="77777777" w:rsidR="00780BF0" w:rsidRDefault="00780BF0" w:rsidP="00780BF0">
            <w:pPr>
              <w:pStyle w:val="Marginlie"/>
            </w:pPr>
            <w:r>
              <w:t>V ČR meziroční růst míry zadlužení přetrvával. Oproti minimu z poslední konjunktury bylo zadlužení vyšší o více než 14 p. b.</w:t>
            </w:r>
          </w:p>
          <w:p w14:paraId="0F363EED" w14:textId="77777777" w:rsidR="00780BF0" w:rsidRDefault="00780BF0" w:rsidP="00780BF0">
            <w:pPr>
              <w:pStyle w:val="Marginlie"/>
            </w:pPr>
          </w:p>
        </w:tc>
        <w:tc>
          <w:tcPr>
            <w:tcW w:w="219" w:type="dxa"/>
            <w:shd w:val="clear" w:color="auto" w:fill="auto"/>
            <w:tcMar>
              <w:left w:w="0" w:type="dxa"/>
            </w:tcMar>
          </w:tcPr>
          <w:p w14:paraId="2F18C511" w14:textId="77777777" w:rsidR="00780BF0" w:rsidRDefault="00780BF0" w:rsidP="00780BF0">
            <w:pPr>
              <w:pStyle w:val="Textpoznpodarou"/>
              <w:jc w:val="both"/>
              <w:rPr>
                <w:spacing w:val="-4"/>
              </w:rPr>
            </w:pPr>
          </w:p>
        </w:tc>
        <w:tc>
          <w:tcPr>
            <w:tcW w:w="7670" w:type="dxa"/>
            <w:shd w:val="clear" w:color="auto" w:fill="auto"/>
            <w:tcMar>
              <w:left w:w="0" w:type="dxa"/>
            </w:tcMar>
          </w:tcPr>
          <w:p w14:paraId="644CF524" w14:textId="420AC47F" w:rsidR="00780BF0" w:rsidRDefault="00780BF0" w:rsidP="00780BF0">
            <w:pPr>
              <w:spacing w:after="200"/>
              <w:rPr>
                <w:spacing w:val="-4"/>
                <w:sz w:val="14"/>
                <w:szCs w:val="14"/>
              </w:rPr>
            </w:pPr>
            <w:r>
              <w:rPr>
                <w:color w:val="0D0D0D" w:themeColor="text1" w:themeTint="F2"/>
                <w:spacing w:val="-4"/>
              </w:rPr>
              <w:t xml:space="preserve">I přes zhoršení deficitu hospodaření sektoru VI v řadě evropských zemí se míra zadlužení v celé EU dále snižovala. Ve 4. čtvrtletí 2022 dosáhla rovných 84 % HDP a byla tak nejnižší </w:t>
            </w:r>
            <w:r>
              <w:rPr>
                <w:color w:val="0D0D0D" w:themeColor="text1" w:themeTint="F2"/>
                <w:spacing w:val="-4"/>
              </w:rPr>
              <w:lastRenderedPageBreak/>
              <w:t xml:space="preserve">od počátku pandemie. V Česku činilo zadlužení sektoru VI na konci loňského roku 44,1 % HDP, oproti předchozímu kvartálu se mírně snížilo, o 1 p. b. (výhradně vlivem nominálního růstu HDP). Meziročně se ovšem míra zadlužení v tuzemsku zvýšila (+2,1 p. b.), podobný negativní trend byl mezi členskými státy EU patrný pouze v případě malých a minimálně zadlužených ekonomik Estonska i Lucemburska a dále též ve Finsku. V EU se ve shodném období míra zadlužení sektoru VI snížila (o rovná 4 p. b.), největší pozitivní posun (o více než </w:t>
            </w:r>
            <w:proofErr w:type="gramStart"/>
            <w:r>
              <w:rPr>
                <w:color w:val="0D0D0D" w:themeColor="text1" w:themeTint="F2"/>
                <w:spacing w:val="-4"/>
              </w:rPr>
              <w:t>10 p .b.) zaznamenaly</w:t>
            </w:r>
            <w:proofErr w:type="gramEnd"/>
            <w:r>
              <w:rPr>
                <w:color w:val="0D0D0D" w:themeColor="text1" w:themeTint="F2"/>
                <w:spacing w:val="-4"/>
              </w:rPr>
              <w:t xml:space="preserve"> některé vysoce zadlužené státy (Řecko, Portugalsko, Kypr), ale </w:t>
            </w:r>
            <w:r w:rsidR="00FD4372">
              <w:rPr>
                <w:color w:val="0D0D0D" w:themeColor="text1" w:themeTint="F2"/>
                <w:spacing w:val="-4"/>
              </w:rPr>
              <w:t xml:space="preserve">také </w:t>
            </w:r>
            <w:r>
              <w:rPr>
                <w:color w:val="0D0D0D" w:themeColor="text1" w:themeTint="F2"/>
                <w:spacing w:val="-4"/>
              </w:rPr>
              <w:t xml:space="preserve">některé země s lepším stavem veřejných financí (Chorvatsko, Irsko). Naopak jen minimální zlepšení nastalo např. ve Francii (zadlužení zde stále přesahovalo 110 % HDP). Ve srovnání s minimální úrovní z posledního konjukturního období (2015 až 2019) byla na konci loňského roku míra zadlužení v EU vyšší o </w:t>
            </w:r>
            <w:proofErr w:type="gramStart"/>
            <w:r>
              <w:rPr>
                <w:color w:val="0D0D0D" w:themeColor="text1" w:themeTint="F2"/>
                <w:spacing w:val="-4"/>
              </w:rPr>
              <w:t>6,3 p .b., v zemích</w:t>
            </w:r>
            <w:proofErr w:type="gramEnd"/>
            <w:r>
              <w:rPr>
                <w:color w:val="0D0D0D" w:themeColor="text1" w:themeTint="F2"/>
                <w:spacing w:val="-4"/>
              </w:rPr>
              <w:t xml:space="preserve"> současné eurozóny o 7,5 p. b. Horší tendenci než Česko (+14,1 p. b.) vykázaly již pouze Španělsko (+15 p. b.) a Francie (+16 p. b.). Naopak pod „</w:t>
            </w:r>
            <w:proofErr w:type="spellStart"/>
            <w:r>
              <w:rPr>
                <w:color w:val="0D0D0D" w:themeColor="text1" w:themeTint="F2"/>
                <w:spacing w:val="-4"/>
              </w:rPr>
              <w:t>předpandemickou</w:t>
            </w:r>
            <w:proofErr w:type="spellEnd"/>
            <w:r>
              <w:rPr>
                <w:color w:val="0D0D0D" w:themeColor="text1" w:themeTint="F2"/>
                <w:spacing w:val="-4"/>
              </w:rPr>
              <w:t xml:space="preserve">“ úroveň zadlužení se již stačily vedle některých tradičně rozpočtově </w:t>
            </w:r>
            <w:r w:rsidRPr="004828DA">
              <w:rPr>
                <w:color w:val="0D0D0D" w:themeColor="text1" w:themeTint="F2"/>
                <w:spacing w:val="-5"/>
              </w:rPr>
              <w:t>disciplinovaných zemí (Švédsko, Dánsko) dostat také Irsko, Chorvatsko, Kypr a Portugalsko.</w:t>
            </w:r>
          </w:p>
        </w:tc>
      </w:tr>
    </w:tbl>
    <w:p w14:paraId="401E4657" w14:textId="77777777" w:rsidR="004A3BE4" w:rsidRPr="001C3855" w:rsidRDefault="004A3BE4" w:rsidP="004A3BE4">
      <w:pPr>
        <w:pStyle w:val="Nadpis11"/>
        <w:rPr>
          <w:sz w:val="2"/>
          <w:szCs w:val="2"/>
        </w:rPr>
      </w:pPr>
    </w:p>
    <w:p w14:paraId="6D687C14" w14:textId="50D73027" w:rsidR="001C3855" w:rsidRPr="001C3855" w:rsidRDefault="001C3855" w:rsidP="00C15537">
      <w:pPr>
        <w:pStyle w:val="Nadpis11"/>
        <w:rPr>
          <w:sz w:val="2"/>
          <w:szCs w:val="2"/>
        </w:rPr>
      </w:pPr>
    </w:p>
    <w:sectPr w:rsidR="001C3855" w:rsidRPr="001C3855" w:rsidSect="00A03B10">
      <w:headerReference w:type="even" r:id="rId36"/>
      <w:headerReference w:type="default" r:id="rId37"/>
      <w:footerReference w:type="even" r:id="rId38"/>
      <w:footerReference w:type="default" r:id="rId39"/>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34313" w14:textId="77777777" w:rsidR="00642338" w:rsidRDefault="00642338" w:rsidP="00E71A58">
      <w:r>
        <w:separator/>
      </w:r>
    </w:p>
  </w:endnote>
  <w:endnote w:type="continuationSeparator" w:id="0">
    <w:p w14:paraId="5FA1B3F8" w14:textId="77777777" w:rsidR="00642338" w:rsidRDefault="0064233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D652EB" w14:paraId="6989D3A2" w14:textId="77777777" w:rsidTr="7059F910">
      <w:trPr>
        <w:trHeight w:val="300"/>
      </w:trPr>
      <w:tc>
        <w:tcPr>
          <w:tcW w:w="3210" w:type="dxa"/>
        </w:tcPr>
        <w:p w14:paraId="6590D2C6" w14:textId="074A4A49" w:rsidR="00D652EB" w:rsidRDefault="00D652EB" w:rsidP="7059F910">
          <w:pPr>
            <w:pStyle w:val="Zhlav"/>
            <w:ind w:left="-115"/>
          </w:pPr>
        </w:p>
      </w:tc>
      <w:tc>
        <w:tcPr>
          <w:tcW w:w="3210" w:type="dxa"/>
        </w:tcPr>
        <w:p w14:paraId="5B278884" w14:textId="26249C98" w:rsidR="00D652EB" w:rsidRDefault="00D652EB" w:rsidP="7059F910">
          <w:pPr>
            <w:pStyle w:val="Zhlav"/>
            <w:jc w:val="center"/>
          </w:pPr>
        </w:p>
      </w:tc>
      <w:tc>
        <w:tcPr>
          <w:tcW w:w="3210" w:type="dxa"/>
        </w:tcPr>
        <w:p w14:paraId="350DA2AE" w14:textId="68DB72F9" w:rsidR="00D652EB" w:rsidRDefault="00D652EB" w:rsidP="7059F910">
          <w:pPr>
            <w:pStyle w:val="Zhlav"/>
            <w:ind w:right="-115"/>
            <w:jc w:val="right"/>
          </w:pPr>
        </w:p>
      </w:tc>
    </w:tr>
  </w:tbl>
  <w:p w14:paraId="2D671E04" w14:textId="65A29983" w:rsidR="00D652EB" w:rsidRDefault="00D652EB" w:rsidP="7059F9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D652EB" w14:paraId="5BC8A3D5" w14:textId="77777777" w:rsidTr="7059F910">
      <w:trPr>
        <w:trHeight w:val="300"/>
      </w:trPr>
      <w:tc>
        <w:tcPr>
          <w:tcW w:w="3210" w:type="dxa"/>
        </w:tcPr>
        <w:p w14:paraId="4C3FABBA" w14:textId="5B17EC4C" w:rsidR="00D652EB" w:rsidRDefault="00D652EB" w:rsidP="7059F910">
          <w:pPr>
            <w:pStyle w:val="Zhlav"/>
            <w:ind w:left="-115"/>
          </w:pPr>
        </w:p>
      </w:tc>
      <w:tc>
        <w:tcPr>
          <w:tcW w:w="3210" w:type="dxa"/>
        </w:tcPr>
        <w:p w14:paraId="2F6BA66C" w14:textId="3E0E9ADE" w:rsidR="00D652EB" w:rsidRDefault="00D652EB" w:rsidP="7059F910">
          <w:pPr>
            <w:pStyle w:val="Zhlav"/>
            <w:jc w:val="center"/>
          </w:pPr>
        </w:p>
      </w:tc>
      <w:tc>
        <w:tcPr>
          <w:tcW w:w="3210" w:type="dxa"/>
        </w:tcPr>
        <w:p w14:paraId="376513CE" w14:textId="29DADE64" w:rsidR="00D652EB" w:rsidRDefault="00D652EB" w:rsidP="7059F910">
          <w:pPr>
            <w:pStyle w:val="Zhlav"/>
            <w:ind w:right="-115"/>
            <w:jc w:val="right"/>
          </w:pPr>
        </w:p>
      </w:tc>
    </w:tr>
  </w:tbl>
  <w:p w14:paraId="02DCEB25" w14:textId="79ED3BB1" w:rsidR="00D652EB" w:rsidRDefault="00D652EB" w:rsidP="7059F9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2CEA1B5C" w:rsidR="00D652EB" w:rsidRPr="00932443" w:rsidRDefault="00D652EB"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7C1A03">
      <w:rPr>
        <w:szCs w:val="16"/>
      </w:rPr>
      <w:t>4</w:t>
    </w:r>
    <w:r w:rsidRPr="00932443">
      <w:rPr>
        <w:szCs w:val="16"/>
      </w:rPr>
      <w:fldChar w:fldCharType="end"/>
    </w:r>
    <w:r w:rsidRPr="00932443">
      <w:rPr>
        <w:szCs w:val="16"/>
      </w:rPr>
      <w:tab/>
    </w:r>
    <w:r>
      <w:rPr>
        <w:szCs w:val="16"/>
      </w:rPr>
      <w:t>1. čtvrtletí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414D0C90" w:rsidR="00D652EB" w:rsidRPr="00932443" w:rsidRDefault="00D652EB" w:rsidP="00FA6CB6">
    <w:pPr>
      <w:pStyle w:val="Zpat"/>
      <w:rPr>
        <w:szCs w:val="16"/>
      </w:rPr>
    </w:pPr>
    <w:r w:rsidRPr="00FA6CB6">
      <w:rPr>
        <w:szCs w:val="16"/>
      </w:rPr>
      <w:tab/>
    </w:r>
    <w:r>
      <w:rPr>
        <w:szCs w:val="16"/>
      </w:rPr>
      <w:t>1. čtvrtletí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C1A03">
      <w:rPr>
        <w:rStyle w:val="ZpatChar"/>
        <w:szCs w:val="16"/>
      </w:rPr>
      <w:t>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E8119" w14:textId="77777777" w:rsidR="00642338" w:rsidRDefault="00642338" w:rsidP="00A21B4D">
      <w:pPr>
        <w:spacing w:after="0"/>
      </w:pPr>
      <w:r>
        <w:separator/>
      </w:r>
    </w:p>
  </w:footnote>
  <w:footnote w:type="continuationSeparator" w:id="0">
    <w:p w14:paraId="1C0832F0" w14:textId="77777777" w:rsidR="00642338" w:rsidRDefault="00642338" w:rsidP="00E71A58">
      <w:r>
        <w:continuationSeparator/>
      </w:r>
    </w:p>
  </w:footnote>
  <w:footnote w:id="1">
    <w:p w14:paraId="24F28381" w14:textId="77777777" w:rsidR="00D652EB" w:rsidRDefault="00D652EB" w:rsidP="00993ECA">
      <w:pPr>
        <w:pStyle w:val="Textpoznpodarou"/>
        <w:rPr>
          <w:spacing w:val="-2"/>
          <w:sz w:val="16"/>
          <w:szCs w:val="16"/>
        </w:rPr>
      </w:pPr>
      <w:r>
        <w:rPr>
          <w:rStyle w:val="Znakapoznpodarou"/>
          <w:spacing w:val="-2"/>
          <w:sz w:val="16"/>
          <w:szCs w:val="16"/>
        </w:rPr>
        <w:footnoteRef/>
      </w:r>
      <w:r>
        <w:rPr>
          <w:spacing w:val="-2"/>
          <w:sz w:val="16"/>
          <w:szCs w:val="16"/>
        </w:rPr>
        <w:t xml:space="preserve"> Data o HDP, hrubé přidané hodnotě a jejich složkách jsou vyjádřena ve stálých cenách a v očištění o sezónní a kalendářní vlivy.</w:t>
      </w:r>
    </w:p>
  </w:footnote>
  <w:footnote w:id="2">
    <w:p w14:paraId="06ABA1BE" w14:textId="77777777" w:rsidR="00D652EB" w:rsidRDefault="00D652EB" w:rsidP="00993ECA">
      <w:pPr>
        <w:pStyle w:val="Textpoznpodarou"/>
        <w:rPr>
          <w:sz w:val="16"/>
          <w:szCs w:val="16"/>
        </w:rPr>
      </w:pPr>
      <w:r>
        <w:rPr>
          <w:rStyle w:val="Znakapoznpodarou"/>
          <w:sz w:val="16"/>
          <w:szCs w:val="16"/>
        </w:rPr>
        <w:footnoteRef/>
      </w:r>
      <w:r>
        <w:rPr>
          <w:sz w:val="16"/>
          <w:szCs w:val="16"/>
        </w:rPr>
        <w:t xml:space="preserve"> Podle metodiky čtvrtletních národních účtů (vývoz a dovoz v ocenění FOB/FOB).</w:t>
      </w:r>
    </w:p>
  </w:footnote>
  <w:footnote w:id="3">
    <w:p w14:paraId="01689A25" w14:textId="77777777" w:rsidR="00D652EB" w:rsidRDefault="00D652EB" w:rsidP="00993ECA">
      <w:pPr>
        <w:pStyle w:val="Textpoznpodarou"/>
        <w:jc w:val="both"/>
        <w:rPr>
          <w:sz w:val="16"/>
          <w:szCs w:val="16"/>
        </w:rPr>
      </w:pPr>
      <w:r>
        <w:rPr>
          <w:rStyle w:val="Znakapoznpodarou"/>
          <w:spacing w:val="-2"/>
          <w:sz w:val="16"/>
          <w:szCs w:val="16"/>
        </w:rPr>
        <w:footnoteRef/>
      </w:r>
      <w:r>
        <w:rPr>
          <w:spacing w:val="-2"/>
          <w:sz w:val="16"/>
          <w:szCs w:val="16"/>
        </w:rPr>
        <w:t xml:space="preserve"> Údaje o zaměstnanosti jsou uvedeny v pojetí národních účtů a očištěny o sezónní vlivy.</w:t>
      </w:r>
    </w:p>
  </w:footnote>
  <w:footnote w:id="4">
    <w:p w14:paraId="5E5A6E3B" w14:textId="77777777" w:rsidR="00D652EB" w:rsidRPr="000348AF" w:rsidRDefault="00D652EB" w:rsidP="004E1DB2">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platné k </w:t>
      </w:r>
      <w:r>
        <w:rPr>
          <w:sz w:val="16"/>
          <w:szCs w:val="16"/>
        </w:rPr>
        <w:t>30</w:t>
      </w:r>
      <w:r w:rsidRPr="000348AF">
        <w:rPr>
          <w:sz w:val="16"/>
          <w:szCs w:val="16"/>
        </w:rPr>
        <w:t>. </w:t>
      </w:r>
      <w:r>
        <w:rPr>
          <w:sz w:val="16"/>
          <w:szCs w:val="16"/>
        </w:rPr>
        <w:t>5</w:t>
      </w:r>
      <w:r w:rsidRPr="000348AF">
        <w:rPr>
          <w:sz w:val="16"/>
          <w:szCs w:val="16"/>
        </w:rPr>
        <w:t>. 202</w:t>
      </w:r>
      <w:r>
        <w:rPr>
          <w:sz w:val="16"/>
          <w:szCs w:val="16"/>
        </w:rPr>
        <w:t>3</w:t>
      </w:r>
      <w:r w:rsidRPr="000348AF">
        <w:rPr>
          <w:sz w:val="16"/>
          <w:szCs w:val="16"/>
        </w:rPr>
        <w:t>.</w:t>
      </w:r>
    </w:p>
  </w:footnote>
  <w:footnote w:id="5">
    <w:p w14:paraId="18464E22" w14:textId="77777777" w:rsidR="00D652EB" w:rsidRDefault="00D652EB" w:rsidP="004E1DB2">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6">
    <w:p w14:paraId="5C3033A9" w14:textId="77777777" w:rsidR="00D652EB" w:rsidRPr="005F75B1" w:rsidRDefault="00D652EB" w:rsidP="004E1DB2">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7">
    <w:p w14:paraId="403AB4E9" w14:textId="77777777" w:rsidR="00D652EB" w:rsidRPr="0053191D" w:rsidRDefault="00D652EB" w:rsidP="004E1DB2">
      <w:pPr>
        <w:pStyle w:val="Textpoznpodarou"/>
        <w:rPr>
          <w:sz w:val="16"/>
          <w:szCs w:val="16"/>
        </w:rPr>
      </w:pPr>
      <w:r w:rsidRPr="0053191D">
        <w:rPr>
          <w:rStyle w:val="Znakapoznpodarou"/>
          <w:sz w:val="16"/>
          <w:szCs w:val="16"/>
        </w:rPr>
        <w:footnoteRef/>
      </w:r>
      <w:r w:rsidRPr="0053191D">
        <w:rPr>
          <w:sz w:val="16"/>
          <w:szCs w:val="16"/>
        </w:rPr>
        <w:t xml:space="preserve"> Tato sekce zahrnuje činnosti organizací sdružujících osoby za účelem prosazování společných zájmů, opravy počítačů a výrobků pro osobní potřebu a převážně pro domácnost a řadu jiných osobních služeb</w:t>
      </w:r>
      <w:r>
        <w:rPr>
          <w:sz w:val="16"/>
          <w:szCs w:val="16"/>
        </w:rPr>
        <w:t xml:space="preserve"> (kosmetické, kadeřnické apod.).</w:t>
      </w:r>
    </w:p>
  </w:footnote>
  <w:footnote w:id="8">
    <w:p w14:paraId="273B124E" w14:textId="77777777" w:rsidR="00D652EB" w:rsidRPr="00771972" w:rsidRDefault="00D652EB" w:rsidP="004E1DB2">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9">
    <w:p w14:paraId="203A1500" w14:textId="77777777" w:rsidR="00D652EB" w:rsidRPr="009C6EA8" w:rsidRDefault="00D652EB" w:rsidP="004E1DB2">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10">
    <w:p w14:paraId="6F447298" w14:textId="77777777" w:rsidR="00D652EB" w:rsidRPr="00954992" w:rsidRDefault="00D652EB" w:rsidP="004E1DB2">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w:t>
      </w:r>
      <w:r>
        <w:rPr>
          <w:sz w:val="16"/>
          <w:szCs w:val="16"/>
        </w:rPr>
        <w:t>.</w:t>
      </w:r>
    </w:p>
  </w:footnote>
  <w:footnote w:id="11">
    <w:p w14:paraId="2FED2A01" w14:textId="77777777" w:rsidR="00D652EB" w:rsidRPr="004831F6" w:rsidRDefault="00D652EB" w:rsidP="004E1DB2">
      <w:pPr>
        <w:pStyle w:val="Textpoznpodarou"/>
        <w:rPr>
          <w:sz w:val="16"/>
          <w:szCs w:val="16"/>
        </w:rPr>
      </w:pPr>
      <w:r w:rsidRPr="004831F6">
        <w:rPr>
          <w:rStyle w:val="Znakapoznpodarou"/>
          <w:sz w:val="16"/>
          <w:szCs w:val="16"/>
        </w:rPr>
        <w:footnoteRef/>
      </w:r>
      <w:r w:rsidRPr="004831F6">
        <w:rPr>
          <w:sz w:val="16"/>
          <w:szCs w:val="16"/>
        </w:rPr>
        <w:t xml:space="preserve"> Změna zásob</w:t>
      </w:r>
      <w:r>
        <w:rPr>
          <w:sz w:val="16"/>
          <w:szCs w:val="16"/>
        </w:rPr>
        <w:t xml:space="preserve"> (v běžných cenách a sezónně neočištěná)</w:t>
      </w:r>
      <w:r w:rsidRPr="004831F6">
        <w:rPr>
          <w:sz w:val="16"/>
          <w:szCs w:val="16"/>
        </w:rPr>
        <w:t xml:space="preserve"> dosáhla</w:t>
      </w:r>
      <w:r>
        <w:rPr>
          <w:sz w:val="16"/>
          <w:szCs w:val="16"/>
        </w:rPr>
        <w:t xml:space="preserve"> loni v 1. čtvrtletí 74,1 mld. korun. Zásoby se pak v průběhu roku ještě zvyšovaly pod vlivem rostoucích zásob nedokončené produkce a součástek pro průmyslovou výrobu, zásobení plynem i zásob zboží v maloobchodě. V letošním 1. čtvrtletí změna zásob dosáhla 43,2 mld. korun.</w:t>
      </w:r>
    </w:p>
  </w:footnote>
  <w:footnote w:id="12">
    <w:p w14:paraId="38713AB6" w14:textId="77777777" w:rsidR="00D652EB" w:rsidRPr="00167B30" w:rsidRDefault="00D652EB" w:rsidP="004E1DB2">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 xml:space="preserve">. Bilance zahraničního obchodu v běžných cenách </w:t>
      </w:r>
      <w:r>
        <w:rPr>
          <w:sz w:val="16"/>
          <w:szCs w:val="16"/>
        </w:rPr>
        <w:br/>
        <w:t>a po sezónním očištění.</w:t>
      </w:r>
    </w:p>
  </w:footnote>
  <w:footnote w:id="13">
    <w:p w14:paraId="3904A959" w14:textId="77777777" w:rsidR="00D652EB" w:rsidRPr="007163BD" w:rsidRDefault="00D652EB" w:rsidP="009360FA">
      <w:pPr>
        <w:pStyle w:val="Textpoznpodarou"/>
        <w:jc w:val="both"/>
        <w:rPr>
          <w:rFonts w:cs="Arial"/>
          <w:color w:val="0D0D0D" w:themeColor="text1" w:themeTint="F2"/>
          <w:spacing w:val="-2"/>
          <w:sz w:val="16"/>
          <w:szCs w:val="16"/>
        </w:rPr>
      </w:pPr>
      <w:r w:rsidRPr="007163BD">
        <w:rPr>
          <w:rStyle w:val="Znakapoznpodarou"/>
          <w:rFonts w:cs="Arial"/>
          <w:color w:val="0D0D0D" w:themeColor="text1" w:themeTint="F2"/>
          <w:spacing w:val="-2"/>
          <w:sz w:val="16"/>
          <w:szCs w:val="16"/>
        </w:rPr>
        <w:footnoteRef/>
      </w:r>
      <w:r w:rsidRPr="007163BD">
        <w:rPr>
          <w:rFonts w:cs="Arial"/>
          <w:color w:val="0D0D0D" w:themeColor="text1" w:themeTint="F2"/>
          <w:spacing w:val="-2"/>
          <w:sz w:val="16"/>
          <w:szCs w:val="16"/>
        </w:rPr>
        <w:t xml:space="preserve"> Údaje o HPH jsou vyjádřeny ve stálých cenách a v očištění o sezónní a kalendářní vlivy.</w:t>
      </w:r>
    </w:p>
  </w:footnote>
  <w:footnote w:id="14">
    <w:p w14:paraId="02E19925" w14:textId="77777777" w:rsidR="00D652EB" w:rsidRPr="008C2F46" w:rsidRDefault="00D652EB" w:rsidP="009360FA">
      <w:pPr>
        <w:pStyle w:val="Textpoznpodarou"/>
        <w:rPr>
          <w:spacing w:val="-2"/>
          <w:sz w:val="16"/>
          <w:szCs w:val="16"/>
        </w:rPr>
      </w:pPr>
      <w:r w:rsidRPr="008C2F46">
        <w:rPr>
          <w:rStyle w:val="Znakapoznpodarou"/>
          <w:spacing w:val="-2"/>
          <w:sz w:val="16"/>
          <w:szCs w:val="16"/>
        </w:rPr>
        <w:footnoteRef/>
      </w:r>
      <w:r w:rsidRPr="008C2F46">
        <w:rPr>
          <w:spacing w:val="-2"/>
          <w:sz w:val="16"/>
          <w:szCs w:val="16"/>
        </w:rPr>
        <w:t xml:space="preserve"> V živočišné výrobě pokračoval pokles fyzické výroby masa na jatkách (jenž nastal loni v celém masném segmentu), hlavně u vepřového masa (v důsledku nižších stavů prasat ve výkrmu i snížením průměrné porážk</w:t>
      </w:r>
      <w:r>
        <w:rPr>
          <w:spacing w:val="-2"/>
          <w:sz w:val="16"/>
          <w:szCs w:val="16"/>
        </w:rPr>
        <w:t>ové hmotnosti). Naopak situace v</w:t>
      </w:r>
      <w:r w:rsidRPr="008C2F46">
        <w:rPr>
          <w:spacing w:val="-2"/>
          <w:sz w:val="16"/>
          <w:szCs w:val="16"/>
        </w:rPr>
        <w:t xml:space="preserve">e výrobě hovězího </w:t>
      </w:r>
      <w:r>
        <w:rPr>
          <w:spacing w:val="-2"/>
          <w:sz w:val="16"/>
          <w:szCs w:val="16"/>
        </w:rPr>
        <w:br/>
        <w:t>a</w:t>
      </w:r>
      <w:r w:rsidRPr="008C2F46">
        <w:rPr>
          <w:spacing w:val="-2"/>
          <w:sz w:val="16"/>
          <w:szCs w:val="16"/>
        </w:rPr>
        <w:t xml:space="preserve"> drůbežího masa byla stabilizovaná. Hrubá tuzemská produkce hovězího i drůbežího meziročně nepatrně vzrostla, zároveň se ale prohloubil schodek pohybu přes hranice ČR s těmito druhy masa. U vepřového se hluboký schodek obchodu meziročně zmírnil, došlo </w:t>
      </w:r>
      <w:r>
        <w:rPr>
          <w:spacing w:val="-2"/>
          <w:sz w:val="16"/>
          <w:szCs w:val="16"/>
        </w:rPr>
        <w:br/>
      </w:r>
      <w:r w:rsidRPr="008C2F46">
        <w:rPr>
          <w:spacing w:val="-2"/>
          <w:sz w:val="16"/>
          <w:szCs w:val="16"/>
        </w:rPr>
        <w:t>k poklesu vývozu i dovozu. Pokračoval trend mírného růstu nákupů fyzického množství mléka (od tuzemských producentů). Živočišnou výrobu sužovaly dopady silného růstu nákladů (krmiv, energií) i důsledky šíření chorob zvířat, což se projevovalo klesající rentabilitou chovů.</w:t>
      </w:r>
    </w:p>
  </w:footnote>
  <w:footnote w:id="15">
    <w:p w14:paraId="23BCE3CE" w14:textId="77777777" w:rsidR="00D652EB" w:rsidRPr="008C2F46" w:rsidRDefault="00D652EB" w:rsidP="009360FA">
      <w:pPr>
        <w:spacing w:after="0" w:line="240" w:lineRule="auto"/>
        <w:rPr>
          <w:rFonts w:cs="Arial"/>
          <w:color w:val="0D0D0D" w:themeColor="text1" w:themeTint="F2"/>
          <w:spacing w:val="-4"/>
          <w:sz w:val="16"/>
          <w:szCs w:val="16"/>
        </w:rPr>
      </w:pPr>
      <w:r w:rsidRPr="008C2F46">
        <w:rPr>
          <w:rStyle w:val="Znakapoznpodarou"/>
          <w:spacing w:val="-4"/>
          <w:sz w:val="16"/>
          <w:szCs w:val="16"/>
        </w:rPr>
        <w:footnoteRef/>
      </w:r>
      <w:r w:rsidRPr="008C2F46">
        <w:rPr>
          <w:spacing w:val="-4"/>
          <w:sz w:val="16"/>
          <w:szCs w:val="16"/>
        </w:rPr>
        <w:t xml:space="preserve"> </w:t>
      </w:r>
      <w:r w:rsidRPr="008C2F46">
        <w:rPr>
          <w:rFonts w:cs="Arial"/>
          <w:color w:val="0D0D0D" w:themeColor="text1" w:themeTint="F2"/>
          <w:spacing w:val="-4"/>
          <w:sz w:val="16"/>
          <w:szCs w:val="16"/>
        </w:rPr>
        <w:t>Zahrnuje odvětví těžby a dobývání, zpracovatelského průmyslu a také energetiky (zde pojímané jako odvětví výroby a rozvodu elektřiny, plynu, tepla a klimatizovaného vzduchu). Všechna meziroční tempa produkce jsou očištěna o kalendářní vlivy, mezičtvrtletní tempa i o vliv sezónnosti.</w:t>
      </w:r>
    </w:p>
  </w:footnote>
  <w:footnote w:id="16">
    <w:p w14:paraId="207C14A1" w14:textId="77777777" w:rsidR="00D652EB" w:rsidRPr="00AF5F38" w:rsidRDefault="00D652EB" w:rsidP="009360FA">
      <w:pPr>
        <w:pStyle w:val="Textpoznpodarou"/>
        <w:rPr>
          <w:sz w:val="16"/>
          <w:szCs w:val="16"/>
        </w:rPr>
      </w:pPr>
      <w:r w:rsidRPr="008C2F46">
        <w:rPr>
          <w:rStyle w:val="Znakapoznpodarou"/>
          <w:sz w:val="16"/>
          <w:szCs w:val="16"/>
        </w:rPr>
        <w:footnoteRef/>
      </w:r>
      <w:r w:rsidRPr="008C2F46">
        <w:rPr>
          <w:sz w:val="16"/>
          <w:szCs w:val="16"/>
        </w:rPr>
        <w:t xml:space="preserve"> Dle Sdružení</w:t>
      </w:r>
      <w:r w:rsidRPr="00033208">
        <w:rPr>
          <w:sz w:val="16"/>
          <w:szCs w:val="16"/>
        </w:rPr>
        <w:t xml:space="preserve"> automobilového pr</w:t>
      </w:r>
      <w:r>
        <w:rPr>
          <w:sz w:val="16"/>
          <w:szCs w:val="16"/>
        </w:rPr>
        <w:t xml:space="preserve">ůmyslu bylo letos </w:t>
      </w:r>
      <w:r w:rsidRPr="00033208">
        <w:rPr>
          <w:sz w:val="16"/>
          <w:szCs w:val="16"/>
        </w:rPr>
        <w:t xml:space="preserve">v Česku </w:t>
      </w:r>
      <w:r>
        <w:rPr>
          <w:sz w:val="16"/>
          <w:szCs w:val="16"/>
        </w:rPr>
        <w:t>od ledna do dubna</w:t>
      </w:r>
      <w:r w:rsidRPr="00033208">
        <w:rPr>
          <w:sz w:val="16"/>
          <w:szCs w:val="16"/>
        </w:rPr>
        <w:t xml:space="preserve"> </w:t>
      </w:r>
      <w:r>
        <w:rPr>
          <w:sz w:val="16"/>
          <w:szCs w:val="16"/>
        </w:rPr>
        <w:t>vyrobeno 464 tis. osobních automobilů (nejvíce v tomto období za poslední čtyři roky). Výroba meziročně posílila o 29 %, úrovně z rekordního roku 2018 však stále nedosahovala (o 6 %).</w:t>
      </w:r>
      <w:r w:rsidRPr="008C2F46">
        <w:rPr>
          <w:spacing w:val="-3"/>
          <w:sz w:val="16"/>
          <w:szCs w:val="16"/>
        </w:rPr>
        <w:t xml:space="preserve"> </w:t>
      </w:r>
      <w:r>
        <w:rPr>
          <w:spacing w:val="-3"/>
          <w:sz w:val="16"/>
          <w:szCs w:val="16"/>
        </w:rPr>
        <w:t>Již více než osmina vyrobených osobních automobilů</w:t>
      </w:r>
      <w:r w:rsidRPr="00E04667">
        <w:rPr>
          <w:spacing w:val="-3"/>
          <w:sz w:val="16"/>
          <w:szCs w:val="16"/>
        </w:rPr>
        <w:t xml:space="preserve"> </w:t>
      </w:r>
      <w:r>
        <w:rPr>
          <w:spacing w:val="-3"/>
          <w:sz w:val="16"/>
          <w:szCs w:val="16"/>
        </w:rPr>
        <w:t>připadala na elektrická vozidla (vč. vozů s</w:t>
      </w:r>
      <w:r w:rsidRPr="00E04667">
        <w:rPr>
          <w:spacing w:val="-3"/>
          <w:sz w:val="16"/>
          <w:szCs w:val="16"/>
        </w:rPr>
        <w:t xml:space="preserve"> hybridní</w:t>
      </w:r>
      <w:r>
        <w:rPr>
          <w:spacing w:val="-3"/>
          <w:sz w:val="16"/>
          <w:szCs w:val="16"/>
        </w:rPr>
        <w:t>m</w:t>
      </w:r>
      <w:r w:rsidRPr="00E04667">
        <w:rPr>
          <w:spacing w:val="-3"/>
          <w:sz w:val="16"/>
          <w:szCs w:val="16"/>
        </w:rPr>
        <w:t xml:space="preserve"> pohon</w:t>
      </w:r>
      <w:r>
        <w:rPr>
          <w:spacing w:val="-3"/>
          <w:sz w:val="16"/>
          <w:szCs w:val="16"/>
        </w:rPr>
        <w:t>em).</w:t>
      </w:r>
    </w:p>
  </w:footnote>
  <w:footnote w:id="17">
    <w:p w14:paraId="53303735" w14:textId="77777777" w:rsidR="00D652EB" w:rsidRPr="00975BF3" w:rsidRDefault="00D652EB" w:rsidP="009360FA">
      <w:pPr>
        <w:pStyle w:val="Textpoznpodarou"/>
        <w:rPr>
          <w:sz w:val="16"/>
          <w:szCs w:val="16"/>
        </w:rPr>
      </w:pPr>
      <w:r w:rsidRPr="00975BF3">
        <w:rPr>
          <w:rStyle w:val="Znakapoznpodarou"/>
          <w:sz w:val="16"/>
          <w:szCs w:val="16"/>
        </w:rPr>
        <w:footnoteRef/>
      </w:r>
      <w:r w:rsidRPr="00975BF3">
        <w:rPr>
          <w:sz w:val="16"/>
          <w:szCs w:val="16"/>
        </w:rPr>
        <w:t xml:space="preserve"> Dle předběžných údajů Energetického regulačního úřadu poklesla v 1. čtvrtletí 2023 celková čistá spotřeba elektřiny v ČR meziročně </w:t>
      </w:r>
      <w:r>
        <w:rPr>
          <w:sz w:val="16"/>
          <w:szCs w:val="16"/>
        </w:rPr>
        <w:br/>
      </w:r>
      <w:r w:rsidRPr="00975BF3">
        <w:rPr>
          <w:sz w:val="16"/>
          <w:szCs w:val="16"/>
        </w:rPr>
        <w:t>o 5,2</w:t>
      </w:r>
      <w:r>
        <w:rPr>
          <w:sz w:val="16"/>
          <w:szCs w:val="16"/>
        </w:rPr>
        <w:t xml:space="preserve"> %. K větším úsporám došlo </w:t>
      </w:r>
      <w:r w:rsidRPr="00975BF3">
        <w:rPr>
          <w:sz w:val="16"/>
          <w:szCs w:val="16"/>
        </w:rPr>
        <w:t xml:space="preserve">u plynu </w:t>
      </w:r>
      <w:r>
        <w:rPr>
          <w:sz w:val="16"/>
          <w:szCs w:val="16"/>
        </w:rPr>
        <w:t>–</w:t>
      </w:r>
      <w:r w:rsidRPr="00975BF3">
        <w:rPr>
          <w:sz w:val="16"/>
          <w:szCs w:val="16"/>
        </w:rPr>
        <w:t xml:space="preserve"> celkově o 13,2 %, po přepočtu na dlouhodobý teplotní normál o 10,8 %.</w:t>
      </w:r>
    </w:p>
  </w:footnote>
  <w:footnote w:id="18">
    <w:p w14:paraId="7BC2DA78" w14:textId="77777777" w:rsidR="00D652EB" w:rsidRPr="00F33536" w:rsidRDefault="00D652EB" w:rsidP="009360FA">
      <w:pPr>
        <w:pStyle w:val="Textpoznpodarou"/>
        <w:jc w:val="both"/>
        <w:rPr>
          <w:spacing w:val="-2"/>
          <w:sz w:val="16"/>
          <w:szCs w:val="16"/>
        </w:rPr>
      </w:pPr>
      <w:r w:rsidRPr="00F33536">
        <w:rPr>
          <w:rStyle w:val="Znakapoznpodarou"/>
          <w:spacing w:val="-2"/>
          <w:sz w:val="16"/>
          <w:szCs w:val="16"/>
        </w:rPr>
        <w:footnoteRef/>
      </w:r>
      <w:r w:rsidRPr="00F33536">
        <w:rPr>
          <w:spacing w:val="-2"/>
          <w:sz w:val="16"/>
          <w:szCs w:val="16"/>
        </w:rPr>
        <w:t xml:space="preserve"> </w:t>
      </w:r>
      <w:r>
        <w:rPr>
          <w:spacing w:val="-2"/>
          <w:sz w:val="16"/>
          <w:szCs w:val="16"/>
        </w:rPr>
        <w:t xml:space="preserve">Jde o tržby z průmyslové činnosti. </w:t>
      </w:r>
      <w:r w:rsidRPr="00F33536">
        <w:rPr>
          <w:rFonts w:cs="Arial"/>
          <w:color w:val="0D0D0D" w:themeColor="text1" w:themeTint="F2"/>
          <w:spacing w:val="-2"/>
          <w:sz w:val="16"/>
          <w:szCs w:val="16"/>
        </w:rPr>
        <w:t>Meziroční tempa tržeb jsou očištěna o kalendářní vlivy.</w:t>
      </w:r>
    </w:p>
  </w:footnote>
  <w:footnote w:id="19">
    <w:p w14:paraId="7D443536" w14:textId="77777777" w:rsidR="00D652EB" w:rsidRPr="00FB58F4" w:rsidRDefault="00D652EB" w:rsidP="009360FA">
      <w:pPr>
        <w:pStyle w:val="Textpoznpodarou"/>
        <w:jc w:val="both"/>
        <w:rPr>
          <w:rFonts w:cs="Arial"/>
          <w:color w:val="0D0D0D" w:themeColor="text1" w:themeTint="F2"/>
          <w:spacing w:val="-2"/>
          <w:sz w:val="16"/>
          <w:szCs w:val="16"/>
        </w:rPr>
      </w:pPr>
      <w:r w:rsidRPr="00F33536">
        <w:rPr>
          <w:rStyle w:val="Znakapoznpodarou"/>
          <w:rFonts w:cs="Arial"/>
          <w:color w:val="0D0D0D" w:themeColor="text1" w:themeTint="F2"/>
          <w:spacing w:val="-2"/>
          <w:sz w:val="16"/>
          <w:szCs w:val="16"/>
        </w:rPr>
        <w:footnoteRef/>
      </w:r>
      <w:r w:rsidRPr="00F33536">
        <w:rPr>
          <w:rFonts w:cs="Arial"/>
          <w:color w:val="0D0D0D" w:themeColor="text1" w:themeTint="F2"/>
          <w:spacing w:val="-2"/>
          <w:sz w:val="16"/>
          <w:szCs w:val="16"/>
        </w:rPr>
        <w:t xml:space="preserve"> Zjišťování zakázek probíhá jen ve dvanácti zpracovatelských odvětvích vyrábějících převážně na zakázku, s dlouhodobějším výrobním cyklem a s většími zásobami zakázek. Meziroční tempa zakázek j</w:t>
      </w:r>
      <w:r>
        <w:rPr>
          <w:rFonts w:cs="Arial"/>
          <w:color w:val="0D0D0D" w:themeColor="text1" w:themeTint="F2"/>
          <w:spacing w:val="-2"/>
          <w:sz w:val="16"/>
          <w:szCs w:val="16"/>
        </w:rPr>
        <w:t xml:space="preserve">sou očištěna o kalendářní vlivy, </w:t>
      </w:r>
      <w:proofErr w:type="spellStart"/>
      <w:r>
        <w:rPr>
          <w:rFonts w:cs="Arial"/>
          <w:color w:val="0D0D0D" w:themeColor="text1" w:themeTint="F2"/>
          <w:spacing w:val="-2"/>
          <w:sz w:val="16"/>
          <w:szCs w:val="16"/>
        </w:rPr>
        <w:t>mezikvartální</w:t>
      </w:r>
      <w:proofErr w:type="spellEnd"/>
      <w:r>
        <w:rPr>
          <w:rFonts w:cs="Arial"/>
          <w:color w:val="0D0D0D" w:themeColor="text1" w:themeTint="F2"/>
          <w:spacing w:val="-2"/>
          <w:sz w:val="16"/>
          <w:szCs w:val="16"/>
        </w:rPr>
        <w:t xml:space="preserve"> tempa také o vliv sezónnosti.</w:t>
      </w:r>
    </w:p>
  </w:footnote>
  <w:footnote w:id="20">
    <w:p w14:paraId="3CBA5021" w14:textId="77777777" w:rsidR="00D652EB" w:rsidRPr="006B7619" w:rsidRDefault="00D652EB" w:rsidP="009360FA">
      <w:pPr>
        <w:pStyle w:val="Textpoznpodarou"/>
        <w:rPr>
          <w:sz w:val="16"/>
          <w:szCs w:val="16"/>
        </w:rPr>
      </w:pPr>
      <w:r w:rsidRPr="006B7619">
        <w:rPr>
          <w:rStyle w:val="Znakapoznpodarou"/>
          <w:sz w:val="16"/>
          <w:szCs w:val="16"/>
        </w:rPr>
        <w:footnoteRef/>
      </w:r>
      <w:r w:rsidRPr="006B7619">
        <w:rPr>
          <w:sz w:val="16"/>
          <w:szCs w:val="16"/>
        </w:rPr>
        <w:t xml:space="preserve"> Mezičtvrtletní srovnání by v 1. čtvrtletí 2023 již nemělo být výrazněji zatíženo rušivými cenovými vlivy, neboť </w:t>
      </w:r>
      <w:r>
        <w:rPr>
          <w:sz w:val="16"/>
          <w:szCs w:val="16"/>
        </w:rPr>
        <w:t xml:space="preserve">na přelomu let 2022 </w:t>
      </w:r>
      <w:r>
        <w:rPr>
          <w:sz w:val="16"/>
          <w:szCs w:val="16"/>
        </w:rPr>
        <w:br/>
        <w:t xml:space="preserve">a 2023 stagnovaly </w:t>
      </w:r>
      <w:r w:rsidRPr="006B7619">
        <w:rPr>
          <w:sz w:val="16"/>
          <w:szCs w:val="16"/>
        </w:rPr>
        <w:t>ceny výrobců ve zpracovatelském průmyslu</w:t>
      </w:r>
      <w:r>
        <w:rPr>
          <w:sz w:val="16"/>
          <w:szCs w:val="16"/>
        </w:rPr>
        <w:t>.</w:t>
      </w:r>
    </w:p>
  </w:footnote>
  <w:footnote w:id="21">
    <w:p w14:paraId="52A0D109" w14:textId="77777777" w:rsidR="00D652EB" w:rsidRPr="00AF44D9" w:rsidRDefault="00D652EB" w:rsidP="009360FA">
      <w:pPr>
        <w:pStyle w:val="Textpoznpodarou"/>
        <w:rPr>
          <w:sz w:val="16"/>
          <w:szCs w:val="16"/>
        </w:rPr>
      </w:pPr>
      <w:r w:rsidRPr="00AF44D9">
        <w:rPr>
          <w:rStyle w:val="Znakapoznpodarou"/>
          <w:sz w:val="16"/>
          <w:szCs w:val="16"/>
        </w:rPr>
        <w:footnoteRef/>
      </w:r>
      <w:r w:rsidRPr="00AF44D9">
        <w:rPr>
          <w:sz w:val="16"/>
          <w:szCs w:val="16"/>
        </w:rPr>
        <w:t xml:space="preserve"> Podniky mohly uvést více bariér současně.</w:t>
      </w:r>
      <w:r>
        <w:rPr>
          <w:sz w:val="16"/>
          <w:szCs w:val="16"/>
        </w:rPr>
        <w:t xml:space="preserve"> Bariéry jsou očištěny o vliv sezónnosti.</w:t>
      </w:r>
    </w:p>
  </w:footnote>
  <w:footnote w:id="22">
    <w:p w14:paraId="7E80384F" w14:textId="77777777" w:rsidR="00D652EB" w:rsidRPr="002F35D0" w:rsidRDefault="00D652EB" w:rsidP="009360FA">
      <w:pPr>
        <w:pStyle w:val="Textpoznpodarou"/>
        <w:rPr>
          <w:spacing w:val="-2"/>
          <w:sz w:val="16"/>
          <w:szCs w:val="16"/>
        </w:rPr>
      </w:pPr>
      <w:r w:rsidRPr="002F35D0">
        <w:rPr>
          <w:rStyle w:val="Znakapoznpodarou"/>
          <w:spacing w:val="-2"/>
          <w:sz w:val="16"/>
          <w:szCs w:val="16"/>
        </w:rPr>
        <w:footnoteRef/>
      </w:r>
      <w:r w:rsidRPr="002F35D0">
        <w:rPr>
          <w:spacing w:val="-2"/>
          <w:sz w:val="16"/>
          <w:szCs w:val="16"/>
        </w:rPr>
        <w:t xml:space="preserve"> Ty přetrvávají od konce loňského října. </w:t>
      </w:r>
      <w:r w:rsidRPr="002F35D0">
        <w:rPr>
          <w:sz w:val="16"/>
          <w:szCs w:val="16"/>
        </w:rPr>
        <w:t>To se již začalo projevovat na „tvrdých“ datech – evidenční počet zaměstnanců v</w:t>
      </w:r>
      <w:r>
        <w:rPr>
          <w:sz w:val="16"/>
          <w:szCs w:val="16"/>
        </w:rPr>
        <w:t> průmyslu v</w:t>
      </w:r>
      <w:r w:rsidRPr="002F35D0">
        <w:rPr>
          <w:sz w:val="16"/>
          <w:szCs w:val="16"/>
        </w:rPr>
        <w:t xml:space="preserve"> 1. čtvrtletí 2023 </w:t>
      </w:r>
      <w:r>
        <w:rPr>
          <w:sz w:val="16"/>
          <w:szCs w:val="16"/>
        </w:rPr>
        <w:t>meziročně o 0,7</w:t>
      </w:r>
      <w:r w:rsidRPr="002F35D0">
        <w:rPr>
          <w:sz w:val="16"/>
          <w:szCs w:val="16"/>
        </w:rPr>
        <w:t xml:space="preserve"> % poklesl.</w:t>
      </w:r>
    </w:p>
  </w:footnote>
  <w:footnote w:id="23">
    <w:p w14:paraId="17FD1A13" w14:textId="77777777" w:rsidR="00D652EB" w:rsidRPr="002D2942" w:rsidRDefault="00D652EB" w:rsidP="009360FA">
      <w:pPr>
        <w:pStyle w:val="Textpoznpodarou"/>
        <w:jc w:val="both"/>
        <w:rPr>
          <w:sz w:val="16"/>
          <w:szCs w:val="16"/>
        </w:rPr>
      </w:pPr>
      <w:r w:rsidRPr="002D2942">
        <w:rPr>
          <w:rStyle w:val="Znakapoznpodarou"/>
          <w:rFonts w:cs="Arial"/>
          <w:color w:val="0D0D0D" w:themeColor="text1" w:themeTint="F2"/>
          <w:sz w:val="16"/>
          <w:szCs w:val="16"/>
        </w:rPr>
        <w:footnoteRef/>
      </w:r>
      <w:r w:rsidRPr="002D2942">
        <w:rPr>
          <w:rFonts w:cs="Arial"/>
          <w:color w:val="0D0D0D" w:themeColor="text1" w:themeTint="F2"/>
          <w:sz w:val="16"/>
          <w:szCs w:val="16"/>
        </w:rPr>
        <w:t xml:space="preserve"> Údaje o stavební produkci jsou ve stálých cenách, meziroční tempa jsou očištěna o kalendářní vlivy, mezičtvrtletní též o vliv sezónnosti.</w:t>
      </w:r>
    </w:p>
  </w:footnote>
  <w:footnote w:id="24">
    <w:p w14:paraId="63DE099E" w14:textId="77777777" w:rsidR="00D652EB" w:rsidRPr="00E62461" w:rsidRDefault="00D652EB" w:rsidP="009360FA">
      <w:pPr>
        <w:pStyle w:val="Textpoznpodarou"/>
        <w:rPr>
          <w:spacing w:val="-2"/>
          <w:sz w:val="16"/>
          <w:szCs w:val="16"/>
        </w:rPr>
      </w:pPr>
      <w:r w:rsidRPr="00E62461">
        <w:rPr>
          <w:rStyle w:val="Znakapoznpodarou"/>
          <w:spacing w:val="-2"/>
          <w:sz w:val="16"/>
          <w:szCs w:val="16"/>
        </w:rPr>
        <w:footnoteRef/>
      </w:r>
      <w:r w:rsidRPr="00E62461">
        <w:rPr>
          <w:spacing w:val="-2"/>
          <w:sz w:val="16"/>
          <w:szCs w:val="16"/>
        </w:rPr>
        <w:t xml:space="preserve"> Ten letos </w:t>
      </w:r>
      <w:r>
        <w:rPr>
          <w:spacing w:val="-2"/>
          <w:sz w:val="16"/>
          <w:szCs w:val="16"/>
        </w:rPr>
        <w:t xml:space="preserve">v </w:t>
      </w:r>
      <w:r w:rsidRPr="00E62461">
        <w:rPr>
          <w:spacing w:val="-2"/>
          <w:sz w:val="16"/>
          <w:szCs w:val="16"/>
        </w:rPr>
        <w:t>dubnu uvedlo jako jednu z růstových bariér 37 % stavebních firem. Tento problém byl zvlášť palčivý v segmentu specializovaných stavebních činností (kde hrají významnou roli malé a střední firmy) a také v inženýrském stavitelství (s dominancí velkých podniků). Naopak ve výstavbě budov sužuje letos podniky nejvíce nedostatečná poptávka (týká se skoro poloviny firem).</w:t>
      </w:r>
    </w:p>
  </w:footnote>
  <w:footnote w:id="25">
    <w:p w14:paraId="5823CD83" w14:textId="77777777" w:rsidR="00D652EB" w:rsidRPr="00E62461" w:rsidRDefault="00D652EB" w:rsidP="009360FA">
      <w:pPr>
        <w:spacing w:after="0" w:line="240" w:lineRule="auto"/>
        <w:rPr>
          <w:spacing w:val="-2"/>
        </w:rPr>
      </w:pPr>
      <w:r w:rsidRPr="00E62461">
        <w:rPr>
          <w:rStyle w:val="Znakapoznpodarou"/>
          <w:color w:val="0D0D0D" w:themeColor="text1" w:themeTint="F2"/>
          <w:spacing w:val="-2"/>
          <w:sz w:val="16"/>
          <w:szCs w:val="16"/>
        </w:rPr>
        <w:footnoteRef/>
      </w:r>
      <w:r w:rsidRPr="00E62461">
        <w:rPr>
          <w:color w:val="0D0D0D" w:themeColor="text1" w:themeTint="F2"/>
          <w:spacing w:val="-2"/>
          <w:sz w:val="16"/>
          <w:szCs w:val="16"/>
        </w:rPr>
        <w:t xml:space="preserve"> Bez obchodu, peněžnictví, pojišťovnictví, vědy, výzkumu a veřejných služeb. Všechny údaje za tržby ve službách jsou ve stálých cenách, meziroční data jsou očištěna o kalendářní vlivy, mezičtvrtletní jsou očištěna o sezónní vlivy (včetně vlivu počtu pracovních dnů).</w:t>
      </w:r>
    </w:p>
  </w:footnote>
  <w:footnote w:id="26">
    <w:p w14:paraId="708FEFA1" w14:textId="06DF7B61" w:rsidR="00D652EB" w:rsidRDefault="00D652EB" w:rsidP="009360FA">
      <w:pPr>
        <w:pStyle w:val="Textpoznpodarou"/>
        <w:rPr>
          <w:spacing w:val="-2"/>
          <w:sz w:val="16"/>
          <w:szCs w:val="16"/>
        </w:rPr>
      </w:pPr>
      <w:r w:rsidRPr="00E62461">
        <w:rPr>
          <w:rStyle w:val="Znakapoznpodarou"/>
          <w:spacing w:val="-2"/>
          <w:sz w:val="16"/>
          <w:szCs w:val="16"/>
        </w:rPr>
        <w:footnoteRef/>
      </w:r>
      <w:r w:rsidRPr="00E62461">
        <w:rPr>
          <w:spacing w:val="-2"/>
          <w:sz w:val="16"/>
          <w:szCs w:val="16"/>
        </w:rPr>
        <w:t xml:space="preserve"> Počet hostů i jejich přenocování v hromadných ubytovacích zařízeních (HUZ) v ČR se meziročně zvyšoval osmý kvartál v řadě. </w:t>
      </w:r>
      <w:r>
        <w:rPr>
          <w:spacing w:val="-2"/>
          <w:sz w:val="16"/>
          <w:szCs w:val="16"/>
        </w:rPr>
        <w:br/>
      </w:r>
      <w:r w:rsidRPr="00E62461">
        <w:rPr>
          <w:spacing w:val="-2"/>
          <w:sz w:val="16"/>
          <w:szCs w:val="16"/>
        </w:rPr>
        <w:t>V 1.</w:t>
      </w:r>
      <w:r>
        <w:rPr>
          <w:spacing w:val="-2"/>
          <w:sz w:val="16"/>
          <w:szCs w:val="16"/>
        </w:rPr>
        <w:t xml:space="preserve"> čtvrtletí 2023 tak přijelo o 36</w:t>
      </w:r>
      <w:r w:rsidRPr="00E62461">
        <w:rPr>
          <w:spacing w:val="-2"/>
          <w:sz w:val="16"/>
          <w:szCs w:val="16"/>
        </w:rPr>
        <w:t xml:space="preserve"> % hostů více a jejich přenocování přibylo</w:t>
      </w:r>
      <w:r>
        <w:rPr>
          <w:spacing w:val="-2"/>
          <w:sz w:val="16"/>
          <w:szCs w:val="16"/>
        </w:rPr>
        <w:t xml:space="preserve"> o 26 %. K vyšším</w:t>
      </w:r>
      <w:r w:rsidRPr="00E62461">
        <w:rPr>
          <w:spacing w:val="-2"/>
          <w:sz w:val="16"/>
          <w:szCs w:val="16"/>
        </w:rPr>
        <w:t>u počtu přenocování letos (stejně jako po celé 2. pololetí 2022) zásadně přispěli zahraniční hosté, neboť přenocování rezidentů přibylo jen o 2,9 % (nerezidentů o 81,9 %)</w:t>
      </w:r>
      <w:r>
        <w:rPr>
          <w:spacing w:val="-2"/>
          <w:sz w:val="16"/>
          <w:szCs w:val="16"/>
        </w:rPr>
        <w:t>. O meziroční</w:t>
      </w:r>
      <w:r w:rsidRPr="00E62461">
        <w:rPr>
          <w:spacing w:val="-2"/>
          <w:sz w:val="16"/>
          <w:szCs w:val="16"/>
        </w:rPr>
        <w:t xml:space="preserve"> </w:t>
      </w:r>
      <w:r>
        <w:rPr>
          <w:spacing w:val="-2"/>
          <w:sz w:val="16"/>
          <w:szCs w:val="16"/>
        </w:rPr>
        <w:t>růst</w:t>
      </w:r>
      <w:r w:rsidRPr="00E62461">
        <w:rPr>
          <w:spacing w:val="-2"/>
          <w:sz w:val="16"/>
          <w:szCs w:val="16"/>
        </w:rPr>
        <w:t xml:space="preserve"> všech</w:t>
      </w:r>
      <w:r>
        <w:rPr>
          <w:spacing w:val="-2"/>
          <w:sz w:val="16"/>
          <w:szCs w:val="16"/>
        </w:rPr>
        <w:t xml:space="preserve"> přenocování v ČR se ze tří pětin zaslouži</w:t>
      </w:r>
      <w:r w:rsidRPr="00E62461">
        <w:rPr>
          <w:spacing w:val="-2"/>
          <w:sz w:val="16"/>
          <w:szCs w:val="16"/>
        </w:rPr>
        <w:t>la vyšší návštěvnost v sam</w:t>
      </w:r>
      <w:r>
        <w:rPr>
          <w:spacing w:val="-2"/>
          <w:sz w:val="16"/>
          <w:szCs w:val="16"/>
        </w:rPr>
        <w:t>otné Praze, naopak v Libere</w:t>
      </w:r>
      <w:r w:rsidR="00685C8C">
        <w:rPr>
          <w:spacing w:val="-2"/>
          <w:sz w:val="16"/>
          <w:szCs w:val="16"/>
        </w:rPr>
        <w:t>ckém, Královéhrade</w:t>
      </w:r>
      <w:r w:rsidRPr="00E62461">
        <w:rPr>
          <w:spacing w:val="-2"/>
          <w:sz w:val="16"/>
          <w:szCs w:val="16"/>
        </w:rPr>
        <w:t xml:space="preserve">ckém, Olomouckém a Zlínském kraji přenocování nepatrně ubylo </w:t>
      </w:r>
      <w:r>
        <w:rPr>
          <w:spacing w:val="-2"/>
          <w:sz w:val="16"/>
          <w:szCs w:val="16"/>
        </w:rPr>
        <w:t>–</w:t>
      </w:r>
      <w:r w:rsidRPr="00E62461">
        <w:rPr>
          <w:spacing w:val="-2"/>
          <w:sz w:val="16"/>
          <w:szCs w:val="16"/>
        </w:rPr>
        <w:t xml:space="preserve"> výhradně kvůli slabšímu zájmu domácích hostů (v zimní lyžařské sezóně). </w:t>
      </w:r>
      <w:r>
        <w:rPr>
          <w:spacing w:val="-2"/>
          <w:sz w:val="16"/>
          <w:szCs w:val="16"/>
        </w:rPr>
        <w:t>Silný růst turismu v metropoli je spojen i s oživením konferenčního cestovního ruchu. Účastníků konferencí (konaných v HUZ) bylo sice meziročně o</w:t>
      </w:r>
      <w:r w:rsidRPr="00E62461">
        <w:rPr>
          <w:spacing w:val="-2"/>
          <w:sz w:val="16"/>
          <w:szCs w:val="16"/>
        </w:rPr>
        <w:t> </w:t>
      </w:r>
      <w:r>
        <w:rPr>
          <w:spacing w:val="-2"/>
          <w:sz w:val="16"/>
          <w:szCs w:val="16"/>
        </w:rPr>
        <w:t>86</w:t>
      </w:r>
      <w:r w:rsidRPr="00E62461">
        <w:rPr>
          <w:spacing w:val="-2"/>
          <w:sz w:val="16"/>
          <w:szCs w:val="16"/>
        </w:rPr>
        <w:t> </w:t>
      </w:r>
      <w:r>
        <w:rPr>
          <w:spacing w:val="-2"/>
          <w:sz w:val="16"/>
          <w:szCs w:val="16"/>
        </w:rPr>
        <w:t>% více, ovšem jejich počet stále nedosáhl úrovně z 1. čtvrtletí 2019 (−37 %). Méně dynamický rozvoj zažilo zatím letos lázeňství. Byť se zde poptávka zahraniční klientely meziročně zdvojnásobila, zájem ze strany tuzemských hostů pouze stagnoval. Počty přenocování v lázních tak stouply celkově jen o necelou čtvrtinu, mj. i vlivem mírného zkrácení průměrné délky pobytu. Ve srovnání s rokem 2019 byla letos „lázeňská poptávka“ ze strany hostů z Česka o 6 % nižší, u zahraniční klientely dokonce o 32 %.</w:t>
      </w:r>
    </w:p>
    <w:p w14:paraId="5CE8F9E9" w14:textId="519548A5" w:rsidR="00D652EB" w:rsidRPr="00E62461" w:rsidRDefault="00D652EB" w:rsidP="009360FA">
      <w:pPr>
        <w:pStyle w:val="Textpoznpodarou"/>
        <w:rPr>
          <w:spacing w:val="-2"/>
          <w:sz w:val="16"/>
          <w:szCs w:val="16"/>
        </w:rPr>
      </w:pPr>
      <w:r>
        <w:rPr>
          <w:spacing w:val="-2"/>
          <w:sz w:val="16"/>
          <w:szCs w:val="16"/>
        </w:rPr>
        <w:t>Analogické srovnání za všechny segmenty cestovního ruchu v ČR vyznívá o něco pozitivněji – přenocování nerezidentů bylo v 1. čtvrtletí 2023 oproti „</w:t>
      </w:r>
      <w:proofErr w:type="spellStart"/>
      <w:r>
        <w:rPr>
          <w:spacing w:val="-2"/>
          <w:sz w:val="16"/>
          <w:szCs w:val="16"/>
        </w:rPr>
        <w:t>předcovidovému</w:t>
      </w:r>
      <w:proofErr w:type="spellEnd"/>
      <w:r>
        <w:rPr>
          <w:spacing w:val="-2"/>
          <w:sz w:val="16"/>
          <w:szCs w:val="16"/>
        </w:rPr>
        <w:t>“ roku méně o necelou pětinu, naopak poptávka domácích hostů tuto úroveň již mírně převýšila (+5 %). Předkrizovou úroveň překon</w:t>
      </w:r>
      <w:r w:rsidR="00685C8C">
        <w:rPr>
          <w:spacing w:val="-2"/>
          <w:sz w:val="16"/>
          <w:szCs w:val="16"/>
        </w:rPr>
        <w:t>ala celková poptávka v turismu (počet přenocování)</w:t>
      </w:r>
      <w:r>
        <w:rPr>
          <w:spacing w:val="-2"/>
          <w:sz w:val="16"/>
          <w:szCs w:val="16"/>
        </w:rPr>
        <w:t xml:space="preserve"> ve Středo</w:t>
      </w:r>
      <w:r w:rsidR="00685C8C">
        <w:rPr>
          <w:spacing w:val="-2"/>
          <w:sz w:val="16"/>
          <w:szCs w:val="16"/>
        </w:rPr>
        <w:t>českém i Plzeňsk</w:t>
      </w:r>
      <w:r>
        <w:rPr>
          <w:spacing w:val="-2"/>
          <w:sz w:val="16"/>
          <w:szCs w:val="16"/>
        </w:rPr>
        <w:t>ém kraj</w:t>
      </w:r>
      <w:r w:rsidR="00685C8C">
        <w:rPr>
          <w:spacing w:val="-2"/>
          <w:sz w:val="16"/>
          <w:szCs w:val="16"/>
        </w:rPr>
        <w:t xml:space="preserve">i a na Vysočině (shodně zhruba </w:t>
      </w:r>
      <w:r>
        <w:rPr>
          <w:spacing w:val="-2"/>
          <w:sz w:val="16"/>
          <w:szCs w:val="16"/>
        </w:rPr>
        <w:t xml:space="preserve">o 10 %), v rámci celé ČR pak v penzionech, kempech, chatových osadách, ale i ve váhově nejvýznamnější kategorii čtyřhvězdičkových hotelů (+3 %). Z pohledu početně významnějších skupin zahraničních hostů v ČR platilo obdobné pro většinu našich sousedů – Slovensko (+8 %), Rakousko (+6 %), Německo (+2 %), dále zejména pro Ukrajinu (+41 %), Rumunsko (+26 %), ale i pro hosty ze vzdálenějších zemí (Mexiko). Naopak poptávka hostů z řady evropských států zatím významněji zaostává – Španělsko o 20 %, Francie o 28 % (ještě více pak většina severských států). Citelněji chybí přenocování hostů z Blízkého východu (vyjma Izraele) i ze </w:t>
      </w:r>
      <w:r w:rsidR="00685C8C">
        <w:rPr>
          <w:spacing w:val="-2"/>
          <w:sz w:val="16"/>
          <w:szCs w:val="16"/>
        </w:rPr>
        <w:t xml:space="preserve">vzdálenějších asijských zemí – </w:t>
      </w:r>
      <w:r>
        <w:rPr>
          <w:spacing w:val="-2"/>
          <w:sz w:val="16"/>
          <w:szCs w:val="16"/>
        </w:rPr>
        <w:t xml:space="preserve">Tchaj-wanu (−43 %), Jižní Korey (−57 %), Japonska (−67 %), Číny (−82 %). Turistické vztahy s Ruskem byly fakticky přerušeny. Za celý rok 2019 přitom tvořili Rusové 5,2 % všech v Česku ubytovaných zahraničních hostů a na počtu přenocování se analogicky podíleli 8,6 %. </w:t>
      </w:r>
    </w:p>
  </w:footnote>
  <w:footnote w:id="27">
    <w:p w14:paraId="70C83463" w14:textId="77777777" w:rsidR="00D652EB" w:rsidRPr="00880DA8" w:rsidRDefault="00D652EB" w:rsidP="009360FA">
      <w:pPr>
        <w:pStyle w:val="Textpoznpodarou"/>
        <w:rPr>
          <w:sz w:val="16"/>
          <w:szCs w:val="16"/>
        </w:rPr>
      </w:pPr>
      <w:r w:rsidRPr="00880DA8">
        <w:rPr>
          <w:rStyle w:val="Znakapoznpodarou"/>
          <w:sz w:val="16"/>
          <w:szCs w:val="16"/>
        </w:rPr>
        <w:footnoteRef/>
      </w:r>
      <w:r w:rsidRPr="00880DA8">
        <w:rPr>
          <w:sz w:val="16"/>
          <w:szCs w:val="16"/>
        </w:rPr>
        <w:t xml:space="preserve"> Ty zahrnují činnosti související se zpracováním dat a </w:t>
      </w:r>
      <w:proofErr w:type="spellStart"/>
      <w:r w:rsidRPr="00880DA8">
        <w:rPr>
          <w:sz w:val="16"/>
          <w:szCs w:val="16"/>
        </w:rPr>
        <w:t>hostingem</w:t>
      </w:r>
      <w:proofErr w:type="spellEnd"/>
      <w:r>
        <w:rPr>
          <w:sz w:val="16"/>
          <w:szCs w:val="16"/>
        </w:rPr>
        <w:t>, webovými portály a dále</w:t>
      </w:r>
      <w:r w:rsidRPr="00880DA8">
        <w:rPr>
          <w:sz w:val="16"/>
          <w:szCs w:val="16"/>
        </w:rPr>
        <w:t xml:space="preserve"> </w:t>
      </w:r>
      <w:r>
        <w:rPr>
          <w:sz w:val="16"/>
          <w:szCs w:val="16"/>
        </w:rPr>
        <w:t>zpravodajské tiskové kanceláře</w:t>
      </w:r>
      <w:r w:rsidRPr="00880DA8">
        <w:rPr>
          <w:sz w:val="16"/>
          <w:szCs w:val="16"/>
        </w:rPr>
        <w:t xml:space="preserve"> a agentur</w:t>
      </w:r>
      <w:r>
        <w:rPr>
          <w:sz w:val="16"/>
          <w:szCs w:val="16"/>
        </w:rPr>
        <w:t>y</w:t>
      </w:r>
      <w:r w:rsidRPr="00880DA8">
        <w:rPr>
          <w:sz w:val="16"/>
          <w:szCs w:val="16"/>
        </w:rPr>
        <w:t>.</w:t>
      </w:r>
    </w:p>
  </w:footnote>
  <w:footnote w:id="28">
    <w:p w14:paraId="4B8EA483" w14:textId="0016B429" w:rsidR="00D652EB" w:rsidRDefault="00D652EB" w:rsidP="009360FA">
      <w:pPr>
        <w:pStyle w:val="Textpoznpodarou"/>
      </w:pPr>
      <w:r w:rsidRPr="002622F6">
        <w:rPr>
          <w:rStyle w:val="Znakapoznpodarou"/>
          <w:sz w:val="16"/>
          <w:szCs w:val="16"/>
        </w:rPr>
        <w:footnoteRef/>
      </w:r>
      <w:r w:rsidRPr="002622F6">
        <w:rPr>
          <w:sz w:val="16"/>
          <w:szCs w:val="16"/>
        </w:rPr>
        <w:t xml:space="preserve"> Lépe se vedlo segmentu filmové distribuce. </w:t>
      </w:r>
      <w:r w:rsidRPr="002622F6">
        <w:rPr>
          <w:rFonts w:cs="Arial"/>
          <w:color w:val="0D0D0D" w:themeColor="text1" w:themeTint="F2"/>
          <w:spacing w:val="-3"/>
          <w:sz w:val="16"/>
          <w:szCs w:val="16"/>
        </w:rPr>
        <w:t>Dle</w:t>
      </w:r>
      <w:r w:rsidRPr="00EB7D87">
        <w:rPr>
          <w:rFonts w:cs="Arial"/>
          <w:color w:val="0D0D0D" w:themeColor="text1" w:themeTint="F2"/>
          <w:spacing w:val="-3"/>
          <w:sz w:val="16"/>
          <w:szCs w:val="16"/>
        </w:rPr>
        <w:t xml:space="preserve"> údajů </w:t>
      </w:r>
      <w:r w:rsidRPr="00EB7D87">
        <w:rPr>
          <w:spacing w:val="-3"/>
          <w:sz w:val="16"/>
          <w:szCs w:val="16"/>
        </w:rPr>
        <w:t xml:space="preserve">Unie filmových distributorů </w:t>
      </w:r>
      <w:r>
        <w:rPr>
          <w:spacing w:val="-3"/>
          <w:sz w:val="16"/>
          <w:szCs w:val="16"/>
        </w:rPr>
        <w:t>vzrostly v 1. čtvrtletí 2023 hrubé nominální tržby provozovatelů tuzemských kin meziročně o 41 % a návštěvnost o 26 %. Ve srovnání s rekordním rokem 2019 ale tržby stále o čtvrtinu zaostávaly (návštěvnost dokonce více než o třetinu, avšak počet odehraných představení byl nižší jen o desetinu).</w:t>
      </w:r>
    </w:p>
  </w:footnote>
  <w:footnote w:id="29">
    <w:p w14:paraId="3A4A1AD2" w14:textId="77777777" w:rsidR="00D652EB" w:rsidRPr="00EB7D87" w:rsidRDefault="00D652EB" w:rsidP="009360FA">
      <w:pPr>
        <w:spacing w:after="0" w:line="240" w:lineRule="auto"/>
        <w:rPr>
          <w:spacing w:val="-2"/>
        </w:rPr>
      </w:pPr>
      <w:r w:rsidRPr="00EB7D87">
        <w:rPr>
          <w:rStyle w:val="Znakapoznpodarou"/>
          <w:color w:val="0D0D0D" w:themeColor="text1" w:themeTint="F2"/>
          <w:spacing w:val="-2"/>
          <w:sz w:val="16"/>
          <w:szCs w:val="16"/>
        </w:rPr>
        <w:footnoteRef/>
      </w:r>
      <w:r w:rsidRPr="00EB7D87">
        <w:rPr>
          <w:color w:val="0D0D0D" w:themeColor="text1" w:themeTint="F2"/>
          <w:spacing w:val="-2"/>
          <w:sz w:val="16"/>
          <w:szCs w:val="16"/>
        </w:rPr>
        <w:t xml:space="preserve"> Všechna meziroční tempa tržeb za maloobchod jsou uvedena ve stálých cenách a očištěna o kalendářní vlivy, mezičtvrtletní </w:t>
      </w:r>
      <w:r>
        <w:rPr>
          <w:color w:val="0D0D0D" w:themeColor="text1" w:themeTint="F2"/>
          <w:spacing w:val="-2"/>
          <w:sz w:val="16"/>
          <w:szCs w:val="16"/>
        </w:rPr>
        <w:br/>
        <w:t>i meziměsíční</w:t>
      </w:r>
      <w:r w:rsidRPr="00EB7D87">
        <w:rPr>
          <w:color w:val="0D0D0D" w:themeColor="text1" w:themeTint="F2"/>
          <w:spacing w:val="-2"/>
          <w:sz w:val="16"/>
          <w:szCs w:val="16"/>
        </w:rPr>
        <w:t xml:space="preserve"> tempa jsou očištěna o sezónní vlivy (včetně vlivu počtu pracovních dnů). Maloobchod zahrnuje odvětví CZ-NACE 47.</w:t>
      </w:r>
    </w:p>
  </w:footnote>
  <w:footnote w:id="30">
    <w:p w14:paraId="47F3ACFA" w14:textId="77777777" w:rsidR="00D652EB" w:rsidRPr="00460267" w:rsidRDefault="00D652EB" w:rsidP="009360FA">
      <w:pPr>
        <w:pStyle w:val="Textpoznpodarou"/>
        <w:rPr>
          <w:sz w:val="16"/>
          <w:szCs w:val="16"/>
        </w:rPr>
      </w:pPr>
      <w:r w:rsidRPr="00460267">
        <w:rPr>
          <w:rStyle w:val="Znakapoznpodarou"/>
          <w:sz w:val="16"/>
          <w:szCs w:val="16"/>
        </w:rPr>
        <w:footnoteRef/>
      </w:r>
      <w:r w:rsidRPr="00460267">
        <w:rPr>
          <w:sz w:val="16"/>
          <w:szCs w:val="16"/>
        </w:rPr>
        <w:t xml:space="preserve"> Pozitivně se projevilo příznivější hodnocení současné i očekávané ekonomické situace podniků, kleslo také množství zásob na skladech. Obchodní firmy nadále plánovaly další nábor pracovníků.</w:t>
      </w:r>
    </w:p>
  </w:footnote>
  <w:footnote w:id="31">
    <w:p w14:paraId="6A3FBF9F" w14:textId="77777777" w:rsidR="00D652EB" w:rsidRPr="00B11432" w:rsidRDefault="00D652EB" w:rsidP="009360FA">
      <w:pPr>
        <w:pStyle w:val="Textpoznpodarou"/>
        <w:rPr>
          <w:sz w:val="16"/>
          <w:szCs w:val="16"/>
        </w:rPr>
      </w:pPr>
      <w:r w:rsidRPr="00B11432">
        <w:rPr>
          <w:rStyle w:val="Znakapoznpodarou"/>
          <w:sz w:val="16"/>
          <w:szCs w:val="16"/>
        </w:rPr>
        <w:footnoteRef/>
      </w:r>
      <w:r w:rsidRPr="00B11432">
        <w:rPr>
          <w:sz w:val="16"/>
          <w:szCs w:val="16"/>
        </w:rPr>
        <w:t xml:space="preserve"> Ty zahrnují zejména maloobchod s textilem, železářským zbožím, barvami, sklem a potřebami pro kutily, koberci, podlahovými krytinami a nástěnnými obklady, elektrospotřebiči a elektronikou, nábytkem a svítidly.</w:t>
      </w:r>
    </w:p>
  </w:footnote>
  <w:footnote w:id="32">
    <w:p w14:paraId="2AA71792" w14:textId="77777777" w:rsidR="00D652EB" w:rsidRPr="00DD228A" w:rsidRDefault="00D652EB" w:rsidP="009360FA">
      <w:pPr>
        <w:pStyle w:val="Textpoznpodarou"/>
        <w:rPr>
          <w:sz w:val="16"/>
          <w:szCs w:val="16"/>
        </w:rPr>
      </w:pPr>
      <w:r w:rsidRPr="00DD228A">
        <w:rPr>
          <w:rStyle w:val="Znakapoznpodarou"/>
          <w:sz w:val="16"/>
          <w:szCs w:val="16"/>
        </w:rPr>
        <w:footnoteRef/>
      </w:r>
      <w:r w:rsidRPr="00DD228A">
        <w:rPr>
          <w:sz w:val="16"/>
          <w:szCs w:val="16"/>
        </w:rPr>
        <w:t xml:space="preserve"> Např. průměrná spotřebitelská cena motorové nafty činila v ČR v letošním 12. týdnu </w:t>
      </w:r>
      <w:r>
        <w:rPr>
          <w:sz w:val="16"/>
          <w:szCs w:val="16"/>
        </w:rPr>
        <w:t>35,56/l a byla</w:t>
      </w:r>
      <w:r w:rsidRPr="00DD228A">
        <w:rPr>
          <w:sz w:val="16"/>
          <w:szCs w:val="16"/>
        </w:rPr>
        <w:t xml:space="preserve"> nejnižší od loňského ledna.</w:t>
      </w:r>
      <w:r>
        <w:rPr>
          <w:sz w:val="16"/>
          <w:szCs w:val="16"/>
        </w:rPr>
        <w:t xml:space="preserve"> Rovněž cena benzínu Natural 95 klesla na úroveň z období těsně před ruskou invazí na Ukrajinu.</w:t>
      </w:r>
    </w:p>
  </w:footnote>
  <w:footnote w:id="33">
    <w:p w14:paraId="0455F4D0" w14:textId="77777777" w:rsidR="00D652EB" w:rsidRPr="00441515" w:rsidRDefault="00D652EB" w:rsidP="006745DF">
      <w:pPr>
        <w:pStyle w:val="Textpoznpodarou"/>
        <w:rPr>
          <w:rFonts w:cs="Arial"/>
          <w:i/>
          <w:iCs/>
          <w:sz w:val="16"/>
          <w:szCs w:val="16"/>
        </w:rPr>
      </w:pPr>
      <w:r w:rsidRPr="00441515">
        <w:rPr>
          <w:rStyle w:val="Znakapoznpodarou"/>
          <w:rFonts w:cs="Arial"/>
          <w:sz w:val="16"/>
          <w:szCs w:val="16"/>
        </w:rPr>
        <w:footnoteRef/>
      </w:r>
      <w:r w:rsidRPr="00441515">
        <w:rPr>
          <w:rFonts w:cs="Arial"/>
          <w:i/>
          <w:iCs/>
          <w:sz w:val="16"/>
          <w:szCs w:val="16"/>
        </w:rPr>
        <w:t xml:space="preserve"> </w:t>
      </w:r>
      <w:r w:rsidRPr="00441515">
        <w:rPr>
          <w:rStyle w:val="Zdraznn"/>
          <w:rFonts w:cs="Arial"/>
          <w:i w:val="0"/>
          <w:iCs w:val="0"/>
          <w:color w:val="333333"/>
          <w:sz w:val="16"/>
          <w:szCs w:val="16"/>
          <w:bdr w:val="none" w:sz="0" w:space="0" w:color="auto" w:frame="1"/>
          <w:shd w:val="clear" w:color="auto" w:fill="FFFFFF"/>
        </w:rPr>
        <w:t>Údaje za zahraniční obchod se zbožím od roku 2020 jsou přepočítávány aktualizovanou metodou založenou na vyšší míře detailu, viz </w:t>
      </w:r>
      <w:hyperlink r:id="rId1" w:history="1">
        <w:r w:rsidRPr="00C80FF3">
          <w:rPr>
            <w:rStyle w:val="Hypertextovodkaz"/>
            <w:rFonts w:cs="Arial"/>
            <w:sz w:val="16"/>
            <w:szCs w:val="16"/>
            <w:bdr w:val="none" w:sz="0" w:space="0" w:color="auto" w:frame="1"/>
            <w:shd w:val="clear" w:color="auto" w:fill="FFFFFF"/>
          </w:rPr>
          <w:t>https://www.czso.cz/csu/czso/aktualizace-metody-propoctu-zahranicni-obchod-se-zbozim</w:t>
        </w:r>
      </w:hyperlink>
      <w:r>
        <w:rPr>
          <w:rStyle w:val="Hypertextovodkaz"/>
          <w:rFonts w:cs="Arial"/>
          <w:sz w:val="16"/>
          <w:szCs w:val="16"/>
          <w:bdr w:val="none" w:sz="0" w:space="0" w:color="auto" w:frame="1"/>
          <w:shd w:val="clear" w:color="auto" w:fill="FFFFFF"/>
        </w:rPr>
        <w:t xml:space="preserve">. </w:t>
      </w:r>
      <w:r w:rsidRPr="004E0CF8">
        <w:rPr>
          <w:sz w:val="16"/>
          <w:szCs w:val="16"/>
        </w:rPr>
        <w:t>Není-li uvedeno jinak, jsou všechny údaje sezónně neočištěné a v běžných cenách.</w:t>
      </w:r>
    </w:p>
  </w:footnote>
  <w:footnote w:id="34">
    <w:p w14:paraId="709D7912" w14:textId="77777777" w:rsidR="00D652EB" w:rsidRPr="00FC5C85" w:rsidRDefault="00D652EB" w:rsidP="006745DF">
      <w:pPr>
        <w:pStyle w:val="Textpoznpodarou"/>
        <w:rPr>
          <w:sz w:val="16"/>
          <w:szCs w:val="16"/>
        </w:rPr>
      </w:pPr>
      <w:r w:rsidRPr="00FC5C85">
        <w:rPr>
          <w:rStyle w:val="Znakapoznpodarou"/>
          <w:sz w:val="16"/>
          <w:szCs w:val="16"/>
        </w:rPr>
        <w:footnoteRef/>
      </w:r>
      <w:r w:rsidRPr="00FC5C85">
        <w:rPr>
          <w:sz w:val="16"/>
          <w:szCs w:val="16"/>
        </w:rPr>
        <w:t xml:space="preserve"> Ceny vývozu zboží se</w:t>
      </w:r>
      <w:r>
        <w:rPr>
          <w:sz w:val="16"/>
          <w:szCs w:val="16"/>
        </w:rPr>
        <w:t xml:space="preserve"> v 1. čtvrtletí 2023 meziročně zvýšily o 6,3 % a mezičtvrtletně klesly o 1,3 %.</w:t>
      </w:r>
      <w:r w:rsidRPr="00FC5C85">
        <w:rPr>
          <w:sz w:val="16"/>
          <w:szCs w:val="16"/>
        </w:rPr>
        <w:t xml:space="preserve"> </w:t>
      </w:r>
    </w:p>
  </w:footnote>
  <w:footnote w:id="35">
    <w:p w14:paraId="643A9981" w14:textId="77777777" w:rsidR="00D652EB" w:rsidRPr="00DE472F" w:rsidRDefault="00D652EB" w:rsidP="006745DF">
      <w:pPr>
        <w:pStyle w:val="Textpoznpodarou"/>
        <w:rPr>
          <w:sz w:val="16"/>
          <w:szCs w:val="16"/>
        </w:rPr>
      </w:pPr>
      <w:r w:rsidRPr="00DE472F">
        <w:rPr>
          <w:rStyle w:val="Znakapoznpodarou"/>
          <w:sz w:val="16"/>
          <w:szCs w:val="16"/>
        </w:rPr>
        <w:footnoteRef/>
      </w:r>
      <w:r w:rsidRPr="00DE472F">
        <w:rPr>
          <w:sz w:val="16"/>
          <w:szCs w:val="16"/>
        </w:rPr>
        <w:t xml:space="preserve"> </w:t>
      </w:r>
      <w:r>
        <w:rPr>
          <w:sz w:val="16"/>
          <w:szCs w:val="16"/>
        </w:rPr>
        <w:t xml:space="preserve">Většinu přírůstku tvořilo navýšení exportu motorových vozidel (+24,1 mld. korun) a elektrických zařízení (+14,8 mld.). Naopak odezněl vliv obchodu s elektřinou, který loni stimuloval růst exportu k našim nejbližším sousedům. </w:t>
      </w:r>
    </w:p>
  </w:footnote>
  <w:footnote w:id="36">
    <w:p w14:paraId="371FCE58" w14:textId="77777777" w:rsidR="00D652EB" w:rsidRPr="0008472D" w:rsidRDefault="00D652EB" w:rsidP="006745DF">
      <w:pPr>
        <w:pStyle w:val="Textpoznpodarou"/>
        <w:rPr>
          <w:sz w:val="16"/>
          <w:szCs w:val="16"/>
        </w:rPr>
      </w:pPr>
      <w:r w:rsidRPr="0008472D">
        <w:rPr>
          <w:rStyle w:val="Znakapoznpodarou"/>
          <w:sz w:val="16"/>
          <w:szCs w:val="16"/>
        </w:rPr>
        <w:footnoteRef/>
      </w:r>
      <w:r w:rsidRPr="0008472D">
        <w:rPr>
          <w:sz w:val="16"/>
          <w:szCs w:val="16"/>
        </w:rPr>
        <w:t xml:space="preserve"> </w:t>
      </w:r>
      <w:r>
        <w:rPr>
          <w:sz w:val="16"/>
          <w:szCs w:val="16"/>
        </w:rPr>
        <w:t xml:space="preserve">Šlo o první meziroční snížení od 3. čtvrtletí 2020. Největší podíl na něm měl propad vývozu elektřiny, plynu, páry a klimatizovaného vzduchu (−9,6 mld. korun).  </w:t>
      </w:r>
      <w:r w:rsidRPr="0008472D">
        <w:rPr>
          <w:sz w:val="16"/>
          <w:szCs w:val="16"/>
        </w:rPr>
        <w:t xml:space="preserve">  </w:t>
      </w:r>
    </w:p>
  </w:footnote>
  <w:footnote w:id="37">
    <w:p w14:paraId="5A3BCFB2" w14:textId="77777777" w:rsidR="00D652EB" w:rsidRPr="00063A81" w:rsidRDefault="00D652EB" w:rsidP="006745DF">
      <w:pPr>
        <w:pStyle w:val="Textpoznpodarou"/>
        <w:rPr>
          <w:sz w:val="16"/>
          <w:szCs w:val="16"/>
        </w:rPr>
      </w:pPr>
      <w:r w:rsidRPr="00063A81">
        <w:rPr>
          <w:rStyle w:val="Znakapoznpodarou"/>
          <w:sz w:val="16"/>
          <w:szCs w:val="16"/>
        </w:rPr>
        <w:footnoteRef/>
      </w:r>
      <w:r w:rsidRPr="00063A81">
        <w:rPr>
          <w:sz w:val="16"/>
          <w:szCs w:val="16"/>
        </w:rPr>
        <w:t xml:space="preserve"> Ceny dovozu zboží</w:t>
      </w:r>
      <w:r>
        <w:rPr>
          <w:sz w:val="16"/>
          <w:szCs w:val="16"/>
        </w:rPr>
        <w:t xml:space="preserve"> v 1. čtvrtletí</w:t>
      </w:r>
      <w:r w:rsidRPr="00063A81">
        <w:rPr>
          <w:sz w:val="16"/>
          <w:szCs w:val="16"/>
        </w:rPr>
        <w:t xml:space="preserve"> </w:t>
      </w:r>
      <w:r>
        <w:rPr>
          <w:sz w:val="16"/>
          <w:szCs w:val="16"/>
        </w:rPr>
        <w:t xml:space="preserve">meziročně </w:t>
      </w:r>
      <w:r w:rsidRPr="00063A81">
        <w:rPr>
          <w:sz w:val="16"/>
          <w:szCs w:val="16"/>
        </w:rPr>
        <w:t>vzrostly o</w:t>
      </w:r>
      <w:r>
        <w:rPr>
          <w:sz w:val="16"/>
          <w:szCs w:val="16"/>
        </w:rPr>
        <w:t xml:space="preserve"> 3,2 % a mezičtvrtletně se propadly o 4,3 %.</w:t>
      </w:r>
    </w:p>
  </w:footnote>
  <w:footnote w:id="38">
    <w:p w14:paraId="439BD5AD" w14:textId="77777777" w:rsidR="00D652EB" w:rsidRPr="009424B8" w:rsidRDefault="00D652EB" w:rsidP="006745DF">
      <w:pPr>
        <w:pStyle w:val="Textpoznpodarou"/>
        <w:rPr>
          <w:sz w:val="16"/>
          <w:szCs w:val="16"/>
        </w:rPr>
      </w:pPr>
      <w:r w:rsidRPr="009424B8">
        <w:rPr>
          <w:rStyle w:val="Znakapoznpodarou"/>
          <w:sz w:val="16"/>
          <w:szCs w:val="16"/>
        </w:rPr>
        <w:footnoteRef/>
      </w:r>
      <w:r w:rsidRPr="009424B8">
        <w:rPr>
          <w:sz w:val="16"/>
          <w:szCs w:val="16"/>
        </w:rPr>
        <w:t xml:space="preserve"> Norsko představuje „nový“ zdroj zemního plynu a náhradu za výpadek u dovozu</w:t>
      </w:r>
      <w:r>
        <w:rPr>
          <w:sz w:val="16"/>
          <w:szCs w:val="16"/>
        </w:rPr>
        <w:t xml:space="preserve"> této komodity</w:t>
      </w:r>
      <w:r w:rsidRPr="009424B8">
        <w:rPr>
          <w:sz w:val="16"/>
          <w:szCs w:val="16"/>
        </w:rPr>
        <w:t xml:space="preserve"> z Ruska.</w:t>
      </w:r>
    </w:p>
  </w:footnote>
  <w:footnote w:id="39">
    <w:p w14:paraId="4C612AE8" w14:textId="77777777" w:rsidR="00D652EB" w:rsidRPr="009440B5" w:rsidRDefault="00D652EB" w:rsidP="006745DF">
      <w:pPr>
        <w:pStyle w:val="Textpoznpodarou"/>
        <w:rPr>
          <w:sz w:val="16"/>
          <w:szCs w:val="16"/>
        </w:rPr>
      </w:pPr>
      <w:r w:rsidRPr="009440B5">
        <w:rPr>
          <w:rStyle w:val="Znakapoznpodarou"/>
          <w:sz w:val="16"/>
          <w:szCs w:val="16"/>
        </w:rPr>
        <w:footnoteRef/>
      </w:r>
      <w:r w:rsidRPr="009440B5">
        <w:rPr>
          <w:sz w:val="16"/>
          <w:szCs w:val="16"/>
        </w:rPr>
        <w:t xml:space="preserve"> Za období let 2014</w:t>
      </w:r>
      <w:r>
        <w:rPr>
          <w:sz w:val="16"/>
          <w:szCs w:val="16"/>
        </w:rPr>
        <w:t>–</w:t>
      </w:r>
      <w:r w:rsidRPr="009440B5">
        <w:rPr>
          <w:sz w:val="16"/>
          <w:szCs w:val="16"/>
        </w:rPr>
        <w:t xml:space="preserve">2022 bylo </w:t>
      </w:r>
      <w:r>
        <w:rPr>
          <w:sz w:val="16"/>
          <w:szCs w:val="16"/>
        </w:rPr>
        <w:t xml:space="preserve">dosaženo </w:t>
      </w:r>
      <w:r w:rsidRPr="009440B5">
        <w:rPr>
          <w:sz w:val="16"/>
          <w:szCs w:val="16"/>
        </w:rPr>
        <w:t>horšího výsledku bilance obchodu se zbožím jen v letech 2020 (+36,2 mld. korun) a 2022 (</w:t>
      </w:r>
      <w:r>
        <w:rPr>
          <w:sz w:val="16"/>
          <w:szCs w:val="16"/>
        </w:rPr>
        <w:t>−</w:t>
      </w:r>
      <w:r w:rsidRPr="009440B5">
        <w:rPr>
          <w:sz w:val="16"/>
          <w:szCs w:val="16"/>
        </w:rPr>
        <w:t>12,0 mld.).</w:t>
      </w:r>
    </w:p>
  </w:footnote>
  <w:footnote w:id="40">
    <w:p w14:paraId="2C487C4E" w14:textId="77777777" w:rsidR="00D652EB" w:rsidRPr="00114669" w:rsidRDefault="00D652EB" w:rsidP="004A3BE4">
      <w:pPr>
        <w:pStyle w:val="Textpoznpodarou"/>
        <w:rPr>
          <w:sz w:val="16"/>
          <w:szCs w:val="16"/>
        </w:rPr>
      </w:pPr>
      <w:r w:rsidRPr="000A4298">
        <w:rPr>
          <w:rStyle w:val="Znakapoznpodarou"/>
          <w:sz w:val="16"/>
          <w:szCs w:val="16"/>
        </w:rPr>
        <w:footnoteRef/>
      </w:r>
      <w:r>
        <w:rPr>
          <w:sz w:val="16"/>
          <w:szCs w:val="16"/>
        </w:rPr>
        <w:t xml:space="preserve"> I</w:t>
      </w:r>
      <w:r w:rsidRPr="000A4298">
        <w:rPr>
          <w:sz w:val="16"/>
          <w:szCs w:val="16"/>
        </w:rPr>
        <w:t>mputované nájemné vyjadřuje náklady vlastnického bydlení.</w:t>
      </w:r>
      <w:r>
        <w:rPr>
          <w:sz w:val="16"/>
          <w:szCs w:val="16"/>
        </w:rPr>
        <w:t xml:space="preserve"> Kromě samotných cen bydlení zahrnuje i náklady na výstavbu a renovace a další poplatky. Více na:</w:t>
      </w:r>
      <w:r w:rsidRPr="000A4298">
        <w:rPr>
          <w:sz w:val="16"/>
          <w:szCs w:val="16"/>
        </w:rPr>
        <w:t xml:space="preserve"> </w:t>
      </w:r>
      <w:hyperlink r:id="rId2" w:history="1">
        <w:r w:rsidRPr="000A4298">
          <w:rPr>
            <w:rStyle w:val="Hypertextovodkaz"/>
            <w:sz w:val="16"/>
            <w:szCs w:val="16"/>
          </w:rPr>
          <w:t>https://www.czso.cz/csu/czso/metodicka-poznamka-k-indexu-spotrebitelskych-cen-imputovane-najemne</w:t>
        </w:r>
      </w:hyperlink>
      <w:r>
        <w:rPr>
          <w:rStyle w:val="Hypertextovodkaz"/>
          <w:sz w:val="16"/>
          <w:szCs w:val="16"/>
          <w:u w:val="none"/>
        </w:rPr>
        <w:t>.</w:t>
      </w:r>
    </w:p>
  </w:footnote>
  <w:footnote w:id="41">
    <w:p w14:paraId="73D592A7" w14:textId="77777777" w:rsidR="00D652EB" w:rsidRPr="00720921" w:rsidRDefault="00D652EB" w:rsidP="004A3BE4">
      <w:pPr>
        <w:pStyle w:val="Textpoznpodarou"/>
        <w:rPr>
          <w:sz w:val="16"/>
          <w:szCs w:val="16"/>
        </w:rPr>
      </w:pPr>
      <w:r w:rsidRPr="00720921">
        <w:rPr>
          <w:rStyle w:val="Znakapoznpodarou"/>
          <w:sz w:val="16"/>
          <w:szCs w:val="16"/>
        </w:rPr>
        <w:footnoteRef/>
      </w:r>
      <w:r w:rsidRPr="00720921">
        <w:rPr>
          <w:sz w:val="16"/>
          <w:szCs w:val="16"/>
        </w:rPr>
        <w:t xml:space="preserve"> Zahrnuje služby osobní péče</w:t>
      </w:r>
      <w:r>
        <w:rPr>
          <w:sz w:val="16"/>
          <w:szCs w:val="16"/>
        </w:rPr>
        <w:t xml:space="preserve"> a osobní potřeby a doplňky</w:t>
      </w:r>
      <w:r w:rsidRPr="00720921">
        <w:rPr>
          <w:sz w:val="16"/>
          <w:szCs w:val="16"/>
        </w:rPr>
        <w:t>, sociální péči, pojištění a další finanční služby apod.</w:t>
      </w:r>
    </w:p>
  </w:footnote>
  <w:footnote w:id="42">
    <w:p w14:paraId="6367F419" w14:textId="77777777" w:rsidR="00D652EB" w:rsidRPr="00C055FA" w:rsidRDefault="00D652EB" w:rsidP="004A3BE4">
      <w:pPr>
        <w:pStyle w:val="Textpoznpodarou"/>
        <w:rPr>
          <w:sz w:val="16"/>
          <w:szCs w:val="16"/>
        </w:rPr>
      </w:pPr>
      <w:r w:rsidRPr="00C055FA">
        <w:rPr>
          <w:rStyle w:val="Znakapoznpodarou"/>
          <w:sz w:val="16"/>
          <w:szCs w:val="16"/>
        </w:rPr>
        <w:footnoteRef/>
      </w:r>
      <w:r w:rsidRPr="00C055FA">
        <w:rPr>
          <w:sz w:val="16"/>
          <w:szCs w:val="16"/>
        </w:rPr>
        <w:t xml:space="preserve"> </w:t>
      </w:r>
      <w:r>
        <w:rPr>
          <w:sz w:val="16"/>
          <w:szCs w:val="16"/>
        </w:rPr>
        <w:t xml:space="preserve">Oproti indexu spotřebitelských cen, který ČSÚ pro českou ekonomiku sestavuje, </w:t>
      </w:r>
      <w:r w:rsidRPr="00C055FA">
        <w:rPr>
          <w:sz w:val="16"/>
          <w:szCs w:val="16"/>
        </w:rPr>
        <w:t>HICP neobsahuje imputované nájemné</w:t>
      </w:r>
      <w:r>
        <w:rPr>
          <w:sz w:val="16"/>
          <w:szCs w:val="16"/>
        </w:rPr>
        <w:t>, což bývá zdrojem rozdílů mezi HICP a Indexem spotřebitelských cen</w:t>
      </w:r>
      <w:r w:rsidRPr="00C055FA">
        <w:rPr>
          <w:sz w:val="16"/>
          <w:szCs w:val="16"/>
        </w:rPr>
        <w:t>.</w:t>
      </w:r>
    </w:p>
  </w:footnote>
  <w:footnote w:id="43">
    <w:p w14:paraId="260C3E6C" w14:textId="77777777" w:rsidR="00D652EB" w:rsidRPr="005F66A4" w:rsidRDefault="00D652EB" w:rsidP="004A3BE4">
      <w:pPr>
        <w:pStyle w:val="Textpoznpodarou"/>
        <w:rPr>
          <w:sz w:val="16"/>
          <w:szCs w:val="16"/>
        </w:rPr>
      </w:pPr>
      <w:r w:rsidRPr="005F66A4">
        <w:rPr>
          <w:rStyle w:val="Znakapoznpodarou"/>
          <w:sz w:val="16"/>
          <w:szCs w:val="16"/>
        </w:rPr>
        <w:footnoteRef/>
      </w:r>
      <w:r w:rsidRPr="005F66A4">
        <w:rPr>
          <w:sz w:val="16"/>
          <w:szCs w:val="16"/>
        </w:rPr>
        <w:t xml:space="preserve"> </w:t>
      </w:r>
      <w:r>
        <w:rPr>
          <w:sz w:val="16"/>
          <w:szCs w:val="16"/>
        </w:rPr>
        <w:t>Přesné hodnoty ukazatele nejsou uvedeny kvůli ochraně i</w:t>
      </w:r>
      <w:r w:rsidRPr="005F66A4">
        <w:rPr>
          <w:sz w:val="16"/>
          <w:szCs w:val="16"/>
        </w:rPr>
        <w:t>ndividuální</w:t>
      </w:r>
      <w:r>
        <w:rPr>
          <w:sz w:val="16"/>
          <w:szCs w:val="16"/>
        </w:rPr>
        <w:t>ch</w:t>
      </w:r>
      <w:r w:rsidRPr="005F66A4">
        <w:rPr>
          <w:sz w:val="16"/>
          <w:szCs w:val="16"/>
        </w:rPr>
        <w:t xml:space="preserve"> dat.</w:t>
      </w:r>
    </w:p>
  </w:footnote>
  <w:footnote w:id="44">
    <w:p w14:paraId="3EC378D2" w14:textId="77777777" w:rsidR="00D652EB" w:rsidRPr="000C5F73" w:rsidRDefault="00D652EB" w:rsidP="004A3BE4">
      <w:pPr>
        <w:pStyle w:val="Textpoznpodarou"/>
        <w:rPr>
          <w:sz w:val="16"/>
          <w:szCs w:val="16"/>
        </w:rPr>
      </w:pPr>
      <w:r w:rsidRPr="000C5F73">
        <w:rPr>
          <w:rStyle w:val="Znakapoznpodarou"/>
          <w:sz w:val="16"/>
          <w:szCs w:val="16"/>
        </w:rPr>
        <w:footnoteRef/>
      </w:r>
      <w:r w:rsidRPr="000C5F73">
        <w:rPr>
          <w:sz w:val="16"/>
          <w:szCs w:val="16"/>
        </w:rPr>
        <w:t xml:space="preserve"> Bez cen zásobování vodou a</w:t>
      </w:r>
      <w:r>
        <w:rPr>
          <w:sz w:val="16"/>
          <w:szCs w:val="16"/>
        </w:rPr>
        <w:t> </w:t>
      </w:r>
      <w:r w:rsidRPr="000C5F73">
        <w:rPr>
          <w:sz w:val="16"/>
          <w:szCs w:val="16"/>
        </w:rPr>
        <w:t>služeb souvisejících s odpadními vodami.</w:t>
      </w:r>
    </w:p>
  </w:footnote>
  <w:footnote w:id="45">
    <w:p w14:paraId="6BFEE3FB" w14:textId="77777777" w:rsidR="00D652EB" w:rsidRPr="00C11C5A" w:rsidRDefault="00D652EB" w:rsidP="004A3BE4">
      <w:pPr>
        <w:pStyle w:val="Textpoznpodarou"/>
        <w:rPr>
          <w:sz w:val="16"/>
          <w:szCs w:val="16"/>
        </w:rPr>
      </w:pPr>
      <w:r w:rsidRPr="00C11C5A">
        <w:rPr>
          <w:rStyle w:val="Znakapoznpodarou"/>
          <w:sz w:val="16"/>
          <w:szCs w:val="16"/>
        </w:rPr>
        <w:footnoteRef/>
      </w:r>
      <w:r>
        <w:rPr>
          <w:sz w:val="16"/>
          <w:szCs w:val="16"/>
        </w:rPr>
        <w:t xml:space="preserve"> Podle údajů ČNB byl v 1. čtvrtletí 2023 </w:t>
      </w:r>
      <w:r w:rsidRPr="00C11C5A">
        <w:rPr>
          <w:sz w:val="16"/>
          <w:szCs w:val="16"/>
        </w:rPr>
        <w:t xml:space="preserve">průměrný kurz koruny vůči euru </w:t>
      </w:r>
      <w:r>
        <w:rPr>
          <w:sz w:val="16"/>
          <w:szCs w:val="16"/>
        </w:rPr>
        <w:t>23,785 </w:t>
      </w:r>
      <w:r w:rsidRPr="00C11C5A">
        <w:rPr>
          <w:sz w:val="16"/>
          <w:szCs w:val="16"/>
        </w:rPr>
        <w:t xml:space="preserve">CZK/EUR. </w:t>
      </w:r>
      <w:r>
        <w:rPr>
          <w:sz w:val="16"/>
          <w:szCs w:val="16"/>
        </w:rPr>
        <w:t>V roce 2022</w:t>
      </w:r>
      <w:r w:rsidRPr="00C11C5A">
        <w:rPr>
          <w:sz w:val="16"/>
          <w:szCs w:val="16"/>
        </w:rPr>
        <w:t xml:space="preserve"> to bylo </w:t>
      </w:r>
      <w:r>
        <w:rPr>
          <w:sz w:val="16"/>
          <w:szCs w:val="16"/>
        </w:rPr>
        <w:t xml:space="preserve">24,653 </w:t>
      </w:r>
      <w:r w:rsidRPr="00C11C5A">
        <w:rPr>
          <w:sz w:val="16"/>
          <w:szCs w:val="16"/>
        </w:rPr>
        <w:t xml:space="preserve">CZK/EUR. </w:t>
      </w:r>
      <w:r>
        <w:rPr>
          <w:sz w:val="16"/>
          <w:szCs w:val="16"/>
        </w:rPr>
        <w:t>Kurz dolaru meziročně oslaboval</w:t>
      </w:r>
      <w:r w:rsidRPr="00C11C5A">
        <w:rPr>
          <w:sz w:val="16"/>
          <w:szCs w:val="16"/>
        </w:rPr>
        <w:t xml:space="preserve">. </w:t>
      </w:r>
      <w:r>
        <w:rPr>
          <w:sz w:val="16"/>
          <w:szCs w:val="16"/>
        </w:rPr>
        <w:t xml:space="preserve">V 1. čtvrtletí 2022 </w:t>
      </w:r>
      <w:r w:rsidRPr="00C11C5A">
        <w:rPr>
          <w:sz w:val="16"/>
          <w:szCs w:val="16"/>
        </w:rPr>
        <w:t xml:space="preserve">činil </w:t>
      </w:r>
      <w:r>
        <w:rPr>
          <w:sz w:val="16"/>
          <w:szCs w:val="16"/>
        </w:rPr>
        <w:t xml:space="preserve">průměr 21,989 </w:t>
      </w:r>
      <w:r w:rsidRPr="00C11C5A">
        <w:rPr>
          <w:sz w:val="16"/>
          <w:szCs w:val="16"/>
        </w:rPr>
        <w:t>CZK/USD</w:t>
      </w:r>
      <w:r>
        <w:rPr>
          <w:sz w:val="16"/>
          <w:szCs w:val="16"/>
        </w:rPr>
        <w:t xml:space="preserve"> a letos</w:t>
      </w:r>
      <w:r w:rsidRPr="00C11C5A">
        <w:rPr>
          <w:sz w:val="16"/>
          <w:szCs w:val="16"/>
        </w:rPr>
        <w:t xml:space="preserve"> 2</w:t>
      </w:r>
      <w:r>
        <w:rPr>
          <w:sz w:val="16"/>
          <w:szCs w:val="16"/>
        </w:rPr>
        <w:t>2,169 </w:t>
      </w:r>
      <w:r w:rsidRPr="00C11C5A">
        <w:rPr>
          <w:sz w:val="16"/>
          <w:szCs w:val="16"/>
        </w:rPr>
        <w:t>CZK/U</w:t>
      </w:r>
      <w:r>
        <w:rPr>
          <w:sz w:val="16"/>
          <w:szCs w:val="16"/>
        </w:rPr>
        <w:t>SD</w:t>
      </w:r>
      <w:r w:rsidRPr="00C11C5A">
        <w:rPr>
          <w:sz w:val="16"/>
          <w:szCs w:val="16"/>
        </w:rPr>
        <w:t>.</w:t>
      </w:r>
    </w:p>
  </w:footnote>
  <w:footnote w:id="46">
    <w:p w14:paraId="2C7D1044" w14:textId="77777777" w:rsidR="00D652EB" w:rsidRPr="00940B11" w:rsidRDefault="00D652EB" w:rsidP="004A3BE4">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6</w:t>
      </w:r>
      <w:r>
        <w:rPr>
          <w:sz w:val="16"/>
          <w:szCs w:val="16"/>
        </w:rPr>
        <w:t> </w:t>
      </w:r>
      <w:r w:rsidRPr="00940B11">
        <w:rPr>
          <w:sz w:val="16"/>
          <w:szCs w:val="16"/>
        </w:rPr>
        <w:t>– tržní výrobky tříděné hlavně podle materiálu</w:t>
      </w:r>
      <w:r>
        <w:rPr>
          <w:sz w:val="16"/>
          <w:szCs w:val="16"/>
        </w:rPr>
        <w:t>.</w:t>
      </w:r>
    </w:p>
  </w:footnote>
  <w:footnote w:id="47">
    <w:p w14:paraId="54E5D2C0" w14:textId="77777777" w:rsidR="00D652EB" w:rsidRPr="00940B11" w:rsidRDefault="00D652EB" w:rsidP="004A3BE4">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2</w:t>
      </w:r>
      <w:r>
        <w:rPr>
          <w:sz w:val="16"/>
          <w:szCs w:val="16"/>
        </w:rPr>
        <w:t> </w:t>
      </w:r>
      <w:r w:rsidRPr="00940B11">
        <w:rPr>
          <w:sz w:val="16"/>
          <w:szCs w:val="16"/>
        </w:rPr>
        <w:t>– suroviny nepoživatelné s výjimkou paliv</w:t>
      </w:r>
      <w:r>
        <w:rPr>
          <w:sz w:val="16"/>
          <w:szCs w:val="16"/>
        </w:rPr>
        <w:t>.</w:t>
      </w:r>
    </w:p>
  </w:footnote>
  <w:footnote w:id="48">
    <w:p w14:paraId="5E655B56" w14:textId="77777777" w:rsidR="00D652EB" w:rsidRPr="00F72E52" w:rsidRDefault="00D652EB" w:rsidP="00765928">
      <w:pPr>
        <w:pStyle w:val="Textpoznpodarou"/>
        <w:jc w:val="both"/>
        <w:rPr>
          <w:color w:val="0D0D0D" w:themeColor="text1" w:themeTint="F2"/>
          <w:spacing w:val="-2"/>
          <w:sz w:val="16"/>
          <w:szCs w:val="16"/>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Údaje </w:t>
      </w:r>
      <w:r>
        <w:rPr>
          <w:color w:val="0D0D0D" w:themeColor="text1" w:themeTint="F2"/>
          <w:spacing w:val="-2"/>
          <w:sz w:val="16"/>
          <w:szCs w:val="16"/>
        </w:rPr>
        <w:t xml:space="preserve">o zaměstnanosti </w:t>
      </w:r>
      <w:r w:rsidRPr="00F72E52">
        <w:rPr>
          <w:color w:val="0D0D0D" w:themeColor="text1" w:themeTint="F2"/>
          <w:spacing w:val="-2"/>
          <w:sz w:val="16"/>
          <w:szCs w:val="16"/>
        </w:rPr>
        <w:t>vycház</w:t>
      </w:r>
      <w:r>
        <w:rPr>
          <w:color w:val="0D0D0D" w:themeColor="text1" w:themeTint="F2"/>
          <w:spacing w:val="-2"/>
          <w:sz w:val="16"/>
          <w:szCs w:val="16"/>
        </w:rPr>
        <w:t>ej</w:t>
      </w:r>
      <w:r w:rsidRPr="00F72E52">
        <w:rPr>
          <w:color w:val="0D0D0D" w:themeColor="text1" w:themeTint="F2"/>
          <w:spacing w:val="-2"/>
          <w:sz w:val="16"/>
          <w:szCs w:val="16"/>
        </w:rPr>
        <w:t>í z</w:t>
      </w:r>
      <w:r>
        <w:rPr>
          <w:color w:val="0D0D0D" w:themeColor="text1" w:themeTint="F2"/>
          <w:spacing w:val="-2"/>
          <w:sz w:val="16"/>
          <w:szCs w:val="16"/>
        </w:rPr>
        <w:t> </w:t>
      </w:r>
      <w:r w:rsidRPr="00F72E52">
        <w:rPr>
          <w:color w:val="0D0D0D" w:themeColor="text1" w:themeTint="F2"/>
          <w:spacing w:val="-2"/>
          <w:sz w:val="16"/>
          <w:szCs w:val="16"/>
        </w:rPr>
        <w:t>pojetí národních účtů. Jsou vyjádřeny ve fyzických osobách a</w:t>
      </w:r>
      <w:r>
        <w:rPr>
          <w:color w:val="0D0D0D" w:themeColor="text1" w:themeTint="F2"/>
          <w:spacing w:val="-2"/>
          <w:sz w:val="16"/>
          <w:szCs w:val="16"/>
        </w:rPr>
        <w:t> </w:t>
      </w:r>
      <w:r w:rsidRPr="00F72E52">
        <w:rPr>
          <w:color w:val="0D0D0D" w:themeColor="text1" w:themeTint="F2"/>
          <w:spacing w:val="-2"/>
          <w:sz w:val="16"/>
          <w:szCs w:val="16"/>
        </w:rPr>
        <w:t>očištěny o sezónní vlivy.</w:t>
      </w:r>
      <w:r>
        <w:rPr>
          <w:color w:val="0D0D0D" w:themeColor="text1" w:themeTint="F2"/>
          <w:spacing w:val="-2"/>
          <w:sz w:val="16"/>
          <w:szCs w:val="16"/>
        </w:rPr>
        <w:t xml:space="preserve"> Na rozdíl od údajů z podnikové statistiky či z </w:t>
      </w:r>
      <w:r w:rsidRPr="00946AFA">
        <w:rPr>
          <w:sz w:val="16"/>
          <w:szCs w:val="16"/>
        </w:rPr>
        <w:t xml:space="preserve">výběrového šetření pracovních sil </w:t>
      </w:r>
      <w:r>
        <w:rPr>
          <w:sz w:val="16"/>
          <w:szCs w:val="16"/>
        </w:rPr>
        <w:t>(VŠPS) zahrnují např. i odhad vlivu šedé ekonomiky.</w:t>
      </w:r>
    </w:p>
  </w:footnote>
  <w:footnote w:id="49">
    <w:p w14:paraId="716DD67E" w14:textId="77777777" w:rsidR="00D652EB" w:rsidRPr="00946AFA" w:rsidRDefault="00D652EB" w:rsidP="00765928">
      <w:pPr>
        <w:pStyle w:val="Textpoznpodarou"/>
        <w:rPr>
          <w:sz w:val="16"/>
          <w:szCs w:val="16"/>
        </w:rPr>
      </w:pPr>
      <w:r w:rsidRPr="00946AFA">
        <w:rPr>
          <w:rStyle w:val="Znakapoznpodarou"/>
          <w:sz w:val="16"/>
          <w:szCs w:val="16"/>
        </w:rPr>
        <w:footnoteRef/>
      </w:r>
      <w:r w:rsidRPr="00946AFA">
        <w:rPr>
          <w:sz w:val="16"/>
          <w:szCs w:val="16"/>
        </w:rPr>
        <w:t xml:space="preserve"> Z detailnějších </w:t>
      </w:r>
      <w:r>
        <w:rPr>
          <w:sz w:val="16"/>
          <w:szCs w:val="16"/>
        </w:rPr>
        <w:t xml:space="preserve">údajů z VŠPS </w:t>
      </w:r>
      <w:r w:rsidRPr="00946AFA">
        <w:rPr>
          <w:sz w:val="16"/>
          <w:szCs w:val="16"/>
        </w:rPr>
        <w:t>plyne, že počet zaměstnavatel</w:t>
      </w:r>
      <w:r>
        <w:rPr>
          <w:sz w:val="16"/>
          <w:szCs w:val="16"/>
        </w:rPr>
        <w:t>ů (podnikatelů se zaměstnanci) se nadále snižoval (pátým rokem v řadě). Tato skupina podnikatelů je v metodice národních účtů řazena do kategorie zaměstnanců.</w:t>
      </w:r>
    </w:p>
  </w:footnote>
  <w:footnote w:id="50">
    <w:p w14:paraId="1DCAA154" w14:textId="77777777" w:rsidR="00D652EB" w:rsidRPr="00650B9F" w:rsidRDefault="00D652EB" w:rsidP="00765928">
      <w:pPr>
        <w:pStyle w:val="Textpoznpodarou"/>
        <w:rPr>
          <w:sz w:val="16"/>
          <w:szCs w:val="16"/>
        </w:rPr>
      </w:pPr>
      <w:r w:rsidRPr="00650B9F">
        <w:rPr>
          <w:rStyle w:val="Znakapoznpodarou"/>
          <w:sz w:val="16"/>
          <w:szCs w:val="16"/>
        </w:rPr>
        <w:footnoteRef/>
      </w:r>
      <w:r w:rsidRPr="00650B9F">
        <w:rPr>
          <w:sz w:val="16"/>
          <w:szCs w:val="16"/>
        </w:rPr>
        <w:t xml:space="preserve"> </w:t>
      </w:r>
      <w:r w:rsidRPr="00650B9F">
        <w:rPr>
          <w:color w:val="0D0D0D" w:themeColor="text1" w:themeTint="F2"/>
          <w:spacing w:val="-4"/>
          <w:sz w:val="16"/>
          <w:szCs w:val="16"/>
        </w:rPr>
        <w:t>Ve váhově nejvýznamnějších segmentech ekonomiky – zpracovatelském průmyslu či uskupení obchod, doprava,</w:t>
      </w:r>
      <w:r>
        <w:rPr>
          <w:color w:val="0D0D0D" w:themeColor="text1" w:themeTint="F2"/>
          <w:spacing w:val="-4"/>
          <w:sz w:val="16"/>
          <w:szCs w:val="16"/>
        </w:rPr>
        <w:t xml:space="preserve"> ubytování a pohostinství – byl</w:t>
      </w:r>
      <w:r w:rsidRPr="00650B9F">
        <w:rPr>
          <w:color w:val="0D0D0D" w:themeColor="text1" w:themeTint="F2"/>
          <w:spacing w:val="-4"/>
          <w:sz w:val="16"/>
          <w:szCs w:val="16"/>
        </w:rPr>
        <w:t xml:space="preserve"> letos oproti počátku roku 2019 nižší zhruba o šestinu.</w:t>
      </w:r>
    </w:p>
  </w:footnote>
  <w:footnote w:id="51">
    <w:p w14:paraId="019BC93E" w14:textId="77777777" w:rsidR="00D652EB" w:rsidRPr="00A20936" w:rsidRDefault="00D652EB" w:rsidP="00765928">
      <w:pPr>
        <w:pStyle w:val="Textpoznpodarou"/>
        <w:rPr>
          <w:color w:val="0D0D0D" w:themeColor="text1" w:themeTint="F2"/>
          <w:spacing w:val="-4"/>
          <w:sz w:val="16"/>
          <w:szCs w:val="16"/>
        </w:rPr>
      </w:pPr>
      <w:r w:rsidRPr="00A20936">
        <w:rPr>
          <w:rStyle w:val="Znakapoznpodarou"/>
          <w:color w:val="0D0D0D" w:themeColor="text1" w:themeTint="F2"/>
          <w:spacing w:val="-2"/>
          <w:sz w:val="16"/>
          <w:szCs w:val="16"/>
        </w:rPr>
        <w:footnoteRef/>
      </w:r>
      <w:r w:rsidRPr="00A20936">
        <w:rPr>
          <w:color w:val="0D0D0D" w:themeColor="text1" w:themeTint="F2"/>
          <w:spacing w:val="-2"/>
          <w:sz w:val="16"/>
          <w:szCs w:val="16"/>
        </w:rPr>
        <w:t xml:space="preserve"> Redukci počtu zaměstnanců očekávaly (dle šetření z dubna 2023) podniky ve výrazné většině průmyslových oborů – jak energeticky náročných (hutnictví, kovovýroba, výroba stavebních materiálů, chemický průmysl či potravinářství</w:t>
      </w:r>
      <w:r>
        <w:rPr>
          <w:color w:val="0D0D0D" w:themeColor="text1" w:themeTint="F2"/>
          <w:spacing w:val="-2"/>
          <w:sz w:val="16"/>
          <w:szCs w:val="16"/>
        </w:rPr>
        <w:t>), tak i v řadě</w:t>
      </w:r>
      <w:r w:rsidRPr="00A20936">
        <w:rPr>
          <w:color w:val="0D0D0D" w:themeColor="text1" w:themeTint="F2"/>
          <w:spacing w:val="-2"/>
          <w:sz w:val="16"/>
          <w:szCs w:val="16"/>
        </w:rPr>
        <w:t xml:space="preserve"> </w:t>
      </w:r>
      <w:r>
        <w:rPr>
          <w:color w:val="0D0D0D" w:themeColor="text1" w:themeTint="F2"/>
          <w:spacing w:val="-2"/>
          <w:sz w:val="16"/>
          <w:szCs w:val="16"/>
        </w:rPr>
        <w:t>menších oborů (textilní, oděvní</w:t>
      </w:r>
      <w:r w:rsidRPr="00A20936">
        <w:rPr>
          <w:color w:val="0D0D0D" w:themeColor="text1" w:themeTint="F2"/>
          <w:spacing w:val="-2"/>
          <w:sz w:val="16"/>
          <w:szCs w:val="16"/>
        </w:rPr>
        <w:t xml:space="preserve">, papírenský a nábytkářský průmysl). Naopak mírně pozitivní výhledy přetrvávaly ve výrobě dopravních </w:t>
      </w:r>
      <w:r w:rsidRPr="00A20936">
        <w:rPr>
          <w:color w:val="0D0D0D" w:themeColor="text1" w:themeTint="F2"/>
          <w:spacing w:val="-4"/>
          <w:sz w:val="16"/>
          <w:szCs w:val="16"/>
        </w:rPr>
        <w:t>prostředků, výrobě počítačů, elektronických a optických přístrojů, z menších oborů pak ve farmacii, tiskárenství či obu</w:t>
      </w:r>
      <w:r>
        <w:rPr>
          <w:color w:val="0D0D0D" w:themeColor="text1" w:themeTint="F2"/>
          <w:spacing w:val="-4"/>
          <w:sz w:val="16"/>
          <w:szCs w:val="16"/>
        </w:rPr>
        <w:t>v</w:t>
      </w:r>
      <w:r w:rsidRPr="00A20936">
        <w:rPr>
          <w:color w:val="0D0D0D" w:themeColor="text1" w:themeTint="F2"/>
          <w:spacing w:val="-4"/>
          <w:sz w:val="16"/>
          <w:szCs w:val="16"/>
        </w:rPr>
        <w:t>nictví).</w:t>
      </w:r>
    </w:p>
    <w:p w14:paraId="50840C11" w14:textId="77777777" w:rsidR="00D652EB" w:rsidRPr="00CC045D" w:rsidRDefault="00D652EB" w:rsidP="00765928">
      <w:pPr>
        <w:pStyle w:val="Textpoznpodarou"/>
        <w:rPr>
          <w:sz w:val="16"/>
          <w:szCs w:val="16"/>
        </w:rPr>
      </w:pPr>
      <w:r w:rsidRPr="00A20936">
        <w:rPr>
          <w:color w:val="0D0D0D" w:themeColor="text1" w:themeTint="F2"/>
          <w:spacing w:val="-4"/>
          <w:sz w:val="16"/>
          <w:szCs w:val="16"/>
        </w:rPr>
        <w:t xml:space="preserve">Ve službách byla negativní očekávání patrná ve všech druzích dopravy, u cestovních kanceláří a agentur, ve vydavatelských činnostech, v peněžnictví, telekomunikacích či v oblasti reklamy. Naopak u řady jiných podnikových služeb (právní a účetnické činnosti, služby pracovních agentur) či v oblasti pojišťovnictví, programování, </w:t>
      </w:r>
      <w:r>
        <w:rPr>
          <w:color w:val="0D0D0D" w:themeColor="text1" w:themeTint="F2"/>
          <w:spacing w:val="-4"/>
          <w:sz w:val="16"/>
          <w:szCs w:val="16"/>
        </w:rPr>
        <w:t xml:space="preserve">v </w:t>
      </w:r>
      <w:r w:rsidRPr="00A20936">
        <w:rPr>
          <w:color w:val="0D0D0D" w:themeColor="text1" w:themeTint="F2"/>
          <w:spacing w:val="-4"/>
          <w:sz w:val="16"/>
          <w:szCs w:val="16"/>
        </w:rPr>
        <w:t>kurýrních činnostech</w:t>
      </w:r>
      <w:r>
        <w:rPr>
          <w:color w:val="0D0D0D" w:themeColor="text1" w:themeTint="F2"/>
          <w:spacing w:val="-4"/>
          <w:sz w:val="16"/>
          <w:szCs w:val="16"/>
        </w:rPr>
        <w:t>, pohostinství a</w:t>
      </w:r>
      <w:r w:rsidRPr="00A20936">
        <w:rPr>
          <w:color w:val="0D0D0D" w:themeColor="text1" w:themeTint="F2"/>
          <w:spacing w:val="-4"/>
          <w:sz w:val="16"/>
          <w:szCs w:val="16"/>
        </w:rPr>
        <w:t xml:space="preserve"> skladování podniky spíše očekávají vyšší zaměstnanost.</w:t>
      </w:r>
    </w:p>
  </w:footnote>
  <w:footnote w:id="52">
    <w:p w14:paraId="74CFB906" w14:textId="77777777" w:rsidR="00D652EB" w:rsidRPr="004E68B1" w:rsidRDefault="00D652EB" w:rsidP="00765928">
      <w:pPr>
        <w:pStyle w:val="Textpoznpodarou"/>
        <w:rPr>
          <w:spacing w:val="-3"/>
          <w:sz w:val="16"/>
          <w:szCs w:val="16"/>
        </w:rPr>
      </w:pPr>
      <w:r w:rsidRPr="004E68B1">
        <w:rPr>
          <w:rStyle w:val="Znakapoznpodarou"/>
          <w:spacing w:val="-3"/>
          <w:sz w:val="16"/>
          <w:szCs w:val="16"/>
        </w:rPr>
        <w:footnoteRef/>
      </w:r>
      <w:r>
        <w:rPr>
          <w:spacing w:val="-3"/>
          <w:sz w:val="16"/>
          <w:szCs w:val="16"/>
        </w:rPr>
        <w:t xml:space="preserve"> Není-li uvedeno jinak, vycházejí v</w:t>
      </w:r>
      <w:r w:rsidRPr="004E68B1">
        <w:rPr>
          <w:spacing w:val="-3"/>
          <w:sz w:val="16"/>
          <w:szCs w:val="16"/>
        </w:rPr>
        <w:t>šechny údaje o </w:t>
      </w:r>
      <w:r>
        <w:rPr>
          <w:spacing w:val="-3"/>
          <w:sz w:val="16"/>
          <w:szCs w:val="16"/>
        </w:rPr>
        <w:t xml:space="preserve">mírách </w:t>
      </w:r>
      <w:r w:rsidRPr="004E68B1">
        <w:rPr>
          <w:spacing w:val="-3"/>
          <w:sz w:val="16"/>
          <w:szCs w:val="16"/>
        </w:rPr>
        <w:t>nezaměstnanosti z</w:t>
      </w:r>
      <w:r>
        <w:rPr>
          <w:spacing w:val="-3"/>
          <w:sz w:val="16"/>
          <w:szCs w:val="16"/>
        </w:rPr>
        <w:t> VŠPS (dle metodiky ILO) a jsou očištěny o sezónní vlivy.</w:t>
      </w:r>
    </w:p>
  </w:footnote>
  <w:footnote w:id="53">
    <w:p w14:paraId="5FFA001B" w14:textId="77777777" w:rsidR="00D652EB" w:rsidRPr="00EC5D23" w:rsidRDefault="00D652EB" w:rsidP="00765928">
      <w:pPr>
        <w:pStyle w:val="Textpoznpodarou"/>
        <w:rPr>
          <w:sz w:val="16"/>
          <w:szCs w:val="16"/>
        </w:rPr>
      </w:pPr>
      <w:r w:rsidRPr="00EC5D23">
        <w:rPr>
          <w:rStyle w:val="Znakapoznpodarou"/>
          <w:sz w:val="16"/>
          <w:szCs w:val="16"/>
        </w:rPr>
        <w:footnoteRef/>
      </w:r>
      <w:r w:rsidRPr="00EC5D23">
        <w:rPr>
          <w:sz w:val="16"/>
          <w:szCs w:val="16"/>
        </w:rPr>
        <w:t xml:space="preserve"> </w:t>
      </w:r>
      <w:r w:rsidRPr="00EC5D23">
        <w:rPr>
          <w:spacing w:val="-3"/>
          <w:sz w:val="16"/>
          <w:szCs w:val="16"/>
        </w:rPr>
        <w:t>Dle údajů MPSV činil sez</w:t>
      </w:r>
      <w:r>
        <w:rPr>
          <w:spacing w:val="-3"/>
          <w:sz w:val="16"/>
          <w:szCs w:val="16"/>
        </w:rPr>
        <w:t>ó</w:t>
      </w:r>
      <w:r w:rsidRPr="00EC5D23">
        <w:rPr>
          <w:spacing w:val="-3"/>
          <w:sz w:val="16"/>
          <w:szCs w:val="16"/>
        </w:rPr>
        <w:t>nně neočištěný podíl dosažitelných uchazečů o zaměstnání ve věku 15 až 64 let</w:t>
      </w:r>
      <w:r>
        <w:rPr>
          <w:spacing w:val="-3"/>
          <w:sz w:val="16"/>
          <w:szCs w:val="16"/>
        </w:rPr>
        <w:t xml:space="preserve"> na obyvatelstvu stejného věku </w:t>
      </w:r>
      <w:r w:rsidRPr="00EC5D23">
        <w:rPr>
          <w:spacing w:val="-3"/>
          <w:sz w:val="16"/>
          <w:szCs w:val="16"/>
        </w:rPr>
        <w:t>loni v lednu 3,6 %, v červnu 3,1 % a v prosinci 3,7 %.</w:t>
      </w:r>
      <w:r w:rsidRPr="00EC5D23">
        <w:rPr>
          <w:sz w:val="16"/>
          <w:szCs w:val="16"/>
        </w:rPr>
        <w:t xml:space="preserve"> Letos v lednu vystoupal na 3,9 % (nejvýše od května 2021)</w:t>
      </w:r>
      <w:r>
        <w:rPr>
          <w:sz w:val="16"/>
          <w:szCs w:val="16"/>
        </w:rPr>
        <w:t>, v dubnu klesl</w:t>
      </w:r>
      <w:r w:rsidRPr="00EC5D23">
        <w:rPr>
          <w:sz w:val="16"/>
          <w:szCs w:val="16"/>
        </w:rPr>
        <w:t xml:space="preserve"> na 3,6 %.</w:t>
      </w:r>
    </w:p>
  </w:footnote>
  <w:footnote w:id="54">
    <w:p w14:paraId="14E2FF6D" w14:textId="77777777" w:rsidR="00D652EB" w:rsidRPr="00E12257" w:rsidRDefault="00D652EB" w:rsidP="00765928">
      <w:pPr>
        <w:pStyle w:val="Textpoznpodarou"/>
        <w:rPr>
          <w:sz w:val="16"/>
          <w:szCs w:val="16"/>
        </w:rPr>
      </w:pPr>
      <w:r w:rsidRPr="00E12257">
        <w:rPr>
          <w:rStyle w:val="Znakapoznpodarou"/>
          <w:sz w:val="16"/>
          <w:szCs w:val="16"/>
        </w:rPr>
        <w:footnoteRef/>
      </w:r>
      <w:r w:rsidRPr="00E12257">
        <w:rPr>
          <w:sz w:val="16"/>
          <w:szCs w:val="16"/>
        </w:rPr>
        <w:t xml:space="preserve"> Na konci dubna nabízely ÚP </w:t>
      </w:r>
      <w:r>
        <w:rPr>
          <w:sz w:val="16"/>
          <w:szCs w:val="16"/>
        </w:rPr>
        <w:t xml:space="preserve">v ČR </w:t>
      </w:r>
      <w:r w:rsidRPr="00E12257">
        <w:rPr>
          <w:sz w:val="16"/>
          <w:szCs w:val="16"/>
        </w:rPr>
        <w:t>28</w:t>
      </w:r>
      <w:r>
        <w:rPr>
          <w:sz w:val="16"/>
          <w:szCs w:val="16"/>
        </w:rPr>
        <w:t>5</w:t>
      </w:r>
      <w:r w:rsidRPr="00E12257">
        <w:rPr>
          <w:sz w:val="16"/>
          <w:szCs w:val="16"/>
        </w:rPr>
        <w:t xml:space="preserve"> tis. volných míst </w:t>
      </w:r>
      <w:r>
        <w:rPr>
          <w:sz w:val="16"/>
          <w:szCs w:val="16"/>
        </w:rPr>
        <w:t xml:space="preserve">(z toho méně než šest měsíců v nabídce bylo 129 tis. míst). Celkový počet míst letos od počátku roku nepatrně roste (efekt sezónní nabídky volných míst se zhruba vyrovnal vlivu zhoršených očekávání firem v oblasti zaměstnanosti). Meziročně ubylo míst o šestinu, což lze částečně spojit s postupnou integrací ukrajinských uprchlíků na pracovní trh. Snížil se hlavně počet míst vyžadujících pouze základní vzdělání (-45 tis), v menší míře došlo ale k poklesu u všech tříd zaměstnání a drtivé většiny skupin dle požadovaného vzdělání (nižší procentní úbytky nastaly u pozic vyžadujících alespoň maturitní vzdělání). </w:t>
      </w:r>
    </w:p>
  </w:footnote>
  <w:footnote w:id="55">
    <w:p w14:paraId="636DB67D" w14:textId="77777777" w:rsidR="00D652EB" w:rsidRPr="00B6005F" w:rsidRDefault="00D652EB" w:rsidP="00765928">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Hrubý disponibilní důchod (HDD) domácností se v reálném vyjádření v</w:t>
      </w:r>
      <w:r>
        <w:rPr>
          <w:spacing w:val="-3"/>
          <w:sz w:val="16"/>
          <w:szCs w:val="16"/>
        </w:rPr>
        <w:t>e</w:t>
      </w:r>
      <w:r w:rsidRPr="00B6005F">
        <w:rPr>
          <w:spacing w:val="-3"/>
          <w:sz w:val="16"/>
          <w:szCs w:val="16"/>
        </w:rPr>
        <w:t xml:space="preserve"> 4. čtvrtletí 2022 meziročně snížil o 3,2 % (objem mezd a platů v pojetí národních účtů se ve stejném období reálně propadl o 7,7 %). Mzdy a platy zohledňují (na rozdíl od podnikové statistiky) i další faktory, např. šedou ekonomiku, možné zvýšení ekonomické aktivity obyvatel, např. formou druhých zaměstnání či dohod o provedení práce. HDD zahrnuje vedle mezd a platů i příjmy plynoucí z podnikání či z vlastnictví kapitálu a také sociální transfery od státu, vč. donedávna plně valorizovaných starobních důchodů (efekt úpravy valorizačního schématu z důvodu úsporných opatření se poprvé projevil v červnu 2023). </w:t>
      </w:r>
    </w:p>
  </w:footnote>
  <w:footnote w:id="56">
    <w:p w14:paraId="02FEB49A" w14:textId="77777777" w:rsidR="00D652EB" w:rsidRPr="00B6005F" w:rsidRDefault="00D652EB" w:rsidP="00765928">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Od ledna 2023 došlo k navýšení minimální mzdy o 6,8 </w:t>
      </w:r>
      <w:r>
        <w:rPr>
          <w:spacing w:val="-3"/>
          <w:sz w:val="16"/>
          <w:szCs w:val="16"/>
        </w:rPr>
        <w:t>% (srovnatelně jako v předchozím roce</w:t>
      </w:r>
      <w:r w:rsidRPr="00B6005F">
        <w:rPr>
          <w:spacing w:val="-3"/>
          <w:sz w:val="16"/>
          <w:szCs w:val="16"/>
        </w:rPr>
        <w:t xml:space="preserve">). Na rozdíl od praxe z minulých let </w:t>
      </w:r>
      <w:r>
        <w:rPr>
          <w:spacing w:val="-3"/>
          <w:sz w:val="16"/>
          <w:szCs w:val="16"/>
        </w:rPr>
        <w:t xml:space="preserve">však </w:t>
      </w:r>
      <w:r w:rsidRPr="00B6005F">
        <w:rPr>
          <w:spacing w:val="-3"/>
          <w:sz w:val="16"/>
          <w:szCs w:val="16"/>
        </w:rPr>
        <w:t>neby</w:t>
      </w:r>
      <w:r>
        <w:rPr>
          <w:spacing w:val="-3"/>
          <w:sz w:val="16"/>
          <w:szCs w:val="16"/>
        </w:rPr>
        <w:t xml:space="preserve">l posun minimální mzdy </w:t>
      </w:r>
      <w:r w:rsidRPr="00B6005F">
        <w:rPr>
          <w:spacing w:val="-3"/>
          <w:sz w:val="16"/>
          <w:szCs w:val="16"/>
        </w:rPr>
        <w:t>doprovázen zvýšením hranice u tzv. zaručených mezd (ta letos vzrostla jen v kvalifi</w:t>
      </w:r>
      <w:r>
        <w:rPr>
          <w:spacing w:val="-3"/>
          <w:sz w:val="16"/>
          <w:szCs w:val="16"/>
        </w:rPr>
        <w:t>kačně nejvyšší skupině prací, v</w:t>
      </w:r>
      <w:r w:rsidRPr="00B6005F">
        <w:rPr>
          <w:spacing w:val="-3"/>
          <w:sz w:val="16"/>
          <w:szCs w:val="16"/>
        </w:rPr>
        <w:t> níž ale minimální mzdu patrně pobírá jen zlomek zaměstnanců).</w:t>
      </w:r>
    </w:p>
  </w:footnote>
  <w:footnote w:id="57">
    <w:p w14:paraId="00632D99" w14:textId="77777777" w:rsidR="00D652EB" w:rsidRPr="00B6005F" w:rsidRDefault="00D652EB" w:rsidP="00765928">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Výjimkou bylo odvětví veřejné správy, obrany a sociálního zabezpečení. Od 1. září 2022 došlo k 10%</w:t>
      </w:r>
      <w:r>
        <w:rPr>
          <w:spacing w:val="-3"/>
          <w:sz w:val="16"/>
          <w:szCs w:val="16"/>
        </w:rPr>
        <w:t xml:space="preserve"> </w:t>
      </w:r>
      <w:r w:rsidRPr="00B6005F">
        <w:rPr>
          <w:spacing w:val="-3"/>
          <w:sz w:val="16"/>
          <w:szCs w:val="16"/>
        </w:rPr>
        <w:t xml:space="preserve">navýšení platových tarifů </w:t>
      </w:r>
      <w:r>
        <w:rPr>
          <w:spacing w:val="-3"/>
          <w:sz w:val="16"/>
          <w:szCs w:val="16"/>
        </w:rPr>
        <w:br/>
      </w:r>
      <w:r w:rsidRPr="00B6005F">
        <w:rPr>
          <w:spacing w:val="-3"/>
          <w:sz w:val="16"/>
          <w:szCs w:val="16"/>
        </w:rPr>
        <w:t>u zaměstnanců spadajících po</w:t>
      </w:r>
      <w:r>
        <w:rPr>
          <w:spacing w:val="-3"/>
          <w:sz w:val="16"/>
          <w:szCs w:val="16"/>
        </w:rPr>
        <w:t>d</w:t>
      </w:r>
      <w:r w:rsidRPr="00B6005F">
        <w:rPr>
          <w:spacing w:val="-3"/>
          <w:sz w:val="16"/>
          <w:szCs w:val="16"/>
        </w:rPr>
        <w:t xml:space="preserve"> služební zákon. </w:t>
      </w:r>
      <w:r>
        <w:rPr>
          <w:spacing w:val="-3"/>
          <w:sz w:val="16"/>
          <w:szCs w:val="16"/>
        </w:rPr>
        <w:t xml:space="preserve">Od ledna 2023 se zvýšily i </w:t>
      </w:r>
      <w:r w:rsidRPr="00B6005F">
        <w:rPr>
          <w:spacing w:val="-3"/>
          <w:sz w:val="16"/>
          <w:szCs w:val="16"/>
        </w:rPr>
        <w:t xml:space="preserve">platové tarify u vojáků a příslušníků bezpečnostních sborů </w:t>
      </w:r>
      <w:r>
        <w:rPr>
          <w:spacing w:val="-3"/>
          <w:sz w:val="16"/>
          <w:szCs w:val="16"/>
        </w:rPr>
        <w:br/>
      </w:r>
      <w:r w:rsidRPr="00B6005F">
        <w:rPr>
          <w:spacing w:val="-3"/>
          <w:sz w:val="16"/>
          <w:szCs w:val="16"/>
        </w:rPr>
        <w:t>(o 10 %).</w:t>
      </w:r>
    </w:p>
  </w:footnote>
  <w:footnote w:id="58">
    <w:p w14:paraId="77D8FC28" w14:textId="77777777" w:rsidR="00D652EB" w:rsidRPr="00B6005F" w:rsidRDefault="00D652EB" w:rsidP="00765928">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Tyto osoby se na pracovní trh zapojovaly pozvolna a často primárně prostřednictvím zkrácených úvazků či pouze formou různých dohod.</w:t>
      </w:r>
    </w:p>
  </w:footnote>
  <w:footnote w:id="59">
    <w:p w14:paraId="5A4E767F" w14:textId="77777777" w:rsidR="00D652EB" w:rsidRPr="00B43E19" w:rsidRDefault="00D652EB" w:rsidP="00765928">
      <w:pPr>
        <w:pStyle w:val="Textpoznpodarou"/>
        <w:rPr>
          <w:sz w:val="16"/>
          <w:szCs w:val="16"/>
        </w:rPr>
      </w:pPr>
      <w:r w:rsidRPr="00B6005F">
        <w:rPr>
          <w:rStyle w:val="Znakapoznpodarou"/>
          <w:spacing w:val="-3"/>
          <w:sz w:val="16"/>
          <w:szCs w:val="16"/>
        </w:rPr>
        <w:footnoteRef/>
      </w:r>
      <w:r w:rsidRPr="00B6005F">
        <w:rPr>
          <w:spacing w:val="-3"/>
          <w:sz w:val="16"/>
          <w:szCs w:val="16"/>
        </w:rPr>
        <w:t xml:space="preserve"> Zahrnuje výrobu a rozvod elektřiny, plynu, tepla a klimatizovaného vzduchu.</w:t>
      </w:r>
    </w:p>
  </w:footnote>
  <w:footnote w:id="60">
    <w:p w14:paraId="0F24CC6B" w14:textId="77777777" w:rsidR="00D652EB" w:rsidRPr="00D16130" w:rsidRDefault="00D652EB" w:rsidP="00765928">
      <w:pPr>
        <w:pStyle w:val="Textpoznpodarou"/>
        <w:rPr>
          <w:sz w:val="16"/>
          <w:szCs w:val="16"/>
        </w:rPr>
      </w:pPr>
      <w:r w:rsidRPr="00D16130">
        <w:rPr>
          <w:rStyle w:val="Znakapoznpodarou"/>
          <w:sz w:val="16"/>
          <w:szCs w:val="16"/>
        </w:rPr>
        <w:footnoteRef/>
      </w:r>
      <w:r w:rsidRPr="00D16130">
        <w:rPr>
          <w:sz w:val="16"/>
          <w:szCs w:val="16"/>
        </w:rPr>
        <w:t xml:space="preserve"> Pro zjednodušení zahrnuje odvětví </w:t>
      </w:r>
      <w:r w:rsidRPr="00D16130">
        <w:rPr>
          <w:rFonts w:cs="Arial"/>
          <w:color w:val="0D0D0D" w:themeColor="text1" w:themeTint="F2"/>
          <w:spacing w:val="-4"/>
          <w:sz w:val="16"/>
          <w:szCs w:val="16"/>
        </w:rPr>
        <w:t>Veřejná správa a obrana, povinné sociální zabezpečení; Vzdělávání; Zdravotní a sociální péče; Kulturní, zábavní a rekreační činnosti.</w:t>
      </w:r>
    </w:p>
  </w:footnote>
  <w:footnote w:id="61">
    <w:p w14:paraId="11C2D607" w14:textId="77777777" w:rsidR="00D652EB" w:rsidRPr="00046FDC" w:rsidRDefault="00D652EB" w:rsidP="00765928">
      <w:pPr>
        <w:pStyle w:val="Textpoznpodarou"/>
        <w:rPr>
          <w:spacing w:val="-3"/>
          <w:sz w:val="16"/>
          <w:szCs w:val="16"/>
        </w:rPr>
      </w:pPr>
      <w:r w:rsidRPr="00046FDC">
        <w:rPr>
          <w:rStyle w:val="Znakapoznpodarou"/>
          <w:spacing w:val="-3"/>
          <w:sz w:val="16"/>
          <w:szCs w:val="16"/>
        </w:rPr>
        <w:footnoteRef/>
      </w:r>
      <w:r w:rsidRPr="00046FDC">
        <w:rPr>
          <w:spacing w:val="-3"/>
          <w:sz w:val="16"/>
          <w:szCs w:val="16"/>
        </w:rPr>
        <w:t xml:space="preserve"> Do růstu průměrných mezd se zde promítlo navýšení platových tarifů nepedagogickým pracovníkům o 10 %, realizované od loňského září.</w:t>
      </w:r>
    </w:p>
  </w:footnote>
  <w:footnote w:id="62">
    <w:p w14:paraId="22EBC439" w14:textId="77777777" w:rsidR="00D652EB" w:rsidRDefault="00D652EB" w:rsidP="004A3BE4">
      <w:pPr>
        <w:pStyle w:val="Textpoznpodarou"/>
        <w:rPr>
          <w:sz w:val="16"/>
          <w:szCs w:val="16"/>
        </w:rPr>
      </w:pPr>
      <w:r>
        <w:rPr>
          <w:rStyle w:val="Znakapoznpodarou"/>
          <w:sz w:val="16"/>
          <w:szCs w:val="16"/>
        </w:rPr>
        <w:footnoteRef/>
      </w:r>
      <w:r>
        <w:rPr>
          <w:sz w:val="16"/>
          <w:szCs w:val="16"/>
        </w:rPr>
        <w:t xml:space="preserve"> Není-li uvedeno jinak, je zdrojem údajů v této kapitole databáze ARAD České národní banky. Hodnoty směnných kurzů jsou rovněž převzaty od ČNB.</w:t>
      </w:r>
    </w:p>
  </w:footnote>
  <w:footnote w:id="63">
    <w:p w14:paraId="49D380B8" w14:textId="77777777" w:rsidR="00D652EB" w:rsidRPr="001F5F82" w:rsidRDefault="00D652EB" w:rsidP="004A3BE4">
      <w:pPr>
        <w:pStyle w:val="Textpoznpodarou"/>
        <w:rPr>
          <w:sz w:val="16"/>
          <w:szCs w:val="16"/>
        </w:rPr>
      </w:pPr>
      <w:r w:rsidRPr="001F5F82">
        <w:rPr>
          <w:rStyle w:val="Znakapoznpodarou"/>
          <w:sz w:val="16"/>
          <w:szCs w:val="16"/>
        </w:rPr>
        <w:footnoteRef/>
      </w:r>
      <w:r w:rsidRPr="001F5F82">
        <w:rPr>
          <w:sz w:val="16"/>
          <w:szCs w:val="16"/>
        </w:rPr>
        <w:t xml:space="preserve"> Není-li uvedeno jinak, je změnou úrokových sazeb myšlen rozdíl mezi hodnotou ke dni 3</w:t>
      </w:r>
      <w:r>
        <w:rPr>
          <w:sz w:val="16"/>
          <w:szCs w:val="16"/>
        </w:rPr>
        <w:t>1. 3</w:t>
      </w:r>
      <w:r w:rsidRPr="001F5F82">
        <w:rPr>
          <w:sz w:val="16"/>
          <w:szCs w:val="16"/>
        </w:rPr>
        <w:t>.</w:t>
      </w:r>
      <w:r>
        <w:rPr>
          <w:sz w:val="16"/>
          <w:szCs w:val="16"/>
        </w:rPr>
        <w:t xml:space="preserve"> 2023</w:t>
      </w:r>
      <w:r w:rsidRPr="001F5F82">
        <w:rPr>
          <w:sz w:val="16"/>
          <w:szCs w:val="16"/>
        </w:rPr>
        <w:t xml:space="preserve"> a</w:t>
      </w:r>
      <w:r>
        <w:rPr>
          <w:sz w:val="16"/>
          <w:szCs w:val="16"/>
        </w:rPr>
        <w:t> </w:t>
      </w:r>
      <w:r w:rsidRPr="001F5F82">
        <w:rPr>
          <w:sz w:val="16"/>
          <w:szCs w:val="16"/>
        </w:rPr>
        <w:t>3</w:t>
      </w:r>
      <w:r>
        <w:rPr>
          <w:sz w:val="16"/>
          <w:szCs w:val="16"/>
        </w:rPr>
        <w:t>1. 12</w:t>
      </w:r>
      <w:r w:rsidRPr="001F5F82">
        <w:rPr>
          <w:sz w:val="16"/>
          <w:szCs w:val="16"/>
        </w:rPr>
        <w:t>.</w:t>
      </w:r>
      <w:r>
        <w:rPr>
          <w:sz w:val="16"/>
          <w:szCs w:val="16"/>
        </w:rPr>
        <w:t xml:space="preserve"> 2022.</w:t>
      </w:r>
    </w:p>
  </w:footnote>
  <w:footnote w:id="64">
    <w:p w14:paraId="51FDEDA8" w14:textId="77777777" w:rsidR="00D652EB" w:rsidRPr="00651A71" w:rsidRDefault="00D652EB" w:rsidP="004A3BE4">
      <w:pPr>
        <w:pStyle w:val="Textpoznpodarou"/>
        <w:rPr>
          <w:sz w:val="16"/>
          <w:szCs w:val="16"/>
        </w:rPr>
      </w:pPr>
      <w:r w:rsidRPr="00651A71">
        <w:rPr>
          <w:rStyle w:val="Znakapoznpodarou"/>
          <w:sz w:val="16"/>
          <w:szCs w:val="16"/>
        </w:rPr>
        <w:footnoteRef/>
      </w:r>
      <w:r w:rsidRPr="00651A71">
        <w:rPr>
          <w:sz w:val="16"/>
          <w:szCs w:val="16"/>
        </w:rPr>
        <w:t xml:space="preserve"> O</w:t>
      </w:r>
      <w:r w:rsidRPr="00651A71">
        <w:rPr>
          <w:spacing w:val="-3"/>
          <w:sz w:val="16"/>
          <w:szCs w:val="16"/>
          <w:lang w:eastAsia="en-US"/>
        </w:rPr>
        <w:t>byvatelstvo</w:t>
      </w:r>
      <w:r>
        <w:rPr>
          <w:spacing w:val="-3"/>
          <w:sz w:val="16"/>
          <w:szCs w:val="16"/>
          <w:lang w:eastAsia="en-US"/>
        </w:rPr>
        <w:t xml:space="preserve"> včetně </w:t>
      </w:r>
      <w:r w:rsidRPr="00651A71">
        <w:rPr>
          <w:spacing w:val="-3"/>
          <w:sz w:val="16"/>
          <w:szCs w:val="16"/>
          <w:lang w:eastAsia="en-US"/>
        </w:rPr>
        <w:t>živnostníků.</w:t>
      </w:r>
    </w:p>
  </w:footnote>
  <w:footnote w:id="65">
    <w:p w14:paraId="15932591" w14:textId="77777777" w:rsidR="00D652EB" w:rsidRPr="00284DA5" w:rsidRDefault="00D652EB" w:rsidP="004A3BE4">
      <w:pPr>
        <w:pStyle w:val="Textpoznpodarou"/>
        <w:rPr>
          <w:sz w:val="16"/>
          <w:szCs w:val="16"/>
        </w:rPr>
      </w:pPr>
      <w:r w:rsidRPr="00284DA5">
        <w:rPr>
          <w:rStyle w:val="Znakapoznpodarou"/>
          <w:sz w:val="16"/>
          <w:szCs w:val="16"/>
        </w:rPr>
        <w:footnoteRef/>
      </w:r>
      <w:r w:rsidRPr="00284DA5">
        <w:rPr>
          <w:sz w:val="16"/>
          <w:szCs w:val="16"/>
        </w:rPr>
        <w:t xml:space="preserve"> V nových smlouvách jsou zahrnuty i</w:t>
      </w:r>
      <w:r>
        <w:rPr>
          <w:sz w:val="16"/>
          <w:szCs w:val="16"/>
        </w:rPr>
        <w:t> </w:t>
      </w:r>
      <w:r w:rsidRPr="00284DA5">
        <w:rPr>
          <w:sz w:val="16"/>
          <w:szCs w:val="16"/>
        </w:rPr>
        <w:t>refinancované úvěry a</w:t>
      </w:r>
      <w:r>
        <w:rPr>
          <w:sz w:val="16"/>
          <w:szCs w:val="16"/>
        </w:rPr>
        <w:t> </w:t>
      </w:r>
      <w:r w:rsidRPr="00284DA5">
        <w:rPr>
          <w:sz w:val="16"/>
          <w:szCs w:val="16"/>
        </w:rPr>
        <w:t>ostatní ujednání.</w:t>
      </w:r>
      <w:r>
        <w:rPr>
          <w:sz w:val="16"/>
          <w:szCs w:val="16"/>
        </w:rPr>
        <w:t xml:space="preserve"> Refinancované úvěry zahrnují stávající smlouvy sjednané nově u jiné banky, zatímco ostatní nová ujednání jsou stávající smlouvy sjednané s novými podmínkami u stejné banky.</w:t>
      </w:r>
    </w:p>
  </w:footnote>
  <w:footnote w:id="66">
    <w:p w14:paraId="4914F5DB" w14:textId="77777777" w:rsidR="00D652EB" w:rsidRPr="00724B7B" w:rsidRDefault="00D652EB" w:rsidP="004A3BE4">
      <w:pPr>
        <w:pStyle w:val="Textpoznpodarou"/>
        <w:rPr>
          <w:sz w:val="16"/>
          <w:szCs w:val="16"/>
        </w:rPr>
      </w:pPr>
      <w:r w:rsidRPr="00724B7B">
        <w:rPr>
          <w:rStyle w:val="Znakapoznpodarou"/>
          <w:sz w:val="16"/>
          <w:szCs w:val="16"/>
        </w:rPr>
        <w:footnoteRef/>
      </w:r>
      <w:r w:rsidRPr="00724B7B">
        <w:rPr>
          <w:sz w:val="16"/>
          <w:szCs w:val="16"/>
        </w:rPr>
        <w:t xml:space="preserve"> Úvěry v cizí měně začaly prudce</w:t>
      </w:r>
      <w:r>
        <w:rPr>
          <w:sz w:val="16"/>
          <w:szCs w:val="16"/>
        </w:rPr>
        <w:t xml:space="preserve"> růst</w:t>
      </w:r>
      <w:r w:rsidRPr="00724B7B">
        <w:rPr>
          <w:sz w:val="16"/>
          <w:szCs w:val="16"/>
        </w:rPr>
        <w:t xml:space="preserve"> po začátku opětovného zvyšování </w:t>
      </w:r>
      <w:proofErr w:type="spellStart"/>
      <w:r w:rsidRPr="00724B7B">
        <w:rPr>
          <w:sz w:val="16"/>
          <w:szCs w:val="16"/>
        </w:rPr>
        <w:t>měnověpolitických</w:t>
      </w:r>
      <w:proofErr w:type="spellEnd"/>
      <w:r w:rsidRPr="00724B7B">
        <w:rPr>
          <w:sz w:val="16"/>
          <w:szCs w:val="16"/>
        </w:rPr>
        <w:t xml:space="preserve"> sazeb v červnu 2021.</w:t>
      </w:r>
    </w:p>
  </w:footnote>
  <w:footnote w:id="67">
    <w:p w14:paraId="644E9E4E" w14:textId="77777777" w:rsidR="00D652EB" w:rsidRPr="008522D6" w:rsidRDefault="00D652EB" w:rsidP="004A3BE4">
      <w:pPr>
        <w:pStyle w:val="Textpoznpodarou"/>
        <w:jc w:val="both"/>
        <w:rPr>
          <w:sz w:val="16"/>
          <w:szCs w:val="16"/>
        </w:rPr>
      </w:pPr>
      <w:r w:rsidRPr="008522D6">
        <w:rPr>
          <w:rStyle w:val="Znakapoznpodarou"/>
          <w:sz w:val="16"/>
          <w:szCs w:val="16"/>
        </w:rPr>
        <w:footnoteRef/>
      </w:r>
      <w:r w:rsidRPr="008522D6">
        <w:rPr>
          <w:sz w:val="16"/>
          <w:szCs w:val="16"/>
        </w:rPr>
        <w:t xml:space="preserve"> </w:t>
      </w:r>
      <w:r w:rsidRPr="008522D6">
        <w:rPr>
          <w:color w:val="0D0D0D" w:themeColor="text1" w:themeTint="F2"/>
          <w:sz w:val="16"/>
          <w:szCs w:val="16"/>
        </w:rPr>
        <w:t xml:space="preserve">Pokud není uvedeno jinak, vycházejí všechny údaje týkající se státního rozpočtu </w:t>
      </w:r>
      <w:r w:rsidRPr="008522D6">
        <w:rPr>
          <w:rFonts w:cs="Arial"/>
          <w:color w:val="0D0D0D" w:themeColor="text1" w:themeTint="F2"/>
          <w:sz w:val="16"/>
          <w:szCs w:val="16"/>
        </w:rPr>
        <w:t>z dat Ministerstva financí o pokladním plnění.</w:t>
      </w:r>
    </w:p>
  </w:footnote>
  <w:footnote w:id="68">
    <w:p w14:paraId="371C0B00" w14:textId="77777777" w:rsidR="00D652EB" w:rsidRPr="008522D6" w:rsidRDefault="00D652EB" w:rsidP="004A3BE4">
      <w:pPr>
        <w:pStyle w:val="Textpoznpodarou"/>
        <w:rPr>
          <w:sz w:val="16"/>
          <w:szCs w:val="16"/>
        </w:rPr>
      </w:pPr>
      <w:r w:rsidRPr="008522D6">
        <w:rPr>
          <w:rStyle w:val="Znakapoznpodarou"/>
          <w:sz w:val="16"/>
          <w:szCs w:val="16"/>
        </w:rPr>
        <w:footnoteRef/>
      </w:r>
      <w:r w:rsidRPr="008522D6">
        <w:rPr>
          <w:sz w:val="16"/>
          <w:szCs w:val="16"/>
        </w:rPr>
        <w:t xml:space="preserve"> Mírně nižší schodek SR byl zatím letos vykázán po očištění všech příjmů a výdajů souvisejících se společnými projekty ČR a EU (156,8 mld. korun). V 1. čtvrtletí 2022 dosahoval takto očištěný schodek 55,3 mld. korun.</w:t>
      </w:r>
    </w:p>
  </w:footnote>
  <w:footnote w:id="69">
    <w:p w14:paraId="49DED1B8" w14:textId="2E7114A8" w:rsidR="00D652EB" w:rsidRPr="008522D6" w:rsidRDefault="00D652EB" w:rsidP="004A3BE4">
      <w:pPr>
        <w:pStyle w:val="Textpoznpodarou"/>
        <w:rPr>
          <w:sz w:val="16"/>
          <w:szCs w:val="16"/>
        </w:rPr>
      </w:pPr>
      <w:r w:rsidRPr="008522D6">
        <w:rPr>
          <w:rStyle w:val="Znakapoznpodarou"/>
          <w:sz w:val="16"/>
          <w:szCs w:val="16"/>
        </w:rPr>
        <w:footnoteRef/>
      </w:r>
      <w:r>
        <w:rPr>
          <w:sz w:val="16"/>
          <w:szCs w:val="16"/>
        </w:rPr>
        <w:t xml:space="preserve"> Dle zákona č. 449/2023 Sb.</w:t>
      </w:r>
      <w:r w:rsidRPr="008522D6">
        <w:rPr>
          <w:sz w:val="16"/>
          <w:szCs w:val="16"/>
        </w:rPr>
        <w:t xml:space="preserve"> o státním</w:t>
      </w:r>
      <w:r>
        <w:rPr>
          <w:sz w:val="16"/>
          <w:szCs w:val="16"/>
        </w:rPr>
        <w:t xml:space="preserve"> rozpočtu na rok 2023 schváleného</w:t>
      </w:r>
      <w:r w:rsidRPr="008522D6">
        <w:rPr>
          <w:sz w:val="16"/>
          <w:szCs w:val="16"/>
        </w:rPr>
        <w:t xml:space="preserve"> 30. listopadu 2022.</w:t>
      </w:r>
    </w:p>
  </w:footnote>
  <w:footnote w:id="70">
    <w:p w14:paraId="04206E11" w14:textId="77777777" w:rsidR="00D652EB" w:rsidRPr="008522D6" w:rsidRDefault="00D652EB" w:rsidP="004A3BE4">
      <w:pPr>
        <w:pStyle w:val="Textpoznpodarou"/>
        <w:rPr>
          <w:sz w:val="16"/>
          <w:szCs w:val="16"/>
        </w:rPr>
      </w:pPr>
      <w:r w:rsidRPr="008522D6">
        <w:rPr>
          <w:rStyle w:val="Znakapoznpodarou"/>
          <w:sz w:val="16"/>
          <w:szCs w:val="16"/>
        </w:rPr>
        <w:footnoteRef/>
      </w:r>
      <w:r w:rsidRPr="008522D6">
        <w:rPr>
          <w:sz w:val="16"/>
          <w:szCs w:val="16"/>
        </w:rPr>
        <w:t xml:space="preserve"> Míra plnění těchto výdajů (vzhledem k celoroční rozpočtované výši) byla letos na konci 1. čtvrtletí vyšší i ve srovnání s rokem 2021.</w:t>
      </w:r>
    </w:p>
  </w:footnote>
  <w:footnote w:id="71">
    <w:p w14:paraId="6B2B3D11" w14:textId="77777777" w:rsidR="00D652EB" w:rsidRPr="008522D6" w:rsidRDefault="00D652EB" w:rsidP="004A3BE4">
      <w:pPr>
        <w:pStyle w:val="Textpoznpodarou"/>
        <w:rPr>
          <w:sz w:val="16"/>
          <w:szCs w:val="16"/>
        </w:rPr>
      </w:pPr>
      <w:r w:rsidRPr="008522D6">
        <w:rPr>
          <w:rStyle w:val="Znakapoznpodarou"/>
          <w:sz w:val="16"/>
          <w:szCs w:val="16"/>
        </w:rPr>
        <w:footnoteRef/>
      </w:r>
      <w:r w:rsidRPr="008522D6">
        <w:rPr>
          <w:sz w:val="16"/>
          <w:szCs w:val="16"/>
        </w:rPr>
        <w:t xml:space="preserve"> Rozpočtová očekávání příjmů na rok 2023 vycházela z makroekonomické predikce MF </w:t>
      </w:r>
      <w:r>
        <w:rPr>
          <w:sz w:val="16"/>
          <w:szCs w:val="16"/>
        </w:rPr>
        <w:t>z loňského srpna. Ta očekávala</w:t>
      </w:r>
      <w:r w:rsidRPr="008522D6">
        <w:rPr>
          <w:sz w:val="16"/>
          <w:szCs w:val="16"/>
        </w:rPr>
        <w:t xml:space="preserve"> růst reálného HDP v letošním roce o 1,1 % spojený s velmi mírným navýšením reálných výdajů na konečnou spotřebu domácností (0,5 %). Nejnovější predikce MF (z dubna 2023) již analogicky předpokládá </w:t>
      </w:r>
      <w:r>
        <w:rPr>
          <w:sz w:val="16"/>
          <w:szCs w:val="16"/>
        </w:rPr>
        <w:t>stagnaci</w:t>
      </w:r>
      <w:r w:rsidRPr="008522D6">
        <w:rPr>
          <w:sz w:val="16"/>
          <w:szCs w:val="16"/>
        </w:rPr>
        <w:t xml:space="preserve"> HDP (</w:t>
      </w:r>
      <w:r>
        <w:rPr>
          <w:sz w:val="16"/>
          <w:szCs w:val="16"/>
        </w:rPr>
        <w:t>+0,1</w:t>
      </w:r>
      <w:r w:rsidRPr="008522D6">
        <w:rPr>
          <w:sz w:val="16"/>
          <w:szCs w:val="16"/>
        </w:rPr>
        <w:t xml:space="preserve"> %</w:t>
      </w:r>
      <w:r>
        <w:rPr>
          <w:sz w:val="16"/>
          <w:szCs w:val="16"/>
        </w:rPr>
        <w:t>) doprovázenou</w:t>
      </w:r>
      <w:r w:rsidRPr="008522D6">
        <w:rPr>
          <w:sz w:val="16"/>
          <w:szCs w:val="16"/>
        </w:rPr>
        <w:t xml:space="preserve"> citelnější</w:t>
      </w:r>
      <w:r>
        <w:rPr>
          <w:sz w:val="16"/>
          <w:szCs w:val="16"/>
        </w:rPr>
        <w:t>m</w:t>
      </w:r>
      <w:r w:rsidRPr="008522D6">
        <w:rPr>
          <w:sz w:val="16"/>
          <w:szCs w:val="16"/>
        </w:rPr>
        <w:t xml:space="preserve"> útlumem spotřeby domácností (</w:t>
      </w:r>
      <w:r>
        <w:rPr>
          <w:sz w:val="16"/>
          <w:szCs w:val="16"/>
        </w:rPr>
        <w:t>−2,7</w:t>
      </w:r>
      <w:r w:rsidRPr="008522D6">
        <w:rPr>
          <w:sz w:val="16"/>
          <w:szCs w:val="16"/>
        </w:rPr>
        <w:t xml:space="preserve"> %).</w:t>
      </w:r>
    </w:p>
  </w:footnote>
  <w:footnote w:id="72">
    <w:p w14:paraId="74D2AC89" w14:textId="77777777" w:rsidR="00D652EB" w:rsidRPr="008B3D4E" w:rsidRDefault="00D652EB" w:rsidP="004A3BE4">
      <w:pPr>
        <w:pStyle w:val="Textpoznpodarou"/>
        <w:rPr>
          <w:sz w:val="16"/>
          <w:szCs w:val="16"/>
        </w:rPr>
      </w:pPr>
      <w:r w:rsidRPr="00FF69F5">
        <w:rPr>
          <w:rStyle w:val="Znakapoznpodarou"/>
          <w:sz w:val="16"/>
          <w:szCs w:val="16"/>
        </w:rPr>
        <w:footnoteRef/>
      </w:r>
      <w:r w:rsidRPr="00FF69F5">
        <w:rPr>
          <w:sz w:val="16"/>
          <w:szCs w:val="16"/>
        </w:rPr>
        <w:t xml:space="preserve"> Na očekávaném růstu souhrnných příjmů SR za rok 2023 (+18,7 %) </w:t>
      </w:r>
      <w:r>
        <w:rPr>
          <w:sz w:val="16"/>
          <w:szCs w:val="16"/>
        </w:rPr>
        <w:t xml:space="preserve">by </w:t>
      </w:r>
      <w:r w:rsidRPr="00FF69F5">
        <w:rPr>
          <w:sz w:val="16"/>
          <w:szCs w:val="16"/>
        </w:rPr>
        <w:t>se měl</w:t>
      </w:r>
      <w:r>
        <w:rPr>
          <w:sz w:val="16"/>
          <w:szCs w:val="16"/>
        </w:rPr>
        <w:t>y zásadně</w:t>
      </w:r>
      <w:r w:rsidRPr="00FF69F5">
        <w:rPr>
          <w:sz w:val="16"/>
          <w:szCs w:val="16"/>
        </w:rPr>
        <w:t xml:space="preserve"> podílet</w:t>
      </w:r>
      <w:r>
        <w:rPr>
          <w:sz w:val="16"/>
          <w:szCs w:val="16"/>
        </w:rPr>
        <w:t xml:space="preserve"> inkasa</w:t>
      </w:r>
      <w:r w:rsidRPr="00FF69F5">
        <w:rPr>
          <w:sz w:val="16"/>
          <w:szCs w:val="16"/>
        </w:rPr>
        <w:t xml:space="preserve"> „sektorové“ daně u podniků z neočekávaných zisků a </w:t>
      </w:r>
      <w:r>
        <w:rPr>
          <w:sz w:val="16"/>
          <w:szCs w:val="16"/>
        </w:rPr>
        <w:t xml:space="preserve">daně </w:t>
      </w:r>
      <w:r w:rsidRPr="00FF69F5">
        <w:rPr>
          <w:sz w:val="16"/>
          <w:szCs w:val="16"/>
        </w:rPr>
        <w:t>odvodu z nadměrných příjmů (</w:t>
      </w:r>
      <w:r>
        <w:rPr>
          <w:sz w:val="16"/>
          <w:szCs w:val="16"/>
        </w:rPr>
        <w:t xml:space="preserve">prvotně </w:t>
      </w:r>
      <w:r w:rsidRPr="00FF69F5">
        <w:rPr>
          <w:sz w:val="16"/>
          <w:szCs w:val="16"/>
        </w:rPr>
        <w:t xml:space="preserve">odhadované na 100 mld. korun), dále např. navýšení </w:t>
      </w:r>
      <w:r w:rsidRPr="008B3D4E">
        <w:rPr>
          <w:sz w:val="16"/>
          <w:szCs w:val="16"/>
        </w:rPr>
        <w:t>očekávaných příjmů z emisních povolenek (na 82,5 mld.) a významně posílený převod z tzv. privatizačního účtu (na 45 mld.).</w:t>
      </w:r>
    </w:p>
  </w:footnote>
  <w:footnote w:id="73">
    <w:p w14:paraId="5131EB3F" w14:textId="77777777" w:rsidR="00D652EB" w:rsidRPr="008B3D4E" w:rsidRDefault="00D652EB" w:rsidP="004A3BE4">
      <w:pPr>
        <w:pStyle w:val="Textpoznpodarou"/>
        <w:rPr>
          <w:sz w:val="16"/>
          <w:szCs w:val="16"/>
        </w:rPr>
      </w:pPr>
      <w:r w:rsidRPr="008B3D4E">
        <w:rPr>
          <w:rStyle w:val="Znakapoznpodarou"/>
          <w:sz w:val="16"/>
          <w:szCs w:val="16"/>
        </w:rPr>
        <w:footnoteRef/>
      </w:r>
      <w:r w:rsidRPr="008B3D4E">
        <w:rPr>
          <w:sz w:val="16"/>
          <w:szCs w:val="16"/>
        </w:rPr>
        <w:t xml:space="preserve"> Tento odvod (zdaněný 90% sazbou) představuje rozdíl mezi sku</w:t>
      </w:r>
      <w:r>
        <w:rPr>
          <w:sz w:val="16"/>
          <w:szCs w:val="16"/>
        </w:rPr>
        <w:t>tečným příjmem a stropem tržního</w:t>
      </w:r>
      <w:r w:rsidRPr="008B3D4E">
        <w:rPr>
          <w:sz w:val="16"/>
          <w:szCs w:val="16"/>
        </w:rPr>
        <w:t xml:space="preserve"> příjmu z prodeje elektřiny nad stanovenou hranici (za období od 1. prosince 2022 do konce roku 2023).</w:t>
      </w:r>
    </w:p>
  </w:footnote>
  <w:footnote w:id="74">
    <w:p w14:paraId="031AA3E3" w14:textId="77777777" w:rsidR="00D652EB" w:rsidRDefault="00D652EB" w:rsidP="004A3BE4">
      <w:pPr>
        <w:pStyle w:val="Textpoznpodarou"/>
      </w:pPr>
      <w:r w:rsidRPr="008B3D4E">
        <w:rPr>
          <w:rStyle w:val="Znakapoznpodarou"/>
          <w:sz w:val="16"/>
          <w:szCs w:val="16"/>
        </w:rPr>
        <w:footnoteRef/>
      </w:r>
      <w:r w:rsidRPr="008B3D4E">
        <w:rPr>
          <w:sz w:val="16"/>
          <w:szCs w:val="16"/>
        </w:rPr>
        <w:t xml:space="preserve"> </w:t>
      </w:r>
      <w:r w:rsidRPr="008B3D4E">
        <w:rPr>
          <w:spacing w:val="-4"/>
          <w:sz w:val="16"/>
          <w:szCs w:val="16"/>
        </w:rPr>
        <w:t xml:space="preserve">Od </w:t>
      </w:r>
      <w:r w:rsidRPr="008B3D4E">
        <w:rPr>
          <w:color w:val="0D0D0D" w:themeColor="text1" w:themeTint="F2"/>
          <w:spacing w:val="-4"/>
          <w:sz w:val="16"/>
          <w:szCs w:val="16"/>
        </w:rPr>
        <w:t>června do konce září 2022 byla snížena sazba spotřební daně z be</w:t>
      </w:r>
      <w:r>
        <w:rPr>
          <w:color w:val="0D0D0D" w:themeColor="text1" w:themeTint="F2"/>
          <w:spacing w:val="-4"/>
          <w:sz w:val="16"/>
          <w:szCs w:val="16"/>
        </w:rPr>
        <w:t>nzínu a motorové nafty o 1,5 korun na 8,45 korun</w:t>
      </w:r>
      <w:r w:rsidRPr="008B3D4E">
        <w:rPr>
          <w:color w:val="0D0D0D" w:themeColor="text1" w:themeTint="F2"/>
          <w:spacing w:val="-4"/>
          <w:sz w:val="16"/>
          <w:szCs w:val="16"/>
        </w:rPr>
        <w:t xml:space="preserve"> na litr. U nafty bylo toto opatření prodlouženo až do konce rok</w:t>
      </w:r>
      <w:r>
        <w:rPr>
          <w:color w:val="0D0D0D" w:themeColor="text1" w:themeTint="F2"/>
          <w:spacing w:val="-4"/>
          <w:sz w:val="16"/>
          <w:szCs w:val="16"/>
        </w:rPr>
        <w:t>u 2023. Dle propočtů MF ČR měla mít tato</w:t>
      </w:r>
      <w:r w:rsidRPr="008B3D4E">
        <w:rPr>
          <w:color w:val="0D0D0D" w:themeColor="text1" w:themeTint="F2"/>
          <w:spacing w:val="-4"/>
          <w:sz w:val="16"/>
          <w:szCs w:val="16"/>
        </w:rPr>
        <w:t xml:space="preserve"> daňov</w:t>
      </w:r>
      <w:r>
        <w:rPr>
          <w:color w:val="0D0D0D" w:themeColor="text1" w:themeTint="F2"/>
          <w:spacing w:val="-4"/>
          <w:sz w:val="16"/>
          <w:szCs w:val="16"/>
        </w:rPr>
        <w:t xml:space="preserve">á úprava v roce 2023 negativní dopad ve výši </w:t>
      </w:r>
      <w:r>
        <w:rPr>
          <w:color w:val="0D0D0D" w:themeColor="text1" w:themeTint="F2"/>
          <w:spacing w:val="-4"/>
          <w:sz w:val="16"/>
          <w:szCs w:val="16"/>
        </w:rPr>
        <w:br/>
        <w:t>8,7</w:t>
      </w:r>
      <w:r w:rsidRPr="005B5C68">
        <w:rPr>
          <w:color w:val="0D0D0D" w:themeColor="text1" w:themeTint="F2"/>
          <w:spacing w:val="-4"/>
          <w:sz w:val="16"/>
          <w:szCs w:val="16"/>
        </w:rPr>
        <w:t xml:space="preserve"> mld. korun</w:t>
      </w:r>
      <w:r>
        <w:rPr>
          <w:spacing w:val="-4"/>
          <w:sz w:val="16"/>
          <w:szCs w:val="16"/>
        </w:rPr>
        <w:t xml:space="preserve"> (tj. více než desetina z očekávaného letošního inkasa).</w:t>
      </w:r>
    </w:p>
  </w:footnote>
  <w:footnote w:id="75">
    <w:p w14:paraId="300DE055" w14:textId="77777777" w:rsidR="00D652EB" w:rsidRPr="00CA30CB" w:rsidRDefault="00D652EB" w:rsidP="004A3BE4">
      <w:pPr>
        <w:pStyle w:val="Textpoznpodarou"/>
        <w:rPr>
          <w:sz w:val="16"/>
          <w:szCs w:val="16"/>
        </w:rPr>
      </w:pPr>
      <w:r w:rsidRPr="00CA30CB">
        <w:rPr>
          <w:rStyle w:val="Znakapoznpodarou"/>
          <w:sz w:val="16"/>
          <w:szCs w:val="16"/>
        </w:rPr>
        <w:footnoteRef/>
      </w:r>
      <w:r w:rsidRPr="00CA30CB">
        <w:rPr>
          <w:sz w:val="16"/>
          <w:szCs w:val="16"/>
        </w:rPr>
        <w:t xml:space="preserve"> Ta se týká energetických, petrochemických a těžebních firem a zahrnuje rovněž velké banky.</w:t>
      </w:r>
    </w:p>
  </w:footnote>
  <w:footnote w:id="76">
    <w:p w14:paraId="1F63DE72" w14:textId="77777777" w:rsidR="00D652EB" w:rsidRPr="00D223A1" w:rsidRDefault="00D652EB" w:rsidP="004A3BE4">
      <w:pPr>
        <w:pStyle w:val="Textpoznpodarou"/>
        <w:rPr>
          <w:sz w:val="16"/>
          <w:szCs w:val="16"/>
        </w:rPr>
      </w:pPr>
      <w:r w:rsidRPr="00D223A1">
        <w:rPr>
          <w:rStyle w:val="Znakapoznpodarou"/>
          <w:sz w:val="16"/>
          <w:szCs w:val="16"/>
        </w:rPr>
        <w:footnoteRef/>
      </w:r>
      <w:r w:rsidRPr="00D223A1">
        <w:rPr>
          <w:sz w:val="16"/>
          <w:szCs w:val="16"/>
        </w:rPr>
        <w:t xml:space="preserve"> </w:t>
      </w:r>
      <w:r w:rsidRPr="00D223A1">
        <w:rPr>
          <w:spacing w:val="-4"/>
          <w:sz w:val="16"/>
          <w:szCs w:val="16"/>
        </w:rPr>
        <w:t xml:space="preserve">Celostátní inkaso DPFO (na úrovni všech veřejných rozpočtů) letos ovšem stále </w:t>
      </w:r>
      <w:r>
        <w:rPr>
          <w:spacing w:val="-4"/>
          <w:sz w:val="16"/>
          <w:szCs w:val="16"/>
        </w:rPr>
        <w:t xml:space="preserve">zaostávalo </w:t>
      </w:r>
      <w:r w:rsidRPr="00D223A1">
        <w:rPr>
          <w:spacing w:val="-4"/>
          <w:sz w:val="16"/>
          <w:szCs w:val="16"/>
        </w:rPr>
        <w:t>za úrovní z 1. čtvrt</w:t>
      </w:r>
      <w:r>
        <w:rPr>
          <w:spacing w:val="-4"/>
          <w:sz w:val="16"/>
          <w:szCs w:val="16"/>
        </w:rPr>
        <w:t>letí 2019</w:t>
      </w:r>
      <w:r w:rsidRPr="00D223A1">
        <w:rPr>
          <w:spacing w:val="-4"/>
          <w:sz w:val="16"/>
          <w:szCs w:val="16"/>
        </w:rPr>
        <w:t xml:space="preserve"> (o 8,5 %). Klíčovou roli zde sehrálo snížení daňového zatížení práce od roku 2021 (v souvislosti se zrušením tzv. </w:t>
      </w:r>
      <w:proofErr w:type="spellStart"/>
      <w:r w:rsidRPr="00D223A1">
        <w:rPr>
          <w:spacing w:val="-4"/>
          <w:sz w:val="16"/>
          <w:szCs w:val="16"/>
        </w:rPr>
        <w:t>superhrubé</w:t>
      </w:r>
      <w:proofErr w:type="spellEnd"/>
      <w:r w:rsidRPr="00D223A1">
        <w:rPr>
          <w:spacing w:val="-4"/>
          <w:sz w:val="16"/>
          <w:szCs w:val="16"/>
        </w:rPr>
        <w:t xml:space="preserve"> mzdy).</w:t>
      </w:r>
    </w:p>
  </w:footnote>
  <w:footnote w:id="77">
    <w:p w14:paraId="5559836B" w14:textId="77777777" w:rsidR="00D652EB" w:rsidRDefault="00D652EB" w:rsidP="004A3BE4">
      <w:pPr>
        <w:pStyle w:val="Textpoznpodarou"/>
      </w:pPr>
      <w:r w:rsidRPr="004466A0">
        <w:rPr>
          <w:rStyle w:val="Znakapoznpodarou"/>
          <w:sz w:val="16"/>
          <w:szCs w:val="16"/>
        </w:rPr>
        <w:footnoteRef/>
      </w:r>
      <w:r w:rsidRPr="004466A0">
        <w:rPr>
          <w:sz w:val="16"/>
          <w:szCs w:val="16"/>
        </w:rPr>
        <w:t xml:space="preserve"> Rozpočtově očekávaný meziroční pokles inkasa této daně byl potvrzen i dubnovými údaji, které zahrnují vyrovnání daně u části poplatníků (podávajících přiznání ve lhůtě do 3. dubna).</w:t>
      </w:r>
    </w:p>
  </w:footnote>
  <w:footnote w:id="78">
    <w:p w14:paraId="66138F10" w14:textId="3BF3EE1B" w:rsidR="00D652EB" w:rsidRPr="005D7AAF" w:rsidRDefault="00D652EB" w:rsidP="004A3BE4">
      <w:pPr>
        <w:pStyle w:val="Textpoznpodarou"/>
        <w:rPr>
          <w:spacing w:val="-2"/>
          <w:sz w:val="16"/>
          <w:szCs w:val="16"/>
        </w:rPr>
      </w:pPr>
      <w:r w:rsidRPr="005D7AAF">
        <w:rPr>
          <w:rStyle w:val="Znakapoznpodarou"/>
          <w:spacing w:val="-2"/>
          <w:sz w:val="16"/>
          <w:szCs w:val="16"/>
        </w:rPr>
        <w:footnoteRef/>
      </w:r>
      <w:r w:rsidRPr="005D7AAF">
        <w:rPr>
          <w:spacing w:val="-2"/>
          <w:sz w:val="16"/>
          <w:szCs w:val="16"/>
        </w:rPr>
        <w:t xml:space="preserve"> Za 1. čtvrtletí získal SR na těchto příjmech jen 14 % celoročně plánované výše prostředků (v období od ledna do dubna 2023 pak 20 %).</w:t>
      </w:r>
    </w:p>
  </w:footnote>
  <w:footnote w:id="79">
    <w:p w14:paraId="176447EF" w14:textId="77777777" w:rsidR="00D652EB" w:rsidRPr="00C230B9" w:rsidRDefault="00D652EB" w:rsidP="004A3BE4">
      <w:pPr>
        <w:pStyle w:val="Textpoznpodarou"/>
        <w:rPr>
          <w:sz w:val="16"/>
          <w:szCs w:val="16"/>
        </w:rPr>
      </w:pPr>
      <w:r w:rsidRPr="00C230B9">
        <w:rPr>
          <w:rStyle w:val="Znakapoznpodarou"/>
          <w:sz w:val="16"/>
          <w:szCs w:val="16"/>
        </w:rPr>
        <w:footnoteRef/>
      </w:r>
      <w:r w:rsidRPr="00C230B9">
        <w:rPr>
          <w:sz w:val="16"/>
          <w:szCs w:val="16"/>
        </w:rPr>
        <w:t xml:space="preserve"> Zahrnují příjmy z rozpočtu Evropské Unie a z</w:t>
      </w:r>
      <w:r>
        <w:rPr>
          <w:sz w:val="16"/>
          <w:szCs w:val="16"/>
        </w:rPr>
        <w:t xml:space="preserve"> Finančních mechanismů </w:t>
      </w:r>
      <w:r w:rsidRPr="00C230B9">
        <w:rPr>
          <w:sz w:val="16"/>
          <w:szCs w:val="16"/>
        </w:rPr>
        <w:t xml:space="preserve">EHP/Norska/Švýcarska. </w:t>
      </w:r>
    </w:p>
  </w:footnote>
  <w:footnote w:id="80">
    <w:p w14:paraId="7D285D9C" w14:textId="77777777" w:rsidR="00D652EB" w:rsidRPr="00EF383D" w:rsidRDefault="00D652EB" w:rsidP="004A3BE4">
      <w:pPr>
        <w:pStyle w:val="Textpoznpodarou"/>
        <w:rPr>
          <w:sz w:val="16"/>
          <w:szCs w:val="16"/>
        </w:rPr>
      </w:pPr>
      <w:r w:rsidRPr="00EF383D">
        <w:rPr>
          <w:rStyle w:val="Znakapoznpodarou"/>
          <w:sz w:val="16"/>
          <w:szCs w:val="16"/>
        </w:rPr>
        <w:footnoteRef/>
      </w:r>
      <w:r w:rsidRPr="00EF383D">
        <w:rPr>
          <w:sz w:val="16"/>
          <w:szCs w:val="16"/>
        </w:rPr>
        <w:t xml:space="preserve"> V současném miléniu rostly d</w:t>
      </w:r>
      <w:r>
        <w:rPr>
          <w:sz w:val="16"/>
          <w:szCs w:val="16"/>
        </w:rPr>
        <w:t>onedávna</w:t>
      </w:r>
      <w:r w:rsidRPr="00EF383D">
        <w:rPr>
          <w:sz w:val="16"/>
          <w:szCs w:val="16"/>
        </w:rPr>
        <w:t xml:space="preserve"> nejvíce v rámci 1. čtvrtletí výdaje SR v roce 2008 (+22,9 %).</w:t>
      </w:r>
    </w:p>
  </w:footnote>
  <w:footnote w:id="81">
    <w:p w14:paraId="109C15F2" w14:textId="77777777" w:rsidR="00D652EB" w:rsidRPr="00271248" w:rsidRDefault="00D652EB" w:rsidP="004A3BE4">
      <w:pPr>
        <w:pStyle w:val="Textpoznpodarou"/>
        <w:rPr>
          <w:sz w:val="16"/>
          <w:szCs w:val="16"/>
        </w:rPr>
      </w:pPr>
      <w:r w:rsidRPr="00271248">
        <w:rPr>
          <w:rStyle w:val="Znakapoznpodarou"/>
          <w:sz w:val="16"/>
          <w:szCs w:val="16"/>
        </w:rPr>
        <w:footnoteRef/>
      </w:r>
      <w:r w:rsidRPr="00271248">
        <w:rPr>
          <w:sz w:val="16"/>
          <w:szCs w:val="16"/>
        </w:rPr>
        <w:t xml:space="preserve"> Úhrn měsíčních výdajů ve všech organi</w:t>
      </w:r>
      <w:r>
        <w:rPr>
          <w:sz w:val="16"/>
          <w:szCs w:val="16"/>
        </w:rPr>
        <w:t>začních složkách státu tak mohl</w:t>
      </w:r>
      <w:r w:rsidRPr="00271248">
        <w:rPr>
          <w:sz w:val="16"/>
          <w:szCs w:val="16"/>
        </w:rPr>
        <w:t xml:space="preserve"> dosáhnout maximálně jedné dvanáctiny celkových výdajů SR stanovených </w:t>
      </w:r>
      <w:r>
        <w:rPr>
          <w:sz w:val="16"/>
          <w:szCs w:val="16"/>
        </w:rPr>
        <w:t xml:space="preserve">dle schváleného </w:t>
      </w:r>
      <w:r w:rsidRPr="00271248">
        <w:rPr>
          <w:sz w:val="16"/>
          <w:szCs w:val="16"/>
        </w:rPr>
        <w:t>zákona o SR z roku 2021.</w:t>
      </w:r>
      <w:r>
        <w:rPr>
          <w:sz w:val="16"/>
          <w:szCs w:val="16"/>
        </w:rPr>
        <w:t xml:space="preserve"> Na</w:t>
      </w:r>
      <w:r w:rsidRPr="00EE46BC">
        <w:rPr>
          <w:sz w:val="16"/>
          <w:szCs w:val="16"/>
        </w:rPr>
        <w:t xml:space="preserve"> počátku roku </w:t>
      </w:r>
      <w:r>
        <w:rPr>
          <w:spacing w:val="-4"/>
          <w:sz w:val="16"/>
          <w:szCs w:val="16"/>
        </w:rPr>
        <w:t>došlo k omezení</w:t>
      </w:r>
      <w:r w:rsidRPr="00EE46BC">
        <w:rPr>
          <w:spacing w:val="-4"/>
          <w:sz w:val="16"/>
          <w:szCs w:val="16"/>
        </w:rPr>
        <w:t xml:space="preserve"> možnosti předfinancování některých běžných transferů a </w:t>
      </w:r>
      <w:r>
        <w:rPr>
          <w:spacing w:val="-4"/>
          <w:sz w:val="16"/>
          <w:szCs w:val="16"/>
        </w:rPr>
        <w:t>zásadně limitováno bylo rovněž použití</w:t>
      </w:r>
      <w:r w:rsidRPr="00EE46BC">
        <w:rPr>
          <w:spacing w:val="-4"/>
          <w:sz w:val="16"/>
          <w:szCs w:val="16"/>
        </w:rPr>
        <w:t xml:space="preserve"> i další</w:t>
      </w:r>
      <w:r>
        <w:rPr>
          <w:spacing w:val="-4"/>
          <w:sz w:val="16"/>
          <w:szCs w:val="16"/>
        </w:rPr>
        <w:t>ch zdrojů</w:t>
      </w:r>
      <w:r w:rsidRPr="00EE46BC">
        <w:rPr>
          <w:spacing w:val="-4"/>
          <w:sz w:val="16"/>
          <w:szCs w:val="16"/>
        </w:rPr>
        <w:t xml:space="preserve"> financování (např. </w:t>
      </w:r>
      <w:r w:rsidRPr="00EE46BC">
        <w:rPr>
          <w:sz w:val="16"/>
          <w:szCs w:val="16"/>
        </w:rPr>
        <w:t>mimorozpočtové zdroje – především nároky z nespotřebovaných výdajů z minulých le</w:t>
      </w:r>
      <w:r>
        <w:rPr>
          <w:sz w:val="16"/>
          <w:szCs w:val="16"/>
        </w:rPr>
        <w:t>t).</w:t>
      </w:r>
      <w:r w:rsidRPr="00862F80">
        <w:rPr>
          <w:sz w:val="16"/>
          <w:szCs w:val="16"/>
        </w:rPr>
        <w:t xml:space="preserve"> </w:t>
      </w:r>
      <w:r>
        <w:rPr>
          <w:sz w:val="16"/>
          <w:szCs w:val="16"/>
        </w:rPr>
        <w:t>To vedlo mj. k odkladu zbytných provozních výdajů i investic.</w:t>
      </w:r>
    </w:p>
  </w:footnote>
  <w:footnote w:id="82">
    <w:p w14:paraId="4F02AA86" w14:textId="77777777" w:rsidR="00D652EB" w:rsidRPr="00DE6E07" w:rsidRDefault="00D652EB" w:rsidP="004A3BE4">
      <w:pPr>
        <w:pStyle w:val="Textpoznpodarou"/>
        <w:rPr>
          <w:sz w:val="16"/>
          <w:szCs w:val="16"/>
        </w:rPr>
      </w:pPr>
      <w:r w:rsidRPr="00DE6E07">
        <w:rPr>
          <w:rStyle w:val="Znakapoznpodarou"/>
          <w:sz w:val="16"/>
          <w:szCs w:val="16"/>
        </w:rPr>
        <w:footnoteRef/>
      </w:r>
      <w:r w:rsidRPr="00DE6E07">
        <w:rPr>
          <w:sz w:val="16"/>
          <w:szCs w:val="16"/>
        </w:rPr>
        <w:t xml:space="preserve"> Šlo o dubnové zálohy a u soukromých škol zálohy za celé 2. čtvrtletí. Loni byly v 1.</w:t>
      </w:r>
      <w:r>
        <w:rPr>
          <w:sz w:val="16"/>
          <w:szCs w:val="16"/>
        </w:rPr>
        <w:t xml:space="preserve"> čtvrtletí vyplaceny jen</w:t>
      </w:r>
      <w:r w:rsidRPr="00DE6E07">
        <w:rPr>
          <w:sz w:val="16"/>
          <w:szCs w:val="16"/>
        </w:rPr>
        <w:t xml:space="preserve"> zálohy za leden až březen.</w:t>
      </w:r>
    </w:p>
  </w:footnote>
  <w:footnote w:id="83">
    <w:p w14:paraId="3454A6B4" w14:textId="77777777" w:rsidR="00D652EB" w:rsidRPr="00DE6E07" w:rsidRDefault="00D652EB" w:rsidP="004A3BE4">
      <w:pPr>
        <w:pStyle w:val="Textpoznpodarou"/>
        <w:rPr>
          <w:sz w:val="16"/>
          <w:szCs w:val="16"/>
        </w:rPr>
      </w:pPr>
      <w:r w:rsidRPr="00DE6E07">
        <w:rPr>
          <w:rStyle w:val="Znakapoznpodarou"/>
          <w:sz w:val="16"/>
          <w:szCs w:val="16"/>
        </w:rPr>
        <w:footnoteRef/>
      </w:r>
      <w:r w:rsidRPr="00DE6E07">
        <w:rPr>
          <w:sz w:val="16"/>
          <w:szCs w:val="16"/>
        </w:rPr>
        <w:t xml:space="preserve"> K němu došlo již od září 2022, nárůst činil 10 %.</w:t>
      </w:r>
    </w:p>
  </w:footnote>
  <w:footnote w:id="84">
    <w:p w14:paraId="2E8C20EE" w14:textId="77777777" w:rsidR="00D652EB" w:rsidRPr="003455CB" w:rsidRDefault="00D652EB" w:rsidP="004A3BE4">
      <w:pPr>
        <w:pStyle w:val="Textpoznpodarou"/>
        <w:rPr>
          <w:sz w:val="16"/>
          <w:szCs w:val="16"/>
        </w:rPr>
      </w:pPr>
      <w:r w:rsidRPr="003455CB">
        <w:rPr>
          <w:rStyle w:val="Znakapoznpodarou"/>
          <w:sz w:val="16"/>
          <w:szCs w:val="16"/>
        </w:rPr>
        <w:footnoteRef/>
      </w:r>
      <w:r w:rsidRPr="003455CB">
        <w:rPr>
          <w:sz w:val="16"/>
          <w:szCs w:val="16"/>
        </w:rPr>
        <w:t xml:space="preserve"> Jejich výše činila 44,2 mld. korun</w:t>
      </w:r>
      <w:r>
        <w:rPr>
          <w:sz w:val="16"/>
          <w:szCs w:val="16"/>
        </w:rPr>
        <w:t xml:space="preserve"> a o 15 % přesáhla donedávna</w:t>
      </w:r>
      <w:r w:rsidRPr="003455CB">
        <w:rPr>
          <w:sz w:val="16"/>
          <w:szCs w:val="16"/>
        </w:rPr>
        <w:t xml:space="preserve"> rekordní úroveň dotací z 1. čtvrtletí 2021, kdy vrcholila </w:t>
      </w:r>
      <w:r>
        <w:rPr>
          <w:sz w:val="16"/>
          <w:szCs w:val="16"/>
        </w:rPr>
        <w:t>„</w:t>
      </w:r>
      <w:proofErr w:type="spellStart"/>
      <w:r w:rsidRPr="003455CB">
        <w:rPr>
          <w:sz w:val="16"/>
          <w:szCs w:val="16"/>
        </w:rPr>
        <w:t>protipandemická</w:t>
      </w:r>
      <w:proofErr w:type="spellEnd"/>
      <w:r>
        <w:rPr>
          <w:sz w:val="16"/>
          <w:szCs w:val="16"/>
        </w:rPr>
        <w:t>“</w:t>
      </w:r>
      <w:r w:rsidRPr="003455CB">
        <w:rPr>
          <w:sz w:val="16"/>
          <w:szCs w:val="16"/>
        </w:rPr>
        <w:t xml:space="preserve"> pomoc podnikům.</w:t>
      </w:r>
    </w:p>
  </w:footnote>
  <w:footnote w:id="85">
    <w:p w14:paraId="50D8269F" w14:textId="77777777" w:rsidR="00D652EB" w:rsidRPr="00AC0B00" w:rsidRDefault="00D652EB" w:rsidP="004A3BE4">
      <w:pPr>
        <w:pStyle w:val="Textpoznpodarou"/>
        <w:rPr>
          <w:sz w:val="16"/>
          <w:szCs w:val="16"/>
        </w:rPr>
      </w:pPr>
      <w:r w:rsidRPr="00AC0B00">
        <w:rPr>
          <w:rStyle w:val="Znakapoznpodarou"/>
          <w:sz w:val="16"/>
          <w:szCs w:val="16"/>
        </w:rPr>
        <w:footnoteRef/>
      </w:r>
      <w:r w:rsidRPr="00AC0B00">
        <w:rPr>
          <w:sz w:val="16"/>
          <w:szCs w:val="16"/>
        </w:rPr>
        <w:t xml:space="preserve"> </w:t>
      </w:r>
      <w:r>
        <w:rPr>
          <w:sz w:val="16"/>
          <w:szCs w:val="16"/>
        </w:rPr>
        <w:t xml:space="preserve">Průměrný měsíční starobní důchod (bez souběhu s ostatními důchody) tak letos v březnu dosáhl u mužů 20 723 korun, u žen </w:t>
      </w:r>
      <w:r>
        <w:rPr>
          <w:sz w:val="16"/>
          <w:szCs w:val="16"/>
        </w:rPr>
        <w:br/>
        <w:t xml:space="preserve">18 290 korun. Díky zavedení „výchovného“ se významně snížil rozdíl v úrovni důchodů mužů a žen. Sólo starobní důchod u žen zaostával za úrovní mužů o 12 %. Relativní rozdíl důchodů mezi pohlavími byl tak mírně nižší než v případě průměrných mezd. </w:t>
      </w:r>
    </w:p>
  </w:footnote>
  <w:footnote w:id="86">
    <w:p w14:paraId="0F4E8BA4" w14:textId="77777777" w:rsidR="00D652EB" w:rsidRPr="00EC2E06" w:rsidRDefault="00D652EB" w:rsidP="004A3BE4">
      <w:pPr>
        <w:pStyle w:val="Textpoznpodarou"/>
        <w:jc w:val="both"/>
        <w:rPr>
          <w:spacing w:val="-4"/>
        </w:rPr>
      </w:pPr>
      <w:r w:rsidRPr="00EC2E06">
        <w:rPr>
          <w:rStyle w:val="Znakapoznpodarou"/>
          <w:spacing w:val="-4"/>
          <w:sz w:val="16"/>
          <w:szCs w:val="16"/>
        </w:rPr>
        <w:footnoteRef/>
      </w:r>
      <w:r>
        <w:rPr>
          <w:spacing w:val="-4"/>
          <w:sz w:val="16"/>
          <w:szCs w:val="16"/>
        </w:rPr>
        <w:t xml:space="preserve"> To vyjadřuje r</w:t>
      </w:r>
      <w:r w:rsidRPr="00EC2E06">
        <w:rPr>
          <w:rFonts w:cs="Arial"/>
          <w:color w:val="000000" w:themeColor="text1"/>
          <w:spacing w:val="-4"/>
          <w:sz w:val="16"/>
          <w:szCs w:val="16"/>
        </w:rPr>
        <w:t xml:space="preserve">ozdíl mezi příjmy a výdaji na důchody ze SR. Ve výdajích nejsou zahrnuty náklady na správu systému důchodového </w:t>
      </w:r>
      <w:r w:rsidRPr="00EC2E06">
        <w:rPr>
          <w:rFonts w:cs="Arial"/>
          <w:color w:val="0D0D0D" w:themeColor="text1" w:themeTint="F2"/>
          <w:spacing w:val="-4"/>
          <w:sz w:val="16"/>
          <w:szCs w:val="16"/>
        </w:rPr>
        <w:t>pojištění.</w:t>
      </w:r>
    </w:p>
  </w:footnote>
  <w:footnote w:id="87">
    <w:p w14:paraId="534FB8F1" w14:textId="77777777" w:rsidR="00D652EB" w:rsidRPr="003B3184" w:rsidRDefault="00D652EB" w:rsidP="004A3BE4">
      <w:pPr>
        <w:pStyle w:val="Textpoznpodarou"/>
        <w:rPr>
          <w:sz w:val="16"/>
          <w:szCs w:val="16"/>
        </w:rPr>
      </w:pPr>
      <w:r w:rsidRPr="003B3184">
        <w:rPr>
          <w:rStyle w:val="Znakapoznpodarou"/>
          <w:sz w:val="16"/>
          <w:szCs w:val="16"/>
        </w:rPr>
        <w:footnoteRef/>
      </w:r>
      <w:r w:rsidRPr="003B3184">
        <w:rPr>
          <w:sz w:val="16"/>
          <w:szCs w:val="16"/>
        </w:rPr>
        <w:t xml:space="preserve"> Nárok na podporu v nezaměstnanosti měla letos v březnu (podobně jako o rok dříve) necelá třetina registrovaných uchazečů o práci.</w:t>
      </w:r>
    </w:p>
  </w:footnote>
  <w:footnote w:id="88">
    <w:p w14:paraId="3476CF64" w14:textId="77777777" w:rsidR="00D652EB" w:rsidRPr="00614788" w:rsidRDefault="00D652EB" w:rsidP="004A3BE4">
      <w:pPr>
        <w:pStyle w:val="Textpoznpodarou"/>
        <w:rPr>
          <w:spacing w:val="-2"/>
          <w:sz w:val="16"/>
          <w:szCs w:val="16"/>
        </w:rPr>
      </w:pPr>
      <w:r w:rsidRPr="00614788">
        <w:rPr>
          <w:rStyle w:val="Znakapoznpodarou"/>
          <w:spacing w:val="-2"/>
          <w:sz w:val="16"/>
          <w:szCs w:val="16"/>
        </w:rPr>
        <w:footnoteRef/>
      </w:r>
      <w:r w:rsidRPr="00614788">
        <w:rPr>
          <w:spacing w:val="-2"/>
          <w:sz w:val="16"/>
          <w:szCs w:val="16"/>
        </w:rPr>
        <w:t xml:space="preserve"> Čisté výdaje odpovídají saldu rozpočtov</w:t>
      </w:r>
      <w:r>
        <w:rPr>
          <w:spacing w:val="-2"/>
          <w:sz w:val="16"/>
          <w:szCs w:val="16"/>
        </w:rPr>
        <w:t>é kapitoly Státní dluh (č. 396).</w:t>
      </w:r>
    </w:p>
  </w:footnote>
  <w:footnote w:id="89">
    <w:p w14:paraId="4CFF0100" w14:textId="06C0AFC4" w:rsidR="00D652EB" w:rsidRPr="00F058DE" w:rsidRDefault="00D652EB" w:rsidP="004A3BE4">
      <w:pPr>
        <w:pStyle w:val="Textpoznpodarou"/>
        <w:rPr>
          <w:sz w:val="16"/>
          <w:szCs w:val="16"/>
        </w:rPr>
      </w:pPr>
      <w:r w:rsidRPr="00F058DE">
        <w:rPr>
          <w:rStyle w:val="Znakapoznpodarou"/>
          <w:sz w:val="16"/>
          <w:szCs w:val="16"/>
        </w:rPr>
        <w:footnoteRef/>
      </w:r>
      <w:r w:rsidRPr="00F058DE">
        <w:rPr>
          <w:sz w:val="16"/>
          <w:szCs w:val="16"/>
        </w:rPr>
        <w:t xml:space="preserve"> Ve srovnání s rekordní aktivitou v 1. čtvrtletí 2021 byla ovšem letos intenzita výpůjčních operací nižší (tehdy přesáhla čistá emise pouze u klíčového nástroje – středn</w:t>
      </w:r>
      <w:r>
        <w:rPr>
          <w:sz w:val="16"/>
          <w:szCs w:val="16"/>
        </w:rPr>
        <w:t>ě a dlouhodobých dluhopisů – 20</w:t>
      </w:r>
      <w:r w:rsidRPr="00F058DE">
        <w:rPr>
          <w:sz w:val="16"/>
          <w:szCs w:val="16"/>
        </w:rPr>
        <w:t>0 mld. korun).</w:t>
      </w:r>
    </w:p>
  </w:footnote>
  <w:footnote w:id="90">
    <w:p w14:paraId="6DD63663" w14:textId="77777777" w:rsidR="00D652EB" w:rsidRPr="00F058DE" w:rsidRDefault="00D652EB" w:rsidP="004A3BE4">
      <w:pPr>
        <w:pStyle w:val="Textpoznpodarou"/>
        <w:rPr>
          <w:sz w:val="16"/>
          <w:szCs w:val="16"/>
        </w:rPr>
      </w:pPr>
      <w:r w:rsidRPr="00F058DE">
        <w:rPr>
          <w:rStyle w:val="Znakapoznpodarou"/>
          <w:sz w:val="16"/>
          <w:szCs w:val="16"/>
        </w:rPr>
        <w:footnoteRef/>
      </w:r>
      <w:r w:rsidRPr="00F058DE">
        <w:rPr>
          <w:sz w:val="16"/>
          <w:szCs w:val="16"/>
        </w:rPr>
        <w:t xml:space="preserve"> </w:t>
      </w:r>
      <w:r>
        <w:rPr>
          <w:spacing w:val="-4"/>
          <w:sz w:val="16"/>
          <w:szCs w:val="16"/>
        </w:rPr>
        <w:t>Hodnota veškerých domácích</w:t>
      </w:r>
      <w:r w:rsidRPr="00790DFB">
        <w:rPr>
          <w:spacing w:val="-4"/>
          <w:sz w:val="16"/>
          <w:szCs w:val="16"/>
        </w:rPr>
        <w:t xml:space="preserve"> státních dluhopisů v oběhu </w:t>
      </w:r>
      <w:r>
        <w:rPr>
          <w:spacing w:val="-4"/>
          <w:sz w:val="16"/>
          <w:szCs w:val="16"/>
        </w:rPr>
        <w:t xml:space="preserve">vzrostla </w:t>
      </w:r>
      <w:r w:rsidRPr="00790DFB">
        <w:rPr>
          <w:spacing w:val="-4"/>
          <w:sz w:val="16"/>
          <w:szCs w:val="16"/>
        </w:rPr>
        <w:t xml:space="preserve">o </w:t>
      </w:r>
      <w:r>
        <w:rPr>
          <w:spacing w:val="-4"/>
          <w:sz w:val="16"/>
          <w:szCs w:val="16"/>
        </w:rPr>
        <w:t xml:space="preserve">15,7 % na celkových 2 805,3 mld. korun. </w:t>
      </w:r>
    </w:p>
  </w:footnote>
  <w:footnote w:id="91">
    <w:p w14:paraId="4DF1688E" w14:textId="77777777" w:rsidR="00D652EB" w:rsidRPr="00552F88" w:rsidRDefault="00D652EB" w:rsidP="004A3BE4">
      <w:pPr>
        <w:pStyle w:val="Textpoznpodarou"/>
        <w:rPr>
          <w:sz w:val="16"/>
          <w:szCs w:val="16"/>
        </w:rPr>
      </w:pPr>
      <w:r w:rsidRPr="00552F88">
        <w:rPr>
          <w:rStyle w:val="Znakapoznpodarou"/>
          <w:sz w:val="16"/>
          <w:szCs w:val="16"/>
        </w:rPr>
        <w:footnoteRef/>
      </w:r>
      <w:r w:rsidRPr="00552F88">
        <w:rPr>
          <w:sz w:val="16"/>
          <w:szCs w:val="16"/>
        </w:rPr>
        <w:t xml:space="preserve"> Na celkovém státním dluhu se vnější zadluženost na konci března 2023 podílela jen 6,4 % (nejméně za posledních devatenáct let). </w:t>
      </w:r>
    </w:p>
  </w:footnote>
  <w:footnote w:id="92">
    <w:p w14:paraId="5A8D0541" w14:textId="77777777" w:rsidR="00D652EB" w:rsidRDefault="00D652EB" w:rsidP="008F130B">
      <w:pPr>
        <w:pStyle w:val="Textpoznpodarou"/>
        <w:rPr>
          <w:sz w:val="16"/>
          <w:szCs w:val="16"/>
        </w:rPr>
      </w:pPr>
      <w:r w:rsidRPr="008C2F4A">
        <w:rPr>
          <w:rStyle w:val="Znakapoznpodarou"/>
          <w:sz w:val="16"/>
          <w:szCs w:val="16"/>
        </w:rPr>
        <w:footnoteRef/>
      </w:r>
      <w:r w:rsidRPr="008C2F4A">
        <w:rPr>
          <w:sz w:val="16"/>
          <w:szCs w:val="16"/>
        </w:rPr>
        <w:t xml:space="preserve"> </w:t>
      </w:r>
      <w:r>
        <w:rPr>
          <w:sz w:val="16"/>
          <w:szCs w:val="16"/>
        </w:rPr>
        <w:t xml:space="preserve">Údaje o hospodaření vládních institucí za 1. čtvrtletí 2023 zveřejní ČSÚ 3. července 2023, </w:t>
      </w:r>
      <w:proofErr w:type="spellStart"/>
      <w:r>
        <w:rPr>
          <w:sz w:val="16"/>
          <w:szCs w:val="16"/>
        </w:rPr>
        <w:t>Eurostat</w:t>
      </w:r>
      <w:proofErr w:type="spellEnd"/>
      <w:r>
        <w:rPr>
          <w:sz w:val="16"/>
          <w:szCs w:val="16"/>
        </w:rPr>
        <w:t xml:space="preserve"> analogicky 21. července 2023. Detailnější zhodnocení tuzemského vývoje za 4. čtvrtletí 2022 i celý loňský rok je obsaženo v publikaci </w:t>
      </w:r>
      <w:r w:rsidRPr="00C20941">
        <w:rPr>
          <w:i/>
          <w:sz w:val="16"/>
          <w:szCs w:val="16"/>
        </w:rPr>
        <w:t>Analýza sektorových účtů</w:t>
      </w:r>
      <w:r>
        <w:rPr>
          <w:sz w:val="16"/>
          <w:szCs w:val="16"/>
        </w:rPr>
        <w:t>:</w:t>
      </w:r>
    </w:p>
    <w:p w14:paraId="6F0F62AE" w14:textId="77777777" w:rsidR="00D652EB" w:rsidRPr="00900B2B" w:rsidRDefault="00642338" w:rsidP="008F130B">
      <w:pPr>
        <w:pStyle w:val="Textpoznpodarou"/>
        <w:rPr>
          <w:sz w:val="16"/>
          <w:szCs w:val="16"/>
        </w:rPr>
      </w:pPr>
      <w:hyperlink r:id="rId3" w:history="1">
        <w:r w:rsidR="00D652EB" w:rsidRPr="00332CD4">
          <w:rPr>
            <w:rStyle w:val="Hypertextovodkaz"/>
            <w:sz w:val="16"/>
            <w:szCs w:val="16"/>
          </w:rPr>
          <w:t>https://www.czso.cz/csu/czso/cri/analyza-ctvrtletnich-sektorovych-uctu-4-ctvrtleti-2022</w:t>
        </w:r>
      </w:hyperlink>
    </w:p>
  </w:footnote>
  <w:footnote w:id="93">
    <w:p w14:paraId="4144DB57" w14:textId="77777777" w:rsidR="00D652EB" w:rsidRPr="00654E54" w:rsidRDefault="00D652EB" w:rsidP="004A3BE4">
      <w:pPr>
        <w:pStyle w:val="Textpoznpodarou"/>
        <w:rPr>
          <w:sz w:val="16"/>
          <w:szCs w:val="16"/>
        </w:rPr>
      </w:pPr>
      <w:r w:rsidRPr="00654E54">
        <w:rPr>
          <w:rStyle w:val="Znakapoznpodarou"/>
          <w:sz w:val="16"/>
          <w:szCs w:val="16"/>
        </w:rPr>
        <w:footnoteRef/>
      </w:r>
      <w:r>
        <w:rPr>
          <w:sz w:val="16"/>
          <w:szCs w:val="16"/>
        </w:rPr>
        <w:t xml:space="preserve"> Není-li uvedeno jinak, jsou ú</w:t>
      </w:r>
      <w:r w:rsidRPr="00654E54">
        <w:rPr>
          <w:sz w:val="16"/>
          <w:szCs w:val="16"/>
        </w:rPr>
        <w:t xml:space="preserve">daje o hospodaření sektoru VI v ČR </w:t>
      </w:r>
      <w:r>
        <w:rPr>
          <w:sz w:val="16"/>
          <w:szCs w:val="16"/>
        </w:rPr>
        <w:t>vyjádře</w:t>
      </w:r>
      <w:r w:rsidRPr="00654E54">
        <w:rPr>
          <w:sz w:val="16"/>
          <w:szCs w:val="16"/>
        </w:rPr>
        <w:t>ny bez sezónního očištění.</w:t>
      </w:r>
    </w:p>
  </w:footnote>
  <w:footnote w:id="94">
    <w:p w14:paraId="3B8757BD" w14:textId="77777777" w:rsidR="00D652EB" w:rsidRPr="00A274FC" w:rsidRDefault="00D652EB" w:rsidP="004A3BE4">
      <w:pPr>
        <w:pStyle w:val="Textpoznpodarou"/>
        <w:rPr>
          <w:sz w:val="16"/>
          <w:szCs w:val="16"/>
        </w:rPr>
      </w:pPr>
      <w:r w:rsidRPr="00A274FC">
        <w:rPr>
          <w:rStyle w:val="Znakapoznpodarou"/>
          <w:sz w:val="16"/>
          <w:szCs w:val="16"/>
        </w:rPr>
        <w:footnoteRef/>
      </w:r>
      <w:r>
        <w:rPr>
          <w:sz w:val="16"/>
          <w:szCs w:val="16"/>
        </w:rPr>
        <w:t xml:space="preserve"> Údaje o saldu hospodaření</w:t>
      </w:r>
      <w:r w:rsidRPr="00A274FC">
        <w:rPr>
          <w:sz w:val="16"/>
          <w:szCs w:val="16"/>
        </w:rPr>
        <w:t xml:space="preserve"> sektoru VI </w:t>
      </w:r>
      <w:r>
        <w:rPr>
          <w:sz w:val="16"/>
          <w:szCs w:val="16"/>
        </w:rPr>
        <w:t>v zemích EU jsou vyjádřené</w:t>
      </w:r>
      <w:r w:rsidRPr="00A274FC">
        <w:rPr>
          <w:sz w:val="16"/>
          <w:szCs w:val="16"/>
        </w:rPr>
        <w:t xml:space="preserve"> po sezónním očištění.</w:t>
      </w:r>
    </w:p>
  </w:footnote>
  <w:footnote w:id="95">
    <w:p w14:paraId="523DB1EB" w14:textId="77777777" w:rsidR="00D652EB" w:rsidRPr="00157A6D" w:rsidRDefault="00D652EB" w:rsidP="004A3BE4">
      <w:pPr>
        <w:pStyle w:val="Textpoznpodarou"/>
        <w:rPr>
          <w:sz w:val="16"/>
          <w:szCs w:val="16"/>
        </w:rPr>
      </w:pPr>
      <w:r w:rsidRPr="00157A6D">
        <w:rPr>
          <w:rStyle w:val="Znakapoznpodarou"/>
          <w:sz w:val="16"/>
          <w:szCs w:val="16"/>
        </w:rPr>
        <w:footnoteRef/>
      </w:r>
      <w:r w:rsidRPr="00157A6D">
        <w:rPr>
          <w:sz w:val="16"/>
          <w:szCs w:val="16"/>
        </w:rPr>
        <w:t xml:space="preserve"> V případě Bulharska se mohlo spíše jednat o krátkodobý výkyv, naopak Irsko i Dánsko vykazovaly přebytek hospodaření sektoru VI po celý loňský rok.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D652EB" w14:paraId="3D57519A" w14:textId="77777777" w:rsidTr="7059F910">
      <w:trPr>
        <w:trHeight w:val="300"/>
      </w:trPr>
      <w:tc>
        <w:tcPr>
          <w:tcW w:w="3210" w:type="dxa"/>
        </w:tcPr>
        <w:p w14:paraId="7811EB53" w14:textId="4DDFCD4B" w:rsidR="00D652EB" w:rsidRDefault="00D652EB" w:rsidP="7059F910">
          <w:pPr>
            <w:pStyle w:val="Zhlav"/>
            <w:ind w:left="-115"/>
          </w:pPr>
        </w:p>
      </w:tc>
      <w:tc>
        <w:tcPr>
          <w:tcW w:w="3210" w:type="dxa"/>
        </w:tcPr>
        <w:p w14:paraId="5B18E2FB" w14:textId="699852E7" w:rsidR="00D652EB" w:rsidRDefault="00D652EB" w:rsidP="7059F910">
          <w:pPr>
            <w:pStyle w:val="Zhlav"/>
            <w:jc w:val="center"/>
          </w:pPr>
        </w:p>
      </w:tc>
      <w:tc>
        <w:tcPr>
          <w:tcW w:w="3210" w:type="dxa"/>
        </w:tcPr>
        <w:p w14:paraId="1759E02E" w14:textId="10B800EB" w:rsidR="00D652EB" w:rsidRDefault="00D652EB" w:rsidP="7059F910">
          <w:pPr>
            <w:pStyle w:val="Zhlav"/>
            <w:ind w:right="-115"/>
            <w:jc w:val="right"/>
          </w:pPr>
        </w:p>
      </w:tc>
    </w:tr>
  </w:tbl>
  <w:p w14:paraId="757EF678" w14:textId="58C73B80" w:rsidR="00D652EB" w:rsidRDefault="00D652EB" w:rsidP="7059F9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D652EB" w14:paraId="0DBEFC73" w14:textId="77777777" w:rsidTr="7059F910">
      <w:trPr>
        <w:trHeight w:val="300"/>
      </w:trPr>
      <w:tc>
        <w:tcPr>
          <w:tcW w:w="3210" w:type="dxa"/>
        </w:tcPr>
        <w:p w14:paraId="2A6581A2" w14:textId="561A369A" w:rsidR="00D652EB" w:rsidRDefault="00D652EB" w:rsidP="7059F910">
          <w:pPr>
            <w:pStyle w:val="Zhlav"/>
            <w:ind w:left="-115"/>
          </w:pPr>
        </w:p>
      </w:tc>
      <w:tc>
        <w:tcPr>
          <w:tcW w:w="3210" w:type="dxa"/>
        </w:tcPr>
        <w:p w14:paraId="3D3E0A0E" w14:textId="2B32CF54" w:rsidR="00D652EB" w:rsidRDefault="00D652EB" w:rsidP="7059F910">
          <w:pPr>
            <w:pStyle w:val="Zhlav"/>
            <w:jc w:val="center"/>
          </w:pPr>
        </w:p>
      </w:tc>
      <w:tc>
        <w:tcPr>
          <w:tcW w:w="3210" w:type="dxa"/>
        </w:tcPr>
        <w:p w14:paraId="64BF241E" w14:textId="61DF3F23" w:rsidR="00D652EB" w:rsidRDefault="00D652EB" w:rsidP="7059F910">
          <w:pPr>
            <w:pStyle w:val="Zhlav"/>
            <w:ind w:right="-115"/>
            <w:jc w:val="right"/>
          </w:pPr>
        </w:p>
      </w:tc>
    </w:tr>
  </w:tbl>
  <w:p w14:paraId="7626C104" w14:textId="012EE53B" w:rsidR="00D652EB" w:rsidRDefault="00D652EB" w:rsidP="7059F9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D652EB" w:rsidRDefault="00D652EB" w:rsidP="00937AE2">
    <w:pPr>
      <w:pStyle w:val="Zhlav"/>
    </w:pPr>
    <w:r>
      <w:t>Vývoj ekonomiky České republiky</w:t>
    </w:r>
  </w:p>
  <w:p w14:paraId="3E881AB3" w14:textId="77777777" w:rsidR="00D652EB" w:rsidRPr="006F5416" w:rsidRDefault="00D652EB" w:rsidP="00937AE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D652EB" w:rsidRDefault="00D652EB" w:rsidP="00937AE2">
    <w:pPr>
      <w:pStyle w:val="Zhlav"/>
    </w:pPr>
    <w:r>
      <w:t>Vývoj ekonomiky České republiky</w:t>
    </w:r>
  </w:p>
  <w:p w14:paraId="57266714" w14:textId="77777777" w:rsidR="00D652EB" w:rsidRPr="006F5416" w:rsidRDefault="00D652E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AFB96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8"/>
  </w:num>
  <w:num w:numId="14">
    <w:abstractNumId w:val="14"/>
  </w:num>
  <w:num w:numId="15">
    <w:abstractNumId w:val="20"/>
  </w:num>
  <w:num w:numId="16">
    <w:abstractNumId w:val="16"/>
  </w:num>
  <w:num w:numId="17">
    <w:abstractNumId w:val="29"/>
  </w:num>
  <w:num w:numId="18">
    <w:abstractNumId w:val="21"/>
  </w:num>
  <w:num w:numId="19">
    <w:abstractNumId w:val="31"/>
  </w:num>
  <w:num w:numId="20">
    <w:abstractNumId w:val="32"/>
  </w:num>
  <w:num w:numId="21">
    <w:abstractNumId w:val="27"/>
  </w:num>
  <w:num w:numId="22">
    <w:abstractNumId w:val="19"/>
  </w:num>
  <w:num w:numId="23">
    <w:abstractNumId w:val="17"/>
  </w:num>
  <w:num w:numId="24">
    <w:abstractNumId w:val="18"/>
  </w:num>
  <w:num w:numId="25">
    <w:abstractNumId w:val="13"/>
  </w:num>
  <w:num w:numId="26">
    <w:abstractNumId w:val="23"/>
  </w:num>
  <w:num w:numId="27">
    <w:abstractNumId w:val="22"/>
  </w:num>
  <w:num w:numId="28">
    <w:abstractNumId w:val="10"/>
  </w:num>
  <w:num w:numId="29">
    <w:abstractNumId w:val="32"/>
  </w:num>
  <w:num w:numId="30">
    <w:abstractNumId w:val="24"/>
  </w:num>
  <w:num w:numId="31">
    <w:abstractNumId w:val="12"/>
  </w:num>
  <w:num w:numId="32">
    <w:abstractNumId w:val="33"/>
  </w:num>
  <w:num w:numId="33">
    <w:abstractNumId w:val="32"/>
  </w:num>
  <w:num w:numId="34">
    <w:abstractNumId w:val="1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107"/>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5152"/>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2BC"/>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E04FD"/>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7124"/>
    <w:rsid w:val="0011038E"/>
    <w:rsid w:val="00111573"/>
    <w:rsid w:val="00112370"/>
    <w:rsid w:val="0011239B"/>
    <w:rsid w:val="001125EF"/>
    <w:rsid w:val="00112CAB"/>
    <w:rsid w:val="0011440C"/>
    <w:rsid w:val="00114C33"/>
    <w:rsid w:val="00114D5B"/>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52B"/>
    <w:rsid w:val="00141AA0"/>
    <w:rsid w:val="001425C3"/>
    <w:rsid w:val="0014262D"/>
    <w:rsid w:val="00142B29"/>
    <w:rsid w:val="00144108"/>
    <w:rsid w:val="00144588"/>
    <w:rsid w:val="001447DD"/>
    <w:rsid w:val="00145358"/>
    <w:rsid w:val="001459BC"/>
    <w:rsid w:val="0014779E"/>
    <w:rsid w:val="00150ECA"/>
    <w:rsid w:val="0015108F"/>
    <w:rsid w:val="00151707"/>
    <w:rsid w:val="00152C86"/>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64B"/>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6B3F"/>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1D"/>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3F48"/>
    <w:rsid w:val="00254FC3"/>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D6"/>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C6C"/>
    <w:rsid w:val="00341D26"/>
    <w:rsid w:val="00341F05"/>
    <w:rsid w:val="0034335E"/>
    <w:rsid w:val="00344668"/>
    <w:rsid w:val="00344940"/>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B2D"/>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32DB"/>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05C"/>
    <w:rsid w:val="003E1EF8"/>
    <w:rsid w:val="003E2DFB"/>
    <w:rsid w:val="003E4466"/>
    <w:rsid w:val="003E4C91"/>
    <w:rsid w:val="003E52D8"/>
    <w:rsid w:val="003E62F1"/>
    <w:rsid w:val="003E6ED5"/>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28DA"/>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3BE4"/>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91D"/>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085C"/>
    <w:rsid w:val="004E12DF"/>
    <w:rsid w:val="004E186A"/>
    <w:rsid w:val="004E1A40"/>
    <w:rsid w:val="004E1DB2"/>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01B"/>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32B"/>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68"/>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5DF"/>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1705"/>
    <w:rsid w:val="005B26B0"/>
    <w:rsid w:val="005B41C9"/>
    <w:rsid w:val="005B44E6"/>
    <w:rsid w:val="005B4853"/>
    <w:rsid w:val="005B591B"/>
    <w:rsid w:val="005B6CA1"/>
    <w:rsid w:val="005B770C"/>
    <w:rsid w:val="005C06ED"/>
    <w:rsid w:val="005C0CE1"/>
    <w:rsid w:val="005C11B8"/>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66E6"/>
    <w:rsid w:val="005D7119"/>
    <w:rsid w:val="005D76C8"/>
    <w:rsid w:val="005D7890"/>
    <w:rsid w:val="005D7AAF"/>
    <w:rsid w:val="005E19C1"/>
    <w:rsid w:val="005E2194"/>
    <w:rsid w:val="005E24F0"/>
    <w:rsid w:val="005E3113"/>
    <w:rsid w:val="005E36FE"/>
    <w:rsid w:val="005E3F66"/>
    <w:rsid w:val="005E490F"/>
    <w:rsid w:val="005E4BC9"/>
    <w:rsid w:val="005E5314"/>
    <w:rsid w:val="005E764D"/>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415E"/>
    <w:rsid w:val="00625A84"/>
    <w:rsid w:val="00626079"/>
    <w:rsid w:val="006275B5"/>
    <w:rsid w:val="00631698"/>
    <w:rsid w:val="00631E44"/>
    <w:rsid w:val="00634C57"/>
    <w:rsid w:val="00634CE7"/>
    <w:rsid w:val="006350D5"/>
    <w:rsid w:val="00635EBE"/>
    <w:rsid w:val="0063642C"/>
    <w:rsid w:val="006376B3"/>
    <w:rsid w:val="00637858"/>
    <w:rsid w:val="006404A7"/>
    <w:rsid w:val="00640A38"/>
    <w:rsid w:val="00640E6B"/>
    <w:rsid w:val="00641787"/>
    <w:rsid w:val="0064179B"/>
    <w:rsid w:val="00642338"/>
    <w:rsid w:val="00642489"/>
    <w:rsid w:val="00644055"/>
    <w:rsid w:val="00644137"/>
    <w:rsid w:val="0064478C"/>
    <w:rsid w:val="00645160"/>
    <w:rsid w:val="006451E4"/>
    <w:rsid w:val="0064574B"/>
    <w:rsid w:val="00645B33"/>
    <w:rsid w:val="0065153D"/>
    <w:rsid w:val="006516CB"/>
    <w:rsid w:val="00652444"/>
    <w:rsid w:val="00652E30"/>
    <w:rsid w:val="00653BD0"/>
    <w:rsid w:val="00654110"/>
    <w:rsid w:val="00656C5D"/>
    <w:rsid w:val="00656CFB"/>
    <w:rsid w:val="00656D25"/>
    <w:rsid w:val="00657E87"/>
    <w:rsid w:val="00660D2D"/>
    <w:rsid w:val="0066110B"/>
    <w:rsid w:val="00661C41"/>
    <w:rsid w:val="00661EC9"/>
    <w:rsid w:val="00662469"/>
    <w:rsid w:val="0066411C"/>
    <w:rsid w:val="00664205"/>
    <w:rsid w:val="00664647"/>
    <w:rsid w:val="00664803"/>
    <w:rsid w:val="0066502F"/>
    <w:rsid w:val="006653CC"/>
    <w:rsid w:val="00665501"/>
    <w:rsid w:val="00665982"/>
    <w:rsid w:val="00665BA4"/>
    <w:rsid w:val="00666BF3"/>
    <w:rsid w:val="00667856"/>
    <w:rsid w:val="00667AF2"/>
    <w:rsid w:val="00670489"/>
    <w:rsid w:val="006710C9"/>
    <w:rsid w:val="00671D85"/>
    <w:rsid w:val="00672586"/>
    <w:rsid w:val="006727BC"/>
    <w:rsid w:val="006741CD"/>
    <w:rsid w:val="006745DF"/>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5C8C"/>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5D3"/>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1F2A"/>
    <w:rsid w:val="007434E5"/>
    <w:rsid w:val="00743884"/>
    <w:rsid w:val="0074499B"/>
    <w:rsid w:val="007449D6"/>
    <w:rsid w:val="0074501E"/>
    <w:rsid w:val="007450BF"/>
    <w:rsid w:val="0074599A"/>
    <w:rsid w:val="00746EE5"/>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A88"/>
    <w:rsid w:val="00763B85"/>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BF0"/>
    <w:rsid w:val="00780EF1"/>
    <w:rsid w:val="00781A91"/>
    <w:rsid w:val="00781AD3"/>
    <w:rsid w:val="00781F36"/>
    <w:rsid w:val="00783576"/>
    <w:rsid w:val="007853FD"/>
    <w:rsid w:val="00785778"/>
    <w:rsid w:val="00786C87"/>
    <w:rsid w:val="0078755E"/>
    <w:rsid w:val="007877C9"/>
    <w:rsid w:val="00790764"/>
    <w:rsid w:val="0079085F"/>
    <w:rsid w:val="00790E96"/>
    <w:rsid w:val="00791005"/>
    <w:rsid w:val="00793D78"/>
    <w:rsid w:val="0079420B"/>
    <w:rsid w:val="0079453C"/>
    <w:rsid w:val="00794677"/>
    <w:rsid w:val="00795759"/>
    <w:rsid w:val="007A0B5E"/>
    <w:rsid w:val="007A170B"/>
    <w:rsid w:val="007A20EB"/>
    <w:rsid w:val="007A282C"/>
    <w:rsid w:val="007A293C"/>
    <w:rsid w:val="007A2A3A"/>
    <w:rsid w:val="007A33E2"/>
    <w:rsid w:val="007A3CAF"/>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A03"/>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3627"/>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1B1"/>
    <w:rsid w:val="0080734C"/>
    <w:rsid w:val="00807C82"/>
    <w:rsid w:val="008107EE"/>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3CE"/>
    <w:rsid w:val="0083471A"/>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2A5"/>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1850"/>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25A"/>
    <w:rsid w:val="008C0314"/>
    <w:rsid w:val="008C0E88"/>
    <w:rsid w:val="008C0EBE"/>
    <w:rsid w:val="008C1717"/>
    <w:rsid w:val="008C17F0"/>
    <w:rsid w:val="008C3A32"/>
    <w:rsid w:val="008C3B05"/>
    <w:rsid w:val="008C4B50"/>
    <w:rsid w:val="008C5A37"/>
    <w:rsid w:val="008C7569"/>
    <w:rsid w:val="008C79C3"/>
    <w:rsid w:val="008D006F"/>
    <w:rsid w:val="008D033D"/>
    <w:rsid w:val="008D06A2"/>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51EB"/>
    <w:rsid w:val="008E5746"/>
    <w:rsid w:val="008E64D7"/>
    <w:rsid w:val="008E6DCB"/>
    <w:rsid w:val="008E6E5D"/>
    <w:rsid w:val="008E6F06"/>
    <w:rsid w:val="008E7000"/>
    <w:rsid w:val="008E723E"/>
    <w:rsid w:val="008E7B8E"/>
    <w:rsid w:val="008E7FC9"/>
    <w:rsid w:val="008F0107"/>
    <w:rsid w:val="008F029B"/>
    <w:rsid w:val="008F0589"/>
    <w:rsid w:val="008F130B"/>
    <w:rsid w:val="008F2A5D"/>
    <w:rsid w:val="008F2BC7"/>
    <w:rsid w:val="008F2E83"/>
    <w:rsid w:val="008F3636"/>
    <w:rsid w:val="008F3FC9"/>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0FA"/>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3ECA"/>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D78C3"/>
    <w:rsid w:val="009E1120"/>
    <w:rsid w:val="009E1393"/>
    <w:rsid w:val="009E1922"/>
    <w:rsid w:val="009E1A3D"/>
    <w:rsid w:val="009E4715"/>
    <w:rsid w:val="009E4A58"/>
    <w:rsid w:val="009E5273"/>
    <w:rsid w:val="009E57A8"/>
    <w:rsid w:val="009E5B85"/>
    <w:rsid w:val="009E5DDB"/>
    <w:rsid w:val="009F032E"/>
    <w:rsid w:val="009F1CA6"/>
    <w:rsid w:val="009F2921"/>
    <w:rsid w:val="009F42CF"/>
    <w:rsid w:val="009F4982"/>
    <w:rsid w:val="009F4CA7"/>
    <w:rsid w:val="009F4F6A"/>
    <w:rsid w:val="009F55BA"/>
    <w:rsid w:val="009F7D36"/>
    <w:rsid w:val="009F7D61"/>
    <w:rsid w:val="00A00470"/>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09AD"/>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160"/>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48BD"/>
    <w:rsid w:val="00B74964"/>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5F94"/>
    <w:rsid w:val="00BB6EA2"/>
    <w:rsid w:val="00BB714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6086"/>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9FE"/>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3605"/>
    <w:rsid w:val="00CB4022"/>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0E03"/>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07CC2"/>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133"/>
    <w:rsid w:val="00D269B9"/>
    <w:rsid w:val="00D27973"/>
    <w:rsid w:val="00D27F3A"/>
    <w:rsid w:val="00D31537"/>
    <w:rsid w:val="00D31E1E"/>
    <w:rsid w:val="00D322A0"/>
    <w:rsid w:val="00D32824"/>
    <w:rsid w:val="00D334E2"/>
    <w:rsid w:val="00D335E5"/>
    <w:rsid w:val="00D350B1"/>
    <w:rsid w:val="00D35AD6"/>
    <w:rsid w:val="00D35BBB"/>
    <w:rsid w:val="00D35E1A"/>
    <w:rsid w:val="00D36B0A"/>
    <w:rsid w:val="00D36DFB"/>
    <w:rsid w:val="00D36E1C"/>
    <w:rsid w:val="00D373AF"/>
    <w:rsid w:val="00D40556"/>
    <w:rsid w:val="00D418E9"/>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2EB"/>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2CD7"/>
    <w:rsid w:val="00D932B8"/>
    <w:rsid w:val="00D932F0"/>
    <w:rsid w:val="00D95302"/>
    <w:rsid w:val="00D95889"/>
    <w:rsid w:val="00D95C5D"/>
    <w:rsid w:val="00D95CBE"/>
    <w:rsid w:val="00D95E7F"/>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27CD"/>
    <w:rsid w:val="00DE3231"/>
    <w:rsid w:val="00DE3E22"/>
    <w:rsid w:val="00DE3E5D"/>
    <w:rsid w:val="00DE450F"/>
    <w:rsid w:val="00DE4865"/>
    <w:rsid w:val="00DE5CA6"/>
    <w:rsid w:val="00DE5E55"/>
    <w:rsid w:val="00DE63AE"/>
    <w:rsid w:val="00DE7156"/>
    <w:rsid w:val="00DE7AC8"/>
    <w:rsid w:val="00DF0830"/>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D22"/>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87D5B"/>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473"/>
    <w:rsid w:val="00EB6DA6"/>
    <w:rsid w:val="00EB6FAC"/>
    <w:rsid w:val="00EB7BAC"/>
    <w:rsid w:val="00EB7CC9"/>
    <w:rsid w:val="00EC03D7"/>
    <w:rsid w:val="00EC13A7"/>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A09"/>
    <w:rsid w:val="00EE6E06"/>
    <w:rsid w:val="00EE7179"/>
    <w:rsid w:val="00EF0D90"/>
    <w:rsid w:val="00EF150D"/>
    <w:rsid w:val="00EF1F5A"/>
    <w:rsid w:val="00EF23B5"/>
    <w:rsid w:val="00EF326A"/>
    <w:rsid w:val="00EF3898"/>
    <w:rsid w:val="00EF47BF"/>
    <w:rsid w:val="00EF52F7"/>
    <w:rsid w:val="00EF54CF"/>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6002"/>
    <w:rsid w:val="00F067B8"/>
    <w:rsid w:val="00F0730A"/>
    <w:rsid w:val="00F073ED"/>
    <w:rsid w:val="00F07C4C"/>
    <w:rsid w:val="00F07E45"/>
    <w:rsid w:val="00F10F11"/>
    <w:rsid w:val="00F11159"/>
    <w:rsid w:val="00F1152E"/>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9CE"/>
    <w:rsid w:val="00F24FAA"/>
    <w:rsid w:val="00F25040"/>
    <w:rsid w:val="00F269D7"/>
    <w:rsid w:val="00F26FB5"/>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54A"/>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1BA4"/>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372"/>
    <w:rsid w:val="00FD4916"/>
    <w:rsid w:val="00FD4D12"/>
    <w:rsid w:val="00FD4F73"/>
    <w:rsid w:val="00FD595E"/>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B8C"/>
    <w:rsid w:val="00FF63E6"/>
    <w:rsid w:val="00FF72DC"/>
    <w:rsid w:val="00FF7B96"/>
    <w:rsid w:val="019CB78C"/>
    <w:rsid w:val="0523CDF2"/>
    <w:rsid w:val="06B1A837"/>
    <w:rsid w:val="0EBE9DEC"/>
    <w:rsid w:val="12650F4E"/>
    <w:rsid w:val="1394E51D"/>
    <w:rsid w:val="17513AF8"/>
    <w:rsid w:val="2A0E9F3A"/>
    <w:rsid w:val="2A2A6298"/>
    <w:rsid w:val="38C72AFC"/>
    <w:rsid w:val="3C7646FC"/>
    <w:rsid w:val="3E4A9713"/>
    <w:rsid w:val="47207A7B"/>
    <w:rsid w:val="48038D4B"/>
    <w:rsid w:val="49E8263C"/>
    <w:rsid w:val="4A567F3C"/>
    <w:rsid w:val="50A35788"/>
    <w:rsid w:val="52944939"/>
    <w:rsid w:val="5536E42E"/>
    <w:rsid w:val="5CF587E8"/>
    <w:rsid w:val="6AEA4E8B"/>
    <w:rsid w:val="6AEC8A78"/>
    <w:rsid w:val="6D951AA9"/>
    <w:rsid w:val="7059F910"/>
    <w:rsid w:val="74EA3077"/>
    <w:rsid w:val="75B5B795"/>
    <w:rsid w:val="78E73CD1"/>
    <w:rsid w:val="7F508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4.xml"/><Relationship Id="rId21" Type="http://schemas.openxmlformats.org/officeDocument/2006/relationships/chart" Target="charts/chart5.xml"/><Relationship Id="rId34" Type="http://schemas.openxmlformats.org/officeDocument/2006/relationships/chart" Target="charts/chart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cri/analyza-ctvrtletnich-sektorovych-uctu-4-ctvrtleti-2022" TargetMode="External"/><Relationship Id="rId2" Type="http://schemas.openxmlformats.org/officeDocument/2006/relationships/hyperlink" Target="https://www.czso.cz/csu/czso/metodicka-poznamka-k-indexu-spotrebitelskych-cen-imputovane-najemne" TargetMode="External"/><Relationship Id="rId1" Type="http://schemas.openxmlformats.org/officeDocument/2006/relationships/hyperlink" Target="https://www.czso.cz/csu/czso/aktualizace-metody-propoctu-zahranicni-obchod-se-zbozi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3Q1\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bojnikova31519\Documents\Anal&#253;za\Q\2023Q1\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zabojnikova31519\Documents\Anal&#253;za\Q\2023Q1\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Anal&#253;za\Q\2023Q1\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QMakro-2023\trh%20pr&#225;ce\Grafy-Trh%20pr&#225;ce%20celorok-1q-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QMakro-2023\trh%20pr&#225;ce\Grafy-Trh%20pr&#225;ce%20celorok-1q-202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QMakro-2023\trh%20pr&#225;ce\Grafy-Trh%20pr&#225;ce%20celorok-1q-202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Anal&#253;za\Q\2023Q1\Makroanal&#253;za%20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QMakro-2023\Grafy-st&#225;tn&#237;%20rozpo&#269;et-rok-2022-ak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QMakro-2023\Grafy-st&#225;tn&#237;%20rozpo&#269;et-rok-2022-akt.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E:\QMakro-2023\Grafy-st&#225;tn&#237;%20rozpo&#269;et-rok-2022-ak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3Q1\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3Q1\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K-V&#253;voj%20ekonomiky-1q2023\Odv&#283;tv&#237;_grafy-1q-2023-ak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TK-V&#253;voj%20ekonomiky-1q2023\Odv&#283;tv&#237;_grafy-1q-2023-ak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TK-V&#253;voj%20ekonomiky-1q2023\Odv&#283;tv&#237;_grafy-1q-2023-ak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TK-V&#253;voj%20ekonomiky-1q2023\Odv&#283;tv&#237;_grafy-1q-2023-ak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TK-V&#253;voj%20ekonomiky-1q2023\Odv&#283;tv&#237;_grafy-1q-2023-ak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zabojnikova31519\Documents\Anal&#253;za\Q\2023Q1\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8E-2"/>
          <c:y val="2.3046636085626956E-2"/>
          <c:w val="0.92008633063154344"/>
          <c:h val="0.74192840256671655"/>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1'!$A$29:$B$49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'souhrnná výkonnost 1'!$C$29:$C$49</c:f>
              <c:numCache>
                <c:formatCode>General</c:formatCode>
                <c:ptCount val="21"/>
                <c:pt idx="0" formatCode="#\ ##0.0">
                  <c:v>4.7000000000000028</c:v>
                </c:pt>
                <c:pt idx="1">
                  <c:v>2.7999999999999972</c:v>
                </c:pt>
                <c:pt idx="2">
                  <c:v>2.7000000000000037</c:v>
                </c:pt>
                <c:pt idx="3" formatCode="#\ ##0.0">
                  <c:v>2.5999999999999943</c:v>
                </c:pt>
                <c:pt idx="4" formatCode="#\ ##0.0">
                  <c:v>3</c:v>
                </c:pt>
                <c:pt idx="5">
                  <c:v>3.0999999999999943</c:v>
                </c:pt>
                <c:pt idx="6">
                  <c:v>3</c:v>
                </c:pt>
                <c:pt idx="7">
                  <c:v>2.7999999999999972</c:v>
                </c:pt>
                <c:pt idx="8">
                  <c:v>-1.5</c:v>
                </c:pt>
                <c:pt idx="9">
                  <c:v>-10.8</c:v>
                </c:pt>
                <c:pt idx="10">
                  <c:v>-5.2000000000000028</c:v>
                </c:pt>
                <c:pt idx="11">
                  <c:v>-4.5999999999999943</c:v>
                </c:pt>
                <c:pt idx="12">
                  <c:v>-1.9000000000000059</c:v>
                </c:pt>
                <c:pt idx="13">
                  <c:v>9.0999999999999979</c:v>
                </c:pt>
                <c:pt idx="14">
                  <c:v>3.7999999999999972</c:v>
                </c:pt>
                <c:pt idx="15">
                  <c:v>3.5</c:v>
                </c:pt>
                <c:pt idx="16">
                  <c:v>4.7000000000000028</c:v>
                </c:pt>
                <c:pt idx="17">
                  <c:v>3.5</c:v>
                </c:pt>
                <c:pt idx="18">
                  <c:v>1.5</c:v>
                </c:pt>
                <c:pt idx="19">
                  <c:v>0.29999999999999738</c:v>
                </c:pt>
                <c:pt idx="20">
                  <c:v>-0.40000000000000568</c:v>
                </c:pt>
              </c:numCache>
            </c:numRef>
          </c:val>
          <c:extLst>
            <c:ext xmlns:c16="http://schemas.microsoft.com/office/drawing/2014/chart" uri="{C3380CC4-5D6E-409C-BE32-E72D297353CC}">
              <c16:uniqueId val="{00000000-B6F9-450C-A51B-BAFA040DD21D}"/>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1'!$A$29:$B$49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'souhrnná výkonnost 1'!$D$29:$D$49</c:f>
              <c:numCache>
                <c:formatCode>#\ ##0.##########</c:formatCode>
                <c:ptCount val="21"/>
                <c:pt idx="0">
                  <c:v>2.6</c:v>
                </c:pt>
                <c:pt idx="1">
                  <c:v>2.4</c:v>
                </c:pt>
                <c:pt idx="2">
                  <c:v>1.7000000000000002</c:v>
                </c:pt>
                <c:pt idx="3">
                  <c:v>1.5</c:v>
                </c:pt>
                <c:pt idx="4">
                  <c:v>2.1</c:v>
                </c:pt>
                <c:pt idx="5">
                  <c:v>1.8</c:v>
                </c:pt>
                <c:pt idx="6" formatCode="#\ ##0.0">
                  <c:v>2</c:v>
                </c:pt>
                <c:pt idx="7">
                  <c:v>1.4</c:v>
                </c:pt>
                <c:pt idx="8">
                  <c:v>-2.2000000000000002</c:v>
                </c:pt>
                <c:pt idx="9">
                  <c:v>-13.4</c:v>
                </c:pt>
                <c:pt idx="10">
                  <c:v>-3.7</c:v>
                </c:pt>
                <c:pt idx="11">
                  <c:v>-3.8</c:v>
                </c:pt>
                <c:pt idx="12">
                  <c:v>-0.70000000000000018</c:v>
                </c:pt>
                <c:pt idx="13">
                  <c:v>13.8</c:v>
                </c:pt>
                <c:pt idx="14">
                  <c:v>4.3</c:v>
                </c:pt>
                <c:pt idx="15">
                  <c:v>5.2</c:v>
                </c:pt>
                <c:pt idx="16">
                  <c:v>5.7</c:v>
                </c:pt>
                <c:pt idx="17">
                  <c:v>4.4000000000000004</c:v>
                </c:pt>
                <c:pt idx="18">
                  <c:v>2.6</c:v>
                </c:pt>
                <c:pt idx="19">
                  <c:v>1.7000000000000002</c:v>
                </c:pt>
                <c:pt idx="20" formatCode="General">
                  <c:v>1.2</c:v>
                </c:pt>
              </c:numCache>
            </c:numRef>
          </c:val>
          <c:extLst>
            <c:ext xmlns:c16="http://schemas.microsoft.com/office/drawing/2014/chart" uri="{C3380CC4-5D6E-409C-BE32-E72D297353CC}">
              <c16:uniqueId val="{00000001-B6F9-450C-A51B-BAFA040DD21D}"/>
            </c:ext>
          </c:extLst>
        </c:ser>
        <c:dLbls>
          <c:showLegendKey val="0"/>
          <c:showVal val="0"/>
          <c:showCatName val="0"/>
          <c:showSerName val="0"/>
          <c:showPercent val="0"/>
          <c:showBubbleSize val="0"/>
        </c:dLbls>
        <c:gapWidth val="100"/>
        <c:axId val="83531648"/>
        <c:axId val="83533184"/>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1'!$A$29:$B$49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'souhrnná výkonnost 1'!$E$29:$E$49</c:f>
              <c:numCache>
                <c:formatCode>#\ ##0.0</c:formatCode>
                <c:ptCount val="21"/>
                <c:pt idx="0">
                  <c:v>0.5</c:v>
                </c:pt>
                <c:pt idx="1">
                  <c:v>0.59999999999999443</c:v>
                </c:pt>
                <c:pt idx="2">
                  <c:v>0.70000000000000284</c:v>
                </c:pt>
                <c:pt idx="3">
                  <c:v>0.70000000000000284</c:v>
                </c:pt>
                <c:pt idx="4">
                  <c:v>0.90000000000000568</c:v>
                </c:pt>
                <c:pt idx="5" formatCode="General">
                  <c:v>0.70000000000000284</c:v>
                </c:pt>
                <c:pt idx="6" formatCode="General">
                  <c:v>0.70000000000000284</c:v>
                </c:pt>
                <c:pt idx="7" formatCode="General">
                  <c:v>0.5</c:v>
                </c:pt>
                <c:pt idx="8" formatCode="General">
                  <c:v>-3.2000000000000037</c:v>
                </c:pt>
                <c:pt idx="9" formatCode="General">
                  <c:v>-8.8000000000000025</c:v>
                </c:pt>
                <c:pt idx="10" formatCode="General">
                  <c:v>7</c:v>
                </c:pt>
                <c:pt idx="11" formatCode="General">
                  <c:v>1.0999999999999936</c:v>
                </c:pt>
                <c:pt idx="12" formatCode="General">
                  <c:v>-0.5</c:v>
                </c:pt>
                <c:pt idx="13" formatCode="General">
                  <c:v>1.4000000000000057</c:v>
                </c:pt>
                <c:pt idx="14" formatCode="General">
                  <c:v>1.7000000000000031</c:v>
                </c:pt>
                <c:pt idx="15" formatCode="General">
                  <c:v>0.79999999999999738</c:v>
                </c:pt>
                <c:pt idx="16" formatCode="General">
                  <c:v>0.59999999999999443</c:v>
                </c:pt>
                <c:pt idx="17" formatCode="General">
                  <c:v>0.29999999999999738</c:v>
                </c:pt>
                <c:pt idx="18" formatCode="General">
                  <c:v>-0.29999999999999738</c:v>
                </c:pt>
                <c:pt idx="19" formatCode="General">
                  <c:v>-0.40000000000000568</c:v>
                </c:pt>
                <c:pt idx="20" formatCode="General">
                  <c:v>0</c:v>
                </c:pt>
              </c:numCache>
            </c:numRef>
          </c:val>
          <c:smooth val="0"/>
          <c:extLst>
            <c:ext xmlns:c16="http://schemas.microsoft.com/office/drawing/2014/chart" uri="{C3380CC4-5D6E-409C-BE32-E72D297353CC}">
              <c16:uniqueId val="{00000002-B6F9-450C-A51B-BAFA040DD21D}"/>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1'!$A$29:$B$49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'souhrnná výkonnost 1'!$F$29:$F$49</c:f>
              <c:numCache>
                <c:formatCode>#\ ##0.##########</c:formatCode>
                <c:ptCount val="21"/>
                <c:pt idx="0">
                  <c:v>0.1</c:v>
                </c:pt>
                <c:pt idx="1">
                  <c:v>0.6000000000000002</c:v>
                </c:pt>
                <c:pt idx="2">
                  <c:v>0.1</c:v>
                </c:pt>
                <c:pt idx="3">
                  <c:v>0.70000000000000018</c:v>
                </c:pt>
                <c:pt idx="4">
                  <c:v>0.70000000000000018</c:v>
                </c:pt>
                <c:pt idx="5">
                  <c:v>0.4</c:v>
                </c:pt>
                <c:pt idx="6">
                  <c:v>0.3000000000000001</c:v>
                </c:pt>
                <c:pt idx="7">
                  <c:v>0.1</c:v>
                </c:pt>
                <c:pt idx="8">
                  <c:v>-2.9</c:v>
                </c:pt>
                <c:pt idx="9">
                  <c:v>-11.1</c:v>
                </c:pt>
                <c:pt idx="10">
                  <c:v>11.5</c:v>
                </c:pt>
                <c:pt idx="11">
                  <c:v>-0.1</c:v>
                </c:pt>
                <c:pt idx="12">
                  <c:v>0.2</c:v>
                </c:pt>
                <c:pt idx="13">
                  <c:v>1.9000000000000001</c:v>
                </c:pt>
                <c:pt idx="14">
                  <c:v>2.2000000000000002</c:v>
                </c:pt>
                <c:pt idx="15">
                  <c:v>0.70000000000000018</c:v>
                </c:pt>
                <c:pt idx="16">
                  <c:v>0.70000000000000018</c:v>
                </c:pt>
                <c:pt idx="17">
                  <c:v>0.70000000000000018</c:v>
                </c:pt>
                <c:pt idx="18">
                  <c:v>0.4</c:v>
                </c:pt>
                <c:pt idx="19">
                  <c:v>-0.1</c:v>
                </c:pt>
                <c:pt idx="20" formatCode="General">
                  <c:v>0.2</c:v>
                </c:pt>
              </c:numCache>
            </c:numRef>
          </c:val>
          <c:smooth val="0"/>
          <c:extLst>
            <c:ext xmlns:c16="http://schemas.microsoft.com/office/drawing/2014/chart" uri="{C3380CC4-5D6E-409C-BE32-E72D297353CC}">
              <c16:uniqueId val="{00000003-B6F9-450C-A51B-BAFA040DD21D}"/>
            </c:ext>
          </c:extLst>
        </c:ser>
        <c:dLbls>
          <c:showLegendKey val="0"/>
          <c:showVal val="0"/>
          <c:showCatName val="0"/>
          <c:showSerName val="0"/>
          <c:showPercent val="0"/>
          <c:showBubbleSize val="0"/>
        </c:dLbls>
        <c:marker val="1"/>
        <c:smooth val="0"/>
        <c:axId val="83531648"/>
        <c:axId val="83533184"/>
      </c:lineChart>
      <c:catAx>
        <c:axId val="83531648"/>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83533184"/>
        <c:crosses val="autoZero"/>
        <c:auto val="1"/>
        <c:lblAlgn val="ctr"/>
        <c:lblOffset val="100"/>
        <c:noMultiLvlLbl val="0"/>
      </c:catAx>
      <c:valAx>
        <c:axId val="83533184"/>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83531648"/>
        <c:crosses val="autoZero"/>
        <c:crossBetween val="between"/>
        <c:majorUnit val="3"/>
      </c:valAx>
      <c:spPr>
        <a:ln>
          <a:solidFill>
            <a:schemeClr val="tx1"/>
          </a:solidFill>
        </a:ln>
      </c:spPr>
    </c:plotArea>
    <c:legend>
      <c:legendPos val="b"/>
      <c:layout>
        <c:manualLayout>
          <c:xMode val="edge"/>
          <c:yMode val="edge"/>
          <c:x val="5.8431906450523499E-2"/>
          <c:y val="0.89437255125718007"/>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327E-2"/>
          <c:w val="0.92237743255066085"/>
          <c:h val="0.7147157521300419"/>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'Ceny 2'!$C$30:$C$50</c:f>
              <c:numCache>
                <c:formatCode>0.0</c:formatCode>
                <c:ptCount val="21"/>
                <c:pt idx="0">
                  <c:v>1.9000000000000001</c:v>
                </c:pt>
                <c:pt idx="1">
                  <c:v>2.2999999999999998</c:v>
                </c:pt>
                <c:pt idx="2">
                  <c:v>2.4</c:v>
                </c:pt>
                <c:pt idx="3">
                  <c:v>2.1</c:v>
                </c:pt>
                <c:pt idx="4">
                  <c:v>2.7</c:v>
                </c:pt>
                <c:pt idx="5">
                  <c:v>2.8</c:v>
                </c:pt>
                <c:pt idx="6">
                  <c:v>2.8</c:v>
                </c:pt>
                <c:pt idx="7">
                  <c:v>3</c:v>
                </c:pt>
                <c:pt idx="8">
                  <c:v>3.6</c:v>
                </c:pt>
                <c:pt idx="9">
                  <c:v>3.1</c:v>
                </c:pt>
                <c:pt idx="10">
                  <c:v>3.3</c:v>
                </c:pt>
                <c:pt idx="11">
                  <c:v>2.6</c:v>
                </c:pt>
                <c:pt idx="12">
                  <c:v>2.2000000000000002</c:v>
                </c:pt>
                <c:pt idx="13">
                  <c:v>2.9</c:v>
                </c:pt>
                <c:pt idx="14">
                  <c:v>4.0999999999999996</c:v>
                </c:pt>
                <c:pt idx="15">
                  <c:v>6.1</c:v>
                </c:pt>
                <c:pt idx="16">
                  <c:v>11.2</c:v>
                </c:pt>
                <c:pt idx="17">
                  <c:v>15.8</c:v>
                </c:pt>
                <c:pt idx="18">
                  <c:v>17.600000000000001</c:v>
                </c:pt>
                <c:pt idx="19">
                  <c:v>15.7</c:v>
                </c:pt>
                <c:pt idx="20">
                  <c:v>16.399999999999999</c:v>
                </c:pt>
              </c:numCache>
            </c:numRef>
          </c:val>
          <c:extLst>
            <c:ext xmlns:c16="http://schemas.microsoft.com/office/drawing/2014/chart" uri="{C3380CC4-5D6E-409C-BE32-E72D297353CC}">
              <c16:uniqueId val="{00000000-BFFE-40C7-972D-167789800E57}"/>
            </c:ext>
          </c:extLst>
        </c:ser>
        <c:dLbls>
          <c:showLegendKey val="0"/>
          <c:showVal val="0"/>
          <c:showCatName val="0"/>
          <c:showSerName val="0"/>
          <c:showPercent val="0"/>
          <c:showBubbleSize val="0"/>
        </c:dLbls>
        <c:gapWidth val="95"/>
        <c:axId val="71568000"/>
        <c:axId val="71582080"/>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'Ceny 2'!$D$30:$D$50</c:f>
              <c:numCache>
                <c:formatCode>#\ ##0.0_ ;\-#\ ##0.0\ </c:formatCode>
                <c:ptCount val="21"/>
                <c:pt idx="0" formatCode="0.0">
                  <c:v>2.9</c:v>
                </c:pt>
                <c:pt idx="1">
                  <c:v>2.2999999999999998</c:v>
                </c:pt>
                <c:pt idx="2" formatCode="0.0">
                  <c:v>0.6000000000000002</c:v>
                </c:pt>
                <c:pt idx="3" formatCode="0.0">
                  <c:v>-0.5</c:v>
                </c:pt>
                <c:pt idx="4" formatCode="0.0">
                  <c:v>1</c:v>
                </c:pt>
                <c:pt idx="5" formatCode="0.0">
                  <c:v>2.5</c:v>
                </c:pt>
                <c:pt idx="6" formatCode="0.0">
                  <c:v>3.5</c:v>
                </c:pt>
                <c:pt idx="7" formatCode="0.0">
                  <c:v>4.3</c:v>
                </c:pt>
                <c:pt idx="8" formatCode="0.0">
                  <c:v>6.1</c:v>
                </c:pt>
                <c:pt idx="9" formatCode="0.0">
                  <c:v>6.5</c:v>
                </c:pt>
                <c:pt idx="10" formatCode="0.0">
                  <c:v>4</c:v>
                </c:pt>
                <c:pt idx="11" formatCode="0.0">
                  <c:v>1.7000000000000002</c:v>
                </c:pt>
                <c:pt idx="12" formatCode="0.0">
                  <c:v>0.3000000000000001</c:v>
                </c:pt>
                <c:pt idx="13" formatCode="0.0">
                  <c:v>-0.8</c:v>
                </c:pt>
                <c:pt idx="14" formatCode="0.0">
                  <c:v>1.4</c:v>
                </c:pt>
                <c:pt idx="15" formatCode="0.0">
                  <c:v>2.2999999999999998</c:v>
                </c:pt>
                <c:pt idx="16" formatCode="0.0">
                  <c:v>6.7</c:v>
                </c:pt>
                <c:pt idx="17" formatCode="0.0">
                  <c:v>14.6</c:v>
                </c:pt>
                <c:pt idx="18" formatCode="0.0">
                  <c:v>20</c:v>
                </c:pt>
                <c:pt idx="19" formatCode="0.0">
                  <c:v>25.5</c:v>
                </c:pt>
                <c:pt idx="20" formatCode="0.0">
                  <c:v>24.1</c:v>
                </c:pt>
              </c:numCache>
            </c:numRef>
          </c:val>
          <c:smooth val="0"/>
          <c:extLst>
            <c:ext xmlns:c16="http://schemas.microsoft.com/office/drawing/2014/chart" uri="{C3380CC4-5D6E-409C-BE32-E72D297353CC}">
              <c16:uniqueId val="{00000001-BFFE-40C7-972D-167789800E57}"/>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'Ceny 2'!$F$30:$F$50</c:f>
              <c:numCache>
                <c:formatCode>0.0</c:formatCode>
                <c:ptCount val="21"/>
                <c:pt idx="0">
                  <c:v>2.2999999999999998</c:v>
                </c:pt>
                <c:pt idx="1">
                  <c:v>2.6</c:v>
                </c:pt>
                <c:pt idx="2">
                  <c:v>3.2</c:v>
                </c:pt>
                <c:pt idx="3">
                  <c:v>3.8</c:v>
                </c:pt>
                <c:pt idx="4">
                  <c:v>5.4</c:v>
                </c:pt>
                <c:pt idx="5">
                  <c:v>5.7</c:v>
                </c:pt>
                <c:pt idx="6">
                  <c:v>5.2</c:v>
                </c:pt>
                <c:pt idx="7">
                  <c:v>5</c:v>
                </c:pt>
                <c:pt idx="8">
                  <c:v>4.2</c:v>
                </c:pt>
                <c:pt idx="9">
                  <c:v>3.2</c:v>
                </c:pt>
                <c:pt idx="10">
                  <c:v>2.7</c:v>
                </c:pt>
                <c:pt idx="11">
                  <c:v>1.4</c:v>
                </c:pt>
                <c:pt idx="12">
                  <c:v>0.6000000000000002</c:v>
                </c:pt>
                <c:pt idx="13">
                  <c:v>1.3</c:v>
                </c:pt>
                <c:pt idx="14">
                  <c:v>3.6</c:v>
                </c:pt>
                <c:pt idx="15">
                  <c:v>5.6</c:v>
                </c:pt>
                <c:pt idx="16">
                  <c:v>16</c:v>
                </c:pt>
                <c:pt idx="17">
                  <c:v>21.4</c:v>
                </c:pt>
                <c:pt idx="18">
                  <c:v>23.6</c:v>
                </c:pt>
                <c:pt idx="19">
                  <c:v>14.9</c:v>
                </c:pt>
                <c:pt idx="20">
                  <c:v>22.2</c:v>
                </c:pt>
              </c:numCache>
            </c:numRef>
          </c:val>
          <c:smooth val="0"/>
          <c:extLst>
            <c:ext xmlns:c16="http://schemas.microsoft.com/office/drawing/2014/chart" uri="{C3380CC4-5D6E-409C-BE32-E72D297353CC}">
              <c16:uniqueId val="{00000002-BFFE-40C7-972D-167789800E57}"/>
            </c:ext>
          </c:extLst>
        </c:ser>
        <c:ser>
          <c:idx val="4"/>
          <c:order val="3"/>
          <c:tx>
            <c:strRef>
              <c:f>'Ceny 2'!$G$5</c:f>
              <c:strCache>
                <c:ptCount val="1"/>
                <c:pt idx="0">
                  <c:v>Doprava</c:v>
                </c:pt>
              </c:strCache>
            </c:strRef>
          </c:tx>
          <c:spPr>
            <a:ln w="19050">
              <a:solidFill>
                <a:srgbClr val="FFC000"/>
              </a:solidFill>
            </a:ln>
          </c:spPr>
          <c:marker>
            <c:symbol val="none"/>
          </c:marker>
          <c:cat>
            <c:multiLvlStrRef>
              <c:f>'Ceny 2'!$A$30:$B$50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'Ceny 2'!$G$30:$G$50</c:f>
              <c:numCache>
                <c:formatCode>0.0</c:formatCode>
                <c:ptCount val="21"/>
                <c:pt idx="0">
                  <c:v>1</c:v>
                </c:pt>
                <c:pt idx="1">
                  <c:v>3</c:v>
                </c:pt>
                <c:pt idx="2">
                  <c:v>4.5</c:v>
                </c:pt>
                <c:pt idx="3">
                  <c:v>2.6</c:v>
                </c:pt>
                <c:pt idx="4">
                  <c:v>0.6000000000000002</c:v>
                </c:pt>
                <c:pt idx="5">
                  <c:v>0.8</c:v>
                </c:pt>
                <c:pt idx="6">
                  <c:v>-0.2</c:v>
                </c:pt>
                <c:pt idx="7">
                  <c:v>0.5</c:v>
                </c:pt>
                <c:pt idx="8" formatCode="General">
                  <c:v>1.7000000000000002</c:v>
                </c:pt>
                <c:pt idx="9">
                  <c:v>-3.4</c:v>
                </c:pt>
                <c:pt idx="10">
                  <c:v>-0.2</c:v>
                </c:pt>
                <c:pt idx="11">
                  <c:v>0.6000000000000002</c:v>
                </c:pt>
                <c:pt idx="12">
                  <c:v>2.4</c:v>
                </c:pt>
                <c:pt idx="13">
                  <c:v>9.1</c:v>
                </c:pt>
                <c:pt idx="14">
                  <c:v>8.8000000000000007</c:v>
                </c:pt>
                <c:pt idx="15">
                  <c:v>13.1</c:v>
                </c:pt>
                <c:pt idx="16">
                  <c:v>17.2</c:v>
                </c:pt>
                <c:pt idx="17">
                  <c:v>22.7</c:v>
                </c:pt>
                <c:pt idx="18">
                  <c:v>19.7</c:v>
                </c:pt>
                <c:pt idx="19">
                  <c:v>13.1</c:v>
                </c:pt>
                <c:pt idx="20">
                  <c:v>4.5</c:v>
                </c:pt>
              </c:numCache>
            </c:numRef>
          </c:val>
          <c:smooth val="0"/>
          <c:extLst>
            <c:ext xmlns:c16="http://schemas.microsoft.com/office/drawing/2014/chart" uri="{C3380CC4-5D6E-409C-BE32-E72D297353CC}">
              <c16:uniqueId val="{00000003-BFFE-40C7-972D-167789800E57}"/>
            </c:ext>
          </c:extLst>
        </c:ser>
        <c:ser>
          <c:idx val="5"/>
          <c:order val="5"/>
          <c:tx>
            <c:strRef>
              <c:f>'Ceny 2'!$H$5</c:f>
              <c:strCache>
                <c:ptCount val="1"/>
                <c:pt idx="0">
                  <c:v>Stravování a ubytování</c:v>
                </c:pt>
              </c:strCache>
            </c:strRef>
          </c:tx>
          <c:spPr>
            <a:ln w="19050">
              <a:solidFill>
                <a:srgbClr val="7030A0"/>
              </a:solidFill>
            </a:ln>
          </c:spPr>
          <c:marker>
            <c:symbol val="none"/>
          </c:marker>
          <c:cat>
            <c:multiLvlStrRef>
              <c:f>'Ceny 2'!$A$30:$B$50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'Ceny 2'!$H$30:$H$50</c:f>
              <c:numCache>
                <c:formatCode>0.0</c:formatCode>
                <c:ptCount val="21"/>
                <c:pt idx="0">
                  <c:v>3.5</c:v>
                </c:pt>
                <c:pt idx="1">
                  <c:v>3.6</c:v>
                </c:pt>
                <c:pt idx="2">
                  <c:v>3.5</c:v>
                </c:pt>
                <c:pt idx="3">
                  <c:v>3.7</c:v>
                </c:pt>
                <c:pt idx="4">
                  <c:v>3.8</c:v>
                </c:pt>
                <c:pt idx="5">
                  <c:v>4</c:v>
                </c:pt>
                <c:pt idx="6">
                  <c:v>4.5</c:v>
                </c:pt>
                <c:pt idx="7">
                  <c:v>4.5999999999999996</c:v>
                </c:pt>
                <c:pt idx="8">
                  <c:v>5.5</c:v>
                </c:pt>
                <c:pt idx="9">
                  <c:v>5.0999999999999996</c:v>
                </c:pt>
                <c:pt idx="10">
                  <c:v>4.9000000000000004</c:v>
                </c:pt>
                <c:pt idx="11">
                  <c:v>4.3</c:v>
                </c:pt>
                <c:pt idx="12">
                  <c:v>3</c:v>
                </c:pt>
                <c:pt idx="13">
                  <c:v>2.9</c:v>
                </c:pt>
                <c:pt idx="14">
                  <c:v>4.5999999999999996</c:v>
                </c:pt>
                <c:pt idx="15">
                  <c:v>6.8</c:v>
                </c:pt>
                <c:pt idx="16">
                  <c:v>12.3</c:v>
                </c:pt>
                <c:pt idx="17">
                  <c:v>21.4</c:v>
                </c:pt>
                <c:pt idx="18">
                  <c:v>24.3</c:v>
                </c:pt>
                <c:pt idx="19">
                  <c:v>25.6</c:v>
                </c:pt>
                <c:pt idx="20">
                  <c:v>22.4</c:v>
                </c:pt>
              </c:numCache>
            </c:numRef>
          </c:val>
          <c:smooth val="0"/>
          <c:extLst>
            <c:ext xmlns:c16="http://schemas.microsoft.com/office/drawing/2014/chart" uri="{C3380CC4-5D6E-409C-BE32-E72D297353CC}">
              <c16:uniqueId val="{00000004-BFFE-40C7-972D-167789800E57}"/>
            </c:ext>
          </c:extLst>
        </c:ser>
        <c:ser>
          <c:idx val="6"/>
          <c:order val="6"/>
          <c:tx>
            <c:strRef>
              <c:f>'Ceny 2'!$I$5</c:f>
              <c:strCache>
                <c:ptCount val="1"/>
                <c:pt idx="0">
                  <c:v>Rekreace a kultura</c:v>
                </c:pt>
              </c:strCache>
            </c:strRef>
          </c:tx>
          <c:spPr>
            <a:ln w="19050">
              <a:solidFill>
                <a:srgbClr val="FF0000"/>
              </a:solidFill>
            </a:ln>
          </c:spPr>
          <c:marker>
            <c:symbol val="none"/>
          </c:marker>
          <c:cat>
            <c:multiLvlStrRef>
              <c:f>'Ceny 2'!$A$30:$B$50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'Ceny 2'!$I$30:$I$50</c:f>
              <c:numCache>
                <c:formatCode>General</c:formatCode>
                <c:ptCount val="21"/>
                <c:pt idx="0">
                  <c:v>0.5</c:v>
                </c:pt>
                <c:pt idx="1">
                  <c:v>0.59999999999999443</c:v>
                </c:pt>
                <c:pt idx="2">
                  <c:v>2.2000000000000037</c:v>
                </c:pt>
                <c:pt idx="3">
                  <c:v>0.5</c:v>
                </c:pt>
                <c:pt idx="4">
                  <c:v>1.7000000000000031</c:v>
                </c:pt>
                <c:pt idx="5">
                  <c:v>1</c:v>
                </c:pt>
                <c:pt idx="6">
                  <c:v>1.7000000000000031</c:v>
                </c:pt>
                <c:pt idx="7">
                  <c:v>2.0999999999999943</c:v>
                </c:pt>
                <c:pt idx="8">
                  <c:v>2.0999999999999943</c:v>
                </c:pt>
                <c:pt idx="9">
                  <c:v>2</c:v>
                </c:pt>
                <c:pt idx="10">
                  <c:v>2.2000000000000037</c:v>
                </c:pt>
                <c:pt idx="11">
                  <c:v>2.5</c:v>
                </c:pt>
                <c:pt idx="12">
                  <c:v>1.4000000000000057</c:v>
                </c:pt>
                <c:pt idx="13">
                  <c:v>2</c:v>
                </c:pt>
                <c:pt idx="14">
                  <c:v>3.0999999999999943</c:v>
                </c:pt>
                <c:pt idx="15">
                  <c:v>5.2999999999999972</c:v>
                </c:pt>
                <c:pt idx="16">
                  <c:v>8.5</c:v>
                </c:pt>
                <c:pt idx="17">
                  <c:v>11.3</c:v>
                </c:pt>
                <c:pt idx="18">
                  <c:v>12.599999999999998</c:v>
                </c:pt>
                <c:pt idx="19" formatCode="0.0">
                  <c:v>13.2</c:v>
                </c:pt>
                <c:pt idx="20" formatCode="0.0">
                  <c:v>14</c:v>
                </c:pt>
              </c:numCache>
            </c:numRef>
          </c:val>
          <c:smooth val="0"/>
          <c:extLst>
            <c:ext xmlns:c16="http://schemas.microsoft.com/office/drawing/2014/chart" uri="{C3380CC4-5D6E-409C-BE32-E72D297353CC}">
              <c16:uniqueId val="{00000005-BFFE-40C7-972D-167789800E57}"/>
            </c:ext>
          </c:extLst>
        </c:ser>
        <c:dLbls>
          <c:showLegendKey val="0"/>
          <c:showVal val="0"/>
          <c:showCatName val="0"/>
          <c:showSerName val="0"/>
          <c:showPercent val="0"/>
          <c:showBubbleSize val="0"/>
        </c:dLbls>
        <c:marker val="1"/>
        <c:smooth val="0"/>
        <c:axId val="71568000"/>
        <c:axId val="71582080"/>
        <c:extLst>
          <c:ext xmlns:c15="http://schemas.microsoft.com/office/drawing/2012/chart" uri="{02D57815-91ED-43cb-92C2-25804820EDAC}">
            <c15:filteredLineSeries>
              <c15:ser>
                <c:idx val="2"/>
                <c:order val="4"/>
                <c:tx>
                  <c:strRef>
                    <c:extLst>
                      <c:ext uri="{02D57815-91ED-43cb-92C2-25804820EDAC}">
                        <c15:formulaRef>
                          <c15:sqref>'Ceny 2'!$E$5</c15:sqref>
                        </c15:formulaRef>
                      </c:ext>
                    </c:extLst>
                    <c:strCache>
                      <c:ptCount val="1"/>
                      <c:pt idx="0">
                        <c:v>Alkoholické nápoje a tabák</c:v>
                      </c:pt>
                    </c:strCache>
                  </c:strRef>
                </c:tx>
                <c:spPr>
                  <a:ln w="19050">
                    <a:solidFill>
                      <a:schemeClr val="accent2"/>
                    </a:solidFill>
                  </a:ln>
                </c:spPr>
                <c:marker>
                  <c:symbol val="none"/>
                </c:marker>
                <c:cat>
                  <c:multiLvlStrRef>
                    <c:extLst>
                      <c:ext uri="{02D57815-91ED-43cb-92C2-25804820EDAC}">
                        <c15:formulaRef>
                          <c15:sqref>'Ceny 2'!$A$30:$B$50</c15:sqref>
                        </c15:formulaRef>
                      </c:ext>
                    </c:extLst>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extLst>
                      <c:ext uri="{02D57815-91ED-43cb-92C2-25804820EDAC}">
                        <c15:formulaRef>
                          <c15:sqref>'Ceny 2'!$E$26:$E$48</c15:sqref>
                        </c15:formulaRef>
                      </c:ext>
                    </c:extLst>
                    <c:numCache>
                      <c:formatCode>General</c:formatCode>
                      <c:ptCount val="23"/>
                      <c:pt idx="0">
                        <c:v>3.4000000000000057</c:v>
                      </c:pt>
                      <c:pt idx="1">
                        <c:v>0.79999999999999716</c:v>
                      </c:pt>
                      <c:pt idx="2" formatCode="0.0">
                        <c:v>1.3</c:v>
                      </c:pt>
                      <c:pt idx="3" formatCode="0.0">
                        <c:v>1.5</c:v>
                      </c:pt>
                      <c:pt idx="4" formatCode="0.0">
                        <c:v>2.5</c:v>
                      </c:pt>
                      <c:pt idx="5" formatCode="0.0">
                        <c:v>3.6</c:v>
                      </c:pt>
                      <c:pt idx="6" formatCode="0.0">
                        <c:v>2.8</c:v>
                      </c:pt>
                      <c:pt idx="7" formatCode="0.0">
                        <c:v>3.1</c:v>
                      </c:pt>
                      <c:pt idx="8" formatCode="0.0">
                        <c:v>3.3</c:v>
                      </c:pt>
                      <c:pt idx="9" formatCode="0.0">
                        <c:v>1.7</c:v>
                      </c:pt>
                      <c:pt idx="10" formatCode="0.0">
                        <c:v>1.9</c:v>
                      </c:pt>
                      <c:pt idx="11" formatCode="0.0">
                        <c:v>1.8</c:v>
                      </c:pt>
                      <c:pt idx="12">
                        <c:v>3.5</c:v>
                      </c:pt>
                      <c:pt idx="13" formatCode="0.0">
                        <c:v>6.6</c:v>
                      </c:pt>
                      <c:pt idx="14" formatCode="0.0">
                        <c:v>10.3</c:v>
                      </c:pt>
                      <c:pt idx="15" formatCode="0.0">
                        <c:v>9.9</c:v>
                      </c:pt>
                      <c:pt idx="16" formatCode="0.0">
                        <c:v>9.9</c:v>
                      </c:pt>
                      <c:pt idx="17" formatCode="0.0">
                        <c:v>9.8000000000000007</c:v>
                      </c:pt>
                      <c:pt idx="18" formatCode="0.0">
                        <c:v>6.5</c:v>
                      </c:pt>
                      <c:pt idx="19" formatCode="0.0">
                        <c:v>7.7</c:v>
                      </c:pt>
                      <c:pt idx="20" formatCode="0.0">
                        <c:v>7.1</c:v>
                      </c:pt>
                      <c:pt idx="21" formatCode="0.0">
                        <c:v>5.6</c:v>
                      </c:pt>
                      <c:pt idx="22" formatCode="0.0">
                        <c:v>6.3</c:v>
                      </c:pt>
                    </c:numCache>
                  </c:numRef>
                </c:val>
                <c:smooth val="0"/>
                <c:extLst>
                  <c:ext xmlns:c16="http://schemas.microsoft.com/office/drawing/2014/chart" uri="{C3380CC4-5D6E-409C-BE32-E72D297353CC}">
                    <c16:uniqueId val="{00000006-BFFE-40C7-972D-167789800E57}"/>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'Ceny 2'!$J$5</c15:sqref>
                        </c15:formulaRef>
                      </c:ext>
                    </c:extLst>
                    <c:strCache>
                      <c:ptCount val="1"/>
                      <c:pt idx="0">
                        <c:v>Odívání a obuv</c:v>
                      </c:pt>
                    </c:strCache>
                  </c:strRef>
                </c:tx>
                <c:spPr>
                  <a:ln w="19050">
                    <a:solidFill>
                      <a:srgbClr val="E8AFB2"/>
                    </a:solidFill>
                  </a:ln>
                </c:spPr>
                <c:marker>
                  <c:symbol val="none"/>
                </c:marker>
                <c:cat>
                  <c:multiLvlStrRef>
                    <c:extLst xmlns:c15="http://schemas.microsoft.com/office/drawing/2012/chart">
                      <c:ext xmlns:c15="http://schemas.microsoft.com/office/drawing/2012/chart" uri="{02D57815-91ED-43cb-92C2-25804820EDAC}">
                        <c15:formulaRef>
                          <c15:sqref>'Ceny 2'!$A$30:$B$50</c15:sqref>
                        </c15:formulaRef>
                      </c:ext>
                    </c:extLst>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extLst xmlns:c15="http://schemas.microsoft.com/office/drawing/2012/chart">
                      <c:ext xmlns:c15="http://schemas.microsoft.com/office/drawing/2012/chart" uri="{02D57815-91ED-43cb-92C2-25804820EDAC}">
                        <c15:formulaRef>
                          <c15:sqref>'Ceny 2'!$J$26:$J$48</c15:sqref>
                        </c15:formulaRef>
                      </c:ext>
                    </c:extLst>
                    <c:numCache>
                      <c:formatCode>General</c:formatCode>
                      <c:ptCount val="23"/>
                      <c:pt idx="0">
                        <c:v>0.5</c:v>
                      </c:pt>
                      <c:pt idx="1">
                        <c:v>1</c:v>
                      </c:pt>
                      <c:pt idx="2" formatCode="0.0">
                        <c:v>0.5</c:v>
                      </c:pt>
                      <c:pt idx="3" formatCode="0.0">
                        <c:v>-0.8</c:v>
                      </c:pt>
                      <c:pt idx="4">
                        <c:v>-0.29999999999999716</c:v>
                      </c:pt>
                      <c:pt idx="5">
                        <c:v>-1</c:v>
                      </c:pt>
                      <c:pt idx="6">
                        <c:v>-1.4000000000000057</c:v>
                      </c:pt>
                      <c:pt idx="7">
                        <c:v>-1.7000000000000028</c:v>
                      </c:pt>
                      <c:pt idx="8">
                        <c:v>-1.0999999999999943</c:v>
                      </c:pt>
                      <c:pt idx="9">
                        <c:v>-1.9000000000000057</c:v>
                      </c:pt>
                      <c:pt idx="10">
                        <c:v>-1.5</c:v>
                      </c:pt>
                      <c:pt idx="11">
                        <c:v>-0.29999999999999716</c:v>
                      </c:pt>
                      <c:pt idx="12">
                        <c:v>3.5</c:v>
                      </c:pt>
                      <c:pt idx="13">
                        <c:v>3.4000000000000057</c:v>
                      </c:pt>
                      <c:pt idx="14">
                        <c:v>4.5</c:v>
                      </c:pt>
                      <c:pt idx="15">
                        <c:v>3.4000000000000057</c:v>
                      </c:pt>
                      <c:pt idx="16">
                        <c:v>2.7000000000000028</c:v>
                      </c:pt>
                      <c:pt idx="17">
                        <c:v>2.9000000000000057</c:v>
                      </c:pt>
                      <c:pt idx="18">
                        <c:v>7.7999999999999972</c:v>
                      </c:pt>
                      <c:pt idx="19">
                        <c:v>12.599999999999994</c:v>
                      </c:pt>
                      <c:pt idx="20">
                        <c:v>16.900000000000006</c:v>
                      </c:pt>
                      <c:pt idx="21">
                        <c:v>20</c:v>
                      </c:pt>
                      <c:pt idx="22">
                        <c:v>19</c:v>
                      </c:pt>
                    </c:numCache>
                  </c:numRef>
                </c:val>
                <c:smooth val="0"/>
                <c:extLst xmlns:c15="http://schemas.microsoft.com/office/drawing/2012/chart">
                  <c:ext xmlns:c16="http://schemas.microsoft.com/office/drawing/2014/chart" uri="{C3380CC4-5D6E-409C-BE32-E72D297353CC}">
                    <c16:uniqueId val="{00000007-BFFE-40C7-972D-167789800E57}"/>
                  </c:ext>
                </c:extLst>
              </c15:ser>
            </c15:filteredLineSeries>
          </c:ext>
        </c:extLst>
      </c:lineChart>
      <c:catAx>
        <c:axId val="7156800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71582080"/>
        <c:crosses val="autoZero"/>
        <c:auto val="1"/>
        <c:lblAlgn val="ctr"/>
        <c:lblOffset val="100"/>
        <c:noMultiLvlLbl val="0"/>
      </c:catAx>
      <c:valAx>
        <c:axId val="71582080"/>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71568000"/>
        <c:crosses val="autoZero"/>
        <c:crossBetween val="between"/>
        <c:majorUnit val="4"/>
      </c:valAx>
      <c:spPr>
        <a:ln>
          <a:solidFill>
            <a:schemeClr val="tx1"/>
          </a:solidFill>
        </a:ln>
      </c:spPr>
    </c:plotArea>
    <c:legend>
      <c:legendPos val="b"/>
      <c:layout>
        <c:manualLayout>
          <c:xMode val="edge"/>
          <c:yMode val="edge"/>
          <c:x val="5.3882134414049342E-2"/>
          <c:y val="0.85802375323651958"/>
          <c:w val="0.92470364741641364"/>
          <c:h val="0.131253517955645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85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'Ceny 1'!$C$30:$C$50</c:f>
              <c:numCache>
                <c:formatCode>General</c:formatCode>
                <c:ptCount val="21"/>
                <c:pt idx="0">
                  <c:v>9.2000000000000028</c:v>
                </c:pt>
                <c:pt idx="1">
                  <c:v>8</c:v>
                </c:pt>
                <c:pt idx="2">
                  <c:v>9.4000000000000057</c:v>
                </c:pt>
                <c:pt idx="3">
                  <c:v>11.400000000000006</c:v>
                </c:pt>
                <c:pt idx="4">
                  <c:v>11.299999999999997</c:v>
                </c:pt>
                <c:pt idx="5">
                  <c:v>10.599999999999994</c:v>
                </c:pt>
                <c:pt idx="6">
                  <c:v>9.5</c:v>
                </c:pt>
                <c:pt idx="7">
                  <c:v>9.4000000000000057</c:v>
                </c:pt>
                <c:pt idx="8">
                  <c:v>10.599999999999994</c:v>
                </c:pt>
                <c:pt idx="9">
                  <c:v>10.200000000000003</c:v>
                </c:pt>
                <c:pt idx="10">
                  <c:v>11.200000000000003</c:v>
                </c:pt>
                <c:pt idx="11">
                  <c:v>13.299999999999997</c:v>
                </c:pt>
                <c:pt idx="12">
                  <c:v>15.200000000000003</c:v>
                </c:pt>
                <c:pt idx="13">
                  <c:v>17.900000000000006</c:v>
                </c:pt>
                <c:pt idx="14">
                  <c:v>21.299999999999997</c:v>
                </c:pt>
                <c:pt idx="15">
                  <c:v>25.200000000000003</c:v>
                </c:pt>
                <c:pt idx="16">
                  <c:v>27.299999999999997</c:v>
                </c:pt>
                <c:pt idx="17">
                  <c:v>27.599999999999994</c:v>
                </c:pt>
                <c:pt idx="18">
                  <c:v>23.400000000000006</c:v>
                </c:pt>
                <c:pt idx="19">
                  <c:v>13.799999999999997</c:v>
                </c:pt>
                <c:pt idx="20">
                  <c:v>3.7000000000000028</c:v>
                </c:pt>
              </c:numCache>
            </c:numRef>
          </c:val>
          <c:extLst>
            <c:ext xmlns:c16="http://schemas.microsoft.com/office/drawing/2014/chart" uri="{C3380CC4-5D6E-409C-BE32-E72D297353CC}">
              <c16:uniqueId val="{00000000-2F9E-4D39-88C8-916F885F8885}"/>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'Ceny 1'!$D$30:$D$50</c:f>
              <c:numCache>
                <c:formatCode>General</c:formatCode>
                <c:ptCount val="21"/>
                <c:pt idx="0">
                  <c:v>8.2999999999999972</c:v>
                </c:pt>
                <c:pt idx="1">
                  <c:v>4</c:v>
                </c:pt>
                <c:pt idx="2">
                  <c:v>6</c:v>
                </c:pt>
                <c:pt idx="3">
                  <c:v>8.7000000000000028</c:v>
                </c:pt>
                <c:pt idx="4">
                  <c:v>9.4000000000000057</c:v>
                </c:pt>
                <c:pt idx="5">
                  <c:v>8.7000000000000028</c:v>
                </c:pt>
                <c:pt idx="6">
                  <c:v>6.5</c:v>
                </c:pt>
                <c:pt idx="7">
                  <c:v>7.0999999999999943</c:v>
                </c:pt>
                <c:pt idx="8">
                  <c:v>6.2000000000000028</c:v>
                </c:pt>
                <c:pt idx="9">
                  <c:v>8</c:v>
                </c:pt>
                <c:pt idx="10">
                  <c:v>9.4000000000000057</c:v>
                </c:pt>
                <c:pt idx="11">
                  <c:v>10.599999999999994</c:v>
                </c:pt>
                <c:pt idx="12">
                  <c:v>14.299999999999997</c:v>
                </c:pt>
                <c:pt idx="13">
                  <c:v>15.799999999999997</c:v>
                </c:pt>
                <c:pt idx="14">
                  <c:v>16.599999999999994</c:v>
                </c:pt>
                <c:pt idx="15">
                  <c:v>20</c:v>
                </c:pt>
                <c:pt idx="16">
                  <c:v>19</c:v>
                </c:pt>
                <c:pt idx="17">
                  <c:v>16.700000000000003</c:v>
                </c:pt>
                <c:pt idx="18">
                  <c:v>15.599999999999994</c:v>
                </c:pt>
                <c:pt idx="19">
                  <c:v>8.4000000000000057</c:v>
                </c:pt>
                <c:pt idx="20">
                  <c:v>1.2000000000000028</c:v>
                </c:pt>
              </c:numCache>
            </c:numRef>
          </c:val>
          <c:extLst>
            <c:ext xmlns:c16="http://schemas.microsoft.com/office/drawing/2014/chart" uri="{C3380CC4-5D6E-409C-BE32-E72D297353CC}">
              <c16:uniqueId val="{00000001-2F9E-4D39-88C8-916F885F8885}"/>
            </c:ext>
          </c:extLst>
        </c:ser>
        <c:dLbls>
          <c:showLegendKey val="0"/>
          <c:showVal val="0"/>
          <c:showCatName val="0"/>
          <c:showSerName val="0"/>
          <c:showPercent val="0"/>
          <c:showBubbleSize val="0"/>
        </c:dLbls>
        <c:gapWidth val="95"/>
        <c:axId val="270057856"/>
        <c:axId val="270059392"/>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'Ceny 1'!$E$30:$E$50</c:f>
              <c:numCache>
                <c:formatCode>0.0</c:formatCode>
                <c:ptCount val="21"/>
                <c:pt idx="0">
                  <c:v>12.801932367149746</c:v>
                </c:pt>
                <c:pt idx="1">
                  <c:v>12.225705329153584</c:v>
                </c:pt>
                <c:pt idx="2">
                  <c:v>9.498878085265531</c:v>
                </c:pt>
                <c:pt idx="3">
                  <c:v>8.4609773887673185</c:v>
                </c:pt>
                <c:pt idx="4">
                  <c:v>7.4232690935046435</c:v>
                </c:pt>
                <c:pt idx="5">
                  <c:v>5.7262569832402335</c:v>
                </c:pt>
                <c:pt idx="6">
                  <c:v>5.1912568306010911</c:v>
                </c:pt>
                <c:pt idx="7">
                  <c:v>5.5144586415601964</c:v>
                </c:pt>
                <c:pt idx="8">
                  <c:v>6.0465116279069662</c:v>
                </c:pt>
                <c:pt idx="9">
                  <c:v>7.1334214002641829</c:v>
                </c:pt>
                <c:pt idx="10">
                  <c:v>7.9870129870129887</c:v>
                </c:pt>
                <c:pt idx="11">
                  <c:v>7.6481835564053569</c:v>
                </c:pt>
                <c:pt idx="12">
                  <c:v>7.6441102756892292</c:v>
                </c:pt>
                <c:pt idx="13">
                  <c:v>7.9531442663378584</c:v>
                </c:pt>
                <c:pt idx="14">
                  <c:v>9.3205051112447421</c:v>
                </c:pt>
                <c:pt idx="15">
                  <c:v>12.433392539964473</c:v>
                </c:pt>
                <c:pt idx="16">
                  <c:v>16.880093131548307</c:v>
                </c:pt>
                <c:pt idx="17">
                  <c:v>24.671616219303274</c:v>
                </c:pt>
                <c:pt idx="18">
                  <c:v>22.937293729372925</c:v>
                </c:pt>
                <c:pt idx="19">
                  <c:v>18.325434439178508</c:v>
                </c:pt>
                <c:pt idx="20">
                  <c:v>9.8107569721115624</c:v>
                </c:pt>
              </c:numCache>
            </c:numRef>
          </c:val>
          <c:smooth val="0"/>
          <c:extLst>
            <c:ext xmlns:c16="http://schemas.microsoft.com/office/drawing/2014/chart" uri="{C3380CC4-5D6E-409C-BE32-E72D297353CC}">
              <c16:uniqueId val="{00000002-2F9E-4D39-88C8-916F885F8885}"/>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'Ceny 1'!$F$30:$F$50</c:f>
              <c:numCache>
                <c:formatCode>0.0</c:formatCode>
                <c:ptCount val="21"/>
                <c:pt idx="0">
                  <c:v>15.071428571428555</c:v>
                </c:pt>
                <c:pt idx="1">
                  <c:v>14.24638678596007</c:v>
                </c:pt>
                <c:pt idx="2">
                  <c:v>10.732984293193695</c:v>
                </c:pt>
                <c:pt idx="3">
                  <c:v>8.7531486146095574</c:v>
                </c:pt>
                <c:pt idx="4">
                  <c:v>8.3178150217256359</c:v>
                </c:pt>
                <c:pt idx="5">
                  <c:v>4.9397590361445651</c:v>
                </c:pt>
                <c:pt idx="6">
                  <c:v>3.3096926713947994</c:v>
                </c:pt>
                <c:pt idx="7">
                  <c:v>2.9530978575564575</c:v>
                </c:pt>
                <c:pt idx="8">
                  <c:v>3.5530085959885298</c:v>
                </c:pt>
                <c:pt idx="9">
                  <c:v>5.2812858783008068</c:v>
                </c:pt>
                <c:pt idx="10">
                  <c:v>6.2356979405034281</c:v>
                </c:pt>
                <c:pt idx="11">
                  <c:v>5.1743532058492718</c:v>
                </c:pt>
                <c:pt idx="12">
                  <c:v>4.759269507470961</c:v>
                </c:pt>
                <c:pt idx="13">
                  <c:v>4.5256270447110012</c:v>
                </c:pt>
                <c:pt idx="14">
                  <c:v>6.2466343564889826</c:v>
                </c:pt>
                <c:pt idx="15">
                  <c:v>9.1443850267379503</c:v>
                </c:pt>
                <c:pt idx="16">
                  <c:v>12.255678816693077</c:v>
                </c:pt>
                <c:pt idx="17">
                  <c:v>19.718309859154942</c:v>
                </c:pt>
                <c:pt idx="18">
                  <c:v>18.499746578813998</c:v>
                </c:pt>
                <c:pt idx="19">
                  <c:v>16.903478686918177</c:v>
                </c:pt>
                <c:pt idx="20">
                  <c:v>10.305882352941182</c:v>
                </c:pt>
              </c:numCache>
            </c:numRef>
          </c:val>
          <c:smooth val="0"/>
          <c:extLst>
            <c:ext xmlns:c16="http://schemas.microsoft.com/office/drawing/2014/chart" uri="{C3380CC4-5D6E-409C-BE32-E72D297353CC}">
              <c16:uniqueId val="{00000003-2F9E-4D39-88C8-916F885F8885}"/>
            </c:ext>
          </c:extLst>
        </c:ser>
        <c:dLbls>
          <c:showLegendKey val="0"/>
          <c:showVal val="0"/>
          <c:showCatName val="0"/>
          <c:showSerName val="0"/>
          <c:showPercent val="0"/>
          <c:showBubbleSize val="0"/>
        </c:dLbls>
        <c:marker val="1"/>
        <c:smooth val="0"/>
        <c:axId val="270057856"/>
        <c:axId val="270059392"/>
      </c:lineChart>
      <c:catAx>
        <c:axId val="2700578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059392"/>
        <c:crosses val="autoZero"/>
        <c:auto val="1"/>
        <c:lblAlgn val="ctr"/>
        <c:lblOffset val="100"/>
        <c:noMultiLvlLbl val="0"/>
      </c:catAx>
      <c:valAx>
        <c:axId val="270059392"/>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057856"/>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292"/>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86E-2"/>
          <c:y val="2.1811315924220448E-2"/>
          <c:w val="0.90860161263086836"/>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4'!$A$66:$B$128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2018</c:v>
                  </c:pt>
                  <c:pt idx="12">
                    <c:v>2019</c:v>
                  </c:pt>
                  <c:pt idx="24">
                    <c:v>2020</c:v>
                  </c:pt>
                  <c:pt idx="36">
                    <c:v>2021</c:v>
                  </c:pt>
                  <c:pt idx="48">
                    <c:v>2022</c:v>
                  </c:pt>
                  <c:pt idx="60">
                    <c:v>2023</c:v>
                  </c:pt>
                </c:lvl>
              </c:multiLvlStrCache>
            </c:multiLvlStrRef>
          </c:cat>
          <c:val>
            <c:numRef>
              <c:f>'Ceny 4'!$C$66:$C$128</c:f>
              <c:numCache>
                <c:formatCode>General</c:formatCode>
                <c:ptCount val="63"/>
                <c:pt idx="0">
                  <c:v>0.5</c:v>
                </c:pt>
                <c:pt idx="1">
                  <c:v>-0.3000000000000001</c:v>
                </c:pt>
                <c:pt idx="2">
                  <c:v>0.1</c:v>
                </c:pt>
                <c:pt idx="3">
                  <c:v>0</c:v>
                </c:pt>
                <c:pt idx="4">
                  <c:v>1.5</c:v>
                </c:pt>
                <c:pt idx="5">
                  <c:v>2.9</c:v>
                </c:pt>
                <c:pt idx="6">
                  <c:v>3.4</c:v>
                </c:pt>
                <c:pt idx="7">
                  <c:v>3.3</c:v>
                </c:pt>
                <c:pt idx="8">
                  <c:v>3.2</c:v>
                </c:pt>
                <c:pt idx="9">
                  <c:v>3.9</c:v>
                </c:pt>
                <c:pt idx="10">
                  <c:v>3.9</c:v>
                </c:pt>
                <c:pt idx="11">
                  <c:v>2.4</c:v>
                </c:pt>
                <c:pt idx="12">
                  <c:v>2.9</c:v>
                </c:pt>
                <c:pt idx="13">
                  <c:v>3.6</c:v>
                </c:pt>
                <c:pt idx="14">
                  <c:v>3.8</c:v>
                </c:pt>
                <c:pt idx="15">
                  <c:v>4.3</c:v>
                </c:pt>
                <c:pt idx="16">
                  <c:v>3.8</c:v>
                </c:pt>
                <c:pt idx="17">
                  <c:v>2.5</c:v>
                </c:pt>
                <c:pt idx="18">
                  <c:v>2.1</c:v>
                </c:pt>
                <c:pt idx="19">
                  <c:v>2.1</c:v>
                </c:pt>
                <c:pt idx="20">
                  <c:v>1.9000000000000001</c:v>
                </c:pt>
                <c:pt idx="21">
                  <c:v>0.9</c:v>
                </c:pt>
                <c:pt idx="22">
                  <c:v>0.9</c:v>
                </c:pt>
                <c:pt idx="23">
                  <c:v>2.1</c:v>
                </c:pt>
                <c:pt idx="24">
                  <c:v>2.4</c:v>
                </c:pt>
                <c:pt idx="25">
                  <c:v>1.4</c:v>
                </c:pt>
                <c:pt idx="26">
                  <c:v>0.4</c:v>
                </c:pt>
                <c:pt idx="27">
                  <c:v>-0.8</c:v>
                </c:pt>
                <c:pt idx="28">
                  <c:v>-0.9</c:v>
                </c:pt>
                <c:pt idx="29">
                  <c:v>-0.3000000000000001</c:v>
                </c:pt>
                <c:pt idx="30">
                  <c:v>-0.1</c:v>
                </c:pt>
                <c:pt idx="31">
                  <c:v>-0.5</c:v>
                </c:pt>
                <c:pt idx="32">
                  <c:v>-0.4</c:v>
                </c:pt>
                <c:pt idx="33">
                  <c:v>0.3000000000000001</c:v>
                </c:pt>
                <c:pt idx="34">
                  <c:v>-0.1</c:v>
                </c:pt>
                <c:pt idx="35">
                  <c:v>0</c:v>
                </c:pt>
                <c:pt idx="36">
                  <c:v>0</c:v>
                </c:pt>
                <c:pt idx="37">
                  <c:v>1.4</c:v>
                </c:pt>
                <c:pt idx="38">
                  <c:v>3.3</c:v>
                </c:pt>
                <c:pt idx="39">
                  <c:v>4.5999999999999996</c:v>
                </c:pt>
                <c:pt idx="40">
                  <c:v>5.0999999999999996</c:v>
                </c:pt>
                <c:pt idx="41">
                  <c:v>6.1</c:v>
                </c:pt>
                <c:pt idx="42">
                  <c:v>7.8</c:v>
                </c:pt>
                <c:pt idx="43">
                  <c:v>9.3000000000000007</c:v>
                </c:pt>
                <c:pt idx="44">
                  <c:v>9.9</c:v>
                </c:pt>
                <c:pt idx="45">
                  <c:v>11.6</c:v>
                </c:pt>
                <c:pt idx="46">
                  <c:v>13.5</c:v>
                </c:pt>
                <c:pt idx="47">
                  <c:v>13.2</c:v>
                </c:pt>
                <c:pt idx="48">
                  <c:v>19.399999999999999</c:v>
                </c:pt>
                <c:pt idx="49">
                  <c:v>21.3</c:v>
                </c:pt>
                <c:pt idx="50">
                  <c:v>24.7</c:v>
                </c:pt>
                <c:pt idx="51">
                  <c:v>26.6</c:v>
                </c:pt>
                <c:pt idx="52">
                  <c:v>27.9</c:v>
                </c:pt>
                <c:pt idx="53">
                  <c:v>28.5</c:v>
                </c:pt>
                <c:pt idx="54">
                  <c:v>26.8</c:v>
                </c:pt>
                <c:pt idx="55">
                  <c:v>25.2</c:v>
                </c:pt>
                <c:pt idx="56">
                  <c:v>25.8</c:v>
                </c:pt>
                <c:pt idx="57">
                  <c:v>24.1</c:v>
                </c:pt>
                <c:pt idx="58">
                  <c:v>21.3</c:v>
                </c:pt>
                <c:pt idx="59">
                  <c:v>20.100000000000001</c:v>
                </c:pt>
                <c:pt idx="60">
                  <c:v>19</c:v>
                </c:pt>
                <c:pt idx="61">
                  <c:v>16</c:v>
                </c:pt>
                <c:pt idx="62">
                  <c:v>10.200000000000001</c:v>
                </c:pt>
              </c:numCache>
            </c:numRef>
          </c:val>
          <c:extLst>
            <c:ext xmlns:c16="http://schemas.microsoft.com/office/drawing/2014/chart" uri="{C3380CC4-5D6E-409C-BE32-E72D297353CC}">
              <c16:uniqueId val="{00000000-4FF0-40F9-92A8-929AB3C72AB1}"/>
            </c:ext>
          </c:extLst>
        </c:ser>
        <c:dLbls>
          <c:showLegendKey val="0"/>
          <c:showVal val="0"/>
          <c:showCatName val="0"/>
          <c:showSerName val="0"/>
          <c:showPercent val="0"/>
          <c:showBubbleSize val="0"/>
        </c:dLbls>
        <c:gapWidth val="96"/>
        <c:axId val="69792512"/>
        <c:axId val="69794048"/>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4'!$A$66:$B$128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2018</c:v>
                  </c:pt>
                  <c:pt idx="12">
                    <c:v>2019</c:v>
                  </c:pt>
                  <c:pt idx="24">
                    <c:v>2020</c:v>
                  </c:pt>
                  <c:pt idx="36">
                    <c:v>2021</c:v>
                  </c:pt>
                  <c:pt idx="48">
                    <c:v>2022</c:v>
                  </c:pt>
                  <c:pt idx="60">
                    <c:v>2023</c:v>
                  </c:pt>
                </c:lvl>
              </c:multiLvlStrCache>
            </c:multiLvlStrRef>
          </c:cat>
          <c:val>
            <c:numRef>
              <c:f>'Ceny 4'!$D$66:$D$128</c:f>
              <c:numCache>
                <c:formatCode>General</c:formatCode>
                <c:ptCount val="63"/>
                <c:pt idx="0">
                  <c:v>6.7</c:v>
                </c:pt>
                <c:pt idx="1">
                  <c:v>5</c:v>
                </c:pt>
                <c:pt idx="2">
                  <c:v>4.3</c:v>
                </c:pt>
                <c:pt idx="3">
                  <c:v>4.5999999999999996</c:v>
                </c:pt>
                <c:pt idx="4">
                  <c:v>7.4</c:v>
                </c:pt>
                <c:pt idx="5">
                  <c:v>8</c:v>
                </c:pt>
                <c:pt idx="6">
                  <c:v>8.4</c:v>
                </c:pt>
                <c:pt idx="7">
                  <c:v>10.1</c:v>
                </c:pt>
                <c:pt idx="8">
                  <c:v>9.9</c:v>
                </c:pt>
                <c:pt idx="9">
                  <c:v>9</c:v>
                </c:pt>
                <c:pt idx="10">
                  <c:v>9.2000000000000011</c:v>
                </c:pt>
                <c:pt idx="11">
                  <c:v>8.3000000000000007</c:v>
                </c:pt>
                <c:pt idx="12">
                  <c:v>7.9</c:v>
                </c:pt>
                <c:pt idx="13">
                  <c:v>7.4</c:v>
                </c:pt>
                <c:pt idx="14">
                  <c:v>8</c:v>
                </c:pt>
                <c:pt idx="15">
                  <c:v>8.4</c:v>
                </c:pt>
                <c:pt idx="16">
                  <c:v>7.5</c:v>
                </c:pt>
                <c:pt idx="17">
                  <c:v>7.1</c:v>
                </c:pt>
                <c:pt idx="18">
                  <c:v>6.9</c:v>
                </c:pt>
                <c:pt idx="19">
                  <c:v>6.8</c:v>
                </c:pt>
                <c:pt idx="20">
                  <c:v>6.6</c:v>
                </c:pt>
                <c:pt idx="21">
                  <c:v>3.6</c:v>
                </c:pt>
                <c:pt idx="22">
                  <c:v>3.2</c:v>
                </c:pt>
                <c:pt idx="23">
                  <c:v>4.3</c:v>
                </c:pt>
                <c:pt idx="24">
                  <c:v>-2.1</c:v>
                </c:pt>
                <c:pt idx="25">
                  <c:v>-1.8</c:v>
                </c:pt>
                <c:pt idx="26">
                  <c:v>-2.6</c:v>
                </c:pt>
                <c:pt idx="27">
                  <c:v>-3.7</c:v>
                </c:pt>
                <c:pt idx="28">
                  <c:v>-3.1</c:v>
                </c:pt>
                <c:pt idx="29">
                  <c:v>-3.6</c:v>
                </c:pt>
                <c:pt idx="30">
                  <c:v>-3.5</c:v>
                </c:pt>
                <c:pt idx="31">
                  <c:v>-3.5</c:v>
                </c:pt>
                <c:pt idx="32">
                  <c:v>-3.7</c:v>
                </c:pt>
                <c:pt idx="33">
                  <c:v>-1.9000000000000001</c:v>
                </c:pt>
                <c:pt idx="34">
                  <c:v>-1.8</c:v>
                </c:pt>
                <c:pt idx="35">
                  <c:v>-2.2000000000000002</c:v>
                </c:pt>
                <c:pt idx="36">
                  <c:v>-0.3000000000000001</c:v>
                </c:pt>
                <c:pt idx="37">
                  <c:v>-0.8</c:v>
                </c:pt>
                <c:pt idx="38">
                  <c:v>-0.3000000000000001</c:v>
                </c:pt>
                <c:pt idx="39">
                  <c:v>1</c:v>
                </c:pt>
                <c:pt idx="40">
                  <c:v>0.3000000000000001</c:v>
                </c:pt>
                <c:pt idx="41">
                  <c:v>1.1000000000000001</c:v>
                </c:pt>
                <c:pt idx="42">
                  <c:v>2</c:v>
                </c:pt>
                <c:pt idx="43">
                  <c:v>3.6</c:v>
                </c:pt>
                <c:pt idx="44">
                  <c:v>4.3</c:v>
                </c:pt>
                <c:pt idx="45">
                  <c:v>12.7</c:v>
                </c:pt>
                <c:pt idx="46">
                  <c:v>14</c:v>
                </c:pt>
                <c:pt idx="47">
                  <c:v>14.6</c:v>
                </c:pt>
                <c:pt idx="48">
                  <c:v>24.2</c:v>
                </c:pt>
                <c:pt idx="49">
                  <c:v>25.1</c:v>
                </c:pt>
                <c:pt idx="50">
                  <c:v>26.3</c:v>
                </c:pt>
                <c:pt idx="51">
                  <c:v>28.3</c:v>
                </c:pt>
                <c:pt idx="52">
                  <c:v>34</c:v>
                </c:pt>
                <c:pt idx="53">
                  <c:v>33.300000000000004</c:v>
                </c:pt>
                <c:pt idx="54">
                  <c:v>30.4</c:v>
                </c:pt>
                <c:pt idx="55">
                  <c:v>28.8</c:v>
                </c:pt>
                <c:pt idx="56">
                  <c:v>31.3</c:v>
                </c:pt>
                <c:pt idx="57">
                  <c:v>24.5</c:v>
                </c:pt>
                <c:pt idx="58">
                  <c:v>23.5</c:v>
                </c:pt>
                <c:pt idx="59">
                  <c:v>21.9</c:v>
                </c:pt>
                <c:pt idx="60">
                  <c:v>54</c:v>
                </c:pt>
                <c:pt idx="61">
                  <c:v>53.3</c:v>
                </c:pt>
                <c:pt idx="62">
                  <c:v>54.6</c:v>
                </c:pt>
              </c:numCache>
            </c:numRef>
          </c:val>
          <c:smooth val="0"/>
          <c:extLst>
            <c:ext xmlns:c16="http://schemas.microsoft.com/office/drawing/2014/chart" uri="{C3380CC4-5D6E-409C-BE32-E72D297353CC}">
              <c16:uniqueId val="{00000001-4FF0-40F9-92A8-929AB3C72AB1}"/>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4'!$A$66:$B$128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2018</c:v>
                  </c:pt>
                  <c:pt idx="12">
                    <c:v>2019</c:v>
                  </c:pt>
                  <c:pt idx="24">
                    <c:v>2020</c:v>
                  </c:pt>
                  <c:pt idx="36">
                    <c:v>2021</c:v>
                  </c:pt>
                  <c:pt idx="48">
                    <c:v>2022</c:v>
                  </c:pt>
                  <c:pt idx="60">
                    <c:v>2023</c:v>
                  </c:pt>
                </c:lvl>
              </c:multiLvlStrCache>
            </c:multiLvlStrRef>
          </c:cat>
          <c:val>
            <c:numRef>
              <c:f>'Ceny 4'!$E$66:$E$128</c:f>
              <c:numCache>
                <c:formatCode>General</c:formatCode>
                <c:ptCount val="63"/>
                <c:pt idx="0">
                  <c:v>0.2</c:v>
                </c:pt>
                <c:pt idx="1">
                  <c:v>-0.9</c:v>
                </c:pt>
                <c:pt idx="2">
                  <c:v>-0.5</c:v>
                </c:pt>
                <c:pt idx="3">
                  <c:v>-0.5</c:v>
                </c:pt>
                <c:pt idx="4">
                  <c:v>1.3</c:v>
                </c:pt>
                <c:pt idx="5">
                  <c:v>2.8</c:v>
                </c:pt>
                <c:pt idx="6">
                  <c:v>3.4</c:v>
                </c:pt>
                <c:pt idx="7">
                  <c:v>3.2</c:v>
                </c:pt>
                <c:pt idx="8">
                  <c:v>3</c:v>
                </c:pt>
                <c:pt idx="9">
                  <c:v>3.8</c:v>
                </c:pt>
                <c:pt idx="10">
                  <c:v>3.9</c:v>
                </c:pt>
                <c:pt idx="11">
                  <c:v>2.2000000000000002</c:v>
                </c:pt>
                <c:pt idx="12">
                  <c:v>1.9000000000000001</c:v>
                </c:pt>
                <c:pt idx="13">
                  <c:v>2.9</c:v>
                </c:pt>
                <c:pt idx="14">
                  <c:v>3</c:v>
                </c:pt>
                <c:pt idx="15">
                  <c:v>3.5</c:v>
                </c:pt>
                <c:pt idx="16">
                  <c:v>2.9</c:v>
                </c:pt>
                <c:pt idx="17">
                  <c:v>1.4</c:v>
                </c:pt>
                <c:pt idx="18">
                  <c:v>0.9</c:v>
                </c:pt>
                <c:pt idx="19">
                  <c:v>0.8</c:v>
                </c:pt>
                <c:pt idx="20">
                  <c:v>0.70000000000000018</c:v>
                </c:pt>
                <c:pt idx="21">
                  <c:v>-0.4</c:v>
                </c:pt>
                <c:pt idx="22">
                  <c:v>-0.70000000000000018</c:v>
                </c:pt>
                <c:pt idx="23">
                  <c:v>0.8</c:v>
                </c:pt>
                <c:pt idx="24">
                  <c:v>1.2</c:v>
                </c:pt>
                <c:pt idx="25">
                  <c:v>-0.1</c:v>
                </c:pt>
                <c:pt idx="26">
                  <c:v>-1.2</c:v>
                </c:pt>
                <c:pt idx="27">
                  <c:v>-2.5</c:v>
                </c:pt>
                <c:pt idx="28">
                  <c:v>-2.6</c:v>
                </c:pt>
                <c:pt idx="29">
                  <c:v>-1.9000000000000001</c:v>
                </c:pt>
                <c:pt idx="30">
                  <c:v>-1.6</c:v>
                </c:pt>
                <c:pt idx="31">
                  <c:v>-2</c:v>
                </c:pt>
                <c:pt idx="32">
                  <c:v>-1.9000000000000001</c:v>
                </c:pt>
                <c:pt idx="33">
                  <c:v>-1.1000000000000001</c:v>
                </c:pt>
                <c:pt idx="34">
                  <c:v>-1.4</c:v>
                </c:pt>
                <c:pt idx="35">
                  <c:v>-1.2</c:v>
                </c:pt>
                <c:pt idx="36">
                  <c:v>-0.3000000000000001</c:v>
                </c:pt>
                <c:pt idx="37">
                  <c:v>1.6</c:v>
                </c:pt>
                <c:pt idx="38">
                  <c:v>4.0999999999999996</c:v>
                </c:pt>
                <c:pt idx="39">
                  <c:v>5.6</c:v>
                </c:pt>
                <c:pt idx="40">
                  <c:v>6.3</c:v>
                </c:pt>
                <c:pt idx="41">
                  <c:v>7.4</c:v>
                </c:pt>
                <c:pt idx="42">
                  <c:v>9.5</c:v>
                </c:pt>
                <c:pt idx="43">
                  <c:v>11.4</c:v>
                </c:pt>
                <c:pt idx="44">
                  <c:v>12</c:v>
                </c:pt>
                <c:pt idx="45">
                  <c:v>13.4</c:v>
                </c:pt>
                <c:pt idx="46">
                  <c:v>15.4</c:v>
                </c:pt>
                <c:pt idx="47">
                  <c:v>14.7</c:v>
                </c:pt>
                <c:pt idx="48">
                  <c:v>15.5</c:v>
                </c:pt>
                <c:pt idx="49">
                  <c:v>16.600000000000001</c:v>
                </c:pt>
                <c:pt idx="50">
                  <c:v>20.3</c:v>
                </c:pt>
                <c:pt idx="51">
                  <c:v>22.3</c:v>
                </c:pt>
                <c:pt idx="52">
                  <c:v>24.6</c:v>
                </c:pt>
                <c:pt idx="53">
                  <c:v>25.8</c:v>
                </c:pt>
                <c:pt idx="54">
                  <c:v>22.7</c:v>
                </c:pt>
                <c:pt idx="55">
                  <c:v>20</c:v>
                </c:pt>
                <c:pt idx="56">
                  <c:v>18.899999999999999</c:v>
                </c:pt>
                <c:pt idx="57">
                  <c:v>18.399999999999999</c:v>
                </c:pt>
                <c:pt idx="58">
                  <c:v>15.7</c:v>
                </c:pt>
                <c:pt idx="59">
                  <c:v>14</c:v>
                </c:pt>
                <c:pt idx="60">
                  <c:v>13.6</c:v>
                </c:pt>
                <c:pt idx="61">
                  <c:v>11.6</c:v>
                </c:pt>
                <c:pt idx="62">
                  <c:v>5.9</c:v>
                </c:pt>
              </c:numCache>
            </c:numRef>
          </c:val>
          <c:smooth val="0"/>
          <c:extLst>
            <c:ext xmlns:c16="http://schemas.microsoft.com/office/drawing/2014/chart" uri="{C3380CC4-5D6E-409C-BE32-E72D297353CC}">
              <c16:uniqueId val="{00000002-4FF0-40F9-92A8-929AB3C72AB1}"/>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4'!$A$66:$B$128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2018</c:v>
                  </c:pt>
                  <c:pt idx="12">
                    <c:v>2019</c:v>
                  </c:pt>
                  <c:pt idx="24">
                    <c:v>2020</c:v>
                  </c:pt>
                  <c:pt idx="36">
                    <c:v>2021</c:v>
                  </c:pt>
                  <c:pt idx="48">
                    <c:v>2022</c:v>
                  </c:pt>
                  <c:pt idx="60">
                    <c:v>2023</c:v>
                  </c:pt>
                </c:lvl>
              </c:multiLvlStrCache>
            </c:multiLvlStrRef>
          </c:cat>
          <c:val>
            <c:numRef>
              <c:f>'Ceny 4'!$F$66:$F$128</c:f>
              <c:numCache>
                <c:formatCode>General</c:formatCode>
                <c:ptCount val="63"/>
                <c:pt idx="0">
                  <c:v>1.5</c:v>
                </c:pt>
                <c:pt idx="1">
                  <c:v>1.6</c:v>
                </c:pt>
                <c:pt idx="2">
                  <c:v>1.6</c:v>
                </c:pt>
                <c:pt idx="3">
                  <c:v>1.7</c:v>
                </c:pt>
                <c:pt idx="4">
                  <c:v>1.7</c:v>
                </c:pt>
                <c:pt idx="5">
                  <c:v>2.2999999999999998</c:v>
                </c:pt>
                <c:pt idx="6">
                  <c:v>2.2999999999999998</c:v>
                </c:pt>
                <c:pt idx="7">
                  <c:v>2.6</c:v>
                </c:pt>
                <c:pt idx="8">
                  <c:v>2.7</c:v>
                </c:pt>
                <c:pt idx="9">
                  <c:v>2.8</c:v>
                </c:pt>
                <c:pt idx="10">
                  <c:v>2.8</c:v>
                </c:pt>
                <c:pt idx="11">
                  <c:v>2.8</c:v>
                </c:pt>
                <c:pt idx="12">
                  <c:v>7.2</c:v>
                </c:pt>
                <c:pt idx="13">
                  <c:v>7.5</c:v>
                </c:pt>
                <c:pt idx="14">
                  <c:v>8.4</c:v>
                </c:pt>
                <c:pt idx="15">
                  <c:v>8.2000000000000011</c:v>
                </c:pt>
                <c:pt idx="16">
                  <c:v>8.6</c:v>
                </c:pt>
                <c:pt idx="17">
                  <c:v>7.9</c:v>
                </c:pt>
                <c:pt idx="18">
                  <c:v>8</c:v>
                </c:pt>
                <c:pt idx="19">
                  <c:v>7.7</c:v>
                </c:pt>
                <c:pt idx="20">
                  <c:v>7.7</c:v>
                </c:pt>
                <c:pt idx="21">
                  <c:v>7.5</c:v>
                </c:pt>
                <c:pt idx="22">
                  <c:v>8.7000000000000011</c:v>
                </c:pt>
                <c:pt idx="23">
                  <c:v>8.8000000000000007</c:v>
                </c:pt>
                <c:pt idx="24">
                  <c:v>9.3000000000000007</c:v>
                </c:pt>
                <c:pt idx="25">
                  <c:v>9</c:v>
                </c:pt>
                <c:pt idx="26">
                  <c:v>8.3000000000000007</c:v>
                </c:pt>
                <c:pt idx="27">
                  <c:v>8.6</c:v>
                </c:pt>
                <c:pt idx="28">
                  <c:v>8</c:v>
                </c:pt>
                <c:pt idx="29">
                  <c:v>8</c:v>
                </c:pt>
                <c:pt idx="30">
                  <c:v>7.7</c:v>
                </c:pt>
                <c:pt idx="31">
                  <c:v>7.9</c:v>
                </c:pt>
                <c:pt idx="32">
                  <c:v>7.7</c:v>
                </c:pt>
                <c:pt idx="33">
                  <c:v>7</c:v>
                </c:pt>
                <c:pt idx="34">
                  <c:v>5.8</c:v>
                </c:pt>
                <c:pt idx="35">
                  <c:v>5.6</c:v>
                </c:pt>
                <c:pt idx="36">
                  <c:v>0.4</c:v>
                </c:pt>
                <c:pt idx="37">
                  <c:v>0.4</c:v>
                </c:pt>
                <c:pt idx="38">
                  <c:v>0.1</c:v>
                </c:pt>
                <c:pt idx="39">
                  <c:v>-0.1</c:v>
                </c:pt>
                <c:pt idx="40">
                  <c:v>0.2</c:v>
                </c:pt>
                <c:pt idx="41">
                  <c:v>0.2</c:v>
                </c:pt>
                <c:pt idx="42">
                  <c:v>0.5</c:v>
                </c:pt>
                <c:pt idx="43">
                  <c:v>0.70000000000000018</c:v>
                </c:pt>
                <c:pt idx="44">
                  <c:v>1.2</c:v>
                </c:pt>
                <c:pt idx="45">
                  <c:v>3.7</c:v>
                </c:pt>
                <c:pt idx="46">
                  <c:v>5.6</c:v>
                </c:pt>
                <c:pt idx="47">
                  <c:v>7.1</c:v>
                </c:pt>
                <c:pt idx="48">
                  <c:v>40.6</c:v>
                </c:pt>
                <c:pt idx="49">
                  <c:v>45.5</c:v>
                </c:pt>
                <c:pt idx="50">
                  <c:v>48.9</c:v>
                </c:pt>
                <c:pt idx="51">
                  <c:v>51.4</c:v>
                </c:pt>
                <c:pt idx="52">
                  <c:v>45.8</c:v>
                </c:pt>
                <c:pt idx="53">
                  <c:v>44.6</c:v>
                </c:pt>
                <c:pt idx="54">
                  <c:v>49.8</c:v>
                </c:pt>
                <c:pt idx="55">
                  <c:v>54.3</c:v>
                </c:pt>
                <c:pt idx="56">
                  <c:v>64</c:v>
                </c:pt>
                <c:pt idx="57">
                  <c:v>56.8</c:v>
                </c:pt>
                <c:pt idx="58">
                  <c:v>52.6</c:v>
                </c:pt>
                <c:pt idx="59">
                  <c:v>53.5</c:v>
                </c:pt>
                <c:pt idx="60">
                  <c:v>35.700000000000003</c:v>
                </c:pt>
                <c:pt idx="61">
                  <c:v>28.5</c:v>
                </c:pt>
                <c:pt idx="62">
                  <c:v>21.4</c:v>
                </c:pt>
              </c:numCache>
            </c:numRef>
          </c:val>
          <c:smooth val="0"/>
          <c:extLst>
            <c:ext xmlns:c16="http://schemas.microsoft.com/office/drawing/2014/chart" uri="{C3380CC4-5D6E-409C-BE32-E72D297353CC}">
              <c16:uniqueId val="{00000003-4FF0-40F9-92A8-929AB3C72AB1}"/>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4'!$A$66:$B$128</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2018</c:v>
                  </c:pt>
                  <c:pt idx="12">
                    <c:v>2019</c:v>
                  </c:pt>
                  <c:pt idx="24">
                    <c:v>2020</c:v>
                  </c:pt>
                  <c:pt idx="36">
                    <c:v>2021</c:v>
                  </c:pt>
                  <c:pt idx="48">
                    <c:v>2022</c:v>
                  </c:pt>
                  <c:pt idx="60">
                    <c:v>2023</c:v>
                  </c:pt>
                </c:lvl>
              </c:multiLvlStrCache>
            </c:multiLvlStrRef>
          </c:cat>
          <c:val>
            <c:numRef>
              <c:f>'Ceny 4'!$G$66:$G$128</c:f>
              <c:numCache>
                <c:formatCode>General</c:formatCode>
                <c:ptCount val="63"/>
                <c:pt idx="0">
                  <c:v>1.9000000000000001</c:v>
                </c:pt>
                <c:pt idx="1">
                  <c:v>1.9000000000000001</c:v>
                </c:pt>
                <c:pt idx="2">
                  <c:v>1.9000000000000001</c:v>
                </c:pt>
                <c:pt idx="3">
                  <c:v>1.9000000000000001</c:v>
                </c:pt>
                <c:pt idx="4">
                  <c:v>1.9000000000000001</c:v>
                </c:pt>
                <c:pt idx="5">
                  <c:v>1.9000000000000001</c:v>
                </c:pt>
                <c:pt idx="6">
                  <c:v>1.9000000000000001</c:v>
                </c:pt>
                <c:pt idx="7">
                  <c:v>1.9000000000000001</c:v>
                </c:pt>
                <c:pt idx="8">
                  <c:v>1.9000000000000001</c:v>
                </c:pt>
                <c:pt idx="9">
                  <c:v>1.9000000000000001</c:v>
                </c:pt>
                <c:pt idx="10">
                  <c:v>1.9000000000000001</c:v>
                </c:pt>
                <c:pt idx="11">
                  <c:v>1.9000000000000001</c:v>
                </c:pt>
                <c:pt idx="12">
                  <c:v>2.9</c:v>
                </c:pt>
                <c:pt idx="13">
                  <c:v>2.9</c:v>
                </c:pt>
                <c:pt idx="14">
                  <c:v>2.9</c:v>
                </c:pt>
                <c:pt idx="15">
                  <c:v>2.9</c:v>
                </c:pt>
                <c:pt idx="16">
                  <c:v>2.9</c:v>
                </c:pt>
                <c:pt idx="17">
                  <c:v>2.9</c:v>
                </c:pt>
                <c:pt idx="18">
                  <c:v>2.9</c:v>
                </c:pt>
                <c:pt idx="19">
                  <c:v>2.9</c:v>
                </c:pt>
                <c:pt idx="20">
                  <c:v>2.9</c:v>
                </c:pt>
                <c:pt idx="21">
                  <c:v>2.9</c:v>
                </c:pt>
                <c:pt idx="22">
                  <c:v>2.9</c:v>
                </c:pt>
                <c:pt idx="23">
                  <c:v>2.9</c:v>
                </c:pt>
                <c:pt idx="24">
                  <c:v>5.4</c:v>
                </c:pt>
                <c:pt idx="25">
                  <c:v>5.4</c:v>
                </c:pt>
                <c:pt idx="26">
                  <c:v>5.4</c:v>
                </c:pt>
                <c:pt idx="27">
                  <c:v>5.4</c:v>
                </c:pt>
                <c:pt idx="28">
                  <c:v>6.4</c:v>
                </c:pt>
                <c:pt idx="29">
                  <c:v>6.4</c:v>
                </c:pt>
                <c:pt idx="30">
                  <c:v>6.4</c:v>
                </c:pt>
                <c:pt idx="31">
                  <c:v>6.4</c:v>
                </c:pt>
                <c:pt idx="32">
                  <c:v>6.4</c:v>
                </c:pt>
                <c:pt idx="33">
                  <c:v>6.4</c:v>
                </c:pt>
                <c:pt idx="34">
                  <c:v>6.4</c:v>
                </c:pt>
                <c:pt idx="35">
                  <c:v>6.4</c:v>
                </c:pt>
                <c:pt idx="36">
                  <c:v>6.9</c:v>
                </c:pt>
                <c:pt idx="37">
                  <c:v>6.9</c:v>
                </c:pt>
                <c:pt idx="38">
                  <c:v>6.9</c:v>
                </c:pt>
                <c:pt idx="39">
                  <c:v>6.9</c:v>
                </c:pt>
                <c:pt idx="40">
                  <c:v>5.9</c:v>
                </c:pt>
                <c:pt idx="41">
                  <c:v>5.9</c:v>
                </c:pt>
                <c:pt idx="42">
                  <c:v>5.9</c:v>
                </c:pt>
                <c:pt idx="43">
                  <c:v>5.9</c:v>
                </c:pt>
                <c:pt idx="44">
                  <c:v>5.9</c:v>
                </c:pt>
                <c:pt idx="45">
                  <c:v>5.9</c:v>
                </c:pt>
                <c:pt idx="46">
                  <c:v>5.9</c:v>
                </c:pt>
                <c:pt idx="47">
                  <c:v>5.9</c:v>
                </c:pt>
                <c:pt idx="48">
                  <c:v>5.3</c:v>
                </c:pt>
                <c:pt idx="49">
                  <c:v>5.3</c:v>
                </c:pt>
                <c:pt idx="50">
                  <c:v>5.3</c:v>
                </c:pt>
                <c:pt idx="51">
                  <c:v>5.3</c:v>
                </c:pt>
                <c:pt idx="52">
                  <c:v>5.3</c:v>
                </c:pt>
                <c:pt idx="53">
                  <c:v>5.3</c:v>
                </c:pt>
                <c:pt idx="54">
                  <c:v>5.3</c:v>
                </c:pt>
                <c:pt idx="55">
                  <c:v>5.3</c:v>
                </c:pt>
                <c:pt idx="56">
                  <c:v>5.3</c:v>
                </c:pt>
                <c:pt idx="57">
                  <c:v>5.3</c:v>
                </c:pt>
                <c:pt idx="58">
                  <c:v>5.3</c:v>
                </c:pt>
                <c:pt idx="59">
                  <c:v>5.3</c:v>
                </c:pt>
                <c:pt idx="60">
                  <c:v>16.3</c:v>
                </c:pt>
                <c:pt idx="61">
                  <c:v>16.3</c:v>
                </c:pt>
                <c:pt idx="62">
                  <c:v>16.3</c:v>
                </c:pt>
              </c:numCache>
            </c:numRef>
          </c:val>
          <c:smooth val="0"/>
          <c:extLst>
            <c:ext xmlns:c16="http://schemas.microsoft.com/office/drawing/2014/chart" uri="{C3380CC4-5D6E-409C-BE32-E72D297353CC}">
              <c16:uniqueId val="{00000004-4FF0-40F9-92A8-929AB3C72AB1}"/>
            </c:ext>
          </c:extLst>
        </c:ser>
        <c:dLbls>
          <c:showLegendKey val="0"/>
          <c:showVal val="0"/>
          <c:showCatName val="0"/>
          <c:showSerName val="0"/>
          <c:showPercent val="0"/>
          <c:showBubbleSize val="0"/>
        </c:dLbls>
        <c:marker val="1"/>
        <c:smooth val="0"/>
        <c:axId val="69792512"/>
        <c:axId val="69794048"/>
      </c:lineChart>
      <c:catAx>
        <c:axId val="69792512"/>
        <c:scaling>
          <c:orientation val="minMax"/>
        </c:scaling>
        <c:delete val="0"/>
        <c:axPos val="b"/>
        <c:numFmt formatCode="General" sourceLinked="0"/>
        <c:majorTickMark val="out"/>
        <c:minorTickMark val="none"/>
        <c:tickLblPos val="low"/>
        <c:spPr>
          <a:ln>
            <a:solidFill>
              <a:schemeClr val="tx1"/>
            </a:solidFill>
          </a:ln>
        </c:spPr>
        <c:crossAx val="69794048"/>
        <c:crosses val="autoZero"/>
        <c:auto val="1"/>
        <c:lblAlgn val="ctr"/>
        <c:lblOffset val="100"/>
        <c:noMultiLvlLbl val="0"/>
      </c:catAx>
      <c:valAx>
        <c:axId val="69794048"/>
        <c:scaling>
          <c:orientation val="minMax"/>
          <c:max val="65"/>
          <c:min val="-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69792512"/>
        <c:crosses val="autoZero"/>
        <c:crossBetween val="between"/>
        <c:majorUnit val="5"/>
      </c:valAx>
      <c:spPr>
        <a:ln>
          <a:solidFill>
            <a:schemeClr val="tx1"/>
          </a:solidFill>
        </a:ln>
      </c:spPr>
    </c:plotArea>
    <c:legend>
      <c:legendPos val="b"/>
      <c:layout>
        <c:manualLayout>
          <c:xMode val="edge"/>
          <c:yMode val="edge"/>
          <c:x val="6.1319022289766968E-2"/>
          <c:y val="0.86223931272106069"/>
          <c:w val="0.90901046943600139"/>
          <c:h val="0.12109402425765231"/>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1854E-2"/>
          <c:y val="1.452205106022466E-2"/>
          <c:w val="0.84495121574960963"/>
          <c:h val="0.67557130739459703"/>
        </c:manualLayout>
      </c:layout>
      <c:barChart>
        <c:barDir val="col"/>
        <c:grouping val="stacked"/>
        <c:varyColors val="0"/>
        <c:ser>
          <c:idx val="0"/>
          <c:order val="0"/>
          <c:tx>
            <c:strRef>
              <c:f>'Trh práce 1-SNÚ'!$AC$7</c:f>
              <c:strCache>
                <c:ptCount val="1"/>
                <c:pt idx="0">
                  <c:v>Zemědělství, lesnictví a rybářství</c:v>
                </c:pt>
              </c:strCache>
            </c:strRef>
          </c:tx>
          <c:spPr>
            <a:solidFill>
              <a:srgbClr val="7DBB2D"/>
            </a:solidFill>
            <a:ln>
              <a:noFill/>
            </a:ln>
          </c:spPr>
          <c:invertIfNegative val="0"/>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1-SNÚ'!$AC$28:$AC$61</c:f>
              <c:numCache>
                <c:formatCode>#\ ##0.0</c:formatCode>
                <c:ptCount val="34"/>
                <c:pt idx="0">
                  <c:v>-5.6991893197978323E-2</c:v>
                </c:pt>
                <c:pt idx="1">
                  <c:v>-5.3077004431979165E-2</c:v>
                </c:pt>
                <c:pt idx="2">
                  <c:v>-6.9683605158033485E-2</c:v>
                </c:pt>
                <c:pt idx="3">
                  <c:v>-0.13993931548915475</c:v>
                </c:pt>
                <c:pt idx="4">
                  <c:v>-0.12488466174466099</c:v>
                </c:pt>
                <c:pt idx="5">
                  <c:v>-3.2025271621926886E-2</c:v>
                </c:pt>
                <c:pt idx="6">
                  <c:v>-4.5209168072263259E-2</c:v>
                </c:pt>
                <c:pt idx="7">
                  <c:v>5.8178231424048349E-2</c:v>
                </c:pt>
                <c:pt idx="8">
                  <c:v>9.847316873845928E-2</c:v>
                </c:pt>
                <c:pt idx="9">
                  <c:v>3.582769575865416E-2</c:v>
                </c:pt>
                <c:pt idx="10">
                  <c:v>1.9597324357556165E-2</c:v>
                </c:pt>
                <c:pt idx="11">
                  <c:v>-9.3256093124704578E-2</c:v>
                </c:pt>
                <c:pt idx="12">
                  <c:v>2.8281779223500583E-2</c:v>
                </c:pt>
                <c:pt idx="13">
                  <c:v>3.1385538570036633E-2</c:v>
                </c:pt>
                <c:pt idx="14">
                  <c:v>1.6521075080556516E-2</c:v>
                </c:pt>
                <c:pt idx="15">
                  <c:v>8.3398360204896146E-2</c:v>
                </c:pt>
                <c:pt idx="16">
                  <c:v>-3.2066957439228189E-2</c:v>
                </c:pt>
                <c:pt idx="17">
                  <c:v>-9.1886912097250764E-2</c:v>
                </c:pt>
                <c:pt idx="18">
                  <c:v>-0.12544281535318705</c:v>
                </c:pt>
                <c:pt idx="19">
                  <c:v>-0.13296546528421771</c:v>
                </c:pt>
                <c:pt idx="20">
                  <c:v>-8.0149764825409739E-2</c:v>
                </c:pt>
                <c:pt idx="21">
                  <c:v>1.2847127079559931E-4</c:v>
                </c:pt>
                <c:pt idx="22">
                  <c:v>9.2281662728676939E-2</c:v>
                </c:pt>
                <c:pt idx="23">
                  <c:v>7.8785121950452494E-2</c:v>
                </c:pt>
                <c:pt idx="24">
                  <c:v>3.9467525638141862E-2</c:v>
                </c:pt>
                <c:pt idx="25">
                  <c:v>-3.5679661917382206E-2</c:v>
                </c:pt>
                <c:pt idx="26">
                  <c:v>-6.7116536974324945E-2</c:v>
                </c:pt>
                <c:pt idx="27">
                  <c:v>-2.1524420295770987E-2</c:v>
                </c:pt>
                <c:pt idx="28">
                  <c:v>-2.1396085155666732E-2</c:v>
                </c:pt>
                <c:pt idx="29">
                  <c:v>8.9564611387649873E-2</c:v>
                </c:pt>
                <c:pt idx="30">
                  <c:v>3.6987296379261833E-2</c:v>
                </c:pt>
                <c:pt idx="31">
                  <c:v>-5.9061454391102594E-2</c:v>
                </c:pt>
                <c:pt idx="32">
                  <c:v>4.3913960507452623E-2</c:v>
                </c:pt>
              </c:numCache>
            </c:numRef>
          </c:val>
          <c:extLst>
            <c:ext xmlns:c16="http://schemas.microsoft.com/office/drawing/2014/chart" uri="{C3380CC4-5D6E-409C-BE32-E72D297353CC}">
              <c16:uniqueId val="{00000000-B6C7-4287-B3A6-D2FA5775242E}"/>
            </c:ext>
          </c:extLst>
        </c:ser>
        <c:ser>
          <c:idx val="1"/>
          <c:order val="1"/>
          <c:tx>
            <c:strRef>
              <c:f>'Trh práce 1-SNÚ'!$AD$7</c:f>
              <c:strCache>
                <c:ptCount val="1"/>
                <c:pt idx="0">
                  <c:v>Zpracovatelský průmysl</c:v>
                </c:pt>
              </c:strCache>
            </c:strRef>
          </c:tx>
          <c:spPr>
            <a:solidFill>
              <a:srgbClr val="A6CDE8"/>
            </a:solidFill>
            <a:ln>
              <a:noFill/>
            </a:ln>
          </c:spPr>
          <c:invertIfNegative val="0"/>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1-SNÚ'!$AD$28:$AD$61</c:f>
              <c:numCache>
                <c:formatCode>#\ ##0.0</c:formatCode>
                <c:ptCount val="34"/>
                <c:pt idx="0">
                  <c:v>0.8819790258041621</c:v>
                </c:pt>
                <c:pt idx="1">
                  <c:v>0.93619594656509875</c:v>
                </c:pt>
                <c:pt idx="2">
                  <c:v>0.79380670100221296</c:v>
                </c:pt>
                <c:pt idx="3">
                  <c:v>0.92941048859384778</c:v>
                </c:pt>
                <c:pt idx="4">
                  <c:v>0.86436958871149239</c:v>
                </c:pt>
                <c:pt idx="5">
                  <c:v>0.64306976785438064</c:v>
                </c:pt>
                <c:pt idx="6">
                  <c:v>0.67102358376255722</c:v>
                </c:pt>
                <c:pt idx="7">
                  <c:v>0.51768439491468099</c:v>
                </c:pt>
                <c:pt idx="8">
                  <c:v>0.27352595704925442</c:v>
                </c:pt>
                <c:pt idx="9">
                  <c:v>0.40495174469100209</c:v>
                </c:pt>
                <c:pt idx="10">
                  <c:v>0.48296390541252482</c:v>
                </c:pt>
                <c:pt idx="11">
                  <c:v>0.47073561501166572</c:v>
                </c:pt>
                <c:pt idx="12">
                  <c:v>0.35993792705298538</c:v>
                </c:pt>
                <c:pt idx="13">
                  <c:v>0.28632749685910514</c:v>
                </c:pt>
                <c:pt idx="14">
                  <c:v>9.3203449496172278E-2</c:v>
                </c:pt>
                <c:pt idx="15">
                  <c:v>8.6360902490994762E-2</c:v>
                </c:pt>
                <c:pt idx="16">
                  <c:v>0.14709256185686445</c:v>
                </c:pt>
                <c:pt idx="17">
                  <c:v>-2.0854942188739026E-2</c:v>
                </c:pt>
                <c:pt idx="18">
                  <c:v>-0.16258097669671437</c:v>
                </c:pt>
                <c:pt idx="19">
                  <c:v>-0.55102805433099289</c:v>
                </c:pt>
                <c:pt idx="20">
                  <c:v>-0.82136508594643098</c:v>
                </c:pt>
                <c:pt idx="21">
                  <c:v>-1.0952359365711681</c:v>
                </c:pt>
                <c:pt idx="22">
                  <c:v>-1.0796051443294794</c:v>
                </c:pt>
                <c:pt idx="23">
                  <c:v>-0.91314157662366424</c:v>
                </c:pt>
                <c:pt idx="24">
                  <c:v>-0.48322704277798206</c:v>
                </c:pt>
                <c:pt idx="25">
                  <c:v>-6.9933638079916441E-2</c:v>
                </c:pt>
                <c:pt idx="26">
                  <c:v>0.17887110622763175</c:v>
                </c:pt>
                <c:pt idx="27">
                  <c:v>0.31056393603222182</c:v>
                </c:pt>
                <c:pt idx="28">
                  <c:v>7.524352618012152E-2</c:v>
                </c:pt>
                <c:pt idx="29">
                  <c:v>0.38919045732493623</c:v>
                </c:pt>
                <c:pt idx="30">
                  <c:v>0.19536879625969064</c:v>
                </c:pt>
                <c:pt idx="31">
                  <c:v>9.9464098143858246E-2</c:v>
                </c:pt>
                <c:pt idx="32">
                  <c:v>6.3869798257041921E-2</c:v>
                </c:pt>
              </c:numCache>
            </c:numRef>
          </c:val>
          <c:extLst>
            <c:ext xmlns:c16="http://schemas.microsoft.com/office/drawing/2014/chart" uri="{C3380CC4-5D6E-409C-BE32-E72D297353CC}">
              <c16:uniqueId val="{00000001-B6C7-4287-B3A6-D2FA5775242E}"/>
            </c:ext>
          </c:extLst>
        </c:ser>
        <c:ser>
          <c:idx val="2"/>
          <c:order val="2"/>
          <c:tx>
            <c:strRef>
              <c:f>'Trh práce 1-SNÚ'!$AE$7</c:f>
              <c:strCache>
                <c:ptCount val="1"/>
                <c:pt idx="0">
                  <c:v>Stavebnictví</c:v>
                </c:pt>
              </c:strCache>
            </c:strRef>
          </c:tx>
          <c:spPr>
            <a:solidFill>
              <a:srgbClr val="48AEE7"/>
            </a:solidFill>
            <a:ln w="19050">
              <a:noFill/>
            </a:ln>
          </c:spPr>
          <c:invertIfNegative val="0"/>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1-SNÚ'!$AE$28:$AE$61</c:f>
              <c:numCache>
                <c:formatCode>#\ ##0.0</c:formatCode>
                <c:ptCount val="34"/>
                <c:pt idx="0">
                  <c:v>-0.11535945278349405</c:v>
                </c:pt>
                <c:pt idx="1">
                  <c:v>-0.10277905701098219</c:v>
                </c:pt>
                <c:pt idx="2">
                  <c:v>-0.15744780912986248</c:v>
                </c:pt>
                <c:pt idx="3">
                  <c:v>-0.17964656072744944</c:v>
                </c:pt>
                <c:pt idx="4">
                  <c:v>-0.11205258317894973</c:v>
                </c:pt>
                <c:pt idx="5">
                  <c:v>-0.12466911878830762</c:v>
                </c:pt>
                <c:pt idx="6">
                  <c:v>-2.5910926178730032E-2</c:v>
                </c:pt>
                <c:pt idx="7">
                  <c:v>9.6483224892210742E-3</c:v>
                </c:pt>
                <c:pt idx="8">
                  <c:v>-9.847316873845928E-3</c:v>
                </c:pt>
                <c:pt idx="9">
                  <c:v>1.9091640634913781E-2</c:v>
                </c:pt>
                <c:pt idx="10">
                  <c:v>7.2407555983877492E-2</c:v>
                </c:pt>
                <c:pt idx="11">
                  <c:v>-7.2320666550757681E-2</c:v>
                </c:pt>
                <c:pt idx="12">
                  <c:v>0.10670200915568535</c:v>
                </c:pt>
                <c:pt idx="13">
                  <c:v>7.1029443792451546E-2</c:v>
                </c:pt>
                <c:pt idx="14">
                  <c:v>5.9006500400454333E-2</c:v>
                </c:pt>
                <c:pt idx="15">
                  <c:v>0.11179404853203223</c:v>
                </c:pt>
                <c:pt idx="16">
                  <c:v>3.5683531586509575E-2</c:v>
                </c:pt>
                <c:pt idx="17">
                  <c:v>8.4487365089419425E-2</c:v>
                </c:pt>
                <c:pt idx="18">
                  <c:v>9.8622860864049505E-2</c:v>
                </c:pt>
                <c:pt idx="19">
                  <c:v>0.12706817507064183</c:v>
                </c:pt>
                <c:pt idx="20">
                  <c:v>1.7073866434947429E-2</c:v>
                </c:pt>
                <c:pt idx="21">
                  <c:v>-0.21562985151107084</c:v>
                </c:pt>
                <c:pt idx="22">
                  <c:v>-0.10234473200166617</c:v>
                </c:pt>
                <c:pt idx="23">
                  <c:v>-5.2591242475965305E-2</c:v>
                </c:pt>
                <c:pt idx="24">
                  <c:v>-5.9386582004809813E-2</c:v>
                </c:pt>
                <c:pt idx="25">
                  <c:v>0.13637809786507291</c:v>
                </c:pt>
                <c:pt idx="26">
                  <c:v>-3.1728840934745151E-2</c:v>
                </c:pt>
                <c:pt idx="27">
                  <c:v>6.512129265954951E-2</c:v>
                </c:pt>
                <c:pt idx="28">
                  <c:v>0.26034410470168484</c:v>
                </c:pt>
                <c:pt idx="29">
                  <c:v>0.27560497205938939</c:v>
                </c:pt>
                <c:pt idx="30">
                  <c:v>0.25807425799466888</c:v>
                </c:pt>
                <c:pt idx="31">
                  <c:v>0.24362385324511113</c:v>
                </c:pt>
                <c:pt idx="32">
                  <c:v>0.26995041798864072</c:v>
                </c:pt>
              </c:numCache>
            </c:numRef>
          </c:val>
          <c:extLst>
            <c:ext xmlns:c16="http://schemas.microsoft.com/office/drawing/2014/chart" uri="{C3380CC4-5D6E-409C-BE32-E72D297353CC}">
              <c16:uniqueId val="{00000002-B6C7-4287-B3A6-D2FA5775242E}"/>
            </c:ext>
          </c:extLst>
        </c:ser>
        <c:ser>
          <c:idx val="3"/>
          <c:order val="3"/>
          <c:tx>
            <c:strRef>
              <c:f>'Trh práce 1-SNÚ'!$AF$7</c:f>
              <c:strCache>
                <c:ptCount val="1"/>
                <c:pt idx="0">
                  <c:v>Obchod, doprava, ubytování a pohost.</c:v>
                </c:pt>
              </c:strCache>
            </c:strRef>
          </c:tx>
          <c:spPr>
            <a:solidFill>
              <a:srgbClr val="FDDEB3"/>
            </a:solidFill>
            <a:ln w="19050">
              <a:noFill/>
            </a:ln>
          </c:spPr>
          <c:invertIfNegative val="0"/>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1-SNÚ'!$AF$28:$AF$61</c:f>
              <c:numCache>
                <c:formatCode>#\ ##0.0</c:formatCode>
                <c:ptCount val="34"/>
                <c:pt idx="0">
                  <c:v>0.23291997178704818</c:v>
                </c:pt>
                <c:pt idx="1">
                  <c:v>0.49484250453607481</c:v>
                </c:pt>
                <c:pt idx="2">
                  <c:v>0.32328110679066346</c:v>
                </c:pt>
                <c:pt idx="3">
                  <c:v>0.16315218273979096</c:v>
                </c:pt>
                <c:pt idx="4">
                  <c:v>8.7514387555562345E-2</c:v>
                </c:pt>
                <c:pt idx="5">
                  <c:v>0.23539827888748047</c:v>
                </c:pt>
                <c:pt idx="6">
                  <c:v>-1.0121455538566434E-2</c:v>
                </c:pt>
                <c:pt idx="7">
                  <c:v>6.4501534410011954E-2</c:v>
                </c:pt>
                <c:pt idx="8">
                  <c:v>0.1749189412853254</c:v>
                </c:pt>
                <c:pt idx="9">
                  <c:v>5.3760540295329402E-3</c:v>
                </c:pt>
                <c:pt idx="10">
                  <c:v>0.35548634881148383</c:v>
                </c:pt>
                <c:pt idx="11">
                  <c:v>0.17830036428397431</c:v>
                </c:pt>
                <c:pt idx="12">
                  <c:v>0.15887539134747303</c:v>
                </c:pt>
                <c:pt idx="13">
                  <c:v>0.40293713210708676</c:v>
                </c:pt>
                <c:pt idx="14">
                  <c:v>0.21063905082977841</c:v>
                </c:pt>
                <c:pt idx="15">
                  <c:v>0.22355083238122042</c:v>
                </c:pt>
                <c:pt idx="16">
                  <c:v>0.43914483415040162</c:v>
                </c:pt>
                <c:pt idx="17">
                  <c:v>0.11318361828645729</c:v>
                </c:pt>
                <c:pt idx="18">
                  <c:v>-1.4877414534236133E-2</c:v>
                </c:pt>
                <c:pt idx="19">
                  <c:v>-4.6754453974505922E-2</c:v>
                </c:pt>
                <c:pt idx="20">
                  <c:v>-0.11596996469808198</c:v>
                </c:pt>
                <c:pt idx="21">
                  <c:v>-0.57289010255494743</c:v>
                </c:pt>
                <c:pt idx="22">
                  <c:v>-0.41512925330551581</c:v>
                </c:pt>
                <c:pt idx="23">
                  <c:v>-0.9900953468311966</c:v>
                </c:pt>
                <c:pt idx="24">
                  <c:v>-0.85418472506699616</c:v>
                </c:pt>
                <c:pt idx="25">
                  <c:v>-0.15881388948084027</c:v>
                </c:pt>
                <c:pt idx="26">
                  <c:v>0.24439275764343901</c:v>
                </c:pt>
                <c:pt idx="27">
                  <c:v>0.73867123838551241</c:v>
                </c:pt>
                <c:pt idx="28">
                  <c:v>0.44187240187036914</c:v>
                </c:pt>
                <c:pt idx="29">
                  <c:v>0.90504152566544072</c:v>
                </c:pt>
                <c:pt idx="30">
                  <c:v>0.4080689953476736</c:v>
                </c:pt>
                <c:pt idx="31">
                  <c:v>0.19173600533448876</c:v>
                </c:pt>
                <c:pt idx="32">
                  <c:v>6.7742379584492321E-2</c:v>
                </c:pt>
              </c:numCache>
            </c:numRef>
          </c:val>
          <c:extLst>
            <c:ext xmlns:c16="http://schemas.microsoft.com/office/drawing/2014/chart" uri="{C3380CC4-5D6E-409C-BE32-E72D297353CC}">
              <c16:uniqueId val="{00000003-B6C7-4287-B3A6-D2FA5775242E}"/>
            </c:ext>
          </c:extLst>
        </c:ser>
        <c:ser>
          <c:idx val="4"/>
          <c:order val="4"/>
          <c:tx>
            <c:strRef>
              <c:f>'Trh práce 1-SNÚ'!$AG$7</c:f>
              <c:strCache>
                <c:ptCount val="1"/>
                <c:pt idx="0">
                  <c:v>Informační a komunikač. čin.</c:v>
                </c:pt>
              </c:strCache>
            </c:strRef>
          </c:tx>
          <c:spPr>
            <a:solidFill>
              <a:srgbClr val="F8A124"/>
            </a:solidFill>
            <a:ln w="19050">
              <a:noFill/>
            </a:ln>
          </c:spPr>
          <c:invertIfNegative val="0"/>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1-SNÚ'!$AG$28:$AG$61</c:f>
              <c:numCache>
                <c:formatCode>#\ ##0.0</c:formatCode>
                <c:ptCount val="34"/>
                <c:pt idx="0">
                  <c:v>1.2223778472118125E-2</c:v>
                </c:pt>
                <c:pt idx="1">
                  <c:v>6.0238966213004064E-2</c:v>
                </c:pt>
                <c:pt idx="2">
                  <c:v>7.0191816584150843E-2</c:v>
                </c:pt>
                <c:pt idx="3">
                  <c:v>9.797309994794548E-2</c:v>
                </c:pt>
                <c:pt idx="4">
                  <c:v>0.11574107777423753</c:v>
                </c:pt>
                <c:pt idx="5">
                  <c:v>0.11485523362541725</c:v>
                </c:pt>
                <c:pt idx="6">
                  <c:v>0.13512625118059429</c:v>
                </c:pt>
                <c:pt idx="7">
                  <c:v>0.16390616372127001</c:v>
                </c:pt>
                <c:pt idx="8">
                  <c:v>0.13639011895367537</c:v>
                </c:pt>
                <c:pt idx="9">
                  <c:v>0.13690890950828224</c:v>
                </c:pt>
                <c:pt idx="10">
                  <c:v>0.13784590844137623</c:v>
                </c:pt>
                <c:pt idx="11">
                  <c:v>0.11872218009337375</c:v>
                </c:pt>
                <c:pt idx="12">
                  <c:v>0.12284956731327347</c:v>
                </c:pt>
                <c:pt idx="13">
                  <c:v>0.1377705293912645</c:v>
                </c:pt>
                <c:pt idx="14">
                  <c:v>0.12183128760081174</c:v>
                </c:pt>
                <c:pt idx="15">
                  <c:v>0.14710233552673246</c:v>
                </c:pt>
                <c:pt idx="16">
                  <c:v>0.15146954390177933</c:v>
                </c:pt>
                <c:pt idx="17">
                  <c:v>8.5481334090471192E-2</c:v>
                </c:pt>
                <c:pt idx="18">
                  <c:v>0.13044502296953692</c:v>
                </c:pt>
                <c:pt idx="19">
                  <c:v>0.14053979740227937</c:v>
                </c:pt>
                <c:pt idx="20">
                  <c:v>0.1289269892800389</c:v>
                </c:pt>
                <c:pt idx="21">
                  <c:v>8.7929408340245235E-2</c:v>
                </c:pt>
                <c:pt idx="22">
                  <c:v>0.10800290465149717</c:v>
                </c:pt>
                <c:pt idx="23">
                  <c:v>7.2310646091645697E-2</c:v>
                </c:pt>
                <c:pt idx="24">
                  <c:v>7.4765946455353352E-2</c:v>
                </c:pt>
                <c:pt idx="25">
                  <c:v>0.13000003001443688</c:v>
                </c:pt>
                <c:pt idx="26">
                  <c:v>0.10201638566659332</c:v>
                </c:pt>
                <c:pt idx="27">
                  <c:v>3.643466403006717E-2</c:v>
                </c:pt>
                <c:pt idx="28">
                  <c:v>0.1174340491057069</c:v>
                </c:pt>
                <c:pt idx="29">
                  <c:v>0.1043021459830316</c:v>
                </c:pt>
                <c:pt idx="30">
                  <c:v>0.10363509437990252</c:v>
                </c:pt>
                <c:pt idx="31">
                  <c:v>0.18052956826783198</c:v>
                </c:pt>
                <c:pt idx="32">
                  <c:v>0.18047340731754791</c:v>
                </c:pt>
              </c:numCache>
            </c:numRef>
          </c:val>
          <c:extLst>
            <c:ext xmlns:c16="http://schemas.microsoft.com/office/drawing/2014/chart" uri="{C3380CC4-5D6E-409C-BE32-E72D297353CC}">
              <c16:uniqueId val="{00000004-B6C7-4287-B3A6-D2FA5775242E}"/>
            </c:ext>
          </c:extLst>
        </c:ser>
        <c:ser>
          <c:idx val="5"/>
          <c:order val="5"/>
          <c:tx>
            <c:strRef>
              <c:f>'Trh práce 1-SNÚ'!$AH$7</c:f>
              <c:strCache>
                <c:ptCount val="1"/>
                <c:pt idx="0">
                  <c:v>Profesní, vědec., techn. a admin. čin.</c:v>
                </c:pt>
              </c:strCache>
            </c:strRef>
          </c:tx>
          <c:spPr>
            <a:solidFill>
              <a:srgbClr val="E8C0BE"/>
            </a:solidFill>
            <a:ln w="19050">
              <a:noFill/>
            </a:ln>
          </c:spPr>
          <c:invertIfNegative val="0"/>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1-SNÚ'!$AH$28:$AH$61</c:f>
              <c:numCache>
                <c:formatCode>#\ ##0.0</c:formatCode>
                <c:ptCount val="34"/>
                <c:pt idx="0">
                  <c:v>0.10850077322277195</c:v>
                </c:pt>
                <c:pt idx="1">
                  <c:v>0.12304838994193759</c:v>
                </c:pt>
                <c:pt idx="2">
                  <c:v>0.25299155723995131</c:v>
                </c:pt>
                <c:pt idx="3">
                  <c:v>0.35101672163818687</c:v>
                </c:pt>
                <c:pt idx="4">
                  <c:v>0.24190700606252494</c:v>
                </c:pt>
                <c:pt idx="5">
                  <c:v>0.24438309320163906</c:v>
                </c:pt>
                <c:pt idx="6">
                  <c:v>0.25066507602369625</c:v>
                </c:pt>
                <c:pt idx="7">
                  <c:v>0.26288795818240274</c:v>
                </c:pt>
                <c:pt idx="8">
                  <c:v>0.40909387284647242</c:v>
                </c:pt>
                <c:pt idx="9">
                  <c:v>0.3560353520194568</c:v>
                </c:pt>
                <c:pt idx="10">
                  <c:v>0.3141458690378412</c:v>
                </c:pt>
                <c:pt idx="11">
                  <c:v>0.14060149424955432</c:v>
                </c:pt>
                <c:pt idx="12">
                  <c:v>0.17385474809809426</c:v>
                </c:pt>
                <c:pt idx="13">
                  <c:v>0.14777045635809016</c:v>
                </c:pt>
                <c:pt idx="14">
                  <c:v>9.3482836335189556E-2</c:v>
                </c:pt>
                <c:pt idx="15">
                  <c:v>0.1886897215806482</c:v>
                </c:pt>
                <c:pt idx="16">
                  <c:v>-9.607104657906422E-3</c:v>
                </c:pt>
                <c:pt idx="17">
                  <c:v>-3.2359213034248172E-2</c:v>
                </c:pt>
                <c:pt idx="18">
                  <c:v>-2.9422579116094798E-2</c:v>
                </c:pt>
                <c:pt idx="19">
                  <c:v>-0.2039356671982194</c:v>
                </c:pt>
                <c:pt idx="20">
                  <c:v>-0.1605384535083593</c:v>
                </c:pt>
                <c:pt idx="21">
                  <c:v>-0.28764717531134681</c:v>
                </c:pt>
                <c:pt idx="22">
                  <c:v>-0.41553472496120397</c:v>
                </c:pt>
                <c:pt idx="23">
                  <c:v>-0.19227343450410975</c:v>
                </c:pt>
                <c:pt idx="24">
                  <c:v>-0.1810873840664608</c:v>
                </c:pt>
                <c:pt idx="25">
                  <c:v>8.9049082608734634E-2</c:v>
                </c:pt>
                <c:pt idx="26">
                  <c:v>0.19420077094891303</c:v>
                </c:pt>
                <c:pt idx="27">
                  <c:v>9.0255163593154081E-2</c:v>
                </c:pt>
                <c:pt idx="28">
                  <c:v>7.9511462322772133E-2</c:v>
                </c:pt>
                <c:pt idx="29">
                  <c:v>3.6049989567917426E-2</c:v>
                </c:pt>
                <c:pt idx="30">
                  <c:v>0.13800036522398282</c:v>
                </c:pt>
                <c:pt idx="31">
                  <c:v>0.13672596600231021</c:v>
                </c:pt>
                <c:pt idx="32">
                  <c:v>0.1806586982901531</c:v>
                </c:pt>
              </c:numCache>
            </c:numRef>
          </c:val>
          <c:extLst>
            <c:ext xmlns:c16="http://schemas.microsoft.com/office/drawing/2014/chart" uri="{C3380CC4-5D6E-409C-BE32-E72D297353CC}">
              <c16:uniqueId val="{00000005-B6C7-4287-B3A6-D2FA5775242E}"/>
            </c:ext>
          </c:extLst>
        </c:ser>
        <c:ser>
          <c:idx val="6"/>
          <c:order val="6"/>
          <c:tx>
            <c:strRef>
              <c:f>'Trh práce 1-SNÚ'!$AI$7</c:f>
              <c:strCache>
                <c:ptCount val="1"/>
                <c:pt idx="0">
                  <c:v>Veř.spr.,obrana, vzděl.,zdrav.a soc.péče</c:v>
                </c:pt>
              </c:strCache>
            </c:strRef>
          </c:tx>
          <c:spPr>
            <a:solidFill>
              <a:srgbClr val="D58D8B"/>
            </a:solidFill>
            <a:ln>
              <a:noFill/>
            </a:ln>
          </c:spPr>
          <c:invertIfNegative val="0"/>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1-SNÚ'!$AI$28:$AI$61</c:f>
              <c:numCache>
                <c:formatCode>#\ ##0.0</c:formatCode>
                <c:ptCount val="34"/>
                <c:pt idx="0">
                  <c:v>0.2235654403517939</c:v>
                </c:pt>
                <c:pt idx="1">
                  <c:v>0.22121632087472592</c:v>
                </c:pt>
                <c:pt idx="2">
                  <c:v>0.12507865060484005</c:v>
                </c:pt>
                <c:pt idx="3">
                  <c:v>0.12632707202590387</c:v>
                </c:pt>
                <c:pt idx="4">
                  <c:v>0.32907195728800748</c:v>
                </c:pt>
                <c:pt idx="5">
                  <c:v>0.33515671077902165</c:v>
                </c:pt>
                <c:pt idx="6">
                  <c:v>0.44146897214787206</c:v>
                </c:pt>
                <c:pt idx="7">
                  <c:v>0.55904533116329502</c:v>
                </c:pt>
                <c:pt idx="8">
                  <c:v>0.45377965834973044</c:v>
                </c:pt>
                <c:pt idx="9">
                  <c:v>0.48758720415555468</c:v>
                </c:pt>
                <c:pt idx="10">
                  <c:v>0.52434236449693716</c:v>
                </c:pt>
                <c:pt idx="11">
                  <c:v>0.53403271627626758</c:v>
                </c:pt>
                <c:pt idx="12">
                  <c:v>0.4379247919471026</c:v>
                </c:pt>
                <c:pt idx="13">
                  <c:v>0.46550221824222576</c:v>
                </c:pt>
                <c:pt idx="14">
                  <c:v>0.29622455251541197</c:v>
                </c:pt>
                <c:pt idx="15">
                  <c:v>0.2439346138968943</c:v>
                </c:pt>
                <c:pt idx="16">
                  <c:v>0.20792519366754592</c:v>
                </c:pt>
                <c:pt idx="17">
                  <c:v>0.13389130580837388</c:v>
                </c:pt>
                <c:pt idx="18">
                  <c:v>0.1488479786651119</c:v>
                </c:pt>
                <c:pt idx="19">
                  <c:v>0.16857035494868167</c:v>
                </c:pt>
                <c:pt idx="20">
                  <c:v>0.34228599406292892</c:v>
                </c:pt>
                <c:pt idx="21">
                  <c:v>0.27122120568819474</c:v>
                </c:pt>
                <c:pt idx="22">
                  <c:v>0.38125393952574582</c:v>
                </c:pt>
                <c:pt idx="23">
                  <c:v>0.32350181091089775</c:v>
                </c:pt>
                <c:pt idx="24">
                  <c:v>0.18331090663762345</c:v>
                </c:pt>
                <c:pt idx="25">
                  <c:v>0.29725547988582496</c:v>
                </c:pt>
                <c:pt idx="26">
                  <c:v>0.29415318706918947</c:v>
                </c:pt>
                <c:pt idx="27">
                  <c:v>0.35013560951715972</c:v>
                </c:pt>
                <c:pt idx="28">
                  <c:v>0.42965143934736072</c:v>
                </c:pt>
                <c:pt idx="29">
                  <c:v>0.3847262358188579</c:v>
                </c:pt>
                <c:pt idx="30">
                  <c:v>0.45225291500434778</c:v>
                </c:pt>
                <c:pt idx="31">
                  <c:v>0.51709436972247858</c:v>
                </c:pt>
                <c:pt idx="32">
                  <c:v>0.53817762993205032</c:v>
                </c:pt>
              </c:numCache>
            </c:numRef>
          </c:val>
          <c:extLst>
            <c:ext xmlns:c16="http://schemas.microsoft.com/office/drawing/2014/chart" uri="{C3380CC4-5D6E-409C-BE32-E72D297353CC}">
              <c16:uniqueId val="{00000006-B6C7-4287-B3A6-D2FA5775242E}"/>
            </c:ext>
          </c:extLst>
        </c:ser>
        <c:ser>
          <c:idx val="7"/>
          <c:order val="7"/>
          <c:tx>
            <c:strRef>
              <c:f>'Trh práce 1-SNÚ'!$AJ$7</c:f>
              <c:strCache>
                <c:ptCount val="1"/>
                <c:pt idx="0">
                  <c:v>Ostatní odvětví*</c:v>
                </c:pt>
              </c:strCache>
            </c:strRef>
          </c:tx>
          <c:spPr>
            <a:solidFill>
              <a:schemeClr val="bg1">
                <a:lumMod val="85000"/>
              </a:schemeClr>
            </a:solidFill>
            <a:ln>
              <a:noFill/>
            </a:ln>
          </c:spPr>
          <c:invertIfNegative val="0"/>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1-SNÚ'!$AJ$28:$AJ$61</c:f>
              <c:numCache>
                <c:formatCode>#\ ##0.0</c:formatCode>
                <c:ptCount val="34"/>
                <c:pt idx="0">
                  <c:v>-5.4437084192551839E-2</c:v>
                </c:pt>
                <c:pt idx="1">
                  <c:v>8.9416602290768532E-2</c:v>
                </c:pt>
                <c:pt idx="2">
                  <c:v>4.9980639099324431E-2</c:v>
                </c:pt>
                <c:pt idx="3">
                  <c:v>-2.6133949538887497E-2</c:v>
                </c:pt>
                <c:pt idx="4">
                  <c:v>0.1261076888999407</c:v>
                </c:pt>
                <c:pt idx="5">
                  <c:v>7.9147344977730114E-2</c:v>
                </c:pt>
                <c:pt idx="6">
                  <c:v>0.10645843330278795</c:v>
                </c:pt>
                <c:pt idx="7">
                  <c:v>0.17588007788617954</c:v>
                </c:pt>
                <c:pt idx="8">
                  <c:v>-5.5355305533561015E-2</c:v>
                </c:pt>
                <c:pt idx="9">
                  <c:v>-2.8874919169222996E-3</c:v>
                </c:pt>
                <c:pt idx="10">
                  <c:v>4.6771521213818675E-2</c:v>
                </c:pt>
                <c:pt idx="11">
                  <c:v>4.0303999761385413E-2</c:v>
                </c:pt>
                <c:pt idx="12">
                  <c:v>0.20445408817735161</c:v>
                </c:pt>
                <c:pt idx="13">
                  <c:v>0.19370645045850773</c:v>
                </c:pt>
                <c:pt idx="14">
                  <c:v>1.6316191398610506E-2</c:v>
                </c:pt>
                <c:pt idx="15">
                  <c:v>1.8371488642097301E-2</c:v>
                </c:pt>
                <c:pt idx="16">
                  <c:v>-2.6762648689882155E-2</c:v>
                </c:pt>
                <c:pt idx="17">
                  <c:v>2.116785835573683E-2</c:v>
                </c:pt>
                <c:pt idx="18">
                  <c:v>0.10524940158091128</c:v>
                </c:pt>
                <c:pt idx="19">
                  <c:v>0.12295850095305616</c:v>
                </c:pt>
                <c:pt idx="20">
                  <c:v>-0.12300902911636498</c:v>
                </c:pt>
                <c:pt idx="21">
                  <c:v>-0.3520846941346828</c:v>
                </c:pt>
                <c:pt idx="22">
                  <c:v>-0.34275256276516958</c:v>
                </c:pt>
                <c:pt idx="23">
                  <c:v>-0.43863649018293682</c:v>
                </c:pt>
                <c:pt idx="24">
                  <c:v>-0.1670236038038547</c:v>
                </c:pt>
                <c:pt idx="25">
                  <c:v>4.1494959075315162E-2</c:v>
                </c:pt>
                <c:pt idx="26">
                  <c:v>-1.4410260105194707E-2</c:v>
                </c:pt>
                <c:pt idx="27">
                  <c:v>0.11548352276335092</c:v>
                </c:pt>
                <c:pt idx="28">
                  <c:v>8.7370481299106559E-2</c:v>
                </c:pt>
                <c:pt idx="29">
                  <c:v>0.16487733570777571</c:v>
                </c:pt>
                <c:pt idx="30">
                  <c:v>0.18233305228690899</c:v>
                </c:pt>
                <c:pt idx="31">
                  <c:v>1.4718902415907242E-2</c:v>
                </c:pt>
                <c:pt idx="32">
                  <c:v>5.5716995462409366E-2</c:v>
                </c:pt>
              </c:numCache>
            </c:numRef>
          </c:val>
          <c:extLst>
            <c:ext xmlns:c16="http://schemas.microsoft.com/office/drawing/2014/chart" uri="{C3380CC4-5D6E-409C-BE32-E72D297353CC}">
              <c16:uniqueId val="{00000007-B6C7-4287-B3A6-D2FA5775242E}"/>
            </c:ext>
          </c:extLst>
        </c:ser>
        <c:dLbls>
          <c:showLegendKey val="0"/>
          <c:showVal val="0"/>
          <c:showCatName val="0"/>
          <c:showSerName val="0"/>
          <c:showPercent val="0"/>
          <c:showBubbleSize val="0"/>
        </c:dLbls>
        <c:gapWidth val="47"/>
        <c:overlap val="100"/>
        <c:axId val="79468032"/>
        <c:axId val="79469568"/>
      </c:barChart>
      <c:lineChart>
        <c:grouping val="standard"/>
        <c:varyColors val="0"/>
        <c:ser>
          <c:idx val="8"/>
          <c:order val="8"/>
          <c:tx>
            <c:strRef>
              <c:f>'Trh práce 1-SNÚ'!$AK$7</c:f>
              <c:strCache>
                <c:ptCount val="1"/>
                <c:pt idx="0">
                  <c:v>Zaměstnanost celkem</c:v>
                </c:pt>
              </c:strCache>
            </c:strRef>
          </c:tx>
          <c:spPr>
            <a:ln w="19050">
              <a:solidFill>
                <a:schemeClr val="tx1">
                  <a:lumMod val="95000"/>
                  <a:lumOff val="5000"/>
                </a:schemeClr>
              </a:solidFill>
            </a:ln>
          </c:spPr>
          <c:marker>
            <c:symbol val="none"/>
          </c:marker>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1-SNÚ'!$AK$28:$AK$61</c:f>
              <c:numCache>
                <c:formatCode>#\ ##0.0</c:formatCode>
                <c:ptCount val="34"/>
                <c:pt idx="0">
                  <c:v>1.2324005594638701</c:v>
                </c:pt>
                <c:pt idx="1">
                  <c:v>1.7691026689786475</c:v>
                </c:pt>
                <c:pt idx="2">
                  <c:v>1.3881990570332476</c:v>
                </c:pt>
                <c:pt idx="3">
                  <c:v>1.322159739190184</c:v>
                </c:pt>
                <c:pt idx="4">
                  <c:v>1.5277744613681534</c:v>
                </c:pt>
                <c:pt idx="5">
                  <c:v>1.4953160389154334</c:v>
                </c:pt>
                <c:pt idx="6">
                  <c:v>1.5235007666279472</c:v>
                </c:pt>
                <c:pt idx="7">
                  <c:v>1.811732014191108</c:v>
                </c:pt>
                <c:pt idx="8">
                  <c:v>1.4809790948155097</c:v>
                </c:pt>
                <c:pt idx="9">
                  <c:v>1.4428911088804726</c:v>
                </c:pt>
                <c:pt idx="10">
                  <c:v>1.953560797755413</c:v>
                </c:pt>
                <c:pt idx="11">
                  <c:v>1.3171196100007592</c:v>
                </c:pt>
                <c:pt idx="12">
                  <c:v>1.5928803023154638</c:v>
                </c:pt>
                <c:pt idx="13">
                  <c:v>1.7364292657787679</c:v>
                </c:pt>
                <c:pt idx="14">
                  <c:v>0.90722494365698481</c:v>
                </c:pt>
                <c:pt idx="15">
                  <c:v>1.1032023032555145</c:v>
                </c:pt>
                <c:pt idx="16">
                  <c:v>0.91287895437608391</c:v>
                </c:pt>
                <c:pt idx="17">
                  <c:v>0.29311041431022067</c:v>
                </c:pt>
                <c:pt idx="18">
                  <c:v>0.15084147837937695</c:v>
                </c:pt>
                <c:pt idx="19">
                  <c:v>-0.37554681241327631</c:v>
                </c:pt>
                <c:pt idx="20">
                  <c:v>-0.81274544831673334</c:v>
                </c:pt>
                <c:pt idx="21">
                  <c:v>-2.1642086747839784</c:v>
                </c:pt>
                <c:pt idx="22">
                  <c:v>-1.7738279104571142</c:v>
                </c:pt>
                <c:pt idx="23">
                  <c:v>-2.1121405116648737</c:v>
                </c:pt>
                <c:pt idx="24">
                  <c:v>-1.4473649589889828</c:v>
                </c:pt>
                <c:pt idx="25">
                  <c:v>0.42975045997124572</c:v>
                </c:pt>
                <c:pt idx="26">
                  <c:v>0.90037856954150186</c:v>
                </c:pt>
                <c:pt idx="27">
                  <c:v>1.6851410066852437</c:v>
                </c:pt>
                <c:pt idx="28">
                  <c:v>1.4700313796714539</c:v>
                </c:pt>
                <c:pt idx="29">
                  <c:v>2.3493572735149972</c:v>
                </c:pt>
                <c:pt idx="30">
                  <c:v>1.7747207728764345</c:v>
                </c:pt>
                <c:pt idx="31">
                  <c:v>1.3248313087408832</c:v>
                </c:pt>
                <c:pt idx="32">
                  <c:v>1.4005032873397858</c:v>
                </c:pt>
              </c:numCache>
            </c:numRef>
          </c:val>
          <c:smooth val="0"/>
          <c:extLst>
            <c:ext xmlns:c16="http://schemas.microsoft.com/office/drawing/2014/chart" uri="{C3380CC4-5D6E-409C-BE32-E72D297353CC}">
              <c16:uniqueId val="{00000008-B6C7-4287-B3A6-D2FA5775242E}"/>
            </c:ext>
          </c:extLst>
        </c:ser>
        <c:dLbls>
          <c:showLegendKey val="0"/>
          <c:showVal val="0"/>
          <c:showCatName val="0"/>
          <c:showSerName val="0"/>
          <c:showPercent val="0"/>
          <c:showBubbleSize val="0"/>
        </c:dLbls>
        <c:marker val="1"/>
        <c:smooth val="0"/>
        <c:axId val="79468032"/>
        <c:axId val="79469568"/>
      </c:lineChart>
      <c:lineChart>
        <c:grouping val="standard"/>
        <c:varyColors val="0"/>
        <c:ser>
          <c:idx val="9"/>
          <c:order val="9"/>
          <c:tx>
            <c:strRef>
              <c:f>'Trh práce 1-SNÚ'!$AL$7</c:f>
              <c:strCache>
                <c:ptCount val="1"/>
              </c:strCache>
            </c:strRef>
          </c:tx>
          <c:spPr>
            <a:ln>
              <a:noFill/>
            </a:ln>
          </c:spPr>
          <c:marker>
            <c:symbol val="none"/>
          </c:marker>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1-SNÚ'!$AL$28:$AL$61</c:f>
              <c:numCache>
                <c:formatCode>General</c:formatCode>
                <c:ptCount val="34"/>
              </c:numCache>
            </c:numRef>
          </c:val>
          <c:smooth val="0"/>
          <c:extLst>
            <c:ext xmlns:c16="http://schemas.microsoft.com/office/drawing/2014/chart" uri="{C3380CC4-5D6E-409C-BE32-E72D297353CC}">
              <c16:uniqueId val="{00000009-B6C7-4287-B3A6-D2FA5775242E}"/>
            </c:ext>
          </c:extLst>
        </c:ser>
        <c:ser>
          <c:idx val="10"/>
          <c:order val="10"/>
          <c:tx>
            <c:strRef>
              <c:f>'Trh práce 1-SNÚ'!$AM$7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1-SNÚ'!$AM$28:$AM$61</c:f>
              <c:numCache>
                <c:formatCode>#\ ##0.0</c:formatCode>
                <c:ptCount val="34"/>
                <c:pt idx="0">
                  <c:v>-3</c:v>
                </c:pt>
                <c:pt idx="1">
                  <c:v>4.3</c:v>
                </c:pt>
                <c:pt idx="2">
                  <c:v>5.5</c:v>
                </c:pt>
                <c:pt idx="3">
                  <c:v>7.8</c:v>
                </c:pt>
                <c:pt idx="4">
                  <c:v>8.2000000000000011</c:v>
                </c:pt>
                <c:pt idx="5">
                  <c:v>9.9</c:v>
                </c:pt>
                <c:pt idx="6">
                  <c:v>3.8</c:v>
                </c:pt>
                <c:pt idx="7">
                  <c:v>9.5</c:v>
                </c:pt>
                <c:pt idx="8">
                  <c:v>11.1</c:v>
                </c:pt>
                <c:pt idx="9">
                  <c:v>5.7</c:v>
                </c:pt>
                <c:pt idx="10">
                  <c:v>8.2000000000000011</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pt idx="31">
                  <c:v>-9.9</c:v>
                </c:pt>
                <c:pt idx="32">
                  <c:v>-13.6</c:v>
                </c:pt>
                <c:pt idx="33">
                  <c:v>-5.8</c:v>
                </c:pt>
              </c:numCache>
            </c:numRef>
          </c:val>
          <c:smooth val="0"/>
          <c:extLst>
            <c:ext xmlns:c16="http://schemas.microsoft.com/office/drawing/2014/chart" uri="{C3380CC4-5D6E-409C-BE32-E72D297353CC}">
              <c16:uniqueId val="{0000000A-B6C7-4287-B3A6-D2FA5775242E}"/>
            </c:ext>
          </c:extLst>
        </c:ser>
        <c:ser>
          <c:idx val="11"/>
          <c:order val="11"/>
          <c:tx>
            <c:strRef>
              <c:f>'Trh práce 1-SNÚ'!$AN$7</c:f>
              <c:strCache>
                <c:ptCount val="1"/>
                <c:pt idx="0">
                  <c:v>Očekávání zaměstnanosti (stavebnictví)</c:v>
                </c:pt>
              </c:strCache>
            </c:strRef>
          </c:tx>
          <c:spPr>
            <a:ln w="15875">
              <a:solidFill>
                <a:srgbClr val="00B0F0"/>
              </a:solidFill>
              <a:prstDash val="sysDot"/>
            </a:ln>
          </c:spPr>
          <c:marker>
            <c:symbol val="none"/>
          </c:marker>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1-SNÚ'!$AN$28:$AN$61</c:f>
              <c:numCache>
                <c:formatCode>#\ ##0.0</c:formatCode>
                <c:ptCount val="34"/>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5.7</c:v>
                </c:pt>
                <c:pt idx="21">
                  <c:v>-4.2</c:v>
                </c:pt>
                <c:pt idx="22">
                  <c:v>1.5</c:v>
                </c:pt>
                <c:pt idx="23">
                  <c:v>-1.5</c:v>
                </c:pt>
                <c:pt idx="24">
                  <c:v>3.9</c:v>
                </c:pt>
                <c:pt idx="25">
                  <c:v>4.4000000000000004</c:v>
                </c:pt>
                <c:pt idx="26">
                  <c:v>4.0999999999999996</c:v>
                </c:pt>
                <c:pt idx="27">
                  <c:v>8.3000000000000007</c:v>
                </c:pt>
                <c:pt idx="28">
                  <c:v>10</c:v>
                </c:pt>
                <c:pt idx="29">
                  <c:v>7.4</c:v>
                </c:pt>
                <c:pt idx="30">
                  <c:v>1.3</c:v>
                </c:pt>
                <c:pt idx="31">
                  <c:v>-0.1</c:v>
                </c:pt>
                <c:pt idx="32">
                  <c:v>-11.7</c:v>
                </c:pt>
                <c:pt idx="33">
                  <c:v>-14.2</c:v>
                </c:pt>
              </c:numCache>
            </c:numRef>
          </c:val>
          <c:smooth val="0"/>
          <c:extLst>
            <c:ext xmlns:c16="http://schemas.microsoft.com/office/drawing/2014/chart" uri="{C3380CC4-5D6E-409C-BE32-E72D297353CC}">
              <c16:uniqueId val="{0000000B-B6C7-4287-B3A6-D2FA5775242E}"/>
            </c:ext>
          </c:extLst>
        </c:ser>
        <c:ser>
          <c:idx val="12"/>
          <c:order val="12"/>
          <c:tx>
            <c:strRef>
              <c:f>'Trh práce 1-SNÚ'!$AO$7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1-SNÚ'!$AO$28:$AO$61</c:f>
              <c:numCache>
                <c:formatCode>#\ ##0.0</c:formatCode>
                <c:ptCount val="34"/>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0.70000000000000062</c:v>
                </c:pt>
                <c:pt idx="24">
                  <c:v>5.3</c:v>
                </c:pt>
                <c:pt idx="25">
                  <c:v>13.1</c:v>
                </c:pt>
                <c:pt idx="26">
                  <c:v>10.8</c:v>
                </c:pt>
                <c:pt idx="27">
                  <c:v>8.5</c:v>
                </c:pt>
                <c:pt idx="28">
                  <c:v>9.7000000000000011</c:v>
                </c:pt>
                <c:pt idx="29">
                  <c:v>3.1</c:v>
                </c:pt>
                <c:pt idx="30">
                  <c:v>5.3</c:v>
                </c:pt>
                <c:pt idx="31">
                  <c:v>12.6</c:v>
                </c:pt>
                <c:pt idx="32">
                  <c:v>10.3</c:v>
                </c:pt>
                <c:pt idx="33">
                  <c:v>9.1</c:v>
                </c:pt>
              </c:numCache>
            </c:numRef>
          </c:val>
          <c:smooth val="0"/>
          <c:extLst>
            <c:ext xmlns:c16="http://schemas.microsoft.com/office/drawing/2014/chart" uri="{C3380CC4-5D6E-409C-BE32-E72D297353CC}">
              <c16:uniqueId val="{0000000C-B6C7-4287-B3A6-D2FA5775242E}"/>
            </c:ext>
          </c:extLst>
        </c:ser>
        <c:ser>
          <c:idx val="13"/>
          <c:order val="13"/>
          <c:tx>
            <c:strRef>
              <c:f>'Trh práce 1-SNÚ'!$AP$7</c:f>
              <c:strCache>
                <c:ptCount val="1"/>
                <c:pt idx="0">
                  <c:v>Očekávání zaměstnanosti (vybr. služby)</c:v>
                </c:pt>
              </c:strCache>
            </c:strRef>
          </c:tx>
          <c:spPr>
            <a:ln w="15875">
              <a:solidFill>
                <a:srgbClr val="C00000"/>
              </a:solidFill>
              <a:prstDash val="sysDot"/>
            </a:ln>
          </c:spPr>
          <c:marker>
            <c:symbol val="none"/>
          </c:marker>
          <c:cat>
            <c:multiLvlStrRef>
              <c:f>'Trh práce 1-SNÚ'!$AA$28:$AB$61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1-SNÚ'!$AP$28:$AP$61</c:f>
              <c:numCache>
                <c:formatCode>#\ ##0.0</c:formatCode>
                <c:ptCount val="34"/>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-32.300000000000004</c:v>
                </c:pt>
                <c:pt idx="22">
                  <c:v>-28.6</c:v>
                </c:pt>
                <c:pt idx="23">
                  <c:v>-30.1</c:v>
                </c:pt>
                <c:pt idx="24">
                  <c:v>-27</c:v>
                </c:pt>
                <c:pt idx="25">
                  <c:v>-27.7</c:v>
                </c:pt>
                <c:pt idx="26">
                  <c:v>-12.1</c:v>
                </c:pt>
                <c:pt idx="27">
                  <c:v>-15.8</c:v>
                </c:pt>
                <c:pt idx="28">
                  <c:v>-6.8</c:v>
                </c:pt>
                <c:pt idx="29">
                  <c:v>-3.5</c:v>
                </c:pt>
                <c:pt idx="30">
                  <c:v>-6.1</c:v>
                </c:pt>
                <c:pt idx="31">
                  <c:v>-6.4</c:v>
                </c:pt>
                <c:pt idx="32">
                  <c:v>-10.7</c:v>
                </c:pt>
                <c:pt idx="33">
                  <c:v>-16.7</c:v>
                </c:pt>
              </c:numCache>
            </c:numRef>
          </c:val>
          <c:smooth val="0"/>
          <c:extLst>
            <c:ext xmlns:c16="http://schemas.microsoft.com/office/drawing/2014/chart" uri="{C3380CC4-5D6E-409C-BE32-E72D297353CC}">
              <c16:uniqueId val="{0000000D-B6C7-4287-B3A6-D2FA5775242E}"/>
            </c:ext>
          </c:extLst>
        </c:ser>
        <c:dLbls>
          <c:showLegendKey val="0"/>
          <c:showVal val="0"/>
          <c:showCatName val="0"/>
          <c:showSerName val="0"/>
          <c:showPercent val="0"/>
          <c:showBubbleSize val="0"/>
        </c:dLbls>
        <c:marker val="1"/>
        <c:smooth val="0"/>
        <c:axId val="79494144"/>
        <c:axId val="79492224"/>
      </c:lineChart>
      <c:catAx>
        <c:axId val="79468032"/>
        <c:scaling>
          <c:orientation val="minMax"/>
        </c:scaling>
        <c:delete val="0"/>
        <c:axPos val="b"/>
        <c:numFmt formatCode="General" sourceLinked="1"/>
        <c:majorTickMark val="out"/>
        <c:minorTickMark val="none"/>
        <c:tickLblPos val="low"/>
        <c:spPr>
          <a:ln>
            <a:solidFill>
              <a:schemeClr val="tx1"/>
            </a:solidFill>
          </a:ln>
        </c:spPr>
        <c:crossAx val="79469568"/>
        <c:crosses val="autoZero"/>
        <c:auto val="1"/>
        <c:lblAlgn val="ctr"/>
        <c:lblOffset val="10"/>
        <c:noMultiLvlLbl val="0"/>
      </c:catAx>
      <c:valAx>
        <c:axId val="79469568"/>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Příspěvek k růstu zaměstnanosti</a:t>
                </a:r>
              </a:p>
            </c:rich>
          </c:tx>
          <c:overlay val="0"/>
        </c:title>
        <c:numFmt formatCode="0.0" sourceLinked="0"/>
        <c:majorTickMark val="out"/>
        <c:minorTickMark val="none"/>
        <c:tickLblPos val="nextTo"/>
        <c:spPr>
          <a:ln>
            <a:solidFill>
              <a:schemeClr val="tx1"/>
            </a:solidFill>
          </a:ln>
        </c:spPr>
        <c:crossAx val="79468032"/>
        <c:crosses val="autoZero"/>
        <c:crossBetween val="between"/>
        <c:majorUnit val="0.5"/>
      </c:valAx>
      <c:valAx>
        <c:axId val="79492224"/>
        <c:scaling>
          <c:orientation val="minMax"/>
          <c:max val="100"/>
          <c:min val="-40"/>
        </c:scaling>
        <c:delete val="0"/>
        <c:axPos val="r"/>
        <c:title>
          <c:tx>
            <c:rich>
              <a:bodyPr/>
              <a:lstStyle/>
              <a:p>
                <a:pPr>
                  <a:defRPr sz="700" b="0" i="1"/>
                </a:pPr>
                <a:r>
                  <a:rPr lang="cs-CZ" sz="700" b="0" i="1"/>
                  <a:t>Očekávání vývoje zaměstnanosti</a:t>
                </a:r>
              </a:p>
            </c:rich>
          </c:tx>
          <c:overlay val="0"/>
        </c:title>
        <c:numFmt formatCode="#,##0" sourceLinked="0"/>
        <c:majorTickMark val="out"/>
        <c:minorTickMark val="none"/>
        <c:tickLblPos val="nextTo"/>
        <c:crossAx val="79494144"/>
        <c:crosses val="max"/>
        <c:crossBetween val="between"/>
        <c:majorUnit val="10"/>
      </c:valAx>
      <c:catAx>
        <c:axId val="79494144"/>
        <c:scaling>
          <c:orientation val="minMax"/>
        </c:scaling>
        <c:delete val="1"/>
        <c:axPos val="b"/>
        <c:numFmt formatCode="General" sourceLinked="1"/>
        <c:majorTickMark val="out"/>
        <c:minorTickMark val="none"/>
        <c:tickLblPos val="none"/>
        <c:crossAx val="79492224"/>
        <c:crosses val="autoZero"/>
        <c:auto val="1"/>
        <c:lblAlgn val="ctr"/>
        <c:lblOffset val="100"/>
        <c:noMultiLvlLbl val="0"/>
      </c:catAx>
      <c:spPr>
        <a:ln>
          <a:solidFill>
            <a:schemeClr val="tx1"/>
          </a:solidFill>
        </a:ln>
      </c:spPr>
    </c:plotArea>
    <c:legend>
      <c:legendPos val="b"/>
      <c:layout>
        <c:manualLayout>
          <c:xMode val="edge"/>
          <c:yMode val="edge"/>
          <c:x val="1.5472441370721636E-2"/>
          <c:y val="0.7799282311707082"/>
          <c:w val="0.96005692595618608"/>
          <c:h val="0.2119461831534999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6016E-2"/>
          <c:y val="1.6081916099773243E-2"/>
          <c:w val="0.83584199323559127"/>
          <c:h val="0.75413005601973715"/>
        </c:manualLayout>
      </c:layout>
      <c:barChart>
        <c:barDir val="col"/>
        <c:grouping val="clustered"/>
        <c:varyColors val="0"/>
        <c:ser>
          <c:idx val="0"/>
          <c:order val="0"/>
          <c:tx>
            <c:strRef>
              <c:f>'Trh práce-2b'!$A$32</c:f>
              <c:strCache>
                <c:ptCount val="1"/>
                <c:pt idx="0">
                  <c:v>Míra nezaměstnanosti mužů</c:v>
                </c:pt>
              </c:strCache>
            </c:strRef>
          </c:tx>
          <c:spPr>
            <a:solidFill>
              <a:srgbClr val="BCBCBC"/>
            </a:solidFill>
          </c:spPr>
          <c:invertIfNegative val="0"/>
          <c:cat>
            <c:multiLvlStrRef>
              <c:f>'Trh práce-2b'!$B$30:$AI$31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práce-2b'!$B$32:$AI$32</c:f>
              <c:numCache>
                <c:formatCode>0.0</c:formatCode>
                <c:ptCount val="34"/>
                <c:pt idx="0">
                  <c:v>5.0190255076088475</c:v>
                </c:pt>
                <c:pt idx="1">
                  <c:v>4.3110831629787016</c:v>
                </c:pt>
                <c:pt idx="2">
                  <c:v>4.0657280584255755</c:v>
                </c:pt>
                <c:pt idx="3">
                  <c:v>3.7884052696340111</c:v>
                </c:pt>
                <c:pt idx="4">
                  <c:v>3.6480065496174769</c:v>
                </c:pt>
                <c:pt idx="5">
                  <c:v>3.5620565310531327</c:v>
                </c:pt>
                <c:pt idx="6">
                  <c:v>3.3992685225787262</c:v>
                </c:pt>
                <c:pt idx="7">
                  <c:v>3.1529844983834376</c:v>
                </c:pt>
                <c:pt idx="8">
                  <c:v>2.6913195472346003</c:v>
                </c:pt>
                <c:pt idx="9">
                  <c:v>2.4870983070527992</c:v>
                </c:pt>
                <c:pt idx="10">
                  <c:v>2.2553821367610207</c:v>
                </c:pt>
                <c:pt idx="11">
                  <c:v>2.0793706697021332</c:v>
                </c:pt>
                <c:pt idx="12">
                  <c:v>1.8919738367202341</c:v>
                </c:pt>
                <c:pt idx="13">
                  <c:v>1.8286981162013141</c:v>
                </c:pt>
                <c:pt idx="14">
                  <c:v>1.8942450930031041</c:v>
                </c:pt>
                <c:pt idx="15">
                  <c:v>1.6773823835101993</c:v>
                </c:pt>
                <c:pt idx="16">
                  <c:v>1.8004478853064505</c:v>
                </c:pt>
                <c:pt idx="17">
                  <c:v>1.675426909373372</c:v>
                </c:pt>
                <c:pt idx="18">
                  <c:v>1.7721254244660039</c:v>
                </c:pt>
                <c:pt idx="19">
                  <c:v>1.8498655460390319</c:v>
                </c:pt>
                <c:pt idx="20">
                  <c:v>1.8401953546142302</c:v>
                </c:pt>
                <c:pt idx="21">
                  <c:v>2.2819588219591647</c:v>
                </c:pt>
                <c:pt idx="22">
                  <c:v>2.519052506688066</c:v>
                </c:pt>
                <c:pt idx="23">
                  <c:v>2.5588047140300136</c:v>
                </c:pt>
                <c:pt idx="24">
                  <c:v>2.6510924602485666</c:v>
                </c:pt>
                <c:pt idx="25">
                  <c:v>2.5529548379681493</c:v>
                </c:pt>
                <c:pt idx="26">
                  <c:v>2.2899143675059288</c:v>
                </c:pt>
                <c:pt idx="27">
                  <c:v>1.9505398126928879</c:v>
                </c:pt>
                <c:pt idx="28">
                  <c:v>1.9731444144105181</c:v>
                </c:pt>
                <c:pt idx="29">
                  <c:v>1.8956709358819701</c:v>
                </c:pt>
                <c:pt idx="30">
                  <c:v>1.9133227893386682</c:v>
                </c:pt>
                <c:pt idx="31">
                  <c:v>2.080990341363965</c:v>
                </c:pt>
                <c:pt idx="32">
                  <c:v>2.1782669139280117</c:v>
                </c:pt>
              </c:numCache>
            </c:numRef>
          </c:val>
          <c:extLst>
            <c:ext xmlns:c16="http://schemas.microsoft.com/office/drawing/2014/chart" uri="{C3380CC4-5D6E-409C-BE32-E72D297353CC}">
              <c16:uniqueId val="{00000000-0527-40F0-A93A-3D8AD8AEAE74}"/>
            </c:ext>
          </c:extLst>
        </c:ser>
        <c:ser>
          <c:idx val="1"/>
          <c:order val="1"/>
          <c:tx>
            <c:strRef>
              <c:f>'Trh práce-2b'!$A$33</c:f>
              <c:strCache>
                <c:ptCount val="1"/>
                <c:pt idx="0">
                  <c:v>Míra nezaměstnanosti žen</c:v>
                </c:pt>
              </c:strCache>
            </c:strRef>
          </c:tx>
          <c:spPr>
            <a:solidFill>
              <a:schemeClr val="bg1">
                <a:lumMod val="95000"/>
              </a:schemeClr>
            </a:solidFill>
            <a:ln>
              <a:solidFill>
                <a:schemeClr val="bg1">
                  <a:lumMod val="65000"/>
                </a:schemeClr>
              </a:solidFill>
            </a:ln>
          </c:spPr>
          <c:invertIfNegative val="0"/>
          <c:cat>
            <c:multiLvlStrRef>
              <c:f>'Trh práce-2b'!$B$30:$AI$31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práce-2b'!$B$33:$AI$33</c:f>
              <c:numCache>
                <c:formatCode>0.0</c:formatCode>
                <c:ptCount val="34"/>
                <c:pt idx="0">
                  <c:v>6.9267194358268593</c:v>
                </c:pt>
                <c:pt idx="1">
                  <c:v>6.1535384932483854</c:v>
                </c:pt>
                <c:pt idx="2">
                  <c:v>5.9765040349124003</c:v>
                </c:pt>
                <c:pt idx="3">
                  <c:v>5.6632797912241317</c:v>
                </c:pt>
                <c:pt idx="4">
                  <c:v>5.0720117191150509</c:v>
                </c:pt>
                <c:pt idx="5">
                  <c:v>4.7999925673444395</c:v>
                </c:pt>
                <c:pt idx="6">
                  <c:v>4.8089143905945617</c:v>
                </c:pt>
                <c:pt idx="7">
                  <c:v>4.3667011429986804</c:v>
                </c:pt>
                <c:pt idx="8">
                  <c:v>4.271056453949778</c:v>
                </c:pt>
                <c:pt idx="9">
                  <c:v>3.8912712501795195</c:v>
                </c:pt>
                <c:pt idx="10">
                  <c:v>3.4087832012164205</c:v>
                </c:pt>
                <c:pt idx="11">
                  <c:v>3.0268410971893176</c:v>
                </c:pt>
                <c:pt idx="12">
                  <c:v>2.942405947098659</c:v>
                </c:pt>
                <c:pt idx="13">
                  <c:v>2.8891041374673296</c:v>
                </c:pt>
                <c:pt idx="14">
                  <c:v>2.8576287586935609</c:v>
                </c:pt>
                <c:pt idx="15">
                  <c:v>2.6812272707834013</c:v>
                </c:pt>
                <c:pt idx="16">
                  <c:v>2.2474882093770008</c:v>
                </c:pt>
                <c:pt idx="17">
                  <c:v>2.4693272602364398</c:v>
                </c:pt>
                <c:pt idx="18">
                  <c:v>2.5653389867294414</c:v>
                </c:pt>
                <c:pt idx="19">
                  <c:v>2.4356217526904804</c:v>
                </c:pt>
                <c:pt idx="20">
                  <c:v>2.0461981743369986</c:v>
                </c:pt>
                <c:pt idx="21">
                  <c:v>2.8089991386933582</c:v>
                </c:pt>
                <c:pt idx="22">
                  <c:v>3.3699299924790287</c:v>
                </c:pt>
                <c:pt idx="23">
                  <c:v>3.8966182545127177</c:v>
                </c:pt>
                <c:pt idx="24">
                  <c:v>4.1529438737627045</c:v>
                </c:pt>
                <c:pt idx="25">
                  <c:v>3.9040603258139153</c:v>
                </c:pt>
                <c:pt idx="26">
                  <c:v>3.2618545166714212</c:v>
                </c:pt>
                <c:pt idx="27">
                  <c:v>2.7348815484716167</c:v>
                </c:pt>
                <c:pt idx="28">
                  <c:v>2.9954433841349881</c:v>
                </c:pt>
                <c:pt idx="29">
                  <c:v>3.209219993216498</c:v>
                </c:pt>
                <c:pt idx="30">
                  <c:v>2.8976072102432378</c:v>
                </c:pt>
                <c:pt idx="31">
                  <c:v>2.7935271707143463</c:v>
                </c:pt>
                <c:pt idx="32">
                  <c:v>3.031750506188553</c:v>
                </c:pt>
              </c:numCache>
            </c:numRef>
          </c:val>
          <c:extLst>
            <c:ext xmlns:c16="http://schemas.microsoft.com/office/drawing/2014/chart" uri="{C3380CC4-5D6E-409C-BE32-E72D297353CC}">
              <c16:uniqueId val="{00000001-0527-40F0-A93A-3D8AD8AEAE74}"/>
            </c:ext>
          </c:extLst>
        </c:ser>
        <c:dLbls>
          <c:showLegendKey val="0"/>
          <c:showVal val="0"/>
          <c:showCatName val="0"/>
          <c:showSerName val="0"/>
          <c:showPercent val="0"/>
          <c:showBubbleSize val="0"/>
        </c:dLbls>
        <c:gapWidth val="68"/>
        <c:axId val="79564800"/>
        <c:axId val="79566720"/>
      </c:barChart>
      <c:lineChart>
        <c:grouping val="standard"/>
        <c:varyColors val="0"/>
        <c:ser>
          <c:idx val="2"/>
          <c:order val="2"/>
          <c:tx>
            <c:strRef>
              <c:f>'Trh práce-2b'!$A$34</c:f>
              <c:strCache>
                <c:ptCount val="1"/>
                <c:pt idx="0">
                  <c:v>Míra ekonomické aktivity mužů</c:v>
                </c:pt>
              </c:strCache>
            </c:strRef>
          </c:tx>
          <c:spPr>
            <a:ln w="19050">
              <a:solidFill>
                <a:srgbClr val="4FD1FF"/>
              </a:solidFill>
              <a:prstDash val="solid"/>
            </a:ln>
          </c:spPr>
          <c:marker>
            <c:symbol val="none"/>
          </c:marker>
          <c:cat>
            <c:multiLvlStrRef>
              <c:f>'Trh práce-2b'!$B$30:$AI$31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práce-2b'!$B$34:$AI$34</c:f>
              <c:numCache>
                <c:formatCode>0.0</c:formatCode>
                <c:ptCount val="34"/>
                <c:pt idx="0">
                  <c:v>81.466307888751814</c:v>
                </c:pt>
                <c:pt idx="1">
                  <c:v>81.363114649062567</c:v>
                </c:pt>
                <c:pt idx="2">
                  <c:v>81.326720993757078</c:v>
                </c:pt>
                <c:pt idx="3">
                  <c:v>81.589678709885419</c:v>
                </c:pt>
                <c:pt idx="4">
                  <c:v>81.90050253611237</c:v>
                </c:pt>
                <c:pt idx="5">
                  <c:v>82.002465907569459</c:v>
                </c:pt>
                <c:pt idx="6">
                  <c:v>82.234814165712578</c:v>
                </c:pt>
                <c:pt idx="7">
                  <c:v>82.566683148162596</c:v>
                </c:pt>
                <c:pt idx="8">
                  <c:v>82.632730184181042</c:v>
                </c:pt>
                <c:pt idx="9">
                  <c:v>82.826538615123567</c:v>
                </c:pt>
                <c:pt idx="10">
                  <c:v>83.048273468286027</c:v>
                </c:pt>
                <c:pt idx="11">
                  <c:v>83.237781274329848</c:v>
                </c:pt>
                <c:pt idx="12">
                  <c:v>83.241629758905489</c:v>
                </c:pt>
                <c:pt idx="13">
                  <c:v>83.384888995990849</c:v>
                </c:pt>
                <c:pt idx="14">
                  <c:v>83.294122507075727</c:v>
                </c:pt>
                <c:pt idx="15">
                  <c:v>83.548304734522688</c:v>
                </c:pt>
                <c:pt idx="16">
                  <c:v>83.579157859149348</c:v>
                </c:pt>
                <c:pt idx="17">
                  <c:v>83.460012937458089</c:v>
                </c:pt>
                <c:pt idx="18">
                  <c:v>83.345426916587243</c:v>
                </c:pt>
                <c:pt idx="19">
                  <c:v>83.644632537179078</c:v>
                </c:pt>
                <c:pt idx="20">
                  <c:v>83.369087429130857</c:v>
                </c:pt>
                <c:pt idx="21">
                  <c:v>82.998768899283519</c:v>
                </c:pt>
                <c:pt idx="22">
                  <c:v>83.433388848915115</c:v>
                </c:pt>
                <c:pt idx="23">
                  <c:v>83.280823770071237</c:v>
                </c:pt>
                <c:pt idx="24">
                  <c:v>82.991644926215301</c:v>
                </c:pt>
                <c:pt idx="25">
                  <c:v>83.011118996581459</c:v>
                </c:pt>
                <c:pt idx="26">
                  <c:v>83.359837107003884</c:v>
                </c:pt>
                <c:pt idx="27">
                  <c:v>83.649909265452067</c:v>
                </c:pt>
                <c:pt idx="28">
                  <c:v>83.758360489181769</c:v>
                </c:pt>
                <c:pt idx="29">
                  <c:v>83.761953576488452</c:v>
                </c:pt>
                <c:pt idx="30">
                  <c:v>83.581853537452488</c:v>
                </c:pt>
                <c:pt idx="31">
                  <c:v>83.332456086401237</c:v>
                </c:pt>
                <c:pt idx="32">
                  <c:v>83.472403678273096</c:v>
                </c:pt>
              </c:numCache>
            </c:numRef>
          </c:val>
          <c:smooth val="0"/>
          <c:extLst>
            <c:ext xmlns:c16="http://schemas.microsoft.com/office/drawing/2014/chart" uri="{C3380CC4-5D6E-409C-BE32-E72D297353CC}">
              <c16:uniqueId val="{00000002-0527-40F0-A93A-3D8AD8AEAE74}"/>
            </c:ext>
          </c:extLst>
        </c:ser>
        <c:ser>
          <c:idx val="3"/>
          <c:order val="3"/>
          <c:tx>
            <c:strRef>
              <c:f>'Trh práce-2b'!$A$35</c:f>
              <c:strCache>
                <c:ptCount val="1"/>
                <c:pt idx="0">
                  <c:v>Míra ekonomické aktivity žen</c:v>
                </c:pt>
              </c:strCache>
            </c:strRef>
          </c:tx>
          <c:spPr>
            <a:ln w="19050">
              <a:solidFill>
                <a:schemeClr val="accent2">
                  <a:lumMod val="60000"/>
                  <a:lumOff val="40000"/>
                </a:schemeClr>
              </a:solidFill>
              <a:prstDash val="solid"/>
            </a:ln>
          </c:spPr>
          <c:marker>
            <c:symbol val="none"/>
          </c:marker>
          <c:cat>
            <c:multiLvlStrRef>
              <c:f>'Trh práce-2b'!$B$30:$AI$31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práce-2b'!$B$35:$AI$35</c:f>
              <c:numCache>
                <c:formatCode>0.0</c:formatCode>
                <c:ptCount val="34"/>
                <c:pt idx="0">
                  <c:v>66.51308046903813</c:v>
                </c:pt>
                <c:pt idx="1">
                  <c:v>66.7039986539598</c:v>
                </c:pt>
                <c:pt idx="2">
                  <c:v>66.67707662608224</c:v>
                </c:pt>
                <c:pt idx="3">
                  <c:v>66.496413742325885</c:v>
                </c:pt>
                <c:pt idx="4">
                  <c:v>66.997957895428513</c:v>
                </c:pt>
                <c:pt idx="5">
                  <c:v>67.678676449107357</c:v>
                </c:pt>
                <c:pt idx="6">
                  <c:v>67.897062655185991</c:v>
                </c:pt>
                <c:pt idx="7">
                  <c:v>68.539381702780304</c:v>
                </c:pt>
                <c:pt idx="8">
                  <c:v>68.736310463442067</c:v>
                </c:pt>
                <c:pt idx="9">
                  <c:v>68.597586530965245</c:v>
                </c:pt>
                <c:pt idx="10">
                  <c:v>69.022419519510109</c:v>
                </c:pt>
                <c:pt idx="11">
                  <c:v>69.023842892933047</c:v>
                </c:pt>
                <c:pt idx="12">
                  <c:v>69.317317873526264</c:v>
                </c:pt>
                <c:pt idx="13">
                  <c:v>69.65312398977909</c:v>
                </c:pt>
                <c:pt idx="14">
                  <c:v>69.956090466015695</c:v>
                </c:pt>
                <c:pt idx="15">
                  <c:v>70.176391065795528</c:v>
                </c:pt>
                <c:pt idx="16">
                  <c:v>69.975870882152577</c:v>
                </c:pt>
                <c:pt idx="17">
                  <c:v>69.692359780524257</c:v>
                </c:pt>
                <c:pt idx="18">
                  <c:v>70.006945340497808</c:v>
                </c:pt>
                <c:pt idx="19">
                  <c:v>69.806265980086266</c:v>
                </c:pt>
                <c:pt idx="20">
                  <c:v>69.244229899969497</c:v>
                </c:pt>
                <c:pt idx="21">
                  <c:v>68.847946830914509</c:v>
                </c:pt>
                <c:pt idx="22">
                  <c:v>69.028156010606438</c:v>
                </c:pt>
                <c:pt idx="23">
                  <c:v>69.422217884927775</c:v>
                </c:pt>
                <c:pt idx="24">
                  <c:v>69.392056289841435</c:v>
                </c:pt>
                <c:pt idx="25">
                  <c:v>68.841907260523101</c:v>
                </c:pt>
                <c:pt idx="26">
                  <c:v>69.985094717580139</c:v>
                </c:pt>
                <c:pt idx="27">
                  <c:v>70.139102573926777</c:v>
                </c:pt>
                <c:pt idx="28">
                  <c:v>70.126250034201618</c:v>
                </c:pt>
                <c:pt idx="29">
                  <c:v>70.393426917503959</c:v>
                </c:pt>
                <c:pt idx="30">
                  <c:v>70.918384518214083</c:v>
                </c:pt>
                <c:pt idx="31">
                  <c:v>70.808887185280739</c:v>
                </c:pt>
                <c:pt idx="32">
                  <c:v>71.386843489395545</c:v>
                </c:pt>
              </c:numCache>
            </c:numRef>
          </c:val>
          <c:smooth val="0"/>
          <c:extLst>
            <c:ext xmlns:c16="http://schemas.microsoft.com/office/drawing/2014/chart" uri="{C3380CC4-5D6E-409C-BE32-E72D297353CC}">
              <c16:uniqueId val="{00000003-0527-40F0-A93A-3D8AD8AEAE74}"/>
            </c:ext>
          </c:extLst>
        </c:ser>
        <c:ser>
          <c:idx val="4"/>
          <c:order val="4"/>
          <c:tx>
            <c:strRef>
              <c:f>'Trh práce-2b'!$A$36</c:f>
              <c:strCache>
                <c:ptCount val="1"/>
                <c:pt idx="0">
                  <c:v>Ekon. neaktivní chtějící pracovat</c:v>
                </c:pt>
              </c:strCache>
            </c:strRef>
          </c:tx>
          <c:spPr>
            <a:ln w="19050">
              <a:solidFill>
                <a:schemeClr val="bg2">
                  <a:lumMod val="75000"/>
                </a:schemeClr>
              </a:solidFill>
              <a:prstDash val="sysDash"/>
            </a:ln>
          </c:spPr>
          <c:marker>
            <c:symbol val="none"/>
          </c:marker>
          <c:cat>
            <c:multiLvlStrRef>
              <c:f>'Trh práce-2b'!$B$30:$AI$31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práce-2b'!$B$36:$AI$36</c:f>
              <c:numCache>
                <c:formatCode>0.0</c:formatCode>
                <c:ptCount val="34"/>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113.7</c:v>
                </c:pt>
                <c:pt idx="26">
                  <c:v>64.599999999999994</c:v>
                </c:pt>
                <c:pt idx="27">
                  <c:v>63.3</c:v>
                </c:pt>
                <c:pt idx="28">
                  <c:v>67</c:v>
                </c:pt>
                <c:pt idx="29">
                  <c:v>58.7</c:v>
                </c:pt>
                <c:pt idx="30">
                  <c:v>56.6</c:v>
                </c:pt>
                <c:pt idx="31">
                  <c:v>50</c:v>
                </c:pt>
                <c:pt idx="32">
                  <c:v>74</c:v>
                </c:pt>
              </c:numCache>
            </c:numRef>
          </c:val>
          <c:smooth val="0"/>
          <c:extLst>
            <c:ext xmlns:c16="http://schemas.microsoft.com/office/drawing/2014/chart" uri="{C3380CC4-5D6E-409C-BE32-E72D297353CC}">
              <c16:uniqueId val="{00000004-0527-40F0-A93A-3D8AD8AEAE74}"/>
            </c:ext>
          </c:extLst>
        </c:ser>
        <c:ser>
          <c:idx val="5"/>
          <c:order val="5"/>
          <c:tx>
            <c:strRef>
              <c:f>'Trh práce-2b'!$A$37</c:f>
              <c:strCache>
                <c:ptCount val="1"/>
                <c:pt idx="0">
                  <c:v>Očekávání vývoje nezaměstnanosti</c:v>
                </c:pt>
              </c:strCache>
            </c:strRef>
          </c:tx>
          <c:spPr>
            <a:ln w="15875">
              <a:solidFill>
                <a:schemeClr val="accent6">
                  <a:lumMod val="75000"/>
                </a:schemeClr>
              </a:solidFill>
              <a:prstDash val="dash"/>
            </a:ln>
          </c:spPr>
          <c:marker>
            <c:symbol val="none"/>
          </c:marker>
          <c:cat>
            <c:multiLvlStrRef>
              <c:f>'Trh práce-2b'!$B$30:$AI$31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práce-2b'!$B$37:$AI$37</c:f>
              <c:numCache>
                <c:formatCode>0.0</c:formatCode>
                <c:ptCount val="34"/>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pt idx="30">
                  <c:v>26</c:v>
                </c:pt>
                <c:pt idx="31">
                  <c:v>40</c:v>
                </c:pt>
                <c:pt idx="32">
                  <c:v>35</c:v>
                </c:pt>
                <c:pt idx="33">
                  <c:v>29</c:v>
                </c:pt>
              </c:numCache>
            </c:numRef>
          </c:val>
          <c:smooth val="0"/>
          <c:extLst>
            <c:ext xmlns:c16="http://schemas.microsoft.com/office/drawing/2014/chart" uri="{C3380CC4-5D6E-409C-BE32-E72D297353CC}">
              <c16:uniqueId val="{00000005-0527-40F0-A93A-3D8AD8AEAE74}"/>
            </c:ext>
          </c:extLst>
        </c:ser>
        <c:ser>
          <c:idx val="6"/>
          <c:order val="6"/>
          <c:tx>
            <c:strRef>
              <c:f>'Trh práce-2b'!$A$38</c:f>
              <c:strCache>
                <c:ptCount val="1"/>
                <c:pt idx="0">
                  <c:v>VPM pro vyučené a SŠ bez mat.</c:v>
                </c:pt>
              </c:strCache>
            </c:strRef>
          </c:tx>
          <c:spPr>
            <a:ln>
              <a:noFill/>
            </a:ln>
          </c:spPr>
          <c:marker>
            <c:symbol val="circle"/>
            <c:size val="4"/>
            <c:spPr>
              <a:solidFill>
                <a:srgbClr val="8EB149"/>
              </a:solidFill>
              <a:ln>
                <a:noFill/>
              </a:ln>
            </c:spPr>
          </c:marker>
          <c:cat>
            <c:multiLvlStrRef>
              <c:f>'Trh práce-2b'!$B$30:$AI$31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práce-2b'!$B$38:$AI$38</c:f>
              <c:numCache>
                <c:formatCode>0.0</c:formatCode>
                <c:ptCount val="34"/>
                <c:pt idx="0">
                  <c:v>31.7</c:v>
                </c:pt>
                <c:pt idx="1">
                  <c:v>39.700000000000003</c:v>
                </c:pt>
                <c:pt idx="2">
                  <c:v>44.4</c:v>
                </c:pt>
                <c:pt idx="3">
                  <c:v>41.2</c:v>
                </c:pt>
                <c:pt idx="4">
                  <c:v>45.3</c:v>
                </c:pt>
                <c:pt idx="5">
                  <c:v>51.4</c:v>
                </c:pt>
                <c:pt idx="6">
                  <c:v>52.8</c:v>
                </c:pt>
                <c:pt idx="7">
                  <c:v>47.2</c:v>
                </c:pt>
                <c:pt idx="8">
                  <c:v>51.5</c:v>
                </c:pt>
                <c:pt idx="9">
                  <c:v>59.1</c:v>
                </c:pt>
                <c:pt idx="10">
                  <c:v>63.1</c:v>
                </c:pt>
                <c:pt idx="11">
                  <c:v>60.9</c:v>
                </c:pt>
                <c:pt idx="12">
                  <c:v>65.3</c:v>
                </c:pt>
                <c:pt idx="13">
                  <c:v>73.3</c:v>
                </c:pt>
                <c:pt idx="14">
                  <c:v>74.2</c:v>
                </c:pt>
                <c:pt idx="15">
                  <c:v>70.400000000000006</c:v>
                </c:pt>
                <c:pt idx="16">
                  <c:v>70.2</c:v>
                </c:pt>
                <c:pt idx="17">
                  <c:v>68</c:v>
                </c:pt>
                <c:pt idx="18">
                  <c:v>65.8</c:v>
                </c:pt>
                <c:pt idx="19">
                  <c:v>59.1</c:v>
                </c:pt>
                <c:pt idx="20">
                  <c:v>57.7</c:v>
                </c:pt>
                <c:pt idx="21">
                  <c:v>54.3</c:v>
                </c:pt>
                <c:pt idx="22">
                  <c:v>49.1</c:v>
                </c:pt>
                <c:pt idx="23">
                  <c:v>46.6</c:v>
                </c:pt>
                <c:pt idx="24">
                  <c:v>47.9</c:v>
                </c:pt>
                <c:pt idx="25">
                  <c:v>53.9</c:v>
                </c:pt>
                <c:pt idx="26">
                  <c:v>55.5</c:v>
                </c:pt>
                <c:pt idx="27">
                  <c:v>48.9</c:v>
                </c:pt>
                <c:pt idx="28">
                  <c:v>53.7</c:v>
                </c:pt>
                <c:pt idx="29">
                  <c:v>51.3</c:v>
                </c:pt>
                <c:pt idx="30">
                  <c:v>48.2</c:v>
                </c:pt>
                <c:pt idx="31">
                  <c:v>43.886999999999993</c:v>
                </c:pt>
                <c:pt idx="32">
                  <c:v>43.122000000000043</c:v>
                </c:pt>
              </c:numCache>
            </c:numRef>
          </c:val>
          <c:smooth val="0"/>
          <c:extLst>
            <c:ext xmlns:c16="http://schemas.microsoft.com/office/drawing/2014/chart" uri="{C3380CC4-5D6E-409C-BE32-E72D297353CC}">
              <c16:uniqueId val="{00000006-0527-40F0-A93A-3D8AD8AEAE74}"/>
            </c:ext>
          </c:extLst>
        </c:ser>
        <c:ser>
          <c:idx val="7"/>
          <c:order val="7"/>
          <c:tx>
            <c:strRef>
              <c:f>'Trh práce-2b'!$A$39</c:f>
              <c:strCache>
                <c:ptCount val="1"/>
                <c:pt idx="0">
                  <c:v>VPM pro SŠ s mat., VOŠ a VŠ</c:v>
                </c:pt>
              </c:strCache>
            </c:strRef>
          </c:tx>
          <c:spPr>
            <a:ln>
              <a:noFill/>
            </a:ln>
          </c:spPr>
          <c:marker>
            <c:symbol val="diamond"/>
            <c:size val="5"/>
            <c:spPr>
              <a:solidFill>
                <a:srgbClr val="00B050"/>
              </a:solidFill>
              <a:ln>
                <a:noFill/>
              </a:ln>
            </c:spPr>
          </c:marker>
          <c:cat>
            <c:multiLvlStrRef>
              <c:f>'Trh práce-2b'!$B$30:$AI$31</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práce-2b'!$B$39:$AI$39</c:f>
              <c:numCache>
                <c:formatCode>0.0</c:formatCode>
                <c:ptCount val="34"/>
                <c:pt idx="0">
                  <c:v>16.600000000000001</c:v>
                </c:pt>
                <c:pt idx="1">
                  <c:v>19.3</c:v>
                </c:pt>
                <c:pt idx="2">
                  <c:v>20</c:v>
                </c:pt>
                <c:pt idx="3">
                  <c:v>19.600000000000001</c:v>
                </c:pt>
                <c:pt idx="4">
                  <c:v>23.4</c:v>
                </c:pt>
                <c:pt idx="5">
                  <c:v>24.8</c:v>
                </c:pt>
                <c:pt idx="6">
                  <c:v>25.2</c:v>
                </c:pt>
                <c:pt idx="7">
                  <c:v>23.5</c:v>
                </c:pt>
                <c:pt idx="8">
                  <c:v>25.9</c:v>
                </c:pt>
                <c:pt idx="9">
                  <c:v>30.3</c:v>
                </c:pt>
                <c:pt idx="10">
                  <c:v>31.4</c:v>
                </c:pt>
                <c:pt idx="11">
                  <c:v>31.8</c:v>
                </c:pt>
                <c:pt idx="12">
                  <c:v>34.300000000000004</c:v>
                </c:pt>
                <c:pt idx="13">
                  <c:v>38</c:v>
                </c:pt>
                <c:pt idx="14">
                  <c:v>37.200000000000003</c:v>
                </c:pt>
                <c:pt idx="15">
                  <c:v>36.6</c:v>
                </c:pt>
                <c:pt idx="16">
                  <c:v>37.300000000000004</c:v>
                </c:pt>
                <c:pt idx="17">
                  <c:v>38.300000000000004</c:v>
                </c:pt>
                <c:pt idx="18">
                  <c:v>38.6</c:v>
                </c:pt>
                <c:pt idx="19">
                  <c:v>36.300000000000004</c:v>
                </c:pt>
                <c:pt idx="20">
                  <c:v>37.700000000000003</c:v>
                </c:pt>
                <c:pt idx="21">
                  <c:v>38.1</c:v>
                </c:pt>
                <c:pt idx="22">
                  <c:v>34.4</c:v>
                </c:pt>
                <c:pt idx="23">
                  <c:v>34.1</c:v>
                </c:pt>
                <c:pt idx="24">
                  <c:v>36.300000000000004</c:v>
                </c:pt>
                <c:pt idx="25">
                  <c:v>39.6</c:v>
                </c:pt>
                <c:pt idx="26">
                  <c:v>40.300000000000004</c:v>
                </c:pt>
                <c:pt idx="27">
                  <c:v>39.200000000000003</c:v>
                </c:pt>
                <c:pt idx="28">
                  <c:v>42.5</c:v>
                </c:pt>
                <c:pt idx="29">
                  <c:v>41</c:v>
                </c:pt>
                <c:pt idx="30">
                  <c:v>38.5</c:v>
                </c:pt>
                <c:pt idx="31">
                  <c:v>36.56</c:v>
                </c:pt>
                <c:pt idx="32">
                  <c:v>37.613</c:v>
                </c:pt>
              </c:numCache>
            </c:numRef>
          </c:val>
          <c:smooth val="0"/>
          <c:extLst>
            <c:ext xmlns:c16="http://schemas.microsoft.com/office/drawing/2014/chart" uri="{C3380CC4-5D6E-409C-BE32-E72D297353CC}">
              <c16:uniqueId val="{00000007-0527-40F0-A93A-3D8AD8AEAE74}"/>
            </c:ext>
          </c:extLst>
        </c:ser>
        <c:dLbls>
          <c:showLegendKey val="0"/>
          <c:showVal val="0"/>
          <c:showCatName val="0"/>
          <c:showSerName val="0"/>
          <c:showPercent val="0"/>
          <c:showBubbleSize val="0"/>
        </c:dLbls>
        <c:marker val="1"/>
        <c:smooth val="0"/>
        <c:axId val="79579008"/>
        <c:axId val="79577088"/>
      </c:lineChart>
      <c:catAx>
        <c:axId val="79564800"/>
        <c:scaling>
          <c:orientation val="minMax"/>
        </c:scaling>
        <c:delete val="0"/>
        <c:axPos val="b"/>
        <c:numFmt formatCode="General" sourceLinked="0"/>
        <c:majorTickMark val="out"/>
        <c:minorTickMark val="none"/>
        <c:tickLblPos val="low"/>
        <c:spPr>
          <a:ln>
            <a:solidFill>
              <a:schemeClr val="tx1"/>
            </a:solidFill>
          </a:ln>
        </c:spPr>
        <c:crossAx val="79566720"/>
        <c:crossesAt val="-50"/>
        <c:auto val="1"/>
        <c:lblAlgn val="ctr"/>
        <c:lblOffset val="0"/>
        <c:noMultiLvlLbl val="0"/>
      </c:catAx>
      <c:valAx>
        <c:axId val="79566720"/>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 nezaměstnanosti</a:t>
                </a:r>
              </a:p>
            </c:rich>
          </c:tx>
          <c:overlay val="0"/>
        </c:title>
        <c:numFmt formatCode="0.0" sourceLinked="0"/>
        <c:majorTickMark val="out"/>
        <c:minorTickMark val="none"/>
        <c:tickLblPos val="nextTo"/>
        <c:spPr>
          <a:ln>
            <a:solidFill>
              <a:schemeClr val="tx1"/>
            </a:solidFill>
          </a:ln>
        </c:spPr>
        <c:crossAx val="79564800"/>
        <c:crosses val="autoZero"/>
        <c:crossBetween val="between"/>
        <c:majorUnit val="0.5"/>
      </c:valAx>
      <c:valAx>
        <c:axId val="79577088"/>
        <c:scaling>
          <c:orientation val="minMax"/>
          <c:max val="142"/>
          <c:min val="-10"/>
        </c:scaling>
        <c:delete val="0"/>
        <c:axPos val="r"/>
        <c:title>
          <c:tx>
            <c:rich>
              <a:bodyPr/>
              <a:lstStyle/>
              <a:p>
                <a:pPr>
                  <a:defRPr sz="700" b="0" i="1"/>
                </a:pPr>
                <a:r>
                  <a:rPr lang="cs-CZ" sz="700" b="0" i="1"/>
                  <a:t>Míra</a:t>
                </a:r>
                <a:r>
                  <a:rPr lang="cs-CZ" sz="700" b="0" i="1" baseline="0"/>
                  <a:t> ekonomické aktivity, e</a:t>
                </a:r>
                <a:r>
                  <a:rPr lang="cs-CZ" sz="700" b="0" i="1"/>
                  <a:t>kon. neaktivní, očekávání nezam.</a:t>
                </a:r>
              </a:p>
            </c:rich>
          </c:tx>
          <c:overlay val="0"/>
        </c:title>
        <c:numFmt formatCode="#,##0" sourceLinked="0"/>
        <c:majorTickMark val="out"/>
        <c:minorTickMark val="none"/>
        <c:tickLblPos val="nextTo"/>
        <c:crossAx val="79579008"/>
        <c:crosses val="max"/>
        <c:crossBetween val="between"/>
        <c:majorUnit val="10"/>
      </c:valAx>
      <c:catAx>
        <c:axId val="79579008"/>
        <c:scaling>
          <c:orientation val="minMax"/>
        </c:scaling>
        <c:delete val="1"/>
        <c:axPos val="b"/>
        <c:numFmt formatCode="General" sourceLinked="1"/>
        <c:majorTickMark val="out"/>
        <c:minorTickMark val="none"/>
        <c:tickLblPos val="none"/>
        <c:crossAx val="79577088"/>
        <c:crosses val="autoZero"/>
        <c:auto val="1"/>
        <c:lblAlgn val="ctr"/>
        <c:lblOffset val="100"/>
        <c:noMultiLvlLbl val="0"/>
      </c:catAx>
      <c:spPr>
        <a:ln>
          <a:solidFill>
            <a:schemeClr val="tx1"/>
          </a:solidFill>
        </a:ln>
      </c:spPr>
    </c:plotArea>
    <c:legend>
      <c:legendPos val="b"/>
      <c:layout>
        <c:manualLayout>
          <c:xMode val="edge"/>
          <c:yMode val="edge"/>
          <c:x val="7.7707750087519983E-2"/>
          <c:y val="0.85621702146200651"/>
          <c:w val="0.87725909810586844"/>
          <c:h val="0.13327617558991148"/>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25E-2"/>
          <c:y val="2.0203894786331153E-2"/>
          <c:w val="0.94100987714831796"/>
          <c:h val="0.76395209750566961"/>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3'!$A$29:$B$61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3'!$D$29:$D$61</c:f>
              <c:numCache>
                <c:formatCode>#\ ##0.0</c:formatCode>
                <c:ptCount val="33"/>
                <c:pt idx="0">
                  <c:v>2.2000000000000042</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4.9000000000000083</c:v>
                </c:pt>
                <c:pt idx="10">
                  <c:v>4.0999999999999943</c:v>
                </c:pt>
                <c:pt idx="11">
                  <c:v>5.0999999999999943</c:v>
                </c:pt>
                <c:pt idx="12">
                  <c:v>6.5</c:v>
                </c:pt>
                <c:pt idx="13">
                  <c:v>6.2999999999999972</c:v>
                </c:pt>
                <c:pt idx="14">
                  <c:v>5.9000000000000083</c:v>
                </c:pt>
                <c:pt idx="15">
                  <c:v>4.9000000000000083</c:v>
                </c:pt>
                <c:pt idx="16">
                  <c:v>5.5</c:v>
                </c:pt>
                <c:pt idx="17">
                  <c:v>5.0999999999999943</c:v>
                </c:pt>
                <c:pt idx="18">
                  <c:v>4.7999999999999972</c:v>
                </c:pt>
                <c:pt idx="19">
                  <c:v>4.5</c:v>
                </c:pt>
                <c:pt idx="20">
                  <c:v>1.7999999999999952</c:v>
                </c:pt>
                <c:pt idx="21">
                  <c:v>-2.0999999999999943</c:v>
                </c:pt>
                <c:pt idx="22">
                  <c:v>2</c:v>
                </c:pt>
                <c:pt idx="23">
                  <c:v>4</c:v>
                </c:pt>
                <c:pt idx="24">
                  <c:v>0.7999999999999976</c:v>
                </c:pt>
                <c:pt idx="25">
                  <c:v>8.1000000000000014</c:v>
                </c:pt>
                <c:pt idx="26">
                  <c:v>1.2000000000000028</c:v>
                </c:pt>
                <c:pt idx="27">
                  <c:v>-2.0999999999999943</c:v>
                </c:pt>
                <c:pt idx="28">
                  <c:v>-4.5999999999999943</c:v>
                </c:pt>
                <c:pt idx="29">
                  <c:v>-10.700000000000003</c:v>
                </c:pt>
                <c:pt idx="30">
                  <c:v>-10.5</c:v>
                </c:pt>
                <c:pt idx="31">
                  <c:v>-7.9000000000000083</c:v>
                </c:pt>
                <c:pt idx="32">
                  <c:v>-6.7000000000000028</c:v>
                </c:pt>
              </c:numCache>
            </c:numRef>
          </c:val>
          <c:extLst>
            <c:ext xmlns:c16="http://schemas.microsoft.com/office/drawing/2014/chart" uri="{C3380CC4-5D6E-409C-BE32-E72D297353CC}">
              <c16:uniqueId val="{00000000-C833-424F-B081-83E17E76F7BF}"/>
            </c:ext>
          </c:extLst>
        </c:ser>
        <c:dLbls>
          <c:showLegendKey val="0"/>
          <c:showVal val="0"/>
          <c:showCatName val="0"/>
          <c:showSerName val="0"/>
          <c:showPercent val="0"/>
          <c:showBubbleSize val="0"/>
        </c:dLbls>
        <c:gapWidth val="37"/>
        <c:axId val="79613312"/>
        <c:axId val="7988992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prstDash val="sysDash"/>
            </a:ln>
          </c:spPr>
          <c:marker>
            <c:symbol val="none"/>
          </c:marker>
          <c:cat>
            <c:multiLvlStrRef>
              <c:f>'Trh práce 3'!$A$29:$B$61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3'!$C$29:$C$61</c:f>
              <c:numCache>
                <c:formatCode>#\ ##0.0</c:formatCode>
                <c:ptCount val="33"/>
                <c:pt idx="0">
                  <c:v>2.2999999999999972</c:v>
                </c:pt>
                <c:pt idx="1">
                  <c:v>3.2999999999999972</c:v>
                </c:pt>
                <c:pt idx="2">
                  <c:v>3.5</c:v>
                </c:pt>
                <c:pt idx="3">
                  <c:v>3.7000000000000042</c:v>
                </c:pt>
                <c:pt idx="4">
                  <c:v>4.7000000000000028</c:v>
                </c:pt>
                <c:pt idx="5">
                  <c:v>4</c:v>
                </c:pt>
                <c:pt idx="6">
                  <c:v>4.7000000000000028</c:v>
                </c:pt>
                <c:pt idx="7">
                  <c:v>4.4000000000000083</c:v>
                </c:pt>
                <c:pt idx="8">
                  <c:v>5.0999999999999943</c:v>
                </c:pt>
                <c:pt idx="9">
                  <c:v>7.2000000000000028</c:v>
                </c:pt>
                <c:pt idx="10">
                  <c:v>6.7000000000000028</c:v>
                </c:pt>
                <c:pt idx="11">
                  <c:v>7.7999999999999972</c:v>
                </c:pt>
                <c:pt idx="12">
                  <c:v>8.5</c:v>
                </c:pt>
                <c:pt idx="13">
                  <c:v>8.7000000000000011</c:v>
                </c:pt>
                <c:pt idx="14">
                  <c:v>8.4000000000000057</c:v>
                </c:pt>
                <c:pt idx="15">
                  <c:v>7.0999999999999943</c:v>
                </c:pt>
                <c:pt idx="16">
                  <c:v>8.3000000000000025</c:v>
                </c:pt>
                <c:pt idx="17">
                  <c:v>8</c:v>
                </c:pt>
                <c:pt idx="18">
                  <c:v>7.7000000000000028</c:v>
                </c:pt>
                <c:pt idx="19">
                  <c:v>7.5999999999999943</c:v>
                </c:pt>
                <c:pt idx="20">
                  <c:v>5.5</c:v>
                </c:pt>
                <c:pt idx="21">
                  <c:v>0.90000000000000568</c:v>
                </c:pt>
                <c:pt idx="22">
                  <c:v>5.4000000000000083</c:v>
                </c:pt>
                <c:pt idx="23">
                  <c:v>6.7000000000000028</c:v>
                </c:pt>
                <c:pt idx="24">
                  <c:v>3</c:v>
                </c:pt>
                <c:pt idx="25">
                  <c:v>11.200000000000003</c:v>
                </c:pt>
                <c:pt idx="26">
                  <c:v>5.2999999999999972</c:v>
                </c:pt>
                <c:pt idx="27">
                  <c:v>3.9000000000000057</c:v>
                </c:pt>
                <c:pt idx="28">
                  <c:v>6.0999999999999943</c:v>
                </c:pt>
                <c:pt idx="29">
                  <c:v>3.4000000000000057</c:v>
                </c:pt>
                <c:pt idx="30">
                  <c:v>5.2000000000000028</c:v>
                </c:pt>
                <c:pt idx="31">
                  <c:v>6.5999999999999943</c:v>
                </c:pt>
                <c:pt idx="32">
                  <c:v>8.6000000000000014</c:v>
                </c:pt>
              </c:numCache>
            </c:numRef>
          </c:val>
          <c:smooth val="0"/>
          <c:extLst>
            <c:ext xmlns:c16="http://schemas.microsoft.com/office/drawing/2014/chart" uri="{C3380CC4-5D6E-409C-BE32-E72D297353CC}">
              <c16:uniqueId val="{00000001-C833-424F-B081-83E17E76F7BF}"/>
            </c:ext>
          </c:extLst>
        </c:ser>
        <c:ser>
          <c:idx val="5"/>
          <c:order val="2"/>
          <c:tx>
            <c:strRef>
              <c:f>'Trh práce 3'!$E$8</c:f>
              <c:strCache>
                <c:ptCount val="1"/>
                <c:pt idx="0">
                  <c:v>Prům. mzda v průmyslu (nominálně)</c:v>
                </c:pt>
              </c:strCache>
            </c:strRef>
          </c:tx>
          <c:spPr>
            <a:ln w="9525">
              <a:solidFill>
                <a:srgbClr val="C00000"/>
              </a:solidFill>
              <a:prstDash val="solid"/>
            </a:ln>
          </c:spPr>
          <c:marker>
            <c:symbol val="none"/>
          </c:marker>
          <c:cat>
            <c:multiLvlStrRef>
              <c:f>'Trh práce 3'!$A$29:$B$61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3'!$E$29:$E$61</c:f>
              <c:numCache>
                <c:formatCode>#\ ##0.0</c:formatCode>
                <c:ptCount val="33"/>
                <c:pt idx="0">
                  <c:v>1.6381118189372059</c:v>
                </c:pt>
                <c:pt idx="1">
                  <c:v>2.6920877025738719</c:v>
                </c:pt>
                <c:pt idx="2">
                  <c:v>3.0100597296447624</c:v>
                </c:pt>
                <c:pt idx="3">
                  <c:v>2.9788308269320822</c:v>
                </c:pt>
                <c:pt idx="4">
                  <c:v>4.6482656596722052</c:v>
                </c:pt>
                <c:pt idx="5">
                  <c:v>3.9508373250157827</c:v>
                </c:pt>
                <c:pt idx="6">
                  <c:v>4.6540016784924108</c:v>
                </c:pt>
                <c:pt idx="7">
                  <c:v>3.8977412011906836</c:v>
                </c:pt>
                <c:pt idx="8">
                  <c:v>5.1746586808526507</c:v>
                </c:pt>
                <c:pt idx="9">
                  <c:v>8.0728701553848907</c:v>
                </c:pt>
                <c:pt idx="10">
                  <c:v>6.8272945979441602</c:v>
                </c:pt>
                <c:pt idx="11">
                  <c:v>7.0884454631252485</c:v>
                </c:pt>
                <c:pt idx="12">
                  <c:v>7.9018109790605555</c:v>
                </c:pt>
                <c:pt idx="13">
                  <c:v>8.1936869938853345</c:v>
                </c:pt>
                <c:pt idx="14">
                  <c:v>7.3566042242467775</c:v>
                </c:pt>
                <c:pt idx="15">
                  <c:v>7.6170092222467014</c:v>
                </c:pt>
                <c:pt idx="16">
                  <c:v>7.1985838851373387</c:v>
                </c:pt>
                <c:pt idx="17">
                  <c:v>7.0904869554591556</c:v>
                </c:pt>
                <c:pt idx="18">
                  <c:v>6.7539649747322095</c:v>
                </c:pt>
                <c:pt idx="19">
                  <c:v>5.6242870930946793</c:v>
                </c:pt>
                <c:pt idx="20">
                  <c:v>4.852914194850479</c:v>
                </c:pt>
                <c:pt idx="21">
                  <c:v>-3.4830979888746358</c:v>
                </c:pt>
                <c:pt idx="22">
                  <c:v>2.9564130046444999</c:v>
                </c:pt>
                <c:pt idx="23">
                  <c:v>4.0067563825663104</c:v>
                </c:pt>
                <c:pt idx="24">
                  <c:v>1.8985680538948344</c:v>
                </c:pt>
                <c:pt idx="25">
                  <c:v>10.170242950877807</c:v>
                </c:pt>
                <c:pt idx="26">
                  <c:v>4.7656227408114233</c:v>
                </c:pt>
                <c:pt idx="27">
                  <c:v>3.7112962913660401</c:v>
                </c:pt>
                <c:pt idx="28">
                  <c:v>5.6439610761304868</c:v>
                </c:pt>
                <c:pt idx="29">
                  <c:v>6.6425217974513684</c:v>
                </c:pt>
                <c:pt idx="30">
                  <c:v>6.4616743492781978</c:v>
                </c:pt>
                <c:pt idx="31">
                  <c:v>8.1350275959440488</c:v>
                </c:pt>
                <c:pt idx="32">
                  <c:v>10.446467273515402</c:v>
                </c:pt>
              </c:numCache>
            </c:numRef>
          </c:val>
          <c:smooth val="0"/>
          <c:extLst>
            <c:ext xmlns:c16="http://schemas.microsoft.com/office/drawing/2014/chart" uri="{C3380CC4-5D6E-409C-BE32-E72D297353CC}">
              <c16:uniqueId val="{00000002-C833-424F-B081-83E17E76F7BF}"/>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3'!$A$29:$B$61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3'!$F$29:$F$61</c:f>
              <c:numCache>
                <c:formatCode>#\ ##0.0</c:formatCode>
                <c:ptCount val="33"/>
                <c:pt idx="0">
                  <c:v>3.1055099144049194</c:v>
                </c:pt>
                <c:pt idx="1">
                  <c:v>3.9141414141414117</c:v>
                </c:pt>
                <c:pt idx="2">
                  <c:v>3.949146815340427</c:v>
                </c:pt>
                <c:pt idx="3">
                  <c:v>5.7916298497871423</c:v>
                </c:pt>
                <c:pt idx="4">
                  <c:v>5.6443202202661462</c:v>
                </c:pt>
                <c:pt idx="5">
                  <c:v>3.9570676387201189</c:v>
                </c:pt>
                <c:pt idx="6">
                  <c:v>4.9977652269310475</c:v>
                </c:pt>
                <c:pt idx="7">
                  <c:v>4.4950645406226224</c:v>
                </c:pt>
                <c:pt idx="8">
                  <c:v>5.6231243089559104</c:v>
                </c:pt>
                <c:pt idx="9">
                  <c:v>7.9284684614485474</c:v>
                </c:pt>
                <c:pt idx="10">
                  <c:v>7.6932007275260155</c:v>
                </c:pt>
                <c:pt idx="11">
                  <c:v>8.3926754832146457</c:v>
                </c:pt>
                <c:pt idx="12">
                  <c:v>7.2416629280693936</c:v>
                </c:pt>
                <c:pt idx="13">
                  <c:v>7.0392029456356999</c:v>
                </c:pt>
                <c:pt idx="14">
                  <c:v>6.8381903769449055</c:v>
                </c:pt>
                <c:pt idx="15">
                  <c:v>6.6970570490044903</c:v>
                </c:pt>
                <c:pt idx="16">
                  <c:v>9.5345999651385682</c:v>
                </c:pt>
                <c:pt idx="17">
                  <c:v>7.4227708080399255</c:v>
                </c:pt>
                <c:pt idx="18">
                  <c:v>8.1629221041302316</c:v>
                </c:pt>
                <c:pt idx="19">
                  <c:v>6.3018346318170391</c:v>
                </c:pt>
                <c:pt idx="20">
                  <c:v>6.3685550604710448</c:v>
                </c:pt>
                <c:pt idx="21">
                  <c:v>0.91357172008916621</c:v>
                </c:pt>
                <c:pt idx="22">
                  <c:v>4.7389533256631271</c:v>
                </c:pt>
                <c:pt idx="23">
                  <c:v>2.4469531296175804</c:v>
                </c:pt>
                <c:pt idx="24">
                  <c:v>2.2321294994165277</c:v>
                </c:pt>
                <c:pt idx="25">
                  <c:v>9.8898705823792898</c:v>
                </c:pt>
                <c:pt idx="26">
                  <c:v>6.6146127126443588</c:v>
                </c:pt>
                <c:pt idx="27">
                  <c:v>8.7059366526279458</c:v>
                </c:pt>
                <c:pt idx="28">
                  <c:v>7.0565165217900265</c:v>
                </c:pt>
                <c:pt idx="29">
                  <c:v>6.2565467259292831</c:v>
                </c:pt>
                <c:pt idx="30">
                  <c:v>4.2800256188911314</c:v>
                </c:pt>
                <c:pt idx="31">
                  <c:v>5.4850865088631622</c:v>
                </c:pt>
                <c:pt idx="32">
                  <c:v>8.9808081360380498</c:v>
                </c:pt>
              </c:numCache>
            </c:numRef>
          </c:val>
          <c:smooth val="0"/>
          <c:extLst>
            <c:ext xmlns:c16="http://schemas.microsoft.com/office/drawing/2014/chart" uri="{C3380CC4-5D6E-409C-BE32-E72D297353CC}">
              <c16:uniqueId val="{00000003-C833-424F-B081-83E17E76F7BF}"/>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3'!$A$29:$B$61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3'!$G$29:$G$61</c:f>
              <c:numCache>
                <c:formatCode>#\ ##0.0</c:formatCode>
                <c:ptCount val="33"/>
                <c:pt idx="0">
                  <c:v>3.2925091204842656</c:v>
                </c:pt>
                <c:pt idx="1">
                  <c:v>4.3135889286729485</c:v>
                </c:pt>
                <c:pt idx="2">
                  <c:v>3.8145419077079792</c:v>
                </c:pt>
                <c:pt idx="3">
                  <c:v>3.6381766938736737</c:v>
                </c:pt>
                <c:pt idx="4">
                  <c:v>4.64178325585614</c:v>
                </c:pt>
                <c:pt idx="5">
                  <c:v>3.8061258933532072</c:v>
                </c:pt>
                <c:pt idx="6">
                  <c:v>4.8526374704253872</c:v>
                </c:pt>
                <c:pt idx="7">
                  <c:v>6.1351981806606322</c:v>
                </c:pt>
                <c:pt idx="8">
                  <c:v>5.4566112929362163</c:v>
                </c:pt>
                <c:pt idx="9">
                  <c:v>7.3192456135909234</c:v>
                </c:pt>
                <c:pt idx="10">
                  <c:v>7.9981713137873953</c:v>
                </c:pt>
                <c:pt idx="11">
                  <c:v>10.484072576559427</c:v>
                </c:pt>
                <c:pt idx="12">
                  <c:v>12.179699393983411</c:v>
                </c:pt>
                <c:pt idx="13">
                  <c:v>11.89217733254112</c:v>
                </c:pt>
                <c:pt idx="14">
                  <c:v>11.36132632162867</c:v>
                </c:pt>
                <c:pt idx="15">
                  <c:v>6.1282038917470629</c:v>
                </c:pt>
                <c:pt idx="16">
                  <c:v>9.4162908795776143</c:v>
                </c:pt>
                <c:pt idx="17">
                  <c:v>9.3022383570098661</c:v>
                </c:pt>
                <c:pt idx="18">
                  <c:v>8.3925247282538464</c:v>
                </c:pt>
                <c:pt idx="19">
                  <c:v>11.041060141001228</c:v>
                </c:pt>
                <c:pt idx="20">
                  <c:v>5.2296117021426536</c:v>
                </c:pt>
                <c:pt idx="21">
                  <c:v>4.9937922145909539</c:v>
                </c:pt>
                <c:pt idx="22">
                  <c:v>8.8109946466096716</c:v>
                </c:pt>
                <c:pt idx="23">
                  <c:v>13.948630451066606</c:v>
                </c:pt>
                <c:pt idx="24">
                  <c:v>4.5485385483402689</c:v>
                </c:pt>
                <c:pt idx="25">
                  <c:v>17.785684079314979</c:v>
                </c:pt>
                <c:pt idx="26">
                  <c:v>5.4643357321226631</c:v>
                </c:pt>
                <c:pt idx="27">
                  <c:v>-0.40508430459891542</c:v>
                </c:pt>
                <c:pt idx="28">
                  <c:v>2.33727131313033</c:v>
                </c:pt>
                <c:pt idx="29">
                  <c:v>-7.0559031696263981</c:v>
                </c:pt>
                <c:pt idx="30">
                  <c:v>0.39584457842951842</c:v>
                </c:pt>
                <c:pt idx="31">
                  <c:v>3.340290814336754</c:v>
                </c:pt>
                <c:pt idx="32">
                  <c:v>7.1865033591575074</c:v>
                </c:pt>
              </c:numCache>
            </c:numRef>
          </c:val>
          <c:smooth val="0"/>
          <c:extLst>
            <c:ext xmlns:c16="http://schemas.microsoft.com/office/drawing/2014/chart" uri="{C3380CC4-5D6E-409C-BE32-E72D297353CC}">
              <c16:uniqueId val="{00000004-C833-424F-B081-83E17E76F7BF}"/>
            </c:ext>
          </c:extLst>
        </c:ser>
        <c:ser>
          <c:idx val="3"/>
          <c:order val="5"/>
          <c:tx>
            <c:strRef>
              <c:f>'Trh práce 3'!$H$8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3'!$A$29:$B$61</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3'!$H$29:$H$61</c:f>
              <c:numCache>
                <c:formatCode>#\ ##0.0</c:formatCode>
                <c:ptCount val="33"/>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4.9000000000000083</c:v>
                </c:pt>
                <c:pt idx="9">
                  <c:v>7.7000000000000028</c:v>
                </c:pt>
                <c:pt idx="10">
                  <c:v>7</c:v>
                </c:pt>
                <c:pt idx="11">
                  <c:v>8.9000000000000057</c:v>
                </c:pt>
                <c:pt idx="12">
                  <c:v>8.7000000000000011</c:v>
                </c:pt>
                <c:pt idx="13">
                  <c:v>9.7000000000000011</c:v>
                </c:pt>
                <c:pt idx="14">
                  <c:v>9.3000000000000025</c:v>
                </c:pt>
                <c:pt idx="15">
                  <c:v>6.7000000000000028</c:v>
                </c:pt>
                <c:pt idx="16">
                  <c:v>7.2000000000000028</c:v>
                </c:pt>
                <c:pt idx="17">
                  <c:v>6.4000000000000083</c:v>
                </c:pt>
                <c:pt idx="18">
                  <c:v>7.2999999999999972</c:v>
                </c:pt>
                <c:pt idx="19">
                  <c:v>6.4000000000000083</c:v>
                </c:pt>
                <c:pt idx="20">
                  <c:v>7</c:v>
                </c:pt>
                <c:pt idx="21">
                  <c:v>1.4000000000000057</c:v>
                </c:pt>
                <c:pt idx="22">
                  <c:v>6.7000000000000028</c:v>
                </c:pt>
                <c:pt idx="23">
                  <c:v>6.7000000000000028</c:v>
                </c:pt>
                <c:pt idx="24">
                  <c:v>2.2999999999999972</c:v>
                </c:pt>
                <c:pt idx="25">
                  <c:v>11.100000000000001</c:v>
                </c:pt>
                <c:pt idx="26">
                  <c:v>4.7000000000000028</c:v>
                </c:pt>
                <c:pt idx="27">
                  <c:v>4.5999999999999943</c:v>
                </c:pt>
                <c:pt idx="28">
                  <c:v>5</c:v>
                </c:pt>
                <c:pt idx="29">
                  <c:v>4</c:v>
                </c:pt>
                <c:pt idx="30">
                  <c:v>5.4000000000000083</c:v>
                </c:pt>
                <c:pt idx="31">
                  <c:v>7.4000000000000083</c:v>
                </c:pt>
                <c:pt idx="32">
                  <c:v>8.9000000000000057</c:v>
                </c:pt>
              </c:numCache>
            </c:numRef>
          </c:val>
          <c:smooth val="0"/>
          <c:extLst>
            <c:ext xmlns:c16="http://schemas.microsoft.com/office/drawing/2014/chart" uri="{C3380CC4-5D6E-409C-BE32-E72D297353CC}">
              <c16:uniqueId val="{00000005-C833-424F-B081-83E17E76F7BF}"/>
            </c:ext>
          </c:extLst>
        </c:ser>
        <c:dLbls>
          <c:showLegendKey val="0"/>
          <c:showVal val="0"/>
          <c:showCatName val="0"/>
          <c:showSerName val="0"/>
          <c:showPercent val="0"/>
          <c:showBubbleSize val="0"/>
        </c:dLbls>
        <c:marker val="1"/>
        <c:smooth val="0"/>
        <c:axId val="79613312"/>
        <c:axId val="79889920"/>
      </c:lineChart>
      <c:catAx>
        <c:axId val="79613312"/>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79889920"/>
        <c:crosses val="autoZero"/>
        <c:auto val="1"/>
        <c:lblAlgn val="ctr"/>
        <c:lblOffset val="0"/>
        <c:tickMarkSkip val="4"/>
        <c:noMultiLvlLbl val="0"/>
      </c:catAx>
      <c:valAx>
        <c:axId val="79889920"/>
        <c:scaling>
          <c:orientation val="minMax"/>
          <c:max val="18"/>
          <c:min val="-12"/>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79613312"/>
        <c:crosses val="autoZero"/>
        <c:crossBetween val="between"/>
        <c:majorUnit val="2"/>
      </c:valAx>
      <c:spPr>
        <a:ln>
          <a:solidFill>
            <a:schemeClr val="tx1"/>
          </a:solidFill>
        </a:ln>
      </c:spPr>
    </c:plotArea>
    <c:legend>
      <c:legendPos val="b"/>
      <c:layout>
        <c:manualLayout>
          <c:xMode val="edge"/>
          <c:yMode val="edge"/>
          <c:x val="9.1292133366733495E-3"/>
          <c:y val="0.87578174603174663"/>
          <c:w val="0.97744446685490061"/>
          <c:h val="0.11341893424036267"/>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26E-2"/>
          <c:y val="2.1711264016309895E-2"/>
          <c:w val="0.93508633063154345"/>
          <c:h val="0.73130361364405039"/>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1'!$A$78:$B$140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2018</c:v>
                  </c:pt>
                  <c:pt idx="12">
                    <c:v>2019</c:v>
                  </c:pt>
                  <c:pt idx="24">
                    <c:v>2020</c:v>
                  </c:pt>
                  <c:pt idx="36">
                    <c:v>2021</c:v>
                  </c:pt>
                  <c:pt idx="48">
                    <c:v>2022</c:v>
                  </c:pt>
                  <c:pt idx="60">
                    <c:v>2023</c:v>
                  </c:pt>
                </c:lvl>
              </c:multiLvlStrCache>
            </c:multiLvlStrRef>
          </c:cat>
          <c:val>
            <c:numRef>
              <c:f>'Měnové podmínky 1'!$C$78:$C$140</c:f>
              <c:numCache>
                <c:formatCode>General</c:formatCode>
                <c:ptCount val="63"/>
                <c:pt idx="0">
                  <c:v>0.5</c:v>
                </c:pt>
                <c:pt idx="1">
                  <c:v>0.75000000000000022</c:v>
                </c:pt>
                <c:pt idx="2">
                  <c:v>0.75000000000000022</c:v>
                </c:pt>
                <c:pt idx="3">
                  <c:v>0.75000000000000022</c:v>
                </c:pt>
                <c:pt idx="4">
                  <c:v>0.75000000000000022</c:v>
                </c:pt>
                <c:pt idx="5">
                  <c:v>1</c:v>
                </c:pt>
                <c:pt idx="6">
                  <c:v>1</c:v>
                </c:pt>
                <c:pt idx="7">
                  <c:v>1.25</c:v>
                </c:pt>
                <c:pt idx="8">
                  <c:v>1.5</c:v>
                </c:pt>
                <c:pt idx="9">
                  <c:v>1.5</c:v>
                </c:pt>
                <c:pt idx="10">
                  <c:v>1.7500000000000002</c:v>
                </c:pt>
                <c:pt idx="11">
                  <c:v>1.7500000000000002</c:v>
                </c:pt>
                <c:pt idx="12">
                  <c:v>1.7500000000000002</c:v>
                </c:pt>
                <c:pt idx="13">
                  <c:v>1.7500000000000002</c:v>
                </c:pt>
                <c:pt idx="14">
                  <c:v>1.7500000000000002</c:v>
                </c:pt>
                <c:pt idx="15">
                  <c:v>1.7500000000000002</c:v>
                </c:pt>
                <c:pt idx="16">
                  <c:v>2</c:v>
                </c:pt>
                <c:pt idx="17">
                  <c:v>2</c:v>
                </c:pt>
                <c:pt idx="18">
                  <c:v>2</c:v>
                </c:pt>
                <c:pt idx="19">
                  <c:v>2</c:v>
                </c:pt>
                <c:pt idx="20">
                  <c:v>2</c:v>
                </c:pt>
                <c:pt idx="21">
                  <c:v>2</c:v>
                </c:pt>
                <c:pt idx="22">
                  <c:v>2</c:v>
                </c:pt>
                <c:pt idx="23">
                  <c:v>2</c:v>
                </c:pt>
                <c:pt idx="24">
                  <c:v>2</c:v>
                </c:pt>
                <c:pt idx="25">
                  <c:v>2.25</c:v>
                </c:pt>
                <c:pt idx="26">
                  <c:v>1</c:v>
                </c:pt>
                <c:pt idx="27">
                  <c:v>1</c:v>
                </c:pt>
                <c:pt idx="28">
                  <c:v>0.25</c:v>
                </c:pt>
                <c:pt idx="29">
                  <c:v>0.25</c:v>
                </c:pt>
                <c:pt idx="30">
                  <c:v>0.25</c:v>
                </c:pt>
                <c:pt idx="31">
                  <c:v>0.25</c:v>
                </c:pt>
                <c:pt idx="32">
                  <c:v>0.25</c:v>
                </c:pt>
                <c:pt idx="33">
                  <c:v>0.25</c:v>
                </c:pt>
                <c:pt idx="34">
                  <c:v>0.25</c:v>
                </c:pt>
                <c:pt idx="35">
                  <c:v>0.25</c:v>
                </c:pt>
                <c:pt idx="36">
                  <c:v>0.25</c:v>
                </c:pt>
                <c:pt idx="37">
                  <c:v>0.25</c:v>
                </c:pt>
                <c:pt idx="38">
                  <c:v>0.25</c:v>
                </c:pt>
                <c:pt idx="39">
                  <c:v>0.25</c:v>
                </c:pt>
                <c:pt idx="40">
                  <c:v>0.25</c:v>
                </c:pt>
                <c:pt idx="41">
                  <c:v>0.5</c:v>
                </c:pt>
                <c:pt idx="42">
                  <c:v>0.5</c:v>
                </c:pt>
                <c:pt idx="43">
                  <c:v>0.75000000000000022</c:v>
                </c:pt>
                <c:pt idx="44">
                  <c:v>0.75000000000000022</c:v>
                </c:pt>
                <c:pt idx="45">
                  <c:v>1.5</c:v>
                </c:pt>
                <c:pt idx="46">
                  <c:v>2.75</c:v>
                </c:pt>
                <c:pt idx="47">
                  <c:v>3.75</c:v>
                </c:pt>
                <c:pt idx="48">
                  <c:v>3.75</c:v>
                </c:pt>
                <c:pt idx="49">
                  <c:v>4.5</c:v>
                </c:pt>
                <c:pt idx="50">
                  <c:v>4.5</c:v>
                </c:pt>
                <c:pt idx="51">
                  <c:v>5</c:v>
                </c:pt>
                <c:pt idx="52">
                  <c:v>5.75</c:v>
                </c:pt>
                <c:pt idx="53">
                  <c:v>7</c:v>
                </c:pt>
                <c:pt idx="54">
                  <c:v>7</c:v>
                </c:pt>
                <c:pt idx="55">
                  <c:v>7</c:v>
                </c:pt>
                <c:pt idx="56">
                  <c:v>7</c:v>
                </c:pt>
                <c:pt idx="57">
                  <c:v>7</c:v>
                </c:pt>
                <c:pt idx="58">
                  <c:v>7</c:v>
                </c:pt>
                <c:pt idx="59">
                  <c:v>7</c:v>
                </c:pt>
                <c:pt idx="60">
                  <c:v>7</c:v>
                </c:pt>
                <c:pt idx="61">
                  <c:v>7</c:v>
                </c:pt>
                <c:pt idx="62">
                  <c:v>7</c:v>
                </c:pt>
              </c:numCache>
            </c:numRef>
          </c:val>
          <c:extLst>
            <c:ext xmlns:c16="http://schemas.microsoft.com/office/drawing/2014/chart" uri="{C3380CC4-5D6E-409C-BE32-E72D297353CC}">
              <c16:uniqueId val="{00000000-26BA-40EB-A877-57CA2E2E705F}"/>
            </c:ext>
          </c:extLst>
        </c:ser>
        <c:dLbls>
          <c:showLegendKey val="0"/>
          <c:showVal val="0"/>
          <c:showCatName val="0"/>
          <c:showSerName val="0"/>
          <c:showPercent val="0"/>
          <c:showBubbleSize val="0"/>
        </c:dLbls>
        <c:gapWidth val="31"/>
        <c:axId val="117903744"/>
        <c:axId val="117905280"/>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1'!$A$78:$B$140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2018</c:v>
                  </c:pt>
                  <c:pt idx="12">
                    <c:v>2019</c:v>
                  </c:pt>
                  <c:pt idx="24">
                    <c:v>2020</c:v>
                  </c:pt>
                  <c:pt idx="36">
                    <c:v>2021</c:v>
                  </c:pt>
                  <c:pt idx="48">
                    <c:v>2022</c:v>
                  </c:pt>
                  <c:pt idx="60">
                    <c:v>2023</c:v>
                  </c:pt>
                </c:lvl>
              </c:multiLvlStrCache>
            </c:multiLvlStrRef>
          </c:cat>
          <c:val>
            <c:numRef>
              <c:f>'Měnové podmínky 1'!$F$78:$F$140</c:f>
              <c:numCache>
                <c:formatCode>General</c:formatCode>
                <c:ptCount val="63"/>
                <c:pt idx="0">
                  <c:v>0.46</c:v>
                </c:pt>
                <c:pt idx="1">
                  <c:v>0.55000000000000004</c:v>
                </c:pt>
                <c:pt idx="2">
                  <c:v>0.62000000000000022</c:v>
                </c:pt>
                <c:pt idx="3">
                  <c:v>0.6000000000000002</c:v>
                </c:pt>
                <c:pt idx="4">
                  <c:v>0.70000000000000018</c:v>
                </c:pt>
                <c:pt idx="5">
                  <c:v>0.89000000000000012</c:v>
                </c:pt>
                <c:pt idx="6">
                  <c:v>1.0900000000000001</c:v>
                </c:pt>
                <c:pt idx="7">
                  <c:v>1.26</c:v>
                </c:pt>
                <c:pt idx="8">
                  <c:v>1.34</c:v>
                </c:pt>
                <c:pt idx="9">
                  <c:v>1.44</c:v>
                </c:pt>
                <c:pt idx="10">
                  <c:v>1.49</c:v>
                </c:pt>
                <c:pt idx="11">
                  <c:v>1.52</c:v>
                </c:pt>
                <c:pt idx="12">
                  <c:v>1.6600000000000001</c:v>
                </c:pt>
                <c:pt idx="13">
                  <c:v>1.7400000000000002</c:v>
                </c:pt>
                <c:pt idx="14">
                  <c:v>1.7100000000000002</c:v>
                </c:pt>
                <c:pt idx="15">
                  <c:v>1.6300000000000001</c:v>
                </c:pt>
                <c:pt idx="16">
                  <c:v>1.62</c:v>
                </c:pt>
                <c:pt idx="17">
                  <c:v>1.52</c:v>
                </c:pt>
                <c:pt idx="18">
                  <c:v>1.35</c:v>
                </c:pt>
                <c:pt idx="19">
                  <c:v>0.8500000000000002</c:v>
                </c:pt>
                <c:pt idx="20">
                  <c:v>1.07</c:v>
                </c:pt>
                <c:pt idx="21">
                  <c:v>1.1700000000000004</c:v>
                </c:pt>
                <c:pt idx="22">
                  <c:v>1.33</c:v>
                </c:pt>
                <c:pt idx="23">
                  <c:v>1.36</c:v>
                </c:pt>
                <c:pt idx="24">
                  <c:v>1.55</c:v>
                </c:pt>
                <c:pt idx="25">
                  <c:v>1.57</c:v>
                </c:pt>
                <c:pt idx="26">
                  <c:v>1.27</c:v>
                </c:pt>
                <c:pt idx="27">
                  <c:v>0.71000000000000019</c:v>
                </c:pt>
                <c:pt idx="28">
                  <c:v>0.13</c:v>
                </c:pt>
                <c:pt idx="29">
                  <c:v>8.0000000000000029E-2</c:v>
                </c:pt>
                <c:pt idx="30">
                  <c:v>2.0000000000000007E-2</c:v>
                </c:pt>
                <c:pt idx="31">
                  <c:v>4.0000000000000015E-2</c:v>
                </c:pt>
                <c:pt idx="32">
                  <c:v>5.0000000000000017E-2</c:v>
                </c:pt>
                <c:pt idx="33">
                  <c:v>0</c:v>
                </c:pt>
                <c:pt idx="34">
                  <c:v>6.0000000000000019E-2</c:v>
                </c:pt>
                <c:pt idx="35">
                  <c:v>0.16000000000000003</c:v>
                </c:pt>
                <c:pt idx="36">
                  <c:v>0.26</c:v>
                </c:pt>
                <c:pt idx="37">
                  <c:v>0.45</c:v>
                </c:pt>
                <c:pt idx="38">
                  <c:v>0.75000000000000022</c:v>
                </c:pt>
                <c:pt idx="39">
                  <c:v>0.76000000000000023</c:v>
                </c:pt>
                <c:pt idx="40">
                  <c:v>0.76000000000000023</c:v>
                </c:pt>
                <c:pt idx="41">
                  <c:v>0.69000000000000028</c:v>
                </c:pt>
                <c:pt idx="42">
                  <c:v>0.84000000000000019</c:v>
                </c:pt>
                <c:pt idx="43">
                  <c:v>1.24</c:v>
                </c:pt>
                <c:pt idx="44">
                  <c:v>1.6</c:v>
                </c:pt>
                <c:pt idx="45">
                  <c:v>2.29</c:v>
                </c:pt>
                <c:pt idx="46">
                  <c:v>3</c:v>
                </c:pt>
                <c:pt idx="47">
                  <c:v>3.07</c:v>
                </c:pt>
                <c:pt idx="48">
                  <c:v>3.8099999999999992</c:v>
                </c:pt>
                <c:pt idx="49">
                  <c:v>3.77</c:v>
                </c:pt>
                <c:pt idx="50">
                  <c:v>4.54</c:v>
                </c:pt>
                <c:pt idx="51">
                  <c:v>5.13</c:v>
                </c:pt>
                <c:pt idx="52">
                  <c:v>5.6499999999999995</c:v>
                </c:pt>
                <c:pt idx="53">
                  <c:v>6.26</c:v>
                </c:pt>
                <c:pt idx="54">
                  <c:v>6.38</c:v>
                </c:pt>
                <c:pt idx="55">
                  <c:v>5.8599999999999985</c:v>
                </c:pt>
                <c:pt idx="56">
                  <c:v>5.9</c:v>
                </c:pt>
                <c:pt idx="57">
                  <c:v>6.18</c:v>
                </c:pt>
                <c:pt idx="58">
                  <c:v>5.68</c:v>
                </c:pt>
                <c:pt idx="59">
                  <c:v>5.1899999999999995</c:v>
                </c:pt>
                <c:pt idx="60" formatCode="###\ ###\ ###\ ###\ ##0.00;\-###\ ###\ ###\ ###\ ##0.00">
                  <c:v>5.3820143358172787</c:v>
                </c:pt>
                <c:pt idx="61" formatCode="###\ ###\ ###\ ###\ ##0.00;\-###\ ###\ ###\ ###\ ##0.00">
                  <c:v>5.5102623550618519</c:v>
                </c:pt>
                <c:pt idx="62" formatCode="###\ ###\ ###\ ###\ ##0.00;\-###\ ###\ ###\ ###\ ##0.00">
                  <c:v>5.2897725027112017</c:v>
                </c:pt>
              </c:numCache>
            </c:numRef>
          </c:val>
          <c:smooth val="0"/>
          <c:extLst>
            <c:ext xmlns:c16="http://schemas.microsoft.com/office/drawing/2014/chart" uri="{C3380CC4-5D6E-409C-BE32-E72D297353CC}">
              <c16:uniqueId val="{00000001-26BA-40EB-A877-57CA2E2E705F}"/>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1'!$A$78:$B$140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2018</c:v>
                  </c:pt>
                  <c:pt idx="12">
                    <c:v>2019</c:v>
                  </c:pt>
                  <c:pt idx="24">
                    <c:v>2020</c:v>
                  </c:pt>
                  <c:pt idx="36">
                    <c:v>2021</c:v>
                  </c:pt>
                  <c:pt idx="48">
                    <c:v>2022</c:v>
                  </c:pt>
                  <c:pt idx="60">
                    <c:v>2023</c:v>
                  </c:pt>
                </c:lvl>
              </c:multiLvlStrCache>
            </c:multiLvlStrRef>
          </c:cat>
          <c:val>
            <c:numRef>
              <c:f>'Měnové podmínky 1'!$D$78:$D$140</c:f>
              <c:numCache>
                <c:formatCode>General</c:formatCode>
                <c:ptCount val="63"/>
                <c:pt idx="0">
                  <c:v>0.77000000000000013</c:v>
                </c:pt>
                <c:pt idx="1">
                  <c:v>0.9</c:v>
                </c:pt>
                <c:pt idx="2">
                  <c:v>0.9</c:v>
                </c:pt>
                <c:pt idx="3">
                  <c:v>0.9</c:v>
                </c:pt>
                <c:pt idx="4">
                  <c:v>0.9</c:v>
                </c:pt>
                <c:pt idx="5">
                  <c:v>0.93</c:v>
                </c:pt>
                <c:pt idx="6">
                  <c:v>1.1800000000000004</c:v>
                </c:pt>
                <c:pt idx="7">
                  <c:v>1.45</c:v>
                </c:pt>
                <c:pt idx="8">
                  <c:v>1.54</c:v>
                </c:pt>
                <c:pt idx="9">
                  <c:v>1.7600000000000002</c:v>
                </c:pt>
                <c:pt idx="10">
                  <c:v>1.9900000000000002</c:v>
                </c:pt>
                <c:pt idx="11">
                  <c:v>2.0099999999999998</c:v>
                </c:pt>
                <c:pt idx="12">
                  <c:v>2.0099999999999998</c:v>
                </c:pt>
                <c:pt idx="13">
                  <c:v>2.0099999999999998</c:v>
                </c:pt>
                <c:pt idx="14">
                  <c:v>2.0299999999999998</c:v>
                </c:pt>
                <c:pt idx="15">
                  <c:v>2.02</c:v>
                </c:pt>
                <c:pt idx="16">
                  <c:v>2.19</c:v>
                </c:pt>
                <c:pt idx="17">
                  <c:v>2.17</c:v>
                </c:pt>
                <c:pt idx="18">
                  <c:v>2.16</c:v>
                </c:pt>
                <c:pt idx="19">
                  <c:v>2.14</c:v>
                </c:pt>
                <c:pt idx="20">
                  <c:v>2.14</c:v>
                </c:pt>
                <c:pt idx="21">
                  <c:v>2.17</c:v>
                </c:pt>
                <c:pt idx="22">
                  <c:v>2.1800000000000002</c:v>
                </c:pt>
                <c:pt idx="23">
                  <c:v>2.1800000000000002</c:v>
                </c:pt>
                <c:pt idx="24">
                  <c:v>2.17</c:v>
                </c:pt>
                <c:pt idx="25">
                  <c:v>2.34</c:v>
                </c:pt>
                <c:pt idx="26">
                  <c:v>2</c:v>
                </c:pt>
                <c:pt idx="27">
                  <c:v>0.97000000000000008</c:v>
                </c:pt>
                <c:pt idx="28">
                  <c:v>0.46</c:v>
                </c:pt>
                <c:pt idx="29">
                  <c:v>0.34000000000000008</c:v>
                </c:pt>
                <c:pt idx="30">
                  <c:v>0.34000000000000008</c:v>
                </c:pt>
                <c:pt idx="31">
                  <c:v>0.34000000000000008</c:v>
                </c:pt>
                <c:pt idx="32">
                  <c:v>0.34000000000000008</c:v>
                </c:pt>
                <c:pt idx="33">
                  <c:v>0.35000000000000009</c:v>
                </c:pt>
                <c:pt idx="34">
                  <c:v>0.35000000000000009</c:v>
                </c:pt>
                <c:pt idx="35">
                  <c:v>0.35000000000000009</c:v>
                </c:pt>
                <c:pt idx="36">
                  <c:v>0.3600000000000001</c:v>
                </c:pt>
                <c:pt idx="37">
                  <c:v>0.3600000000000001</c:v>
                </c:pt>
                <c:pt idx="38">
                  <c:v>0.3600000000000001</c:v>
                </c:pt>
                <c:pt idx="39">
                  <c:v>0.3600000000000001</c:v>
                </c:pt>
                <c:pt idx="40">
                  <c:v>0.37000000000000011</c:v>
                </c:pt>
                <c:pt idx="41">
                  <c:v>0.48000000000000009</c:v>
                </c:pt>
                <c:pt idx="42">
                  <c:v>0.69000000000000028</c:v>
                </c:pt>
                <c:pt idx="43">
                  <c:v>0.94000000000000017</c:v>
                </c:pt>
                <c:pt idx="44">
                  <c:v>1.1100000000000001</c:v>
                </c:pt>
                <c:pt idx="45">
                  <c:v>2.02</c:v>
                </c:pt>
                <c:pt idx="46">
                  <c:v>2.9699999999999998</c:v>
                </c:pt>
                <c:pt idx="47">
                  <c:v>3.5</c:v>
                </c:pt>
                <c:pt idx="48">
                  <c:v>4.21</c:v>
                </c:pt>
                <c:pt idx="49">
                  <c:v>4.6899999999999995</c:v>
                </c:pt>
                <c:pt idx="50">
                  <c:v>4.8599999999999985</c:v>
                </c:pt>
                <c:pt idx="51">
                  <c:v>5.3599999999999985</c:v>
                </c:pt>
                <c:pt idx="52">
                  <c:v>5.9700000000000015</c:v>
                </c:pt>
                <c:pt idx="53">
                  <c:v>6.64</c:v>
                </c:pt>
                <c:pt idx="54">
                  <c:v>7.3</c:v>
                </c:pt>
                <c:pt idx="55">
                  <c:v>7.2700000000000014</c:v>
                </c:pt>
                <c:pt idx="56">
                  <c:v>7.25</c:v>
                </c:pt>
                <c:pt idx="57">
                  <c:v>7.28</c:v>
                </c:pt>
                <c:pt idx="58">
                  <c:v>7.2700000000000014</c:v>
                </c:pt>
                <c:pt idx="59">
                  <c:v>7.26</c:v>
                </c:pt>
                <c:pt idx="60" formatCode="###\ ###\ ###\ ###\ ##0.00;\-###\ ###\ ###\ ###\ ##0.00">
                  <c:v>7.2161904761904765</c:v>
                </c:pt>
                <c:pt idx="61" formatCode="###\ ###\ ###\ ###\ ##0.00;\-###\ ###\ ###\ ###\ ##0.00">
                  <c:v>7.2010526315789471</c:v>
                </c:pt>
                <c:pt idx="62" formatCode="###\ ###\ ###\ ###\ ##0.00;\-###\ ###\ ###\ ###\ ##0.00">
                  <c:v>7.1931818181818157</c:v>
                </c:pt>
              </c:numCache>
            </c:numRef>
          </c:val>
          <c:smooth val="0"/>
          <c:extLst>
            <c:ext xmlns:c16="http://schemas.microsoft.com/office/drawing/2014/chart" uri="{C3380CC4-5D6E-409C-BE32-E72D297353CC}">
              <c16:uniqueId val="{00000002-26BA-40EB-A877-57CA2E2E705F}"/>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1'!$A$78:$B$140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2018</c:v>
                  </c:pt>
                  <c:pt idx="12">
                    <c:v>2019</c:v>
                  </c:pt>
                  <c:pt idx="24">
                    <c:v>2020</c:v>
                  </c:pt>
                  <c:pt idx="36">
                    <c:v>2021</c:v>
                  </c:pt>
                  <c:pt idx="48">
                    <c:v>2022</c:v>
                  </c:pt>
                  <c:pt idx="60">
                    <c:v>2023</c:v>
                  </c:pt>
                </c:lvl>
              </c:multiLvlStrCache>
            </c:multiLvlStrRef>
          </c:cat>
          <c:val>
            <c:numRef>
              <c:f>'Měnové podmínky 1'!$G$78:$G$140</c:f>
              <c:numCache>
                <c:formatCode>General</c:formatCode>
                <c:ptCount val="63"/>
                <c:pt idx="0">
                  <c:v>0.99</c:v>
                </c:pt>
                <c:pt idx="1">
                  <c:v>1.07</c:v>
                </c:pt>
                <c:pt idx="2">
                  <c:v>1.0900000000000001</c:v>
                </c:pt>
                <c:pt idx="3">
                  <c:v>1.05</c:v>
                </c:pt>
                <c:pt idx="4">
                  <c:v>1.21</c:v>
                </c:pt>
                <c:pt idx="5">
                  <c:v>1.41</c:v>
                </c:pt>
                <c:pt idx="6">
                  <c:v>1.44</c:v>
                </c:pt>
                <c:pt idx="7">
                  <c:v>1.55</c:v>
                </c:pt>
                <c:pt idx="8">
                  <c:v>1.7000000000000002</c:v>
                </c:pt>
                <c:pt idx="9">
                  <c:v>1.81</c:v>
                </c:pt>
                <c:pt idx="10">
                  <c:v>1.7900000000000003</c:v>
                </c:pt>
                <c:pt idx="11">
                  <c:v>1.7100000000000002</c:v>
                </c:pt>
                <c:pt idx="12">
                  <c:v>1.6</c:v>
                </c:pt>
                <c:pt idx="13">
                  <c:v>1.61</c:v>
                </c:pt>
                <c:pt idx="14">
                  <c:v>1.7000000000000002</c:v>
                </c:pt>
                <c:pt idx="15">
                  <c:v>1.6300000000000001</c:v>
                </c:pt>
                <c:pt idx="16">
                  <c:v>1.57</c:v>
                </c:pt>
                <c:pt idx="17">
                  <c:v>1.43</c:v>
                </c:pt>
                <c:pt idx="18">
                  <c:v>1.31</c:v>
                </c:pt>
                <c:pt idx="19">
                  <c:v>0.89000000000000012</c:v>
                </c:pt>
                <c:pt idx="20">
                  <c:v>1.1299999999999994</c:v>
                </c:pt>
                <c:pt idx="21">
                  <c:v>1.23</c:v>
                </c:pt>
                <c:pt idx="22">
                  <c:v>1.32</c:v>
                </c:pt>
                <c:pt idx="23">
                  <c:v>1.31</c:v>
                </c:pt>
                <c:pt idx="24">
                  <c:v>1.51</c:v>
                </c:pt>
                <c:pt idx="25">
                  <c:v>1.52</c:v>
                </c:pt>
                <c:pt idx="26">
                  <c:v>1.23</c:v>
                </c:pt>
                <c:pt idx="27">
                  <c:v>1.06</c:v>
                </c:pt>
                <c:pt idx="28">
                  <c:v>0.56999999999999995</c:v>
                </c:pt>
                <c:pt idx="29">
                  <c:v>0.52</c:v>
                </c:pt>
                <c:pt idx="30">
                  <c:v>0.52</c:v>
                </c:pt>
                <c:pt idx="31">
                  <c:v>0.58000000000000007</c:v>
                </c:pt>
                <c:pt idx="32">
                  <c:v>0.58000000000000007</c:v>
                </c:pt>
                <c:pt idx="33">
                  <c:v>0.54</c:v>
                </c:pt>
                <c:pt idx="34">
                  <c:v>0.66000000000000025</c:v>
                </c:pt>
                <c:pt idx="35">
                  <c:v>0.8</c:v>
                </c:pt>
                <c:pt idx="36">
                  <c:v>0.82000000000000017</c:v>
                </c:pt>
                <c:pt idx="37">
                  <c:v>1.06</c:v>
                </c:pt>
                <c:pt idx="38">
                  <c:v>1.4</c:v>
                </c:pt>
                <c:pt idx="39">
                  <c:v>1.43</c:v>
                </c:pt>
                <c:pt idx="40">
                  <c:v>1.47</c:v>
                </c:pt>
                <c:pt idx="41">
                  <c:v>1.55</c:v>
                </c:pt>
                <c:pt idx="42">
                  <c:v>1.6300000000000001</c:v>
                </c:pt>
                <c:pt idx="43">
                  <c:v>1.6800000000000004</c:v>
                </c:pt>
                <c:pt idx="44">
                  <c:v>1.87</c:v>
                </c:pt>
                <c:pt idx="45">
                  <c:v>2.3699999999999997</c:v>
                </c:pt>
                <c:pt idx="46">
                  <c:v>2.84</c:v>
                </c:pt>
                <c:pt idx="47">
                  <c:v>2.84</c:v>
                </c:pt>
                <c:pt idx="48">
                  <c:v>3.36</c:v>
                </c:pt>
                <c:pt idx="49">
                  <c:v>3.2</c:v>
                </c:pt>
                <c:pt idx="50">
                  <c:v>3.8499999999999992</c:v>
                </c:pt>
                <c:pt idx="51">
                  <c:v>4.54</c:v>
                </c:pt>
                <c:pt idx="52">
                  <c:v>4.99</c:v>
                </c:pt>
                <c:pt idx="53">
                  <c:v>5.49</c:v>
                </c:pt>
                <c:pt idx="54">
                  <c:v>5.1199999999999983</c:v>
                </c:pt>
                <c:pt idx="55">
                  <c:v>4.67</c:v>
                </c:pt>
                <c:pt idx="56">
                  <c:v>5.0599999999999996</c:v>
                </c:pt>
                <c:pt idx="57">
                  <c:v>5.6899999999999995</c:v>
                </c:pt>
                <c:pt idx="58">
                  <c:v>5.31</c:v>
                </c:pt>
                <c:pt idx="59">
                  <c:v>4.9000000000000004</c:v>
                </c:pt>
                <c:pt idx="60" formatCode="###\ ###\ ###\ ###\ ##0.00;\-###\ ###\ ###\ ###\ ##0.00">
                  <c:v>4.7307064721228889</c:v>
                </c:pt>
                <c:pt idx="61" formatCode="###\ ###\ ###\ ###\ ##0.00;\-###\ ###\ ###\ ###\ ##0.00">
                  <c:v>4.8692742672767633</c:v>
                </c:pt>
                <c:pt idx="62" formatCode="###\ ###\ ###\ ###\ ##0.00;\-###\ ###\ ###\ ###\ ##0.00">
                  <c:v>4.8901662581800371</c:v>
                </c:pt>
              </c:numCache>
            </c:numRef>
          </c:val>
          <c:smooth val="0"/>
          <c:extLst>
            <c:ext xmlns:c16="http://schemas.microsoft.com/office/drawing/2014/chart" uri="{C3380CC4-5D6E-409C-BE32-E72D297353CC}">
              <c16:uniqueId val="{00000003-26BA-40EB-A877-57CA2E2E705F}"/>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1'!$A$78:$B$140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2018</c:v>
                  </c:pt>
                  <c:pt idx="12">
                    <c:v>2019</c:v>
                  </c:pt>
                  <c:pt idx="24">
                    <c:v>2020</c:v>
                  </c:pt>
                  <c:pt idx="36">
                    <c:v>2021</c:v>
                  </c:pt>
                  <c:pt idx="48">
                    <c:v>2022</c:v>
                  </c:pt>
                  <c:pt idx="60">
                    <c:v>2023</c:v>
                  </c:pt>
                </c:lvl>
              </c:multiLvlStrCache>
            </c:multiLvlStrRef>
          </c:cat>
          <c:val>
            <c:numRef>
              <c:f>'Měnové podmínky 1'!$E$78:$E$140</c:f>
              <c:numCache>
                <c:formatCode>General</c:formatCode>
                <c:ptCount val="63"/>
                <c:pt idx="0">
                  <c:v>0.98</c:v>
                </c:pt>
                <c:pt idx="1">
                  <c:v>1.1100000000000001</c:v>
                </c:pt>
                <c:pt idx="2">
                  <c:v>1.1200000000000001</c:v>
                </c:pt>
                <c:pt idx="3">
                  <c:v>1.1200000000000001</c:v>
                </c:pt>
                <c:pt idx="4">
                  <c:v>1.1200000000000001</c:v>
                </c:pt>
                <c:pt idx="5">
                  <c:v>1.1499999999999995</c:v>
                </c:pt>
                <c:pt idx="6">
                  <c:v>1.3900000000000001</c:v>
                </c:pt>
                <c:pt idx="7">
                  <c:v>1.6700000000000004</c:v>
                </c:pt>
                <c:pt idx="8">
                  <c:v>1.7900000000000003</c:v>
                </c:pt>
                <c:pt idx="9">
                  <c:v>1.9500000000000002</c:v>
                </c:pt>
                <c:pt idx="10">
                  <c:v>2.1800000000000002</c:v>
                </c:pt>
                <c:pt idx="11">
                  <c:v>2.21</c:v>
                </c:pt>
                <c:pt idx="12">
                  <c:v>2.21</c:v>
                </c:pt>
                <c:pt idx="13">
                  <c:v>2.2000000000000002</c:v>
                </c:pt>
                <c:pt idx="14">
                  <c:v>2.2000000000000002</c:v>
                </c:pt>
                <c:pt idx="15">
                  <c:v>2.21</c:v>
                </c:pt>
                <c:pt idx="16">
                  <c:v>2.319999999999999</c:v>
                </c:pt>
                <c:pt idx="17">
                  <c:v>2.29</c:v>
                </c:pt>
                <c:pt idx="18">
                  <c:v>2.2799999999999998</c:v>
                </c:pt>
                <c:pt idx="19">
                  <c:v>2.2200000000000002</c:v>
                </c:pt>
                <c:pt idx="20">
                  <c:v>2.2000000000000002</c:v>
                </c:pt>
                <c:pt idx="21">
                  <c:v>2.2799999999999998</c:v>
                </c:pt>
                <c:pt idx="22">
                  <c:v>2.2799999999999998</c:v>
                </c:pt>
                <c:pt idx="23">
                  <c:v>2.27</c:v>
                </c:pt>
                <c:pt idx="24">
                  <c:v>2.27</c:v>
                </c:pt>
                <c:pt idx="25">
                  <c:v>2.42</c:v>
                </c:pt>
                <c:pt idx="26">
                  <c:v>2.0099999999999998</c:v>
                </c:pt>
                <c:pt idx="27">
                  <c:v>0.92</c:v>
                </c:pt>
                <c:pt idx="28">
                  <c:v>0.51</c:v>
                </c:pt>
                <c:pt idx="29">
                  <c:v>0.4300000000000001</c:v>
                </c:pt>
                <c:pt idx="30">
                  <c:v>0.4300000000000001</c:v>
                </c:pt>
                <c:pt idx="31">
                  <c:v>0.4300000000000001</c:v>
                </c:pt>
                <c:pt idx="32">
                  <c:v>0.44000000000000006</c:v>
                </c:pt>
                <c:pt idx="33">
                  <c:v>0.4300000000000001</c:v>
                </c:pt>
                <c:pt idx="34">
                  <c:v>0.44000000000000006</c:v>
                </c:pt>
                <c:pt idx="35">
                  <c:v>0.4900000000000001</c:v>
                </c:pt>
                <c:pt idx="36">
                  <c:v>0.4900000000000001</c:v>
                </c:pt>
                <c:pt idx="37">
                  <c:v>0.54</c:v>
                </c:pt>
                <c:pt idx="38">
                  <c:v>0.56000000000000005</c:v>
                </c:pt>
                <c:pt idx="39">
                  <c:v>0.56000000000000005</c:v>
                </c:pt>
                <c:pt idx="40">
                  <c:v>0.67000000000000026</c:v>
                </c:pt>
                <c:pt idx="41">
                  <c:v>0.78</c:v>
                </c:pt>
                <c:pt idx="42">
                  <c:v>1</c:v>
                </c:pt>
                <c:pt idx="43">
                  <c:v>1.3</c:v>
                </c:pt>
                <c:pt idx="44">
                  <c:v>1.52</c:v>
                </c:pt>
                <c:pt idx="45">
                  <c:v>2.44</c:v>
                </c:pt>
                <c:pt idx="46">
                  <c:v>3.5</c:v>
                </c:pt>
                <c:pt idx="47">
                  <c:v>3.96</c:v>
                </c:pt>
                <c:pt idx="48">
                  <c:v>4.55</c:v>
                </c:pt>
                <c:pt idx="49">
                  <c:v>4.87</c:v>
                </c:pt>
                <c:pt idx="50">
                  <c:v>5.1199999999999983</c:v>
                </c:pt>
                <c:pt idx="51">
                  <c:v>5.74</c:v>
                </c:pt>
                <c:pt idx="52">
                  <c:v>6.33</c:v>
                </c:pt>
                <c:pt idx="53">
                  <c:v>7.02</c:v>
                </c:pt>
                <c:pt idx="54">
                  <c:v>7.55</c:v>
                </c:pt>
                <c:pt idx="55">
                  <c:v>7.48</c:v>
                </c:pt>
                <c:pt idx="56">
                  <c:v>7.44</c:v>
                </c:pt>
                <c:pt idx="57">
                  <c:v>7.45</c:v>
                </c:pt>
                <c:pt idx="58">
                  <c:v>7.39</c:v>
                </c:pt>
                <c:pt idx="59">
                  <c:v>7.28</c:v>
                </c:pt>
                <c:pt idx="60" formatCode="###\ ###\ ###\ ###\ ##0.00;\-###\ ###\ ###\ ###\ ##0.00">
                  <c:v>7.2480952380952361</c:v>
                </c:pt>
                <c:pt idx="61" formatCode="###\ ###\ ###\ ###\ ##0.00;\-###\ ###\ ###\ ###\ ##0.00">
                  <c:v>7.2326315789473687</c:v>
                </c:pt>
                <c:pt idx="62" formatCode="###\ ###\ ###\ ###\ ##0.00;\-###\ ###\ ###\ ###\ ##0.00">
                  <c:v>7.2263636363636392</c:v>
                </c:pt>
              </c:numCache>
            </c:numRef>
          </c:val>
          <c:smooth val="0"/>
          <c:extLst>
            <c:ext xmlns:c16="http://schemas.microsoft.com/office/drawing/2014/chart" uri="{C3380CC4-5D6E-409C-BE32-E72D297353CC}">
              <c16:uniqueId val="{00000004-26BA-40EB-A877-57CA2E2E705F}"/>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1'!$A$78:$B$140</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2018</c:v>
                  </c:pt>
                  <c:pt idx="12">
                    <c:v>2019</c:v>
                  </c:pt>
                  <c:pt idx="24">
                    <c:v>2020</c:v>
                  </c:pt>
                  <c:pt idx="36">
                    <c:v>2021</c:v>
                  </c:pt>
                  <c:pt idx="48">
                    <c:v>2022</c:v>
                  </c:pt>
                  <c:pt idx="60">
                    <c:v>2023</c:v>
                  </c:pt>
                </c:lvl>
              </c:multiLvlStrCache>
            </c:multiLvlStrRef>
          </c:cat>
          <c:val>
            <c:numRef>
              <c:f>'Měnové podmínky 1'!$H$78:$H$140</c:f>
              <c:numCache>
                <c:formatCode>General</c:formatCode>
                <c:ptCount val="63"/>
                <c:pt idx="0">
                  <c:v>1.7700000000000002</c:v>
                </c:pt>
                <c:pt idx="1">
                  <c:v>1.82</c:v>
                </c:pt>
                <c:pt idx="2">
                  <c:v>1.81</c:v>
                </c:pt>
                <c:pt idx="3">
                  <c:v>1.7400000000000002</c:v>
                </c:pt>
                <c:pt idx="4">
                  <c:v>1.8900000000000001</c:v>
                </c:pt>
                <c:pt idx="5">
                  <c:v>2.14</c:v>
                </c:pt>
                <c:pt idx="6">
                  <c:v>2.11</c:v>
                </c:pt>
                <c:pt idx="7">
                  <c:v>2.14</c:v>
                </c:pt>
                <c:pt idx="8">
                  <c:v>2.14</c:v>
                </c:pt>
                <c:pt idx="9">
                  <c:v>2.14</c:v>
                </c:pt>
                <c:pt idx="10">
                  <c:v>2.0699999999999998</c:v>
                </c:pt>
                <c:pt idx="11">
                  <c:v>2.0099999999999998</c:v>
                </c:pt>
                <c:pt idx="12">
                  <c:v>1.85</c:v>
                </c:pt>
                <c:pt idx="13">
                  <c:v>1.7600000000000002</c:v>
                </c:pt>
                <c:pt idx="14">
                  <c:v>1.82</c:v>
                </c:pt>
                <c:pt idx="15">
                  <c:v>1.82</c:v>
                </c:pt>
                <c:pt idx="16">
                  <c:v>1.86</c:v>
                </c:pt>
                <c:pt idx="17">
                  <c:v>1.58</c:v>
                </c:pt>
                <c:pt idx="18">
                  <c:v>1.36</c:v>
                </c:pt>
                <c:pt idx="19">
                  <c:v>0.99</c:v>
                </c:pt>
                <c:pt idx="20">
                  <c:v>1.24</c:v>
                </c:pt>
                <c:pt idx="21">
                  <c:v>1.32</c:v>
                </c:pt>
                <c:pt idx="22">
                  <c:v>1.47</c:v>
                </c:pt>
                <c:pt idx="23">
                  <c:v>1.51</c:v>
                </c:pt>
                <c:pt idx="24">
                  <c:v>1.62</c:v>
                </c:pt>
                <c:pt idx="25">
                  <c:v>1.47</c:v>
                </c:pt>
                <c:pt idx="26">
                  <c:v>1.28</c:v>
                </c:pt>
                <c:pt idx="27">
                  <c:v>1.28</c:v>
                </c:pt>
                <c:pt idx="28">
                  <c:v>0.92</c:v>
                </c:pt>
                <c:pt idx="29">
                  <c:v>0.86000000000000021</c:v>
                </c:pt>
                <c:pt idx="30">
                  <c:v>0.86000000000000021</c:v>
                </c:pt>
                <c:pt idx="31">
                  <c:v>0.95000000000000018</c:v>
                </c:pt>
                <c:pt idx="32">
                  <c:v>0.98</c:v>
                </c:pt>
                <c:pt idx="33">
                  <c:v>0.94000000000000017</c:v>
                </c:pt>
                <c:pt idx="34">
                  <c:v>1.1200000000000001</c:v>
                </c:pt>
                <c:pt idx="35">
                  <c:v>1.26</c:v>
                </c:pt>
                <c:pt idx="36">
                  <c:v>1.28</c:v>
                </c:pt>
                <c:pt idx="37">
                  <c:v>1.49</c:v>
                </c:pt>
                <c:pt idx="38">
                  <c:v>1.87</c:v>
                </c:pt>
                <c:pt idx="39">
                  <c:v>1.86</c:v>
                </c:pt>
                <c:pt idx="40">
                  <c:v>1.7400000000000002</c:v>
                </c:pt>
                <c:pt idx="41">
                  <c:v>1.6700000000000004</c:v>
                </c:pt>
                <c:pt idx="42">
                  <c:v>1.7200000000000002</c:v>
                </c:pt>
                <c:pt idx="43">
                  <c:v>1.7400000000000002</c:v>
                </c:pt>
                <c:pt idx="44">
                  <c:v>1.9000000000000001</c:v>
                </c:pt>
                <c:pt idx="45">
                  <c:v>2.34</c:v>
                </c:pt>
                <c:pt idx="46">
                  <c:v>2.62</c:v>
                </c:pt>
                <c:pt idx="47">
                  <c:v>2.62</c:v>
                </c:pt>
                <c:pt idx="48">
                  <c:v>3.12</c:v>
                </c:pt>
                <c:pt idx="49">
                  <c:v>3.03</c:v>
                </c:pt>
                <c:pt idx="50">
                  <c:v>3.53</c:v>
                </c:pt>
                <c:pt idx="51">
                  <c:v>4.01</c:v>
                </c:pt>
                <c:pt idx="52">
                  <c:v>4.6099999999999985</c:v>
                </c:pt>
                <c:pt idx="53">
                  <c:v>5.1199999999999983</c:v>
                </c:pt>
                <c:pt idx="54">
                  <c:v>4.4000000000000004</c:v>
                </c:pt>
                <c:pt idx="55">
                  <c:v>4.1099999999999985</c:v>
                </c:pt>
                <c:pt idx="56">
                  <c:v>4.72</c:v>
                </c:pt>
                <c:pt idx="57">
                  <c:v>5.52</c:v>
                </c:pt>
                <c:pt idx="58">
                  <c:v>5.1099999999999985</c:v>
                </c:pt>
                <c:pt idx="59">
                  <c:v>4.71</c:v>
                </c:pt>
                <c:pt idx="60" formatCode="###\ ###\ ###\ ###\ ##0.00;\-###\ ###\ ###\ ###\ ##0.00">
                  <c:v>4.4683071740930753</c:v>
                </c:pt>
                <c:pt idx="61" formatCode="###\ ###\ ###\ ###\ ##0.00;\-###\ ###\ ###\ ###\ ##0.00">
                  <c:v>4.6124456250457762</c:v>
                </c:pt>
                <c:pt idx="62" formatCode="###\ ###\ ###\ ###\ ##0.00;\-###\ ###\ ###\ ###\ ##0.00">
                  <c:v>4.6664316498532488</c:v>
                </c:pt>
              </c:numCache>
            </c:numRef>
          </c:val>
          <c:smooth val="0"/>
          <c:extLst>
            <c:ext xmlns:c16="http://schemas.microsoft.com/office/drawing/2014/chart" uri="{C3380CC4-5D6E-409C-BE32-E72D297353CC}">
              <c16:uniqueId val="{00000005-26BA-40EB-A877-57CA2E2E705F}"/>
            </c:ext>
          </c:extLst>
        </c:ser>
        <c:dLbls>
          <c:showLegendKey val="0"/>
          <c:showVal val="0"/>
          <c:showCatName val="0"/>
          <c:showSerName val="0"/>
          <c:showPercent val="0"/>
          <c:showBubbleSize val="0"/>
        </c:dLbls>
        <c:marker val="1"/>
        <c:smooth val="0"/>
        <c:axId val="117903744"/>
        <c:axId val="117905280"/>
      </c:lineChart>
      <c:catAx>
        <c:axId val="117903744"/>
        <c:scaling>
          <c:orientation val="minMax"/>
        </c:scaling>
        <c:delete val="0"/>
        <c:axPos val="b"/>
        <c:numFmt formatCode="General" sourceLinked="0"/>
        <c:majorTickMark val="out"/>
        <c:minorTickMark val="none"/>
        <c:tickLblPos val="low"/>
        <c:spPr>
          <a:ln>
            <a:solidFill>
              <a:schemeClr val="tx1"/>
            </a:solidFill>
          </a:ln>
        </c:spPr>
        <c:crossAx val="117905280"/>
        <c:crosses val="autoZero"/>
        <c:auto val="1"/>
        <c:lblAlgn val="ctr"/>
        <c:lblOffset val="100"/>
        <c:noMultiLvlLbl val="0"/>
      </c:catAx>
      <c:valAx>
        <c:axId val="117905280"/>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7903744"/>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42E-2"/>
          <c:y val="1.7107238390107412E-2"/>
          <c:w val="0.84230585710151373"/>
          <c:h val="0.7666965453140614"/>
        </c:manualLayout>
      </c:layout>
      <c:barChart>
        <c:barDir val="col"/>
        <c:grouping val="stacked"/>
        <c:varyColors val="0"/>
        <c:ser>
          <c:idx val="1"/>
          <c:order val="1"/>
          <c:tx>
            <c:strRef>
              <c:f>'G1-Státní rozpočet-příjmy-2020'!$A$31</c:f>
              <c:strCache>
                <c:ptCount val="1"/>
                <c:pt idx="0">
                  <c:v>Ostatní daně a poplatky*</c:v>
                </c:pt>
              </c:strCache>
            </c:strRef>
          </c:tx>
          <c:spPr>
            <a:solidFill>
              <a:schemeClr val="bg1">
                <a:lumMod val="75000"/>
              </a:schemeClr>
            </a:solidFill>
            <a:ln w="12700">
              <a:noFill/>
              <a:prstDash val="solid"/>
            </a:ln>
          </c:spPr>
          <c:invertIfNegative val="0"/>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rozpočet-příjmy-2020'!$D$31:$T$31</c:f>
              <c:numCache>
                <c:formatCode>0.0</c:formatCode>
                <c:ptCount val="17"/>
                <c:pt idx="0">
                  <c:v>0.27215189873418966</c:v>
                </c:pt>
                <c:pt idx="1">
                  <c:v>0.93122337188070226</c:v>
                </c:pt>
                <c:pt idx="2">
                  <c:v>-0.86039886039885172</c:v>
                </c:pt>
                <c:pt idx="3">
                  <c:v>-0.21800461656836218</c:v>
                </c:pt>
                <c:pt idx="4">
                  <c:v>4.7025628967778087E-2</c:v>
                </c:pt>
                <c:pt idx="5">
                  <c:v>0.15463598688688143</c:v>
                </c:pt>
                <c:pt idx="6">
                  <c:v>0.75112372841257058</c:v>
                </c:pt>
                <c:pt idx="7">
                  <c:v>-5.7922173661211329E-2</c:v>
                </c:pt>
                <c:pt idx="8">
                  <c:v>0.17244682889444102</c:v>
                </c:pt>
                <c:pt idx="9">
                  <c:v>0.17228383762247171</c:v>
                </c:pt>
                <c:pt idx="10">
                  <c:v>0.23509403761505579</c:v>
                </c:pt>
                <c:pt idx="11">
                  <c:v>0.62235845989504279</c:v>
                </c:pt>
                <c:pt idx="12">
                  <c:v>0.80854504446996855</c:v>
                </c:pt>
                <c:pt idx="13">
                  <c:v>0.66381882645426304</c:v>
                </c:pt>
                <c:pt idx="14">
                  <c:v>-1.591733624600024</c:v>
                </c:pt>
                <c:pt idx="15">
                  <c:v>1.1154268403481038</c:v>
                </c:pt>
                <c:pt idx="16">
                  <c:v>3.3323398513139781</c:v>
                </c:pt>
              </c:numCache>
            </c:numRef>
          </c:val>
          <c:extLst>
            <c:ext xmlns:c16="http://schemas.microsoft.com/office/drawing/2014/chart" uri="{C3380CC4-5D6E-409C-BE32-E72D297353CC}">
              <c16:uniqueId val="{00000000-4D14-4E63-BBC7-BB0E894E99EA}"/>
            </c:ext>
          </c:extLst>
        </c:ser>
        <c:ser>
          <c:idx val="3"/>
          <c:order val="2"/>
          <c:tx>
            <c:strRef>
              <c:f>'G1-Státní rozpočet-příjmy-2020'!$A$32</c:f>
              <c:strCache>
                <c:ptCount val="1"/>
                <c:pt idx="0">
                  <c:v>Daně z příjmů fyzických osob</c:v>
                </c:pt>
              </c:strCache>
            </c:strRef>
          </c:tx>
          <c:spPr>
            <a:solidFill>
              <a:srgbClr val="EA6C75"/>
            </a:solidFill>
            <a:ln w="19050">
              <a:noFill/>
              <a:prstDash val="sysDot"/>
            </a:ln>
          </c:spPr>
          <c:invertIfNegative val="0"/>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rozpočet-příjmy-2020'!$D$32:$T$32</c:f>
              <c:numCache>
                <c:formatCode>0.0</c:formatCode>
                <c:ptCount val="17"/>
                <c:pt idx="0">
                  <c:v>1.0759493670886009</c:v>
                </c:pt>
                <c:pt idx="1">
                  <c:v>1.1503347534996955</c:v>
                </c:pt>
                <c:pt idx="2">
                  <c:v>-2.8490028490028489</c:v>
                </c:pt>
                <c:pt idx="3">
                  <c:v>0.28212362144139824</c:v>
                </c:pt>
                <c:pt idx="4">
                  <c:v>-0.32917940277451346</c:v>
                </c:pt>
                <c:pt idx="5">
                  <c:v>1.4350219583101356</c:v>
                </c:pt>
                <c:pt idx="6">
                  <c:v>0.68015140761769477</c:v>
                </c:pt>
                <c:pt idx="7">
                  <c:v>0.80037912695487434</c:v>
                </c:pt>
                <c:pt idx="8">
                  <c:v>-0.23471929488407847</c:v>
                </c:pt>
                <c:pt idx="9">
                  <c:v>2.2612253687950896</c:v>
                </c:pt>
                <c:pt idx="10">
                  <c:v>1.995798319327726</c:v>
                </c:pt>
                <c:pt idx="11">
                  <c:v>2.7309460777483618</c:v>
                </c:pt>
                <c:pt idx="12">
                  <c:v>3.132048172262651</c:v>
                </c:pt>
                <c:pt idx="13">
                  <c:v>1.2807427685933181</c:v>
                </c:pt>
                <c:pt idx="14">
                  <c:v>-7.6352995606736176</c:v>
                </c:pt>
                <c:pt idx="15">
                  <c:v>0.11468623687092579</c:v>
                </c:pt>
                <c:pt idx="16">
                  <c:v>4.4080858498802398</c:v>
                </c:pt>
              </c:numCache>
            </c:numRef>
          </c:val>
          <c:extLst>
            <c:ext xmlns:c16="http://schemas.microsoft.com/office/drawing/2014/chart" uri="{C3380CC4-5D6E-409C-BE32-E72D297353CC}">
              <c16:uniqueId val="{00000001-4D14-4E63-BBC7-BB0E894E99EA}"/>
            </c:ext>
          </c:extLst>
        </c:ser>
        <c:ser>
          <c:idx val="4"/>
          <c:order val="3"/>
          <c:tx>
            <c:strRef>
              <c:f>'G1-Státní rozpočet-příjmy-2020'!$A$33</c:f>
              <c:strCache>
                <c:ptCount val="1"/>
                <c:pt idx="0">
                  <c:v>Daně z příjmů právnických osob</c:v>
                </c:pt>
              </c:strCache>
            </c:strRef>
          </c:tx>
          <c:spPr>
            <a:solidFill>
              <a:schemeClr val="accent6">
                <a:lumMod val="60000"/>
                <a:lumOff val="40000"/>
              </a:schemeClr>
            </a:solidFill>
            <a:ln w="19050">
              <a:noFill/>
            </a:ln>
          </c:spPr>
          <c:invertIfNegative val="0"/>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rozpočet-příjmy-2020'!$D$33:$T$33</c:f>
              <c:numCache>
                <c:formatCode>0.0</c:formatCode>
                <c:ptCount val="17"/>
                <c:pt idx="0">
                  <c:v>0.3924050632911365</c:v>
                </c:pt>
                <c:pt idx="1">
                  <c:v>3.4449178332318948</c:v>
                </c:pt>
                <c:pt idx="2">
                  <c:v>-2.9230769230769247</c:v>
                </c:pt>
                <c:pt idx="3">
                  <c:v>-6.4119004873054407E-3</c:v>
                </c:pt>
                <c:pt idx="4">
                  <c:v>-1.5871149776628251</c:v>
                </c:pt>
                <c:pt idx="5">
                  <c:v>-0.11752335003401841</c:v>
                </c:pt>
                <c:pt idx="6">
                  <c:v>-8.2801040927371963E-2</c:v>
                </c:pt>
                <c:pt idx="7">
                  <c:v>0.38439260702437994</c:v>
                </c:pt>
                <c:pt idx="8">
                  <c:v>1.0059398352174727</c:v>
                </c:pt>
                <c:pt idx="9">
                  <c:v>2.1104770108754174</c:v>
                </c:pt>
                <c:pt idx="10">
                  <c:v>1.7957182873149216</c:v>
                </c:pt>
                <c:pt idx="11">
                  <c:v>0.20900097533788606</c:v>
                </c:pt>
                <c:pt idx="12">
                  <c:v>0.6298140346397717</c:v>
                </c:pt>
                <c:pt idx="13">
                  <c:v>0.32691017416434592</c:v>
                </c:pt>
                <c:pt idx="14">
                  <c:v>0.10558008367166571</c:v>
                </c:pt>
                <c:pt idx="15">
                  <c:v>1.0190084559497676</c:v>
                </c:pt>
                <c:pt idx="16">
                  <c:v>3.8971374921113471</c:v>
                </c:pt>
              </c:numCache>
            </c:numRef>
          </c:val>
          <c:extLst>
            <c:ext xmlns:c16="http://schemas.microsoft.com/office/drawing/2014/chart" uri="{C3380CC4-5D6E-409C-BE32-E72D297353CC}">
              <c16:uniqueId val="{00000002-4D14-4E63-BBC7-BB0E894E99EA}"/>
            </c:ext>
          </c:extLst>
        </c:ser>
        <c:ser>
          <c:idx val="2"/>
          <c:order val="4"/>
          <c:tx>
            <c:strRef>
              <c:f>'G1-Státní rozpočet-příjmy-2020'!$A$34</c:f>
              <c:strCache>
                <c:ptCount val="1"/>
                <c:pt idx="0">
                  <c:v>Spotřební daň</c:v>
                </c:pt>
              </c:strCache>
            </c:strRef>
          </c:tx>
          <c:spPr>
            <a:solidFill>
              <a:schemeClr val="accent5">
                <a:lumMod val="40000"/>
                <a:lumOff val="60000"/>
              </a:schemeClr>
            </a:solidFill>
          </c:spPr>
          <c:invertIfNegative val="0"/>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rozpočet-příjmy-2020'!$D$34:$T$34</c:f>
              <c:numCache>
                <c:formatCode>0.0</c:formatCode>
                <c:ptCount val="17"/>
                <c:pt idx="0">
                  <c:v>0.82278481012658056</c:v>
                </c:pt>
                <c:pt idx="1">
                  <c:v>-0.18867924528301808</c:v>
                </c:pt>
                <c:pt idx="2">
                  <c:v>-2.376068376068377</c:v>
                </c:pt>
                <c:pt idx="3">
                  <c:v>4.9756347781482413</c:v>
                </c:pt>
                <c:pt idx="4">
                  <c:v>-0.74065365624265111</c:v>
                </c:pt>
                <c:pt idx="5">
                  <c:v>1.985526071627387</c:v>
                </c:pt>
                <c:pt idx="6">
                  <c:v>2.1587414241779017</c:v>
                </c:pt>
                <c:pt idx="7">
                  <c:v>2.9592965088726202</c:v>
                </c:pt>
                <c:pt idx="8">
                  <c:v>-6.1841348917417074</c:v>
                </c:pt>
                <c:pt idx="9">
                  <c:v>1.4590287498653982</c:v>
                </c:pt>
                <c:pt idx="10">
                  <c:v>0.42016806722689204</c:v>
                </c:pt>
                <c:pt idx="11">
                  <c:v>0.5805582648274572</c:v>
                </c:pt>
                <c:pt idx="12">
                  <c:v>-0.62130303417166777</c:v>
                </c:pt>
                <c:pt idx="13">
                  <c:v>1.0735727426060964</c:v>
                </c:pt>
                <c:pt idx="14">
                  <c:v>-2.9470384104736072</c:v>
                </c:pt>
                <c:pt idx="15">
                  <c:v>2.033120579962215</c:v>
                </c:pt>
                <c:pt idx="16">
                  <c:v>-0.53984991589800446</c:v>
                </c:pt>
              </c:numCache>
            </c:numRef>
          </c:val>
          <c:extLst>
            <c:ext xmlns:c16="http://schemas.microsoft.com/office/drawing/2014/chart" uri="{C3380CC4-5D6E-409C-BE32-E72D297353CC}">
              <c16:uniqueId val="{00000003-4D14-4E63-BBC7-BB0E894E99EA}"/>
            </c:ext>
          </c:extLst>
        </c:ser>
        <c:ser>
          <c:idx val="5"/>
          <c:order val="5"/>
          <c:tx>
            <c:strRef>
              <c:f>'G1-Státní rozpočet-příjmy-2020'!$A$35</c:f>
              <c:strCache>
                <c:ptCount val="1"/>
                <c:pt idx="0">
                  <c:v>DPH</c:v>
                </c:pt>
              </c:strCache>
            </c:strRef>
          </c:tx>
          <c:spPr>
            <a:solidFill>
              <a:srgbClr val="92D050"/>
            </a:solidFill>
            <a:ln>
              <a:noFill/>
            </a:ln>
          </c:spPr>
          <c:invertIfNegative val="0"/>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rozpočet-příjmy-2020'!$D$35:$T$35</c:f>
              <c:numCache>
                <c:formatCode>0.0</c:formatCode>
                <c:ptCount val="17"/>
                <c:pt idx="0">
                  <c:v>1.424050632911388</c:v>
                </c:pt>
                <c:pt idx="1">
                  <c:v>1.4790018259281799</c:v>
                </c:pt>
                <c:pt idx="2">
                  <c:v>-2.1253561253561237</c:v>
                </c:pt>
                <c:pt idx="3">
                  <c:v>4.0459092074891005</c:v>
                </c:pt>
                <c:pt idx="4">
                  <c:v>-2.3571596520103482</c:v>
                </c:pt>
                <c:pt idx="5">
                  <c:v>1.1257499845364003</c:v>
                </c:pt>
                <c:pt idx="6">
                  <c:v>8.8123964986988419</c:v>
                </c:pt>
                <c:pt idx="7">
                  <c:v>5.8396082354799592</c:v>
                </c:pt>
                <c:pt idx="8">
                  <c:v>-5.78654914734624</c:v>
                </c:pt>
                <c:pt idx="9">
                  <c:v>1.631312587487886</c:v>
                </c:pt>
                <c:pt idx="10">
                  <c:v>3.2513005202080785</c:v>
                </c:pt>
                <c:pt idx="11">
                  <c:v>4.9974455436347585</c:v>
                </c:pt>
                <c:pt idx="12">
                  <c:v>-6.3832503510790187E-2</c:v>
                </c:pt>
                <c:pt idx="13">
                  <c:v>2.1661942638579452</c:v>
                </c:pt>
                <c:pt idx="14">
                  <c:v>-2.6237556934223591</c:v>
                </c:pt>
                <c:pt idx="15">
                  <c:v>9.5989598816327035</c:v>
                </c:pt>
                <c:pt idx="16">
                  <c:v>4.3409785889223764</c:v>
                </c:pt>
              </c:numCache>
            </c:numRef>
          </c:val>
          <c:extLst>
            <c:ext xmlns:c16="http://schemas.microsoft.com/office/drawing/2014/chart" uri="{C3380CC4-5D6E-409C-BE32-E72D297353CC}">
              <c16:uniqueId val="{00000004-4D14-4E63-BBC7-BB0E894E99EA}"/>
            </c:ext>
          </c:extLst>
        </c:ser>
        <c:dLbls>
          <c:showLegendKey val="0"/>
          <c:showVal val="0"/>
          <c:showCatName val="0"/>
          <c:showSerName val="0"/>
          <c:showPercent val="0"/>
          <c:showBubbleSize val="0"/>
        </c:dLbls>
        <c:gapWidth val="105"/>
        <c:overlap val="100"/>
        <c:axId val="126424960"/>
        <c:axId val="132501504"/>
      </c:barChart>
      <c:lineChart>
        <c:grouping val="standard"/>
        <c:varyColors val="0"/>
        <c:ser>
          <c:idx val="0"/>
          <c:order val="0"/>
          <c:tx>
            <c:strRef>
              <c:f>'G1-Státní rozpočet-příjmy-2020'!$A$30</c:f>
              <c:strCache>
                <c:ptCount val="1"/>
                <c:pt idx="0">
                  <c:v>Celkové daň. příjmy (bez pojistného na SZ)</c:v>
                </c:pt>
              </c:strCache>
            </c:strRef>
          </c:tx>
          <c:spPr>
            <a:ln w="19050">
              <a:noFill/>
            </a:ln>
          </c:spPr>
          <c:marker>
            <c:symbol val="circle"/>
            <c:size val="6"/>
            <c:spPr>
              <a:solidFill>
                <a:schemeClr val="bg1"/>
              </a:solidFill>
              <a:ln>
                <a:solidFill>
                  <a:schemeClr val="tx1">
                    <a:lumMod val="95000"/>
                    <a:lumOff val="5000"/>
                  </a:schemeClr>
                </a:solidFill>
              </a:ln>
            </c:spPr>
          </c:marker>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rozpočet-příjmy-2020'!$D$30:$T$30</c:f>
              <c:numCache>
                <c:formatCode>0.0</c:formatCode>
                <c:ptCount val="17"/>
                <c:pt idx="0">
                  <c:v>3.9873417721518947</c:v>
                </c:pt>
                <c:pt idx="1">
                  <c:v>6.8167985392574462</c:v>
                </c:pt>
                <c:pt idx="2">
                  <c:v>-11.133903133903129</c:v>
                </c:pt>
                <c:pt idx="3">
                  <c:v>9.0792510900230781</c:v>
                </c:pt>
                <c:pt idx="4">
                  <c:v>-4.9670820597225553</c:v>
                </c:pt>
                <c:pt idx="5">
                  <c:v>4.5834106513267852</c:v>
                </c:pt>
                <c:pt idx="6">
                  <c:v>12.319612017979644</c:v>
                </c:pt>
                <c:pt idx="7">
                  <c:v>9.9257543046706225</c:v>
                </c:pt>
                <c:pt idx="8">
                  <c:v>-11.027016669860117</c:v>
                </c:pt>
                <c:pt idx="9">
                  <c:v>7.6343275546462603</c:v>
                </c:pt>
                <c:pt idx="10">
                  <c:v>7.6980792316926738</c:v>
                </c:pt>
                <c:pt idx="11">
                  <c:v>9.1403093214434925</c:v>
                </c:pt>
                <c:pt idx="12">
                  <c:v>3.8852717136899457</c:v>
                </c:pt>
                <c:pt idx="13">
                  <c:v>5.5112387756759631</c:v>
                </c:pt>
                <c:pt idx="14">
                  <c:v>-14.692247205497953</c:v>
                </c:pt>
                <c:pt idx="15">
                  <c:v>13.872116425948553</c:v>
                </c:pt>
                <c:pt idx="16">
                  <c:v>15.438691866329934</c:v>
                </c:pt>
              </c:numCache>
            </c:numRef>
          </c:val>
          <c:smooth val="0"/>
          <c:extLst>
            <c:ext xmlns:c16="http://schemas.microsoft.com/office/drawing/2014/chart" uri="{C3380CC4-5D6E-409C-BE32-E72D297353CC}">
              <c16:uniqueId val="{00000005-4D14-4E63-BBC7-BB0E894E99EA}"/>
            </c:ext>
          </c:extLst>
        </c:ser>
        <c:dLbls>
          <c:showLegendKey val="0"/>
          <c:showVal val="0"/>
          <c:showCatName val="0"/>
          <c:showSerName val="0"/>
          <c:showPercent val="0"/>
          <c:showBubbleSize val="0"/>
        </c:dLbls>
        <c:marker val="1"/>
        <c:smooth val="0"/>
        <c:axId val="126424960"/>
        <c:axId val="132501504"/>
      </c:lineChart>
      <c:lineChart>
        <c:grouping val="standard"/>
        <c:varyColors val="0"/>
        <c:ser>
          <c:idx val="6"/>
          <c:order val="6"/>
          <c:tx>
            <c:strRef>
              <c:f>'G1-Státní rozpočet-příjmy-2020'!$A$36</c:f>
              <c:strCache>
                <c:ptCount val="1"/>
                <c:pt idx="0">
                  <c:v>Saldo státního rozpočtu (pravá osa)</c:v>
                </c:pt>
              </c:strCache>
            </c:strRef>
          </c:tx>
          <c:spPr>
            <a:ln w="19050">
              <a:solidFill>
                <a:schemeClr val="tx1">
                  <a:lumMod val="65000"/>
                  <a:lumOff val="35000"/>
                </a:schemeClr>
              </a:solidFill>
            </a:ln>
          </c:spPr>
          <c:marker>
            <c:symbol val="none"/>
          </c:marker>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rozpočet-příjmy-2020'!$D$36:$T$36</c:f>
              <c:numCache>
                <c:formatCode>#\ ##0.0</c:formatCode>
                <c:ptCount val="17"/>
                <c:pt idx="0">
                  <c:v>11.263</c:v>
                </c:pt>
                <c:pt idx="1">
                  <c:v>-13.347</c:v>
                </c:pt>
                <c:pt idx="2">
                  <c:v>-2.3459999999999992</c:v>
                </c:pt>
                <c:pt idx="3">
                  <c:v>-45.942</c:v>
                </c:pt>
                <c:pt idx="4">
                  <c:v>-25.202000000000002</c:v>
                </c:pt>
                <c:pt idx="5">
                  <c:v>-22.69</c:v>
                </c:pt>
                <c:pt idx="6">
                  <c:v>13.97</c:v>
                </c:pt>
                <c:pt idx="7">
                  <c:v>43.59</c:v>
                </c:pt>
                <c:pt idx="8">
                  <c:v>19.91</c:v>
                </c:pt>
                <c:pt idx="9">
                  <c:v>43.6</c:v>
                </c:pt>
                <c:pt idx="10">
                  <c:v>4.68</c:v>
                </c:pt>
                <c:pt idx="11">
                  <c:v>16.260000000000002</c:v>
                </c:pt>
                <c:pt idx="12">
                  <c:v>-9.24</c:v>
                </c:pt>
                <c:pt idx="13">
                  <c:v>-44.707715918399998</c:v>
                </c:pt>
                <c:pt idx="14">
                  <c:v>-125.1977047449202</c:v>
                </c:pt>
                <c:pt idx="15">
                  <c:v>-59.140376242370237</c:v>
                </c:pt>
                <c:pt idx="16">
                  <c:v>-166.18531283895999</c:v>
                </c:pt>
              </c:numCache>
            </c:numRef>
          </c:val>
          <c:smooth val="0"/>
          <c:extLst>
            <c:ext xmlns:c16="http://schemas.microsoft.com/office/drawing/2014/chart" uri="{C3380CC4-5D6E-409C-BE32-E72D297353CC}">
              <c16:uniqueId val="{00000006-4D14-4E63-BBC7-BB0E894E99EA}"/>
            </c:ext>
          </c:extLst>
        </c:ser>
        <c:ser>
          <c:idx val="7"/>
          <c:order val="7"/>
          <c:tx>
            <c:strRef>
              <c:f>'G1-Státní rozpočet-příjmy-2020'!$A$37</c:f>
              <c:strCache>
                <c:ptCount val="1"/>
                <c:pt idx="0">
                  <c:v>Saldo SR očištěné o vliv EU a FM* (pr. osa)</c:v>
                </c:pt>
              </c:strCache>
            </c:strRef>
          </c:tx>
          <c:spPr>
            <a:ln w="19050">
              <a:solidFill>
                <a:schemeClr val="bg1">
                  <a:lumMod val="50000"/>
                </a:schemeClr>
              </a:solidFill>
              <a:prstDash val="sysDash"/>
            </a:ln>
          </c:spPr>
          <c:marker>
            <c:symbol val="none"/>
          </c:marker>
          <c:cat>
            <c:numRef>
              <c:f>'G1-Státní rozpočet-příjmy-2020'!$D$29:$T$29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'G1-Státní rozpočet-příjmy-2020'!$D$37:$T$37</c:f>
              <c:numCache>
                <c:formatCode>General</c:formatCode>
                <c:ptCount val="17"/>
                <c:pt idx="6" formatCode="#\ ##0.0">
                  <c:v>-9.4</c:v>
                </c:pt>
                <c:pt idx="7" formatCode="#\ ##0.0">
                  <c:v>11</c:v>
                </c:pt>
                <c:pt idx="8" formatCode="#\ ##0.0">
                  <c:v>-18.100000000000001</c:v>
                </c:pt>
                <c:pt idx="9" formatCode="#\ ##0.0">
                  <c:v>-11.9</c:v>
                </c:pt>
                <c:pt idx="10" formatCode="#\ ##0.0">
                  <c:v>-4.5599999999999996</c:v>
                </c:pt>
                <c:pt idx="11" formatCode="#\ ##0.0">
                  <c:v>-5.26</c:v>
                </c:pt>
                <c:pt idx="12" formatCode="#\ ##0.0">
                  <c:v>-6.1961843930897658</c:v>
                </c:pt>
                <c:pt idx="13" formatCode="#\ ##0.0">
                  <c:v>-41.582504753719945</c:v>
                </c:pt>
                <c:pt idx="14" formatCode="#\ ##0.0">
                  <c:v>-123.9</c:v>
                </c:pt>
                <c:pt idx="15" formatCode="#\ ##0.0">
                  <c:v>-55.306921067390164</c:v>
                </c:pt>
                <c:pt idx="16" formatCode="#\ ##0.0">
                  <c:v>-156.83966401531995</c:v>
                </c:pt>
              </c:numCache>
            </c:numRef>
          </c:val>
          <c:smooth val="0"/>
          <c:extLst>
            <c:ext xmlns:c16="http://schemas.microsoft.com/office/drawing/2014/chart" uri="{C3380CC4-5D6E-409C-BE32-E72D297353CC}">
              <c16:uniqueId val="{00000007-4D14-4E63-BBC7-BB0E894E99EA}"/>
            </c:ext>
          </c:extLst>
        </c:ser>
        <c:dLbls>
          <c:showLegendKey val="0"/>
          <c:showVal val="0"/>
          <c:showCatName val="0"/>
          <c:showSerName val="0"/>
          <c:showPercent val="0"/>
          <c:showBubbleSize val="0"/>
        </c:dLbls>
        <c:marker val="1"/>
        <c:smooth val="0"/>
        <c:axId val="135333760"/>
        <c:axId val="132503808"/>
      </c:lineChart>
      <c:catAx>
        <c:axId val="126424960"/>
        <c:scaling>
          <c:orientation val="minMax"/>
        </c:scaling>
        <c:delete val="0"/>
        <c:axPos val="b"/>
        <c:numFmt formatCode="General" sourceLinked="1"/>
        <c:majorTickMark val="out"/>
        <c:minorTickMark val="none"/>
        <c:tickLblPos val="low"/>
        <c:spPr>
          <a:ln w="6350">
            <a:solidFill>
              <a:schemeClr val="tx1"/>
            </a:solidFill>
          </a:ln>
        </c:spPr>
        <c:txPr>
          <a:bodyPr rot="-2220000"/>
          <a:lstStyle/>
          <a:p>
            <a:pPr>
              <a:defRPr sz="800" b="0" i="0"/>
            </a:pPr>
            <a:endParaRPr lang="cs-CZ"/>
          </a:p>
        </c:txPr>
        <c:crossAx val="132501504"/>
        <c:crosses val="autoZero"/>
        <c:auto val="1"/>
        <c:lblAlgn val="ctr"/>
        <c:lblOffset val="0"/>
        <c:noMultiLvlLbl val="0"/>
      </c:catAx>
      <c:valAx>
        <c:axId val="132501504"/>
        <c:scaling>
          <c:orientation val="minMax"/>
          <c:max val="16"/>
          <c:min val="-28"/>
        </c:scaling>
        <c:delete val="0"/>
        <c:axPos val="l"/>
        <c:majorGridlines>
          <c:spPr>
            <a:ln w="6350">
              <a:solidFill>
                <a:schemeClr val="bg1">
                  <a:lumMod val="75000"/>
                </a:schemeClr>
              </a:solidFill>
            </a:ln>
          </c:spPr>
        </c:majorGridlines>
        <c:title>
          <c:tx>
            <c:rich>
              <a:bodyPr/>
              <a:lstStyle/>
              <a:p>
                <a:pPr>
                  <a:defRPr b="0"/>
                </a:pPr>
                <a:r>
                  <a:rPr lang="cs-CZ" b="0"/>
                  <a:t>Příspěvek k růstu celkových daňových příjmů</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126424960"/>
        <c:crosses val="autoZero"/>
        <c:crossBetween val="between"/>
        <c:majorUnit val="4"/>
      </c:valAx>
      <c:valAx>
        <c:axId val="132503808"/>
        <c:scaling>
          <c:orientation val="minMax"/>
          <c:max val="100"/>
          <c:min val="-175"/>
        </c:scaling>
        <c:delete val="0"/>
        <c:axPos val="r"/>
        <c:title>
          <c:tx>
            <c:rich>
              <a:bodyPr/>
              <a:lstStyle/>
              <a:p>
                <a:pPr>
                  <a:defRPr b="0"/>
                </a:pPr>
                <a:r>
                  <a:rPr lang="cs-CZ" b="0"/>
                  <a:t>Saldo státního rozpočtu</a:t>
                </a:r>
              </a:p>
            </c:rich>
          </c:tx>
          <c:layout>
            <c:manualLayout>
              <c:xMode val="edge"/>
              <c:yMode val="edge"/>
              <c:x val="0.97036646544776561"/>
              <c:y val="0.20963215506367219"/>
            </c:manualLayout>
          </c:layout>
          <c:overlay val="0"/>
        </c:title>
        <c:numFmt formatCode="#,##0" sourceLinked="0"/>
        <c:majorTickMark val="out"/>
        <c:minorTickMark val="none"/>
        <c:tickLblPos val="nextTo"/>
        <c:txPr>
          <a:bodyPr/>
          <a:lstStyle/>
          <a:p>
            <a:pPr>
              <a:defRPr sz="800" b="0" i="0"/>
            </a:pPr>
            <a:endParaRPr lang="cs-CZ"/>
          </a:p>
        </c:txPr>
        <c:crossAx val="135333760"/>
        <c:crosses val="max"/>
        <c:crossBetween val="between"/>
        <c:majorUnit val="25"/>
      </c:valAx>
      <c:catAx>
        <c:axId val="135333760"/>
        <c:scaling>
          <c:orientation val="minMax"/>
        </c:scaling>
        <c:delete val="1"/>
        <c:axPos val="b"/>
        <c:numFmt formatCode="General" sourceLinked="1"/>
        <c:majorTickMark val="out"/>
        <c:minorTickMark val="none"/>
        <c:tickLblPos val="none"/>
        <c:crossAx val="132503808"/>
        <c:crosses val="autoZero"/>
        <c:auto val="1"/>
        <c:lblAlgn val="ctr"/>
        <c:lblOffset val="100"/>
        <c:noMultiLvlLbl val="0"/>
      </c:catAx>
      <c:spPr>
        <a:ln w="6350">
          <a:solidFill>
            <a:schemeClr val="tx1"/>
          </a:solidFill>
        </a:ln>
      </c:spPr>
    </c:plotArea>
    <c:legend>
      <c:legendPos val="b"/>
      <c:layout>
        <c:manualLayout>
          <c:xMode val="edge"/>
          <c:yMode val="edge"/>
          <c:x val="1.8680696009604265E-2"/>
          <c:y val="0.86475571084321989"/>
          <c:w val="0.96198129884874961"/>
          <c:h val="0.12424228287606817"/>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576336352808819E-2"/>
          <c:y val="1.7698902479006788E-2"/>
          <c:w val="0.8350684878939636"/>
          <c:h val="0.72436410178900057"/>
        </c:manualLayout>
      </c:layout>
      <c:barChart>
        <c:barDir val="col"/>
        <c:grouping val="clustered"/>
        <c:varyColors val="0"/>
        <c:ser>
          <c:idx val="0"/>
          <c:order val="0"/>
          <c:tx>
            <c:strRef>
              <c:f>'G2-St.rozpočet-výdaje'!$B$30</c:f>
              <c:strCache>
                <c:ptCount val="1"/>
                <c:pt idx="0">
                  <c:v>Běžné výdaje (pravá osa)</c:v>
                </c:pt>
              </c:strCache>
            </c:strRef>
          </c:tx>
          <c:spPr>
            <a:solidFill>
              <a:schemeClr val="bg1">
                <a:lumMod val="95000"/>
              </a:schemeClr>
            </a:solidFill>
            <a:ln w="6350">
              <a:solidFill>
                <a:schemeClr val="bg1">
                  <a:lumMod val="75000"/>
                </a:schemeClr>
              </a:solidFill>
            </a:ln>
          </c:spPr>
          <c:invertIfNegative val="0"/>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'G2-St.rozpočet-výdaje'!$B$33:$B$49</c:f>
              <c:numCache>
                <c:formatCode>0.0</c:formatCode>
                <c:ptCount val="17"/>
                <c:pt idx="0">
                  <c:v>220.65</c:v>
                </c:pt>
                <c:pt idx="1">
                  <c:v>251.64</c:v>
                </c:pt>
                <c:pt idx="2">
                  <c:v>242.03</c:v>
                </c:pt>
                <c:pt idx="3">
                  <c:v>262.01</c:v>
                </c:pt>
                <c:pt idx="4">
                  <c:v>252.45</c:v>
                </c:pt>
                <c:pt idx="5">
                  <c:v>258.94</c:v>
                </c:pt>
                <c:pt idx="6">
                  <c:v>261.20999999999998</c:v>
                </c:pt>
                <c:pt idx="7">
                  <c:v>265.72000000000003</c:v>
                </c:pt>
                <c:pt idx="8">
                  <c:v>274.76</c:v>
                </c:pt>
                <c:pt idx="9">
                  <c:v>278.33</c:v>
                </c:pt>
                <c:pt idx="10">
                  <c:v>296.72000000000003</c:v>
                </c:pt>
                <c:pt idx="11">
                  <c:v>317.70999999999998</c:v>
                </c:pt>
                <c:pt idx="12">
                  <c:v>357.12</c:v>
                </c:pt>
                <c:pt idx="13">
                  <c:v>398.64712341415998</c:v>
                </c:pt>
                <c:pt idx="14">
                  <c:v>441.4270080969801</c:v>
                </c:pt>
                <c:pt idx="15">
                  <c:v>399.41500922346</c:v>
                </c:pt>
                <c:pt idx="16">
                  <c:v>532.61639418920004</c:v>
                </c:pt>
              </c:numCache>
            </c:numRef>
          </c:val>
          <c:extLst>
            <c:ext xmlns:c16="http://schemas.microsoft.com/office/drawing/2014/chart" uri="{C3380CC4-5D6E-409C-BE32-E72D297353CC}">
              <c16:uniqueId val="{00000000-0ABC-483D-A0DC-31956CCF7094}"/>
            </c:ext>
          </c:extLst>
        </c:ser>
        <c:ser>
          <c:idx val="1"/>
          <c:order val="1"/>
          <c:tx>
            <c:strRef>
              <c:f>'G2-St.rozpočet-výdaje'!$C$30</c:f>
              <c:strCache>
                <c:ptCount val="1"/>
                <c:pt idx="0">
                  <c:v>z toho výdaje na důchody (pr. osa)</c:v>
                </c:pt>
              </c:strCache>
            </c:strRef>
          </c:tx>
          <c:spPr>
            <a:solidFill>
              <a:schemeClr val="bg1">
                <a:lumMod val="75000"/>
              </a:schemeClr>
            </a:solidFill>
            <a:ln w="6350">
              <a:solidFill>
                <a:schemeClr val="bg1">
                  <a:lumMod val="75000"/>
                </a:schemeClr>
              </a:solidFill>
            </a:ln>
          </c:spPr>
          <c:invertIfNegative val="0"/>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'G2-St.rozpočet-výdaje'!$C$33:$C$49</c:f>
              <c:numCache>
                <c:formatCode>0.0</c:formatCode>
                <c:ptCount val="17"/>
                <c:pt idx="0">
                  <c:v>71.87</c:v>
                </c:pt>
                <c:pt idx="1">
                  <c:v>75.12</c:v>
                </c:pt>
                <c:pt idx="2">
                  <c:v>82.56</c:v>
                </c:pt>
                <c:pt idx="3">
                  <c:v>86.24</c:v>
                </c:pt>
                <c:pt idx="4">
                  <c:v>91.83</c:v>
                </c:pt>
                <c:pt idx="5">
                  <c:v>93.1</c:v>
                </c:pt>
                <c:pt idx="6">
                  <c:v>89.17</c:v>
                </c:pt>
                <c:pt idx="7">
                  <c:v>88.14</c:v>
                </c:pt>
                <c:pt idx="8">
                  <c:v>90.59</c:v>
                </c:pt>
                <c:pt idx="9">
                  <c:v>97.1</c:v>
                </c:pt>
                <c:pt idx="10">
                  <c:v>102.39</c:v>
                </c:pt>
                <c:pt idx="11">
                  <c:v>107.5</c:v>
                </c:pt>
                <c:pt idx="12">
                  <c:v>116.5</c:v>
                </c:pt>
                <c:pt idx="13">
                  <c:v>126.1</c:v>
                </c:pt>
                <c:pt idx="14">
                  <c:v>134.60955542761999</c:v>
                </c:pt>
                <c:pt idx="15">
                  <c:v>141.89044829648998</c:v>
                </c:pt>
                <c:pt idx="16">
                  <c:v>171.58883652121997</c:v>
                </c:pt>
              </c:numCache>
            </c:numRef>
          </c:val>
          <c:extLst>
            <c:ext xmlns:c16="http://schemas.microsoft.com/office/drawing/2014/chart" uri="{C3380CC4-5D6E-409C-BE32-E72D297353CC}">
              <c16:uniqueId val="{00000001-0ABC-483D-A0DC-31956CCF7094}"/>
            </c:ext>
          </c:extLst>
        </c:ser>
        <c:dLbls>
          <c:showLegendKey val="0"/>
          <c:showVal val="0"/>
          <c:showCatName val="0"/>
          <c:showSerName val="0"/>
          <c:showPercent val="0"/>
          <c:showBubbleSize val="0"/>
        </c:dLbls>
        <c:gapWidth val="85"/>
        <c:overlap val="100"/>
        <c:axId val="72836608"/>
        <c:axId val="72835072"/>
      </c:barChart>
      <c:lineChart>
        <c:grouping val="standard"/>
        <c:varyColors val="0"/>
        <c:ser>
          <c:idx val="6"/>
          <c:order val="2"/>
          <c:tx>
            <c:strRef>
              <c:f>'G2-St.rozpočet-výdaje'!$D$30</c:f>
              <c:strCache>
                <c:ptCount val="1"/>
                <c:pt idx="0">
                  <c:v>Platy a související výdaje*</c:v>
                </c:pt>
              </c:strCache>
            </c:strRef>
          </c:tx>
          <c:spPr>
            <a:ln w="15875">
              <a:solidFill>
                <a:srgbClr val="D5D000"/>
              </a:solidFill>
            </a:ln>
          </c:spPr>
          <c:marker>
            <c:symbol val="none"/>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'G2-St.rozpočet-výdaje'!$D$33:$D$49</c:f>
              <c:numCache>
                <c:formatCode>0.0</c:formatCode>
                <c:ptCount val="17"/>
                <c:pt idx="0">
                  <c:v>14.85</c:v>
                </c:pt>
                <c:pt idx="1">
                  <c:v>14.73</c:v>
                </c:pt>
                <c:pt idx="2">
                  <c:v>15.14</c:v>
                </c:pt>
                <c:pt idx="3">
                  <c:v>15.42</c:v>
                </c:pt>
                <c:pt idx="4">
                  <c:v>14.05</c:v>
                </c:pt>
                <c:pt idx="5">
                  <c:v>14.35</c:v>
                </c:pt>
                <c:pt idx="6">
                  <c:v>14.46</c:v>
                </c:pt>
                <c:pt idx="7">
                  <c:v>14.8</c:v>
                </c:pt>
                <c:pt idx="8">
                  <c:v>15.8</c:v>
                </c:pt>
                <c:pt idx="9">
                  <c:v>16.75</c:v>
                </c:pt>
                <c:pt idx="10">
                  <c:v>17.75</c:v>
                </c:pt>
                <c:pt idx="11">
                  <c:v>20.47</c:v>
                </c:pt>
                <c:pt idx="12">
                  <c:v>22.19</c:v>
                </c:pt>
                <c:pt idx="13">
                  <c:v>23.368913903229998</c:v>
                </c:pt>
                <c:pt idx="14">
                  <c:v>23.533468726859997</c:v>
                </c:pt>
                <c:pt idx="15">
                  <c:v>23.433169218610001</c:v>
                </c:pt>
                <c:pt idx="16">
                  <c:v>26.15526399382</c:v>
                </c:pt>
              </c:numCache>
            </c:numRef>
          </c:val>
          <c:smooth val="0"/>
          <c:extLst>
            <c:ext xmlns:c16="http://schemas.microsoft.com/office/drawing/2014/chart" uri="{C3380CC4-5D6E-409C-BE32-E72D297353CC}">
              <c16:uniqueId val="{00000002-0ABC-483D-A0DC-31956CCF7094}"/>
            </c:ext>
          </c:extLst>
        </c:ser>
        <c:ser>
          <c:idx val="7"/>
          <c:order val="3"/>
          <c:tx>
            <c:strRef>
              <c:f>'G2-St.rozpočet-výdaje'!$E$30</c:f>
              <c:strCache>
                <c:ptCount val="1"/>
                <c:pt idx="0">
                  <c:v>Podpora v nezaměstnanosti</c:v>
                </c:pt>
              </c:strCache>
            </c:strRef>
          </c:tx>
          <c:spPr>
            <a:ln w="15875">
              <a:solidFill>
                <a:srgbClr val="0070C0"/>
              </a:solidFill>
            </a:ln>
          </c:spPr>
          <c:marker>
            <c:symbol val="none"/>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'G2-St.rozpočet-výdaje'!$E$33:$E$49</c:f>
              <c:numCache>
                <c:formatCode>0.0</c:formatCode>
                <c:ptCount val="17"/>
                <c:pt idx="0">
                  <c:v>2.0099999999999998</c:v>
                </c:pt>
                <c:pt idx="1">
                  <c:v>1.87</c:v>
                </c:pt>
                <c:pt idx="2">
                  <c:v>3.07</c:v>
                </c:pt>
                <c:pt idx="3">
                  <c:v>4.21</c:v>
                </c:pt>
                <c:pt idx="4">
                  <c:v>3.62</c:v>
                </c:pt>
                <c:pt idx="5">
                  <c:v>2.63</c:v>
                </c:pt>
                <c:pt idx="6">
                  <c:v>2.82</c:v>
                </c:pt>
                <c:pt idx="7">
                  <c:v>2.86</c:v>
                </c:pt>
                <c:pt idx="8">
                  <c:v>2.56</c:v>
                </c:pt>
                <c:pt idx="9">
                  <c:v>2.4500000000000002</c:v>
                </c:pt>
                <c:pt idx="10">
                  <c:v>2.42</c:v>
                </c:pt>
                <c:pt idx="11">
                  <c:v>2.21</c:v>
                </c:pt>
                <c:pt idx="12">
                  <c:v>2.30140118962</c:v>
                </c:pt>
                <c:pt idx="13">
                  <c:v>2.4618649264500001</c:v>
                </c:pt>
                <c:pt idx="14">
                  <c:v>2.9688356739000001</c:v>
                </c:pt>
                <c:pt idx="15">
                  <c:v>2.7006655894699998</c:v>
                </c:pt>
                <c:pt idx="16">
                  <c:v>2.91771726115</c:v>
                </c:pt>
              </c:numCache>
            </c:numRef>
          </c:val>
          <c:smooth val="0"/>
          <c:extLst>
            <c:ext xmlns:c16="http://schemas.microsoft.com/office/drawing/2014/chart" uri="{C3380CC4-5D6E-409C-BE32-E72D297353CC}">
              <c16:uniqueId val="{00000003-0ABC-483D-A0DC-31956CCF7094}"/>
            </c:ext>
          </c:extLst>
        </c:ser>
        <c:ser>
          <c:idx val="2"/>
          <c:order val="4"/>
          <c:tx>
            <c:strRef>
              <c:f>'G2-St.rozpočet-výdaje'!$F$30</c:f>
              <c:strCache>
                <c:ptCount val="1"/>
                <c:pt idx="0">
                  <c:v>Státní sociální podpora**</c:v>
                </c:pt>
              </c:strCache>
            </c:strRef>
          </c:tx>
          <c:spPr>
            <a:ln w="15875">
              <a:solidFill>
                <a:srgbClr val="00B0F0"/>
              </a:solidFill>
            </a:ln>
          </c:spPr>
          <c:marker>
            <c:symbol val="none"/>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'G2-St.rozpočet-výdaje'!$F$33:$F$49</c:f>
              <c:numCache>
                <c:formatCode>General</c:formatCode>
                <c:ptCount val="17"/>
                <c:pt idx="0">
                  <c:v>11.18</c:v>
                </c:pt>
                <c:pt idx="1">
                  <c:v>11.07</c:v>
                </c:pt>
                <c:pt idx="2">
                  <c:v>10.199999999999999</c:v>
                </c:pt>
                <c:pt idx="3">
                  <c:v>10.3</c:v>
                </c:pt>
                <c:pt idx="4">
                  <c:v>9.3800000000000008</c:v>
                </c:pt>
                <c:pt idx="5">
                  <c:v>8.89</c:v>
                </c:pt>
                <c:pt idx="6">
                  <c:v>9.2200000000000006</c:v>
                </c:pt>
                <c:pt idx="7">
                  <c:v>9.3699999999999992</c:v>
                </c:pt>
                <c:pt idx="8">
                  <c:v>9.33</c:v>
                </c:pt>
                <c:pt idx="9">
                  <c:v>9.3800000000000008</c:v>
                </c:pt>
                <c:pt idx="10">
                  <c:v>9.2899999999999991</c:v>
                </c:pt>
                <c:pt idx="11">
                  <c:v>9.48</c:v>
                </c:pt>
                <c:pt idx="12" formatCode="0.00">
                  <c:v>9.5169305102399999</c:v>
                </c:pt>
                <c:pt idx="13">
                  <c:v>11.83410995721</c:v>
                </c:pt>
                <c:pt idx="14" formatCode="0.00">
                  <c:v>12.157197793090001</c:v>
                </c:pt>
                <c:pt idx="15" formatCode="0.00">
                  <c:v>11.86611055124</c:v>
                </c:pt>
                <c:pt idx="16" formatCode="0.00">
                  <c:v>14.60713742043</c:v>
                </c:pt>
              </c:numCache>
            </c:numRef>
          </c:val>
          <c:smooth val="0"/>
          <c:extLst>
            <c:ext xmlns:c16="http://schemas.microsoft.com/office/drawing/2014/chart" uri="{C3380CC4-5D6E-409C-BE32-E72D297353CC}">
              <c16:uniqueId val="{00000004-0ABC-483D-A0DC-31956CCF7094}"/>
            </c:ext>
          </c:extLst>
        </c:ser>
        <c:ser>
          <c:idx val="3"/>
          <c:order val="5"/>
          <c:tx>
            <c:strRef>
              <c:f>'G2-St.rozpočet-výdaje'!$G$30</c:f>
              <c:strCache>
                <c:ptCount val="1"/>
                <c:pt idx="0">
                  <c:v>Dávky nemocenského pojištění</c:v>
                </c:pt>
              </c:strCache>
            </c:strRef>
          </c:tx>
          <c:spPr>
            <a:ln w="15875">
              <a:solidFill>
                <a:srgbClr val="7030A0"/>
              </a:solidFill>
            </a:ln>
          </c:spPr>
          <c:marker>
            <c:symbol val="none"/>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'G2-St.rozpočet-výdaje'!$G$33:$G$49</c:f>
              <c:numCache>
                <c:formatCode>0.00</c:formatCode>
                <c:ptCount val="17"/>
                <c:pt idx="0">
                  <c:v>9.6080000000000005</c:v>
                </c:pt>
                <c:pt idx="1">
                  <c:v>9.09</c:v>
                </c:pt>
                <c:pt idx="2">
                  <c:v>7.27</c:v>
                </c:pt>
                <c:pt idx="3">
                  <c:v>6.07</c:v>
                </c:pt>
                <c:pt idx="4">
                  <c:v>6.07</c:v>
                </c:pt>
                <c:pt idx="5">
                  <c:v>5.21</c:v>
                </c:pt>
                <c:pt idx="6">
                  <c:v>5.3</c:v>
                </c:pt>
                <c:pt idx="7">
                  <c:v>5.47</c:v>
                </c:pt>
                <c:pt idx="8">
                  <c:v>6.21</c:v>
                </c:pt>
                <c:pt idx="9">
                  <c:v>6.67</c:v>
                </c:pt>
                <c:pt idx="10">
                  <c:v>7.47</c:v>
                </c:pt>
                <c:pt idx="11">
                  <c:v>8.2899999999999991</c:v>
                </c:pt>
                <c:pt idx="12">
                  <c:v>9.92</c:v>
                </c:pt>
                <c:pt idx="13">
                  <c:v>10.97</c:v>
                </c:pt>
                <c:pt idx="14">
                  <c:v>13.3</c:v>
                </c:pt>
                <c:pt idx="15">
                  <c:v>13.36</c:v>
                </c:pt>
                <c:pt idx="16">
                  <c:v>12.6</c:v>
                </c:pt>
              </c:numCache>
            </c:numRef>
          </c:val>
          <c:smooth val="0"/>
          <c:extLst>
            <c:ext xmlns:c16="http://schemas.microsoft.com/office/drawing/2014/chart" uri="{C3380CC4-5D6E-409C-BE32-E72D297353CC}">
              <c16:uniqueId val="{00000005-0ABC-483D-A0DC-31956CCF7094}"/>
            </c:ext>
          </c:extLst>
        </c:ser>
        <c:ser>
          <c:idx val="4"/>
          <c:order val="6"/>
          <c:tx>
            <c:strRef>
              <c:f>'G2-St.rozpočet-výdaje'!$H$30</c:f>
              <c:strCache>
                <c:ptCount val="1"/>
                <c:pt idx="0">
                  <c:v>Dávky sociální péče***</c:v>
                </c:pt>
              </c:strCache>
            </c:strRef>
          </c:tx>
          <c:spPr>
            <a:ln w="15875">
              <a:solidFill>
                <a:srgbClr val="00B050"/>
              </a:solidFill>
              <a:prstDash val="solid"/>
            </a:ln>
          </c:spPr>
          <c:marker>
            <c:symbol val="none"/>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'G2-St.rozpočet-výdaje'!$H$33:$H$49</c:f>
              <c:numCache>
                <c:formatCode>0.00</c:formatCode>
                <c:ptCount val="17"/>
                <c:pt idx="0">
                  <c:v>8.8000000000000007</c:v>
                </c:pt>
                <c:pt idx="1">
                  <c:v>7.8000000000000007</c:v>
                </c:pt>
                <c:pt idx="2">
                  <c:v>7.1</c:v>
                </c:pt>
                <c:pt idx="3">
                  <c:v>7.1999999999999993</c:v>
                </c:pt>
                <c:pt idx="4">
                  <c:v>6.68</c:v>
                </c:pt>
                <c:pt idx="5">
                  <c:v>6.37</c:v>
                </c:pt>
                <c:pt idx="6">
                  <c:v>7.64</c:v>
                </c:pt>
                <c:pt idx="7">
                  <c:v>8.2100000000000009</c:v>
                </c:pt>
                <c:pt idx="8">
                  <c:v>8.44</c:v>
                </c:pt>
                <c:pt idx="9">
                  <c:v>8.34</c:v>
                </c:pt>
                <c:pt idx="10">
                  <c:v>8.85</c:v>
                </c:pt>
                <c:pt idx="11">
                  <c:v>8.48</c:v>
                </c:pt>
                <c:pt idx="12">
                  <c:v>8.3800000000000008</c:v>
                </c:pt>
                <c:pt idx="13">
                  <c:v>9.91</c:v>
                </c:pt>
                <c:pt idx="14">
                  <c:v>10.199999999999999</c:v>
                </c:pt>
                <c:pt idx="15">
                  <c:v>11.6</c:v>
                </c:pt>
                <c:pt idx="16">
                  <c:v>13.8</c:v>
                </c:pt>
              </c:numCache>
            </c:numRef>
          </c:val>
          <c:smooth val="0"/>
          <c:extLst>
            <c:ext xmlns:c16="http://schemas.microsoft.com/office/drawing/2014/chart" uri="{C3380CC4-5D6E-409C-BE32-E72D297353CC}">
              <c16:uniqueId val="{00000006-0ABC-483D-A0DC-31956CCF7094}"/>
            </c:ext>
          </c:extLst>
        </c:ser>
        <c:ser>
          <c:idx val="5"/>
          <c:order val="7"/>
          <c:tx>
            <c:strRef>
              <c:f>'G2-St.rozpočet-výdaje'!$I$30</c:f>
              <c:strCache>
                <c:ptCount val="1"/>
                <c:pt idx="0">
                  <c:v>Neinv. nákupy a souvis.výdaje****</c:v>
                </c:pt>
              </c:strCache>
            </c:strRef>
          </c:tx>
          <c:spPr>
            <a:ln w="15875">
              <a:solidFill>
                <a:schemeClr val="bg2">
                  <a:lumMod val="25000"/>
                </a:schemeClr>
              </a:solidFill>
              <a:prstDash val="sysDash"/>
            </a:ln>
          </c:spPr>
          <c:marker>
            <c:symbol val="none"/>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'G2-St.rozpočet-výdaje'!$I$33:$I$49</c:f>
              <c:numCache>
                <c:formatCode>General</c:formatCode>
                <c:ptCount val="17"/>
                <c:pt idx="5" formatCode="0.0">
                  <c:v>14.04</c:v>
                </c:pt>
                <c:pt idx="6" formatCode="0.0">
                  <c:v>11.8</c:v>
                </c:pt>
                <c:pt idx="7" formatCode="0.0">
                  <c:v>10.3</c:v>
                </c:pt>
                <c:pt idx="8" formatCode="0.0">
                  <c:v>12.43</c:v>
                </c:pt>
                <c:pt idx="9" formatCode="0.0">
                  <c:v>11.780000000000001</c:v>
                </c:pt>
                <c:pt idx="10" formatCode="0.0">
                  <c:v>14.34</c:v>
                </c:pt>
                <c:pt idx="11" formatCode="0.0">
                  <c:v>15.51</c:v>
                </c:pt>
                <c:pt idx="12" formatCode="0.0">
                  <c:v>13.6</c:v>
                </c:pt>
                <c:pt idx="13" formatCode="0.0">
                  <c:v>18.412898374919997</c:v>
                </c:pt>
                <c:pt idx="14" formatCode="0.0">
                  <c:v>13.877945219839999</c:v>
                </c:pt>
                <c:pt idx="15" formatCode="0.0">
                  <c:v>15.432360398750003</c:v>
                </c:pt>
                <c:pt idx="16" formatCode="0.0">
                  <c:v>15.340967130380001</c:v>
                </c:pt>
              </c:numCache>
            </c:numRef>
          </c:val>
          <c:smooth val="0"/>
          <c:extLst>
            <c:ext xmlns:c16="http://schemas.microsoft.com/office/drawing/2014/chart" uri="{C3380CC4-5D6E-409C-BE32-E72D297353CC}">
              <c16:uniqueId val="{00000007-0ABC-483D-A0DC-31956CCF7094}"/>
            </c:ext>
          </c:extLst>
        </c:ser>
        <c:ser>
          <c:idx val="9"/>
          <c:order val="8"/>
          <c:tx>
            <c:strRef>
              <c:f>'G2-St.rozpočet-výdaje'!$J$30</c:f>
              <c:strCache>
                <c:ptCount val="1"/>
                <c:pt idx="0">
                  <c:v>Neinvestič. transfery podnikatelům</c:v>
                </c:pt>
              </c:strCache>
            </c:strRef>
          </c:tx>
          <c:spPr>
            <a:ln w="3175">
              <a:solidFill>
                <a:srgbClr val="996633"/>
              </a:solidFill>
              <a:prstDash val="dash"/>
            </a:ln>
          </c:spPr>
          <c:marker>
            <c:symbol val="square"/>
            <c:size val="5"/>
            <c:spPr>
              <a:solidFill>
                <a:schemeClr val="bg1"/>
              </a:solidFill>
              <a:ln>
                <a:solidFill>
                  <a:srgbClr val="996633"/>
                </a:solidFill>
              </a:ln>
            </c:spPr>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'G2-St.rozpočet-výdaje'!$J$33:$J$49</c:f>
              <c:numCache>
                <c:formatCode>General</c:formatCode>
                <c:ptCount val="17"/>
                <c:pt idx="5" formatCode="0.0">
                  <c:v>8.6300000000000008</c:v>
                </c:pt>
                <c:pt idx="6" formatCode="0.0">
                  <c:v>7.93</c:v>
                </c:pt>
                <c:pt idx="7" formatCode="0.0">
                  <c:v>9.3800000000000008</c:v>
                </c:pt>
                <c:pt idx="8" formatCode="0.0">
                  <c:v>10.44</c:v>
                </c:pt>
                <c:pt idx="9" formatCode="0.0">
                  <c:v>9.8800000000000008</c:v>
                </c:pt>
                <c:pt idx="10" formatCode="0.0">
                  <c:v>13.31</c:v>
                </c:pt>
                <c:pt idx="11" formatCode="0.0">
                  <c:v>11.74</c:v>
                </c:pt>
                <c:pt idx="12" formatCode="0.0">
                  <c:v>15.29</c:v>
                </c:pt>
                <c:pt idx="13" formatCode="0.0">
                  <c:v>15.09</c:v>
                </c:pt>
                <c:pt idx="14" formatCode="0.0">
                  <c:v>38.603799745229999</c:v>
                </c:pt>
                <c:pt idx="15" formatCode="0.0">
                  <c:v>13.316887891789998</c:v>
                </c:pt>
                <c:pt idx="16" formatCode="0.0">
                  <c:v>44.218095457190003</c:v>
                </c:pt>
              </c:numCache>
            </c:numRef>
          </c:val>
          <c:smooth val="0"/>
          <c:extLst>
            <c:ext xmlns:c16="http://schemas.microsoft.com/office/drawing/2014/chart" uri="{C3380CC4-5D6E-409C-BE32-E72D297353CC}">
              <c16:uniqueId val="{00000008-0ABC-483D-A0DC-31956CCF7094}"/>
            </c:ext>
          </c:extLst>
        </c:ser>
        <c:ser>
          <c:idx val="8"/>
          <c:order val="9"/>
          <c:tx>
            <c:strRef>
              <c:f>'G2-St.rozpočet-výdaje'!$K$30</c:f>
              <c:strCache>
                <c:ptCount val="1"/>
                <c:pt idx="0">
                  <c:v>Kapitálové výdaje</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numRef>
              <c:f>'G2-St.rozpočet-výdaje'!$A$33:$A$49</c:f>
              <c:numCache>
                <c:formatCode>General</c:formatCode>
                <c:ptCount val="17"/>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numCache>
            </c:numRef>
          </c:cat>
          <c:val>
            <c:numRef>
              <c:f>'G2-St.rozpočet-výdaje'!$K$33:$K$49</c:f>
              <c:numCache>
                <c:formatCode>0.0</c:formatCode>
                <c:ptCount val="17"/>
                <c:pt idx="0">
                  <c:v>10.07</c:v>
                </c:pt>
                <c:pt idx="1">
                  <c:v>31.85</c:v>
                </c:pt>
                <c:pt idx="2">
                  <c:v>31.88</c:v>
                </c:pt>
                <c:pt idx="3">
                  <c:v>33.1</c:v>
                </c:pt>
                <c:pt idx="4">
                  <c:v>26.12</c:v>
                </c:pt>
                <c:pt idx="5">
                  <c:v>22.19</c:v>
                </c:pt>
                <c:pt idx="6">
                  <c:v>17.690000000000001</c:v>
                </c:pt>
                <c:pt idx="7">
                  <c:v>14.93</c:v>
                </c:pt>
                <c:pt idx="8">
                  <c:v>19.78</c:v>
                </c:pt>
                <c:pt idx="9">
                  <c:v>20.02</c:v>
                </c:pt>
                <c:pt idx="10">
                  <c:v>6.27</c:v>
                </c:pt>
                <c:pt idx="11">
                  <c:v>11.73</c:v>
                </c:pt>
                <c:pt idx="12">
                  <c:v>16.43</c:v>
                </c:pt>
                <c:pt idx="13">
                  <c:v>23.367157547710001</c:v>
                </c:pt>
                <c:pt idx="14">
                  <c:v>23.477695399889999</c:v>
                </c:pt>
                <c:pt idx="15">
                  <c:v>15.96759917888</c:v>
                </c:pt>
                <c:pt idx="16">
                  <c:v>36.053253358629995</c:v>
                </c:pt>
              </c:numCache>
            </c:numRef>
          </c:val>
          <c:smooth val="0"/>
          <c:extLst>
            <c:ext xmlns:c16="http://schemas.microsoft.com/office/drawing/2014/chart" uri="{C3380CC4-5D6E-409C-BE32-E72D297353CC}">
              <c16:uniqueId val="{00000009-0ABC-483D-A0DC-31956CCF7094}"/>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0"/>
        <c:noMultiLvlLbl val="0"/>
      </c:catAx>
      <c:valAx>
        <c:axId val="72829184"/>
        <c:scaling>
          <c:orientation val="minMax"/>
          <c:max val="45"/>
          <c:min val="0"/>
        </c:scaling>
        <c:delete val="0"/>
        <c:axPos val="l"/>
        <c:majorGridlines>
          <c:spPr>
            <a:ln w="6350">
              <a:solidFill>
                <a:schemeClr val="bg1">
                  <a:lumMod val="75000"/>
                </a:schemeClr>
              </a:solidFill>
            </a:ln>
          </c:spPr>
        </c:majorGridlines>
        <c:title>
          <c:tx>
            <c:rich>
              <a:bodyPr/>
              <a:lstStyle/>
              <a:p>
                <a:pPr>
                  <a:defRPr sz="700" b="0" i="1"/>
                </a:pPr>
                <a:r>
                  <a:rPr lang="cs-CZ" sz="700" b="0" i="1"/>
                  <a:t>Vybrané</a:t>
                </a:r>
                <a:r>
                  <a:rPr lang="cs-CZ" sz="700" b="0" i="1" baseline="0"/>
                  <a:t> </a:t>
                </a:r>
                <a:r>
                  <a:rPr lang="cs-CZ" sz="700" b="0" i="1"/>
                  <a:t>výdaje</a:t>
                </a: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5"/>
      </c:valAx>
      <c:valAx>
        <c:axId val="72835072"/>
        <c:scaling>
          <c:orientation val="minMax"/>
          <c:max val="540"/>
          <c:min val="0"/>
        </c:scaling>
        <c:delete val="0"/>
        <c:axPos val="r"/>
        <c:title>
          <c:tx>
            <c:rich>
              <a:bodyPr/>
              <a:lstStyle/>
              <a:p>
                <a:pPr>
                  <a:defRPr sz="700" b="0" i="1"/>
                </a:pPr>
                <a:r>
                  <a:rPr lang="cs-CZ" sz="700" b="0" i="1"/>
                  <a:t>Běžné výdaje celkem, důchody</a:t>
                </a:r>
              </a:p>
            </c:rich>
          </c:tx>
          <c:layout>
            <c:manualLayout>
              <c:xMode val="edge"/>
              <c:yMode val="edge"/>
              <c:x val="0.969049136463625"/>
              <c:y val="0.25018610067154745"/>
            </c:manualLayout>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6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6.8616098225395744E-2"/>
          <c:y val="0.82695584929121102"/>
          <c:w val="0.86570778018899663"/>
          <c:h val="0.1658548997830193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4873803917764E-2"/>
          <c:y val="2.3228803716608595E-2"/>
          <c:w val="0.86602734062835873"/>
          <c:h val="0.79493707898225663"/>
        </c:manualLayout>
      </c:layout>
      <c:barChart>
        <c:barDir val="col"/>
        <c:grouping val="clustered"/>
        <c:varyColors val="0"/>
        <c:ser>
          <c:idx val="0"/>
          <c:order val="0"/>
          <c:tx>
            <c:strRef>
              <c:f>'G3-Sektor vlád.institucí'!$A$41</c:f>
              <c:strCache>
                <c:ptCount val="1"/>
                <c:pt idx="0">
                  <c:v>Saldo hospodaření (EU27)</c:v>
                </c:pt>
              </c:strCache>
            </c:strRef>
          </c:tx>
          <c:spPr>
            <a:solidFill>
              <a:srgbClr val="00B0F0"/>
            </a:solidFill>
            <a:ln w="19050">
              <a:noFill/>
            </a:ln>
            <a:effectLst/>
          </c:spPr>
          <c:invertIfNegative val="0"/>
          <c:cat>
            <c:strRef>
              <c:f>'G3-Sektor vlád.institucí'!$B$40:$S$40</c:f>
              <c:strCach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strCache>
            </c:strRef>
          </c:cat>
          <c:val>
            <c:numRef>
              <c:f>'G3-Sektor vlád.institucí'!$B$41:$S$41</c:f>
              <c:numCache>
                <c:formatCode>0.0</c:formatCode>
                <c:ptCount val="18"/>
                <c:pt idx="0">
                  <c:v>-2.2999999999999998</c:v>
                </c:pt>
                <c:pt idx="1">
                  <c:v>-1.4</c:v>
                </c:pt>
                <c:pt idx="2">
                  <c:v>-0.5</c:v>
                </c:pt>
                <c:pt idx="3">
                  <c:v>-2</c:v>
                </c:pt>
                <c:pt idx="4">
                  <c:v>-6</c:v>
                </c:pt>
                <c:pt idx="5">
                  <c:v>-6</c:v>
                </c:pt>
                <c:pt idx="6">
                  <c:v>-4.0999999999999996</c:v>
                </c:pt>
                <c:pt idx="7">
                  <c:v>-3.7</c:v>
                </c:pt>
                <c:pt idx="8">
                  <c:v>-3</c:v>
                </c:pt>
                <c:pt idx="9">
                  <c:v>-2.4</c:v>
                </c:pt>
                <c:pt idx="10">
                  <c:v>-1.9</c:v>
                </c:pt>
                <c:pt idx="11">
                  <c:v>-1.4</c:v>
                </c:pt>
                <c:pt idx="12">
                  <c:v>-0.8</c:v>
                </c:pt>
                <c:pt idx="13">
                  <c:v>-0.4</c:v>
                </c:pt>
                <c:pt idx="14">
                  <c:v>-0.5</c:v>
                </c:pt>
                <c:pt idx="15">
                  <c:v>-6.7</c:v>
                </c:pt>
                <c:pt idx="16">
                  <c:v>-4.8</c:v>
                </c:pt>
                <c:pt idx="17">
                  <c:v>-3.4</c:v>
                </c:pt>
              </c:numCache>
            </c:numRef>
          </c:val>
          <c:extLst>
            <c:ext xmlns:c16="http://schemas.microsoft.com/office/drawing/2014/chart" uri="{C3380CC4-5D6E-409C-BE32-E72D297353CC}">
              <c16:uniqueId val="{00000000-574E-4405-AE45-D197E2FFBF16}"/>
            </c:ext>
          </c:extLst>
        </c:ser>
        <c:ser>
          <c:idx val="1"/>
          <c:order val="1"/>
          <c:tx>
            <c:strRef>
              <c:f>'G3-Sektor vlád.institucí'!$A$42</c:f>
              <c:strCache>
                <c:ptCount val="1"/>
                <c:pt idx="0">
                  <c:v>Saldo hospodaření (eurozóna19)</c:v>
                </c:pt>
              </c:strCache>
            </c:strRef>
          </c:tx>
          <c:spPr>
            <a:solidFill>
              <a:schemeClr val="accent5">
                <a:lumMod val="60000"/>
                <a:lumOff val="40000"/>
              </a:schemeClr>
            </a:solidFill>
            <a:ln w="19050">
              <a:noFill/>
            </a:ln>
            <a:effectLst/>
          </c:spPr>
          <c:invertIfNegative val="0"/>
          <c:cat>
            <c:strRef>
              <c:f>'G3-Sektor vlád.institucí'!$B$40:$S$40</c:f>
              <c:strCach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strCache>
            </c:strRef>
          </c:cat>
          <c:val>
            <c:numRef>
              <c:f>'G3-Sektor vlád.institucí'!$B$42:$S$42</c:f>
              <c:numCache>
                <c:formatCode>0.0</c:formatCode>
                <c:ptCount val="18"/>
                <c:pt idx="0">
                  <c:v>-2.6</c:v>
                </c:pt>
                <c:pt idx="1">
                  <c:v>-1.5</c:v>
                </c:pt>
                <c:pt idx="2">
                  <c:v>-0.6</c:v>
                </c:pt>
                <c:pt idx="3">
                  <c:v>-2.2000000000000002</c:v>
                </c:pt>
                <c:pt idx="4">
                  <c:v>-6.2</c:v>
                </c:pt>
                <c:pt idx="5">
                  <c:v>-6.3</c:v>
                </c:pt>
                <c:pt idx="6">
                  <c:v>-4.2</c:v>
                </c:pt>
                <c:pt idx="7">
                  <c:v>-3.8</c:v>
                </c:pt>
                <c:pt idx="8">
                  <c:v>-3.1</c:v>
                </c:pt>
                <c:pt idx="9">
                  <c:v>-2.5</c:v>
                </c:pt>
                <c:pt idx="10">
                  <c:v>-2</c:v>
                </c:pt>
                <c:pt idx="11">
                  <c:v>-1.5</c:v>
                </c:pt>
                <c:pt idx="12">
                  <c:v>-0.9</c:v>
                </c:pt>
                <c:pt idx="13">
                  <c:v>-0.4</c:v>
                </c:pt>
                <c:pt idx="14">
                  <c:v>-0.6</c:v>
                </c:pt>
                <c:pt idx="15">
                  <c:v>-7.1</c:v>
                </c:pt>
                <c:pt idx="16">
                  <c:v>-5.3</c:v>
                </c:pt>
                <c:pt idx="17">
                  <c:v>-3.6</c:v>
                </c:pt>
              </c:numCache>
            </c:numRef>
          </c:val>
          <c:extLst>
            <c:ext xmlns:c16="http://schemas.microsoft.com/office/drawing/2014/chart" uri="{C3380CC4-5D6E-409C-BE32-E72D297353CC}">
              <c16:uniqueId val="{00000001-574E-4405-AE45-D197E2FFBF16}"/>
            </c:ext>
          </c:extLst>
        </c:ser>
        <c:ser>
          <c:idx val="2"/>
          <c:order val="2"/>
          <c:tx>
            <c:strRef>
              <c:f>'G3-Sektor vlád.institucí'!$A$43</c:f>
              <c:strCache>
                <c:ptCount val="1"/>
                <c:pt idx="0">
                  <c:v>Saldo hospodaření (Česko)</c:v>
                </c:pt>
              </c:strCache>
            </c:strRef>
          </c:tx>
          <c:spPr>
            <a:solidFill>
              <a:schemeClr val="accent6">
                <a:lumMod val="60000"/>
                <a:lumOff val="40000"/>
              </a:schemeClr>
            </a:solidFill>
            <a:ln w="19050">
              <a:noFill/>
            </a:ln>
            <a:effectLst/>
          </c:spPr>
          <c:invertIfNegative val="0"/>
          <c:cat>
            <c:strRef>
              <c:f>'G3-Sektor vlád.institucí'!$B$40:$S$40</c:f>
              <c:strCach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strCache>
            </c:strRef>
          </c:cat>
          <c:val>
            <c:numRef>
              <c:f>'G3-Sektor vlád.institucí'!$B$43:$S$43</c:f>
              <c:numCache>
                <c:formatCode>0.0</c:formatCode>
                <c:ptCount val="18"/>
                <c:pt idx="0">
                  <c:v>-3</c:v>
                </c:pt>
                <c:pt idx="1">
                  <c:v>-2.2000000000000002</c:v>
                </c:pt>
                <c:pt idx="2">
                  <c:v>-0.6</c:v>
                </c:pt>
                <c:pt idx="3">
                  <c:v>-2</c:v>
                </c:pt>
                <c:pt idx="4">
                  <c:v>-5.4</c:v>
                </c:pt>
                <c:pt idx="5">
                  <c:v>-4.2</c:v>
                </c:pt>
                <c:pt idx="6">
                  <c:v>-2.7</c:v>
                </c:pt>
                <c:pt idx="7">
                  <c:v>-3.9</c:v>
                </c:pt>
                <c:pt idx="8">
                  <c:v>-1.3</c:v>
                </c:pt>
                <c:pt idx="9">
                  <c:v>-2.1</c:v>
                </c:pt>
                <c:pt idx="10">
                  <c:v>-0.6</c:v>
                </c:pt>
                <c:pt idx="11">
                  <c:v>0.7</c:v>
                </c:pt>
                <c:pt idx="12">
                  <c:v>1.5</c:v>
                </c:pt>
                <c:pt idx="13">
                  <c:v>0.9</c:v>
                </c:pt>
                <c:pt idx="14">
                  <c:v>0.3</c:v>
                </c:pt>
                <c:pt idx="15">
                  <c:v>-5.8</c:v>
                </c:pt>
                <c:pt idx="16">
                  <c:v>-5.0999999999999996</c:v>
                </c:pt>
                <c:pt idx="17">
                  <c:v>-3.6</c:v>
                </c:pt>
              </c:numCache>
            </c:numRef>
          </c:val>
          <c:extLst>
            <c:ext xmlns:c16="http://schemas.microsoft.com/office/drawing/2014/chart" uri="{C3380CC4-5D6E-409C-BE32-E72D297353CC}">
              <c16:uniqueId val="{00000002-574E-4405-AE45-D197E2FFBF16}"/>
            </c:ext>
          </c:extLst>
        </c:ser>
        <c:dLbls>
          <c:showLegendKey val="0"/>
          <c:showVal val="0"/>
          <c:showCatName val="0"/>
          <c:showSerName val="0"/>
          <c:showPercent val="0"/>
          <c:showBubbleSize val="0"/>
        </c:dLbls>
        <c:gapWidth val="150"/>
        <c:axId val="1037159056"/>
        <c:axId val="1037161968"/>
      </c:barChart>
      <c:lineChart>
        <c:grouping val="standard"/>
        <c:varyColors val="0"/>
        <c:ser>
          <c:idx val="4"/>
          <c:order val="3"/>
          <c:tx>
            <c:strRef>
              <c:f>'G3-Sektor vlád.institucí'!$A$44</c:f>
              <c:strCache>
                <c:ptCount val="1"/>
                <c:pt idx="0">
                  <c:v>Dluh (EU27)</c:v>
                </c:pt>
              </c:strCache>
            </c:strRef>
          </c:tx>
          <c:spPr>
            <a:ln w="19050" cap="rnd">
              <a:solidFill>
                <a:srgbClr val="00B0F0"/>
              </a:solidFill>
              <a:round/>
            </a:ln>
            <a:effectLst/>
          </c:spPr>
          <c:marker>
            <c:symbol val="none"/>
          </c:marker>
          <c:cat>
            <c:strRef>
              <c:f>'G3-Sektor vlád.institucí'!$B$40:$S$40</c:f>
              <c:strCach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strCache>
            </c:strRef>
          </c:cat>
          <c:val>
            <c:numRef>
              <c:f>'G3-Sektor vlád.institucí'!$B$44:$S$44</c:f>
              <c:numCache>
                <c:formatCode>0.0</c:formatCode>
                <c:ptCount val="18"/>
                <c:pt idx="0">
                  <c:v>67.099999999999994</c:v>
                </c:pt>
                <c:pt idx="1">
                  <c:v>65</c:v>
                </c:pt>
                <c:pt idx="2">
                  <c:v>62.3</c:v>
                </c:pt>
                <c:pt idx="3">
                  <c:v>65</c:v>
                </c:pt>
                <c:pt idx="4">
                  <c:v>75.7</c:v>
                </c:pt>
                <c:pt idx="5">
                  <c:v>80.400000000000006</c:v>
                </c:pt>
                <c:pt idx="6">
                  <c:v>81.8</c:v>
                </c:pt>
                <c:pt idx="7">
                  <c:v>85</c:v>
                </c:pt>
                <c:pt idx="8">
                  <c:v>86.8</c:v>
                </c:pt>
                <c:pt idx="9">
                  <c:v>86.9</c:v>
                </c:pt>
                <c:pt idx="10">
                  <c:v>85.1</c:v>
                </c:pt>
                <c:pt idx="11">
                  <c:v>84.3</c:v>
                </c:pt>
                <c:pt idx="12">
                  <c:v>81.900000000000006</c:v>
                </c:pt>
                <c:pt idx="13">
                  <c:v>79.8</c:v>
                </c:pt>
                <c:pt idx="14">
                  <c:v>77.7</c:v>
                </c:pt>
                <c:pt idx="15">
                  <c:v>90</c:v>
                </c:pt>
                <c:pt idx="16">
                  <c:v>88</c:v>
                </c:pt>
                <c:pt idx="17">
                  <c:v>84</c:v>
                </c:pt>
              </c:numCache>
            </c:numRef>
          </c:val>
          <c:smooth val="0"/>
          <c:extLst>
            <c:ext xmlns:c16="http://schemas.microsoft.com/office/drawing/2014/chart" uri="{C3380CC4-5D6E-409C-BE32-E72D297353CC}">
              <c16:uniqueId val="{00000003-574E-4405-AE45-D197E2FFBF16}"/>
            </c:ext>
          </c:extLst>
        </c:ser>
        <c:ser>
          <c:idx val="5"/>
          <c:order val="4"/>
          <c:tx>
            <c:strRef>
              <c:f>'G3-Sektor vlád.institucí'!$A$45</c:f>
              <c:strCache>
                <c:ptCount val="1"/>
                <c:pt idx="0">
                  <c:v>Dluh (eurozóna19)</c:v>
                </c:pt>
              </c:strCache>
            </c:strRef>
          </c:tx>
          <c:spPr>
            <a:ln w="19050" cap="rnd">
              <a:solidFill>
                <a:srgbClr val="70BDD2"/>
              </a:solidFill>
              <a:prstDash val="sysDash"/>
              <a:round/>
            </a:ln>
            <a:effectLst/>
          </c:spPr>
          <c:marker>
            <c:symbol val="none"/>
          </c:marker>
          <c:cat>
            <c:strRef>
              <c:f>'G3-Sektor vlád.institucí'!$B$40:$S$40</c:f>
              <c:strCach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strCache>
            </c:strRef>
          </c:cat>
          <c:val>
            <c:numRef>
              <c:f>'G3-Sektor vlád.institucí'!$B$45:$S$45</c:f>
              <c:numCache>
                <c:formatCode>0.0</c:formatCode>
                <c:ptCount val="18"/>
                <c:pt idx="0">
                  <c:v>70.400000000000006</c:v>
                </c:pt>
                <c:pt idx="1">
                  <c:v>68.400000000000006</c:v>
                </c:pt>
                <c:pt idx="2">
                  <c:v>66</c:v>
                </c:pt>
                <c:pt idx="3">
                  <c:v>69.7</c:v>
                </c:pt>
                <c:pt idx="4">
                  <c:v>80.3</c:v>
                </c:pt>
                <c:pt idx="5">
                  <c:v>85.7</c:v>
                </c:pt>
                <c:pt idx="6">
                  <c:v>87.6</c:v>
                </c:pt>
                <c:pt idx="7">
                  <c:v>91.1</c:v>
                </c:pt>
                <c:pt idx="8">
                  <c:v>93</c:v>
                </c:pt>
                <c:pt idx="9">
                  <c:v>93.2</c:v>
                </c:pt>
                <c:pt idx="10">
                  <c:v>91.3</c:v>
                </c:pt>
                <c:pt idx="11">
                  <c:v>90.5</c:v>
                </c:pt>
                <c:pt idx="12">
                  <c:v>88.1</c:v>
                </c:pt>
                <c:pt idx="13">
                  <c:v>86.1</c:v>
                </c:pt>
                <c:pt idx="14">
                  <c:v>84.1</c:v>
                </c:pt>
                <c:pt idx="15">
                  <c:v>97.2</c:v>
                </c:pt>
                <c:pt idx="16">
                  <c:v>95.5</c:v>
                </c:pt>
                <c:pt idx="17">
                  <c:v>91.6</c:v>
                </c:pt>
              </c:numCache>
            </c:numRef>
          </c:val>
          <c:smooth val="0"/>
          <c:extLst>
            <c:ext xmlns:c16="http://schemas.microsoft.com/office/drawing/2014/chart" uri="{C3380CC4-5D6E-409C-BE32-E72D297353CC}">
              <c16:uniqueId val="{00000004-574E-4405-AE45-D197E2FFBF16}"/>
            </c:ext>
          </c:extLst>
        </c:ser>
        <c:ser>
          <c:idx val="6"/>
          <c:order val="5"/>
          <c:tx>
            <c:strRef>
              <c:f>'G3-Sektor vlád.institucí'!$A$46</c:f>
              <c:strCache>
                <c:ptCount val="1"/>
                <c:pt idx="0">
                  <c:v>Dluh (Česko)</c:v>
                </c:pt>
              </c:strCache>
            </c:strRef>
          </c:tx>
          <c:spPr>
            <a:ln w="19050" cap="rnd">
              <a:solidFill>
                <a:schemeClr val="accent6">
                  <a:lumMod val="75000"/>
                </a:schemeClr>
              </a:solidFill>
              <a:prstDash val="solid"/>
              <a:round/>
            </a:ln>
            <a:effectLst/>
          </c:spPr>
          <c:marker>
            <c:symbol val="none"/>
          </c:marker>
          <c:cat>
            <c:strRef>
              <c:f>'G3-Sektor vlád.institucí'!$B$40:$S$40</c:f>
              <c:strCach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strCache>
            </c:strRef>
          </c:cat>
          <c:val>
            <c:numRef>
              <c:f>'G3-Sektor vlád.institucí'!$B$46:$S$46</c:f>
              <c:numCache>
                <c:formatCode>0.0</c:formatCode>
                <c:ptCount val="18"/>
                <c:pt idx="0">
                  <c:v>27.7</c:v>
                </c:pt>
                <c:pt idx="1">
                  <c:v>27.6</c:v>
                </c:pt>
                <c:pt idx="2">
                  <c:v>27.3</c:v>
                </c:pt>
                <c:pt idx="3">
                  <c:v>28.1</c:v>
                </c:pt>
                <c:pt idx="4">
                  <c:v>33.4</c:v>
                </c:pt>
                <c:pt idx="5">
                  <c:v>37.1</c:v>
                </c:pt>
                <c:pt idx="6">
                  <c:v>39.700000000000003</c:v>
                </c:pt>
                <c:pt idx="7">
                  <c:v>44.2</c:v>
                </c:pt>
                <c:pt idx="8">
                  <c:v>44.4</c:v>
                </c:pt>
                <c:pt idx="9">
                  <c:v>41.9</c:v>
                </c:pt>
                <c:pt idx="10">
                  <c:v>39.700000000000003</c:v>
                </c:pt>
                <c:pt idx="11">
                  <c:v>36.6</c:v>
                </c:pt>
                <c:pt idx="12">
                  <c:v>34.200000000000003</c:v>
                </c:pt>
                <c:pt idx="13">
                  <c:v>32.1</c:v>
                </c:pt>
                <c:pt idx="14">
                  <c:v>30</c:v>
                </c:pt>
                <c:pt idx="15">
                  <c:v>37.700000000000003</c:v>
                </c:pt>
                <c:pt idx="16">
                  <c:v>42</c:v>
                </c:pt>
                <c:pt idx="17">
                  <c:v>44.1</c:v>
                </c:pt>
              </c:numCache>
            </c:numRef>
          </c:val>
          <c:smooth val="0"/>
          <c:extLst>
            <c:ext xmlns:c16="http://schemas.microsoft.com/office/drawing/2014/chart" uri="{C3380CC4-5D6E-409C-BE32-E72D297353CC}">
              <c16:uniqueId val="{00000005-574E-4405-AE45-D197E2FFBF16}"/>
            </c:ext>
          </c:extLst>
        </c:ser>
        <c:dLbls>
          <c:showLegendKey val="0"/>
          <c:showVal val="0"/>
          <c:showCatName val="0"/>
          <c:showSerName val="0"/>
          <c:showPercent val="0"/>
          <c:showBubbleSize val="0"/>
        </c:dLbls>
        <c:marker val="1"/>
        <c:smooth val="0"/>
        <c:axId val="1205690096"/>
        <c:axId val="1205690928"/>
      </c:lineChart>
      <c:catAx>
        <c:axId val="10371590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75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1037161968"/>
        <c:crosses val="autoZero"/>
        <c:auto val="1"/>
        <c:lblAlgn val="ctr"/>
        <c:lblOffset val="0"/>
        <c:noMultiLvlLbl val="0"/>
      </c:catAx>
      <c:valAx>
        <c:axId val="1037161968"/>
        <c:scaling>
          <c:orientation val="minMax"/>
          <c:max val="6"/>
          <c:min val="-14"/>
        </c:scaling>
        <c:delete val="0"/>
        <c:axPos val="l"/>
        <c:majorGridlines>
          <c:spPr>
            <a:ln w="6350" cap="flat" cmpd="sng" algn="ctr">
              <a:solidFill>
                <a:schemeClr val="bg1">
                  <a:lumMod val="75000"/>
                </a:schemeClr>
              </a:solidFill>
              <a:round/>
            </a:ln>
            <a:effectLst/>
          </c:spPr>
        </c:majorGridlines>
        <c:title>
          <c:tx>
            <c:rich>
              <a:bodyPr rot="-5400000" spcFirstLastPara="1" vertOverflow="ellipsis" vert="horz" wrap="square" anchor="ctr" anchorCtr="1"/>
              <a:lstStyle/>
              <a:p>
                <a:pPr>
                  <a:defRPr sz="7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700" i="1">
                    <a:latin typeface="Arial" panose="020B0604020202020204" pitchFamily="34" charset="0"/>
                    <a:cs typeface="Arial" panose="020B0604020202020204" pitchFamily="34" charset="0"/>
                  </a:rPr>
                  <a:t>Saldo hospodaření</a:t>
                </a:r>
              </a:p>
            </c:rich>
          </c:tx>
          <c:overlay val="0"/>
          <c:spPr>
            <a:noFill/>
            <a:ln>
              <a:noFill/>
            </a:ln>
            <a:effectLst/>
          </c:spPr>
          <c:txPr>
            <a:bodyPr rot="-5400000" spcFirstLastPara="1" vertOverflow="ellipsis" vert="horz" wrap="square" anchor="ctr" anchorCtr="1"/>
            <a:lstStyle/>
            <a:p>
              <a:pPr>
                <a:defRPr sz="7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1037159056"/>
        <c:crosses val="autoZero"/>
        <c:crossBetween val="between"/>
      </c:valAx>
      <c:valAx>
        <c:axId val="1205690928"/>
        <c:scaling>
          <c:orientation val="minMax"/>
          <c:max val="100"/>
        </c:scaling>
        <c:delete val="0"/>
        <c:axPos val="r"/>
        <c:title>
          <c:tx>
            <c:rich>
              <a:bodyPr rot="-5400000" spcFirstLastPara="1" vertOverflow="ellipsis" vert="horz" wrap="square" anchor="ctr" anchorCtr="1"/>
              <a:lstStyle/>
              <a:p>
                <a:pPr>
                  <a:defRPr sz="7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700" i="1">
                    <a:latin typeface="Arial" panose="020B0604020202020204" pitchFamily="34" charset="0"/>
                    <a:cs typeface="Arial" panose="020B0604020202020204" pitchFamily="34" charset="0"/>
                  </a:rPr>
                  <a:t>Konsolidovaný</a:t>
                </a:r>
                <a:r>
                  <a:rPr lang="cs-CZ" sz="700" i="1" baseline="0">
                    <a:latin typeface="Arial" panose="020B0604020202020204" pitchFamily="34" charset="0"/>
                    <a:cs typeface="Arial" panose="020B0604020202020204" pitchFamily="34" charset="0"/>
                  </a:rPr>
                  <a:t> dluh</a:t>
                </a:r>
                <a:endParaRPr lang="cs-CZ" sz="700" i="1">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7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205690096"/>
        <c:crosses val="max"/>
        <c:crossBetween val="between"/>
        <c:majorUnit val="10"/>
      </c:valAx>
      <c:catAx>
        <c:axId val="1205690096"/>
        <c:scaling>
          <c:orientation val="minMax"/>
        </c:scaling>
        <c:delete val="1"/>
        <c:axPos val="b"/>
        <c:numFmt formatCode="General" sourceLinked="1"/>
        <c:majorTickMark val="out"/>
        <c:minorTickMark val="none"/>
        <c:tickLblPos val="nextTo"/>
        <c:crossAx val="1205690928"/>
        <c:crosses val="autoZero"/>
        <c:auto val="1"/>
        <c:lblAlgn val="ctr"/>
        <c:lblOffset val="100"/>
        <c:noMultiLvlLbl val="0"/>
      </c:catAx>
      <c:spPr>
        <a:noFill/>
        <a:ln w="6350">
          <a:solidFill>
            <a:schemeClr val="tx1"/>
          </a:solidFill>
        </a:ln>
        <a:effectLst/>
      </c:spPr>
    </c:plotArea>
    <c:legend>
      <c:legendPos val="b"/>
      <c:layout>
        <c:manualLayout>
          <c:xMode val="edge"/>
          <c:yMode val="edge"/>
          <c:x val="6.4171853237142307E-2"/>
          <c:y val="0.89141808728926264"/>
          <c:w val="0.86141475457632655"/>
          <c:h val="0.10016102923385907"/>
        </c:manualLayout>
      </c:layout>
      <c:overlay val="0"/>
      <c:spPr>
        <a:noFill/>
        <a:ln w="6350">
          <a:solidFill>
            <a:schemeClr val="tx1"/>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72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3'!$D$30:$D$50</c:f>
              <c:numCache>
                <c:formatCode>###\ ###\ ##0.0</c:formatCode>
                <c:ptCount val="21"/>
                <c:pt idx="0">
                  <c:v>1.5760000000000001</c:v>
                </c:pt>
                <c:pt idx="1">
                  <c:v>1.2429999999999997</c:v>
                </c:pt>
                <c:pt idx="2">
                  <c:v>0.98499999999999999</c:v>
                </c:pt>
                <c:pt idx="3">
                  <c:v>0.86200000000000021</c:v>
                </c:pt>
                <c:pt idx="4">
                  <c:v>0.93400000000000005</c:v>
                </c:pt>
                <c:pt idx="5">
                  <c:v>1.3260000000000001</c:v>
                </c:pt>
                <c:pt idx="6">
                  <c:v>1.032</c:v>
                </c:pt>
                <c:pt idx="7">
                  <c:v>1.107</c:v>
                </c:pt>
                <c:pt idx="8">
                  <c:v>-1.02</c:v>
                </c:pt>
                <c:pt idx="9">
                  <c:v>-3.3189999999999991</c:v>
                </c:pt>
                <c:pt idx="10">
                  <c:v>-1.792</c:v>
                </c:pt>
                <c:pt idx="11">
                  <c:v>-4.4210000000000003</c:v>
                </c:pt>
                <c:pt idx="12">
                  <c:v>-2.9519999999999991</c:v>
                </c:pt>
                <c:pt idx="13">
                  <c:v>1.897</c:v>
                </c:pt>
                <c:pt idx="14">
                  <c:v>1.885</c:v>
                </c:pt>
                <c:pt idx="15">
                  <c:v>3.2919999999999998</c:v>
                </c:pt>
                <c:pt idx="16">
                  <c:v>3.1789999999999998</c:v>
                </c:pt>
                <c:pt idx="17">
                  <c:v>-1.0999999999999998E-2</c:v>
                </c:pt>
                <c:pt idx="18">
                  <c:v>-2.8119999999999989</c:v>
                </c:pt>
                <c:pt idx="19">
                  <c:v>-2.8549999999999991</c:v>
                </c:pt>
                <c:pt idx="20">
                  <c:v>-3.01</c:v>
                </c:pt>
              </c:numCache>
            </c:numRef>
          </c:val>
          <c:extLst>
            <c:ext xmlns:c16="http://schemas.microsoft.com/office/drawing/2014/chart" uri="{C3380CC4-5D6E-409C-BE32-E72D297353CC}">
              <c16:uniqueId val="{00000000-F042-439D-B0E9-8F31C25ACFB7}"/>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3'!$E$30:$E$50</c:f>
              <c:numCache>
                <c:formatCode>###\ ###\ ##0.0</c:formatCode>
                <c:ptCount val="21"/>
                <c:pt idx="0">
                  <c:v>0.57399999999999995</c:v>
                </c:pt>
                <c:pt idx="1">
                  <c:v>0.66000000000000025</c:v>
                </c:pt>
                <c:pt idx="2">
                  <c:v>0.81799999999999995</c:v>
                </c:pt>
                <c:pt idx="3">
                  <c:v>0.81100000000000005</c:v>
                </c:pt>
                <c:pt idx="4">
                  <c:v>0.45300000000000001</c:v>
                </c:pt>
                <c:pt idx="5">
                  <c:v>0.47900000000000009</c:v>
                </c:pt>
                <c:pt idx="6">
                  <c:v>0.44500000000000001</c:v>
                </c:pt>
                <c:pt idx="7">
                  <c:v>0.33700000000000013</c:v>
                </c:pt>
                <c:pt idx="8">
                  <c:v>0.80500000000000005</c:v>
                </c:pt>
                <c:pt idx="9">
                  <c:v>0.70700000000000018</c:v>
                </c:pt>
                <c:pt idx="10">
                  <c:v>0.41400000000000009</c:v>
                </c:pt>
                <c:pt idx="11">
                  <c:v>1.224</c:v>
                </c:pt>
                <c:pt idx="12">
                  <c:v>0.19900000000000001</c:v>
                </c:pt>
                <c:pt idx="13">
                  <c:v>0.115</c:v>
                </c:pt>
                <c:pt idx="14">
                  <c:v>0.66700000000000026</c:v>
                </c:pt>
                <c:pt idx="15">
                  <c:v>-4.7000000000000014E-2</c:v>
                </c:pt>
                <c:pt idx="16">
                  <c:v>0.40600000000000008</c:v>
                </c:pt>
                <c:pt idx="17">
                  <c:v>0.29000000000000009</c:v>
                </c:pt>
                <c:pt idx="18">
                  <c:v>-0.41800000000000009</c:v>
                </c:pt>
                <c:pt idx="19">
                  <c:v>0.15300000000000005</c:v>
                </c:pt>
                <c:pt idx="20">
                  <c:v>0.77500000000000024</c:v>
                </c:pt>
              </c:numCache>
            </c:numRef>
          </c:val>
          <c:extLst>
            <c:ext xmlns:c16="http://schemas.microsoft.com/office/drawing/2014/chart" uri="{C3380CC4-5D6E-409C-BE32-E72D297353CC}">
              <c16:uniqueId val="{00000001-F042-439D-B0E9-8F31C25ACFB7}"/>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3'!$G$30:$G$50</c:f>
              <c:numCache>
                <c:formatCode>###\ ###\ ##0.0</c:formatCode>
                <c:ptCount val="21"/>
                <c:pt idx="0">
                  <c:v>2.6509999999999998</c:v>
                </c:pt>
                <c:pt idx="1">
                  <c:v>1.708</c:v>
                </c:pt>
                <c:pt idx="2">
                  <c:v>1.9279999999999995</c:v>
                </c:pt>
                <c:pt idx="3">
                  <c:v>0.67200000000000026</c:v>
                </c:pt>
                <c:pt idx="4">
                  <c:v>1.591</c:v>
                </c:pt>
                <c:pt idx="5">
                  <c:v>-0.191</c:v>
                </c:pt>
                <c:pt idx="6">
                  <c:v>0.254</c:v>
                </c:pt>
                <c:pt idx="7">
                  <c:v>2.411999999999999</c:v>
                </c:pt>
                <c:pt idx="8">
                  <c:v>0.69799999999999995</c:v>
                </c:pt>
                <c:pt idx="9">
                  <c:v>0.95600000000000018</c:v>
                </c:pt>
                <c:pt idx="10">
                  <c:v>-2.7549999999999999</c:v>
                </c:pt>
                <c:pt idx="11">
                  <c:v>-3.4819999999999998</c:v>
                </c:pt>
                <c:pt idx="12">
                  <c:v>1.069</c:v>
                </c:pt>
                <c:pt idx="13">
                  <c:v>2.923</c:v>
                </c:pt>
                <c:pt idx="14">
                  <c:v>6.91</c:v>
                </c:pt>
                <c:pt idx="15">
                  <c:v>6.6619999999999981</c:v>
                </c:pt>
                <c:pt idx="16">
                  <c:v>4.0389999999999997</c:v>
                </c:pt>
                <c:pt idx="17">
                  <c:v>3.5</c:v>
                </c:pt>
                <c:pt idx="18">
                  <c:v>1.476</c:v>
                </c:pt>
                <c:pt idx="19">
                  <c:v>0.56299999999999994</c:v>
                </c:pt>
                <c:pt idx="20">
                  <c:v>-2.8019999999999992</c:v>
                </c:pt>
              </c:numCache>
            </c:numRef>
          </c:val>
          <c:extLst>
            <c:ext xmlns:c16="http://schemas.microsoft.com/office/drawing/2014/chart" uri="{C3380CC4-5D6E-409C-BE32-E72D297353CC}">
              <c16:uniqueId val="{00000002-F042-439D-B0E9-8F31C25ACFB7}"/>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3'!$F$30:$F$50</c:f>
              <c:numCache>
                <c:formatCode>###\ ###\ ##0.0</c:formatCode>
                <c:ptCount val="21"/>
                <c:pt idx="0">
                  <c:v>-0.18200000000000005</c:v>
                </c:pt>
                <c:pt idx="1">
                  <c:v>-0.90100000000000002</c:v>
                </c:pt>
                <c:pt idx="2">
                  <c:v>-1.1419999999999995</c:v>
                </c:pt>
                <c:pt idx="3">
                  <c:v>0.16800000000000001</c:v>
                </c:pt>
                <c:pt idx="4">
                  <c:v>-3.0000000000000002E-2</c:v>
                </c:pt>
                <c:pt idx="5">
                  <c:v>1.4009999999999996</c:v>
                </c:pt>
                <c:pt idx="6">
                  <c:v>1.2449999999999997</c:v>
                </c:pt>
                <c:pt idx="7">
                  <c:v>-1.1379999999999995</c:v>
                </c:pt>
                <c:pt idx="8">
                  <c:v>-1.9830000000000001</c:v>
                </c:pt>
                <c:pt idx="9">
                  <c:v>-9.1470000000000002</c:v>
                </c:pt>
                <c:pt idx="10">
                  <c:v>-1.099</c:v>
                </c:pt>
                <c:pt idx="11">
                  <c:v>2.0619999999999998</c:v>
                </c:pt>
                <c:pt idx="12">
                  <c:v>-0.24000000000000005</c:v>
                </c:pt>
                <c:pt idx="13">
                  <c:v>4.1599999999999984</c:v>
                </c:pt>
                <c:pt idx="14">
                  <c:v>-5.7229999999999981</c:v>
                </c:pt>
                <c:pt idx="15">
                  <c:v>-6.4630000000000001</c:v>
                </c:pt>
                <c:pt idx="16">
                  <c:v>-2.9549999999999992</c:v>
                </c:pt>
                <c:pt idx="17">
                  <c:v>-0.30900000000000011</c:v>
                </c:pt>
                <c:pt idx="18">
                  <c:v>3.246</c:v>
                </c:pt>
                <c:pt idx="19">
                  <c:v>2.448</c:v>
                </c:pt>
                <c:pt idx="20">
                  <c:v>4.6310000000000002</c:v>
                </c:pt>
              </c:numCache>
            </c:numRef>
          </c:val>
          <c:extLst>
            <c:ext xmlns:c16="http://schemas.microsoft.com/office/drawing/2014/chart" uri="{C3380CC4-5D6E-409C-BE32-E72D297353CC}">
              <c16:uniqueId val="{00000003-F042-439D-B0E9-8F31C25ACFB7}"/>
            </c:ext>
          </c:extLst>
        </c:ser>
        <c:dLbls>
          <c:showLegendKey val="0"/>
          <c:showVal val="0"/>
          <c:showCatName val="0"/>
          <c:showSerName val="0"/>
          <c:showPercent val="0"/>
          <c:showBubbleSize val="0"/>
        </c:dLbls>
        <c:gapWidth val="40"/>
        <c:overlap val="100"/>
        <c:axId val="84583936"/>
        <c:axId val="84585472"/>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'souhrnná výkonnost 3'!$C$30:$C$50</c:f>
              <c:numCache>
                <c:formatCode>###\ ###\ ##0.0</c:formatCode>
                <c:ptCount val="21"/>
                <c:pt idx="0">
                  <c:v>4.7409999999999997</c:v>
                </c:pt>
                <c:pt idx="1">
                  <c:v>2.8209999999999997</c:v>
                </c:pt>
                <c:pt idx="2">
                  <c:v>2.6959999999999997</c:v>
                </c:pt>
                <c:pt idx="3">
                  <c:v>2.62</c:v>
                </c:pt>
                <c:pt idx="4">
                  <c:v>2.9979999999999998</c:v>
                </c:pt>
                <c:pt idx="5">
                  <c:v>3.0709999999999997</c:v>
                </c:pt>
                <c:pt idx="6">
                  <c:v>3.0289999999999999</c:v>
                </c:pt>
                <c:pt idx="7">
                  <c:v>2.7680000000000002</c:v>
                </c:pt>
                <c:pt idx="8">
                  <c:v>-1.4629999999999996</c:v>
                </c:pt>
                <c:pt idx="9">
                  <c:v>-10.783000000000001</c:v>
                </c:pt>
                <c:pt idx="10">
                  <c:v>-5.2160000000000002</c:v>
                </c:pt>
                <c:pt idx="11">
                  <c:v>-4.5960000000000001</c:v>
                </c:pt>
                <c:pt idx="12">
                  <c:v>-1.887</c:v>
                </c:pt>
                <c:pt idx="13">
                  <c:v>9.1330000000000009</c:v>
                </c:pt>
                <c:pt idx="14">
                  <c:v>3.7709999999999999</c:v>
                </c:pt>
                <c:pt idx="15">
                  <c:v>3.472999999999999</c:v>
                </c:pt>
                <c:pt idx="16">
                  <c:v>4.6579999999999986</c:v>
                </c:pt>
                <c:pt idx="17">
                  <c:v>3.5</c:v>
                </c:pt>
                <c:pt idx="18">
                  <c:v>1.4969999999999997</c:v>
                </c:pt>
                <c:pt idx="19">
                  <c:v>0.28700000000000009</c:v>
                </c:pt>
                <c:pt idx="20">
                  <c:v>-0.39700000000000013</c:v>
                </c:pt>
              </c:numCache>
            </c:numRef>
          </c:val>
          <c:smooth val="0"/>
          <c:extLst>
            <c:ext xmlns:c16="http://schemas.microsoft.com/office/drawing/2014/chart" uri="{C3380CC4-5D6E-409C-BE32-E72D297353CC}">
              <c16:uniqueId val="{00000004-F042-439D-B0E9-8F31C25ACFB7}"/>
            </c:ext>
          </c:extLst>
        </c:ser>
        <c:dLbls>
          <c:showLegendKey val="0"/>
          <c:showVal val="0"/>
          <c:showCatName val="0"/>
          <c:showSerName val="0"/>
          <c:showPercent val="0"/>
          <c:showBubbleSize val="0"/>
        </c:dLbls>
        <c:marker val="1"/>
        <c:smooth val="0"/>
        <c:axId val="84583936"/>
        <c:axId val="84585472"/>
      </c:lineChart>
      <c:catAx>
        <c:axId val="84583936"/>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84585472"/>
        <c:crosses val="autoZero"/>
        <c:auto val="1"/>
        <c:lblAlgn val="ctr"/>
        <c:lblOffset val="100"/>
        <c:noMultiLvlLbl val="0"/>
      </c:catAx>
      <c:valAx>
        <c:axId val="84585472"/>
        <c:scaling>
          <c:orientation val="minMax"/>
          <c:min val="-1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84583936"/>
        <c:crosses val="autoZero"/>
        <c:crossBetween val="between"/>
        <c:majorUnit val="2"/>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75E-2"/>
          <c:y val="2.94998869886235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4'!$C$30:$C$50</c:f>
              <c:numCache>
                <c:formatCode>###\ ###\ ##0.0</c:formatCode>
                <c:ptCount val="21"/>
                <c:pt idx="0">
                  <c:v>3.3000000000000002E-2</c:v>
                </c:pt>
                <c:pt idx="1">
                  <c:v>7.1999999999999995E-2</c:v>
                </c:pt>
                <c:pt idx="2">
                  <c:v>0.13100000000000001</c:v>
                </c:pt>
                <c:pt idx="3">
                  <c:v>0.13400000000000001</c:v>
                </c:pt>
                <c:pt idx="4">
                  <c:v>7.3000000000000009E-2</c:v>
                </c:pt>
                <c:pt idx="5">
                  <c:v>8.6000000000000021E-2</c:v>
                </c:pt>
                <c:pt idx="6">
                  <c:v>0.114</c:v>
                </c:pt>
                <c:pt idx="7">
                  <c:v>0.13</c:v>
                </c:pt>
                <c:pt idx="8">
                  <c:v>0.21200000000000005</c:v>
                </c:pt>
                <c:pt idx="9">
                  <c:v>0.23400000000000001</c:v>
                </c:pt>
                <c:pt idx="10">
                  <c:v>0.24400000000000005</c:v>
                </c:pt>
                <c:pt idx="11">
                  <c:v>0.22</c:v>
                </c:pt>
                <c:pt idx="12">
                  <c:v>-0.18200000000000005</c:v>
                </c:pt>
                <c:pt idx="13">
                  <c:v>-0.33900000000000013</c:v>
                </c:pt>
                <c:pt idx="14">
                  <c:v>-0.36900000000000016</c:v>
                </c:pt>
                <c:pt idx="15">
                  <c:v>-0.39600000000000013</c:v>
                </c:pt>
                <c:pt idx="16">
                  <c:v>-0.129</c:v>
                </c:pt>
                <c:pt idx="17">
                  <c:v>1.4E-2</c:v>
                </c:pt>
                <c:pt idx="18">
                  <c:v>-5.1000000000000004E-2</c:v>
                </c:pt>
                <c:pt idx="19">
                  <c:v>-3.3000000000000002E-2</c:v>
                </c:pt>
                <c:pt idx="20">
                  <c:v>8.8000000000000037E-2</c:v>
                </c:pt>
              </c:numCache>
            </c:numRef>
          </c:val>
          <c:extLst>
            <c:ext xmlns:c16="http://schemas.microsoft.com/office/drawing/2014/chart" uri="{C3380CC4-5D6E-409C-BE32-E72D297353CC}">
              <c16:uniqueId val="{00000000-6ABA-4EA7-8E5B-5F822727E336}"/>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4'!$D$30:$D$50</c:f>
              <c:numCache>
                <c:formatCode>###\ ###\ ##0.0</c:formatCode>
                <c:ptCount val="21"/>
                <c:pt idx="0">
                  <c:v>1.4989999999999997</c:v>
                </c:pt>
                <c:pt idx="1">
                  <c:v>0.14900000000000005</c:v>
                </c:pt>
                <c:pt idx="2">
                  <c:v>9.0000000000000028E-3</c:v>
                </c:pt>
                <c:pt idx="3">
                  <c:v>0.32300000000000012</c:v>
                </c:pt>
                <c:pt idx="4">
                  <c:v>0.78400000000000003</c:v>
                </c:pt>
                <c:pt idx="5">
                  <c:v>1.34</c:v>
                </c:pt>
                <c:pt idx="6">
                  <c:v>1.4309999999999996</c:v>
                </c:pt>
                <c:pt idx="7">
                  <c:v>0.95600000000000018</c:v>
                </c:pt>
                <c:pt idx="8">
                  <c:v>-1.21</c:v>
                </c:pt>
                <c:pt idx="9">
                  <c:v>-5.9219999999999997</c:v>
                </c:pt>
                <c:pt idx="10">
                  <c:v>-2.4830000000000001</c:v>
                </c:pt>
                <c:pt idx="11">
                  <c:v>-1.855</c:v>
                </c:pt>
                <c:pt idx="12">
                  <c:v>0.14700000000000005</c:v>
                </c:pt>
                <c:pt idx="13">
                  <c:v>4.8330000000000002</c:v>
                </c:pt>
                <c:pt idx="14">
                  <c:v>0.13900000000000001</c:v>
                </c:pt>
                <c:pt idx="15">
                  <c:v>-0.37600000000000011</c:v>
                </c:pt>
                <c:pt idx="16">
                  <c:v>0.20600000000000004</c:v>
                </c:pt>
                <c:pt idx="17">
                  <c:v>0.23200000000000001</c:v>
                </c:pt>
                <c:pt idx="18">
                  <c:v>0.82399999999999995</c:v>
                </c:pt>
                <c:pt idx="19">
                  <c:v>1.359</c:v>
                </c:pt>
                <c:pt idx="20">
                  <c:v>1.0129999999999995</c:v>
                </c:pt>
              </c:numCache>
            </c:numRef>
          </c:val>
          <c:extLst>
            <c:ext xmlns:c16="http://schemas.microsoft.com/office/drawing/2014/chart" uri="{C3380CC4-5D6E-409C-BE32-E72D297353CC}">
              <c16:uniqueId val="{00000001-6ABA-4EA7-8E5B-5F822727E336}"/>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4'!$E$30:$E$50</c:f>
              <c:numCache>
                <c:formatCode>#\ ##0.0</c:formatCode>
                <c:ptCount val="21"/>
                <c:pt idx="0">
                  <c:v>-7.6000000000000081E-2</c:v>
                </c:pt>
                <c:pt idx="1">
                  <c:v>-1.0000000000000013E-3</c:v>
                </c:pt>
                <c:pt idx="2" formatCode="General">
                  <c:v>0.115</c:v>
                </c:pt>
                <c:pt idx="3" formatCode="General">
                  <c:v>-5.9000000000000011E-2</c:v>
                </c:pt>
                <c:pt idx="4" formatCode="General">
                  <c:v>-0.20700000000000013</c:v>
                </c:pt>
                <c:pt idx="5" formatCode="General">
                  <c:v>-0.39300000000000035</c:v>
                </c:pt>
                <c:pt idx="6" formatCode="General">
                  <c:v>-0.68</c:v>
                </c:pt>
                <c:pt idx="7" formatCode="General">
                  <c:v>-0.47200000000000009</c:v>
                </c:pt>
                <c:pt idx="8" formatCode="General">
                  <c:v>-0.35500000000000009</c:v>
                </c:pt>
                <c:pt idx="9" formatCode="General">
                  <c:v>-0.29900000000000038</c:v>
                </c:pt>
                <c:pt idx="10" formatCode="General">
                  <c:v>9.000000000000033E-2</c:v>
                </c:pt>
                <c:pt idx="11" formatCode="General">
                  <c:v>0.40400000000000003</c:v>
                </c:pt>
                <c:pt idx="12" formatCode="General">
                  <c:v>0.11500000000000002</c:v>
                </c:pt>
                <c:pt idx="13" formatCode="General">
                  <c:v>0.23200000000000021</c:v>
                </c:pt>
                <c:pt idx="14" formatCode="General">
                  <c:v>5.9999999999999802E-3</c:v>
                </c:pt>
                <c:pt idx="15" formatCode="General">
                  <c:v>-0.31000000000000016</c:v>
                </c:pt>
                <c:pt idx="16" formatCode="General">
                  <c:v>-0.32400000000000012</c:v>
                </c:pt>
                <c:pt idx="17" formatCode="General">
                  <c:v>-9.1000000000000025E-2</c:v>
                </c:pt>
                <c:pt idx="18" formatCode="General">
                  <c:v>7.2000000000000092E-2</c:v>
                </c:pt>
                <c:pt idx="19" formatCode="General">
                  <c:v>-0.62100000000000022</c:v>
                </c:pt>
                <c:pt idx="20" formatCode="General">
                  <c:v>-0.57199999999999984</c:v>
                </c:pt>
              </c:numCache>
            </c:numRef>
          </c:val>
          <c:extLst>
            <c:ext xmlns:c16="http://schemas.microsoft.com/office/drawing/2014/chart" uri="{C3380CC4-5D6E-409C-BE32-E72D297353CC}">
              <c16:uniqueId val="{00000002-6ABA-4EA7-8E5B-5F822727E336}"/>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4'!$F$30:$F$50</c:f>
              <c:numCache>
                <c:formatCode>###\ ###\ ##0.0</c:formatCode>
                <c:ptCount val="21"/>
                <c:pt idx="0">
                  <c:v>0.12300000000000003</c:v>
                </c:pt>
                <c:pt idx="1">
                  <c:v>4.0000000000000018E-3</c:v>
                </c:pt>
                <c:pt idx="2">
                  <c:v>-1.6000000000000007E-2</c:v>
                </c:pt>
                <c:pt idx="3">
                  <c:v>-0.12200000000000003</c:v>
                </c:pt>
                <c:pt idx="4">
                  <c:v>-0.15700000000000006</c:v>
                </c:pt>
                <c:pt idx="5">
                  <c:v>-4.5999999999999999E-2</c:v>
                </c:pt>
                <c:pt idx="6">
                  <c:v>-9.9000000000000046E-2</c:v>
                </c:pt>
                <c:pt idx="7">
                  <c:v>-0.10400000000000002</c:v>
                </c:pt>
                <c:pt idx="8">
                  <c:v>-0.34500000000000008</c:v>
                </c:pt>
                <c:pt idx="9">
                  <c:v>-0.70800000000000018</c:v>
                </c:pt>
                <c:pt idx="10">
                  <c:v>-0.63100000000000023</c:v>
                </c:pt>
                <c:pt idx="11">
                  <c:v>-0.6050000000000002</c:v>
                </c:pt>
                <c:pt idx="12">
                  <c:v>-0.56100000000000005</c:v>
                </c:pt>
                <c:pt idx="13">
                  <c:v>-0.11700000000000002</c:v>
                </c:pt>
                <c:pt idx="14">
                  <c:v>-2.4E-2</c:v>
                </c:pt>
                <c:pt idx="15">
                  <c:v>6.5000000000000002E-2</c:v>
                </c:pt>
                <c:pt idx="16">
                  <c:v>0.44600000000000001</c:v>
                </c:pt>
                <c:pt idx="17">
                  <c:v>0.27600000000000002</c:v>
                </c:pt>
                <c:pt idx="18">
                  <c:v>-0.13200000000000001</c:v>
                </c:pt>
                <c:pt idx="19">
                  <c:v>-0.15600000000000006</c:v>
                </c:pt>
                <c:pt idx="20">
                  <c:v>-0.22</c:v>
                </c:pt>
              </c:numCache>
            </c:numRef>
          </c:val>
          <c:extLst>
            <c:ext xmlns:c16="http://schemas.microsoft.com/office/drawing/2014/chart" uri="{C3380CC4-5D6E-409C-BE32-E72D297353CC}">
              <c16:uniqueId val="{00000003-6ABA-4EA7-8E5B-5F822727E336}"/>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4'!$G$30:$G$50</c:f>
              <c:numCache>
                <c:formatCode>#\ ##0.0</c:formatCode>
                <c:ptCount val="21"/>
                <c:pt idx="0">
                  <c:v>3.11</c:v>
                </c:pt>
                <c:pt idx="1">
                  <c:v>2.7559999999999998</c:v>
                </c:pt>
                <c:pt idx="2" formatCode="General">
                  <c:v>2.6919999999999997</c:v>
                </c:pt>
                <c:pt idx="3" formatCode="General">
                  <c:v>2.6319999999999997</c:v>
                </c:pt>
                <c:pt idx="4" formatCode="General">
                  <c:v>2.492999999999999</c:v>
                </c:pt>
                <c:pt idx="5" formatCode="General">
                  <c:v>2.2090000000000001</c:v>
                </c:pt>
                <c:pt idx="6" formatCode="General">
                  <c:v>2.1309999999999998</c:v>
                </c:pt>
                <c:pt idx="7" formatCode="General">
                  <c:v>2.161</c:v>
                </c:pt>
                <c:pt idx="8" formatCode="General">
                  <c:v>0.60200000000000031</c:v>
                </c:pt>
                <c:pt idx="9" formatCode="General">
                  <c:v>-4.258</c:v>
                </c:pt>
                <c:pt idx="10" formatCode="General">
                  <c:v>-2.0909999999999997</c:v>
                </c:pt>
                <c:pt idx="11" formatCode="General">
                  <c:v>-2.3489999999999998</c:v>
                </c:pt>
                <c:pt idx="12" formatCode="General">
                  <c:v>-1.3399999999999994</c:v>
                </c:pt>
                <c:pt idx="13" formatCode="General">
                  <c:v>4.7539999999999996</c:v>
                </c:pt>
                <c:pt idx="14" formatCode="General">
                  <c:v>3.665</c:v>
                </c:pt>
                <c:pt idx="15" formatCode="General">
                  <c:v>4.0489999999999995</c:v>
                </c:pt>
                <c:pt idx="16" formatCode="General">
                  <c:v>3.8449999999999998</c:v>
                </c:pt>
                <c:pt idx="17" formatCode="General">
                  <c:v>2.9619999999999997</c:v>
                </c:pt>
                <c:pt idx="18" formatCode="General">
                  <c:v>0.82199999999999995</c:v>
                </c:pt>
                <c:pt idx="19" formatCode="General">
                  <c:v>0.30100000000000016</c:v>
                </c:pt>
                <c:pt idx="20" formatCode="General">
                  <c:v>0.83700000000000008</c:v>
                </c:pt>
              </c:numCache>
            </c:numRef>
          </c:val>
          <c:extLst>
            <c:ext xmlns:c16="http://schemas.microsoft.com/office/drawing/2014/chart" uri="{C3380CC4-5D6E-409C-BE32-E72D297353CC}">
              <c16:uniqueId val="{00000004-6ABA-4EA7-8E5B-5F822727E336}"/>
            </c:ext>
          </c:extLst>
        </c:ser>
        <c:dLbls>
          <c:showLegendKey val="0"/>
          <c:showVal val="0"/>
          <c:showCatName val="0"/>
          <c:showSerName val="0"/>
          <c:showPercent val="0"/>
          <c:showBubbleSize val="0"/>
        </c:dLbls>
        <c:gapWidth val="70"/>
        <c:overlap val="100"/>
        <c:axId val="106094592"/>
        <c:axId val="10609612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'souhrnná výkonnost 4'!$H$30:$H$50</c:f>
              <c:numCache>
                <c:formatCode>#\ ##0.0</c:formatCode>
                <c:ptCount val="21"/>
                <c:pt idx="0">
                  <c:v>4.7990000000000004</c:v>
                </c:pt>
                <c:pt idx="1">
                  <c:v>2.9809999999999999</c:v>
                </c:pt>
                <c:pt idx="2">
                  <c:v>2.9309999999999992</c:v>
                </c:pt>
                <c:pt idx="3">
                  <c:v>2.9089999999999998</c:v>
                </c:pt>
                <c:pt idx="4">
                  <c:v>2.984</c:v>
                </c:pt>
                <c:pt idx="5">
                  <c:v>3.1970000000000001</c:v>
                </c:pt>
                <c:pt idx="6">
                  <c:v>2.8979999999999997</c:v>
                </c:pt>
                <c:pt idx="7">
                  <c:v>2.67</c:v>
                </c:pt>
                <c:pt idx="8">
                  <c:v>-1.097</c:v>
                </c:pt>
                <c:pt idx="9">
                  <c:v>-10.953000000000005</c:v>
                </c:pt>
                <c:pt idx="10">
                  <c:v>-4.87</c:v>
                </c:pt>
                <c:pt idx="11">
                  <c:v>-4.1849999999999978</c:v>
                </c:pt>
                <c:pt idx="12">
                  <c:v>-1.8220000000000001</c:v>
                </c:pt>
                <c:pt idx="13">
                  <c:v>9.3630000000000049</c:v>
                </c:pt>
                <c:pt idx="14">
                  <c:v>3.4169999999999989</c:v>
                </c:pt>
                <c:pt idx="15">
                  <c:v>3.0309999999999997</c:v>
                </c:pt>
                <c:pt idx="16">
                  <c:v>4.0439999999999996</c:v>
                </c:pt>
                <c:pt idx="17">
                  <c:v>3.391999999999999</c:v>
                </c:pt>
                <c:pt idx="18">
                  <c:v>1.536</c:v>
                </c:pt>
                <c:pt idx="19">
                  <c:v>0.8500000000000002</c:v>
                </c:pt>
                <c:pt idx="20" formatCode="General">
                  <c:v>1.1459999999999995</c:v>
                </c:pt>
              </c:numCache>
            </c:numRef>
          </c:val>
          <c:smooth val="0"/>
          <c:extLst>
            <c:ext xmlns:c16="http://schemas.microsoft.com/office/drawing/2014/chart" uri="{C3380CC4-5D6E-409C-BE32-E72D297353CC}">
              <c16:uniqueId val="{00000005-6ABA-4EA7-8E5B-5F822727E336}"/>
            </c:ext>
          </c:extLst>
        </c:ser>
        <c:dLbls>
          <c:showLegendKey val="0"/>
          <c:showVal val="0"/>
          <c:showCatName val="0"/>
          <c:showSerName val="0"/>
          <c:showPercent val="0"/>
          <c:showBubbleSize val="0"/>
        </c:dLbls>
        <c:marker val="1"/>
        <c:smooth val="0"/>
        <c:axId val="106094592"/>
        <c:axId val="106096128"/>
      </c:lineChart>
      <c:catAx>
        <c:axId val="10609459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06096128"/>
        <c:crosses val="autoZero"/>
        <c:auto val="1"/>
        <c:lblAlgn val="ctr"/>
        <c:lblOffset val="100"/>
        <c:noMultiLvlLbl val="0"/>
      </c:catAx>
      <c:valAx>
        <c:axId val="106096128"/>
        <c:scaling>
          <c:orientation val="minMax"/>
          <c:max val="10"/>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06094592"/>
        <c:crosses val="autoZero"/>
        <c:crossBetween val="between"/>
        <c:majorUnit val="2"/>
      </c:valAx>
      <c:spPr>
        <a:ln>
          <a:solidFill>
            <a:schemeClr val="tx1"/>
          </a:solidFill>
        </a:ln>
      </c:spPr>
    </c:plotArea>
    <c:legend>
      <c:legendPos val="b"/>
      <c:layout>
        <c:manualLayout>
          <c:xMode val="edge"/>
          <c:yMode val="edge"/>
          <c:x val="5.4144292468760548E-2"/>
          <c:y val="0.79016604750647301"/>
          <c:w val="0.92386482607227283"/>
          <c:h val="0.1946248452099493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123E-2"/>
          <c:y val="1.580477700547989E-2"/>
          <c:w val="0.84419102795189638"/>
          <c:h val="0.70867754321612253"/>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IPP'!$R$27:$AX$27</c:f>
              <c:numCache>
                <c:formatCode>0.0</c:formatCode>
                <c:ptCount val="33"/>
                <c:pt idx="0">
                  <c:v>1.5414336001551832</c:v>
                </c:pt>
                <c:pt idx="1">
                  <c:v>2.1741500812415602</c:v>
                </c:pt>
                <c:pt idx="2">
                  <c:v>2.3807451285231682</c:v>
                </c:pt>
                <c:pt idx="3">
                  <c:v>2.8689756615217954</c:v>
                </c:pt>
                <c:pt idx="4">
                  <c:v>3.3341210196737827</c:v>
                </c:pt>
                <c:pt idx="5">
                  <c:v>2.686672264317759</c:v>
                </c:pt>
                <c:pt idx="6">
                  <c:v>1.4809491976121272</c:v>
                </c:pt>
                <c:pt idx="7">
                  <c:v>1.0295786410238899</c:v>
                </c:pt>
                <c:pt idx="8">
                  <c:v>1.7176851530772048</c:v>
                </c:pt>
                <c:pt idx="9">
                  <c:v>2.162430036953364</c:v>
                </c:pt>
                <c:pt idx="10">
                  <c:v>1.6010808371876544</c:v>
                </c:pt>
                <c:pt idx="11">
                  <c:v>1.6765308689366047</c:v>
                </c:pt>
                <c:pt idx="12">
                  <c:v>0.76463369901420963</c:v>
                </c:pt>
                <c:pt idx="13">
                  <c:v>0.53745054525373026</c:v>
                </c:pt>
                <c:pt idx="14">
                  <c:v>0.24390176608722375</c:v>
                </c:pt>
                <c:pt idx="15">
                  <c:v>0.9714509956838373</c:v>
                </c:pt>
                <c:pt idx="16">
                  <c:v>-0.2265364288412279</c:v>
                </c:pt>
                <c:pt idx="17">
                  <c:v>0.48861091853368632</c:v>
                </c:pt>
                <c:pt idx="18">
                  <c:v>0.80855917746087314</c:v>
                </c:pt>
                <c:pt idx="19">
                  <c:v>-1.0897983527427595</c:v>
                </c:pt>
                <c:pt idx="20">
                  <c:v>-1.5435543851935798</c:v>
                </c:pt>
                <c:pt idx="21">
                  <c:v>-9.4039632081130193</c:v>
                </c:pt>
                <c:pt idx="22">
                  <c:v>-0.18743733484121591</c:v>
                </c:pt>
                <c:pt idx="23">
                  <c:v>2.045187558556731</c:v>
                </c:pt>
                <c:pt idx="24">
                  <c:v>1.8998981300154258</c:v>
                </c:pt>
                <c:pt idx="25">
                  <c:v>10.981696435394754</c:v>
                </c:pt>
                <c:pt idx="26">
                  <c:v>-3.7777447309199412</c:v>
                </c:pt>
                <c:pt idx="27">
                  <c:v>-3.2745552925864541</c:v>
                </c:pt>
                <c:pt idx="28">
                  <c:v>-1.9134308617559561</c:v>
                </c:pt>
                <c:pt idx="29">
                  <c:v>6.734672630518658E-2</c:v>
                </c:pt>
                <c:pt idx="30">
                  <c:v>5.6261275361156633</c:v>
                </c:pt>
                <c:pt idx="31">
                  <c:v>4.0481059565611357</c:v>
                </c:pt>
                <c:pt idx="32">
                  <c:v>4.8707891228657507</c:v>
                </c:pt>
              </c:numCache>
            </c:numRef>
          </c:val>
          <c:extLst>
            <c:ext xmlns:c16="http://schemas.microsoft.com/office/drawing/2014/chart" uri="{C3380CC4-5D6E-409C-BE32-E72D297353CC}">
              <c16:uniqueId val="{00000000-2A82-4AEC-877C-88AF235AF82A}"/>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IPP'!$R$28:$AX$28</c:f>
              <c:numCache>
                <c:formatCode>0.0</c:formatCode>
                <c:ptCount val="33"/>
                <c:pt idx="0">
                  <c:v>1.0327842576995609</c:v>
                </c:pt>
                <c:pt idx="1">
                  <c:v>1.2398193770878796</c:v>
                </c:pt>
                <c:pt idx="2">
                  <c:v>1.4194520754584399</c:v>
                </c:pt>
                <c:pt idx="3">
                  <c:v>0.62945179373892213</c:v>
                </c:pt>
                <c:pt idx="4">
                  <c:v>0.81066950070394839</c:v>
                </c:pt>
                <c:pt idx="5">
                  <c:v>0.15910929112689329</c:v>
                </c:pt>
                <c:pt idx="6">
                  <c:v>0.274308842517692</c:v>
                </c:pt>
                <c:pt idx="7">
                  <c:v>0.42966812397126064</c:v>
                </c:pt>
                <c:pt idx="8">
                  <c:v>0.81190885185629913</c:v>
                </c:pt>
                <c:pt idx="9">
                  <c:v>1.4478162783570212</c:v>
                </c:pt>
                <c:pt idx="10">
                  <c:v>0.86831270392558868</c:v>
                </c:pt>
                <c:pt idx="11">
                  <c:v>1.6467937182997419</c:v>
                </c:pt>
                <c:pt idx="12">
                  <c:v>0.99355825089751959</c:v>
                </c:pt>
                <c:pt idx="13">
                  <c:v>0.32981714268582213</c:v>
                </c:pt>
                <c:pt idx="14">
                  <c:v>0.43066392508053108</c:v>
                </c:pt>
                <c:pt idx="15">
                  <c:v>-5.4042637097958646E-2</c:v>
                </c:pt>
                <c:pt idx="16">
                  <c:v>0.52511448325990218</c:v>
                </c:pt>
                <c:pt idx="17">
                  <c:v>0.41827161057405132</c:v>
                </c:pt>
                <c:pt idx="18">
                  <c:v>0.20321919004157407</c:v>
                </c:pt>
                <c:pt idx="19">
                  <c:v>0.40664545615593123</c:v>
                </c:pt>
                <c:pt idx="20">
                  <c:v>-0.54518803499189361</c:v>
                </c:pt>
                <c:pt idx="21">
                  <c:v>-4.0594843067761026</c:v>
                </c:pt>
                <c:pt idx="22">
                  <c:v>-0.42308415860457282</c:v>
                </c:pt>
                <c:pt idx="23">
                  <c:v>0.57531703991443739</c:v>
                </c:pt>
                <c:pt idx="24">
                  <c:v>0.72127374997619453</c:v>
                </c:pt>
                <c:pt idx="25">
                  <c:v>5.5133080211538497</c:v>
                </c:pt>
                <c:pt idx="26">
                  <c:v>0.63109141066247543</c:v>
                </c:pt>
                <c:pt idx="27">
                  <c:v>-0.40575686667122407</c:v>
                </c:pt>
                <c:pt idx="28">
                  <c:v>9.4281733767757503E-2</c:v>
                </c:pt>
                <c:pt idx="29">
                  <c:v>0.14521370184093618</c:v>
                </c:pt>
                <c:pt idx="30">
                  <c:v>0.5333658281425756</c:v>
                </c:pt>
                <c:pt idx="31">
                  <c:v>0.60873804206286253</c:v>
                </c:pt>
                <c:pt idx="32">
                  <c:v>0.18641575187405532</c:v>
                </c:pt>
              </c:numCache>
            </c:numRef>
          </c:val>
          <c:extLst>
            <c:ext xmlns:c16="http://schemas.microsoft.com/office/drawing/2014/chart" uri="{C3380CC4-5D6E-409C-BE32-E72D297353CC}">
              <c16:uniqueId val="{00000001-2A82-4AEC-877C-88AF235AF82A}"/>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IPP'!$R$29:$AX$29</c:f>
              <c:numCache>
                <c:formatCode>0.0</c:formatCode>
                <c:ptCount val="33"/>
                <c:pt idx="0">
                  <c:v>0.27352741322260526</c:v>
                </c:pt>
                <c:pt idx="1">
                  <c:v>0.29435778863230166</c:v>
                </c:pt>
                <c:pt idx="2">
                  <c:v>0.38381901893821563</c:v>
                </c:pt>
                <c:pt idx="3">
                  <c:v>1.9907538862099929E-2</c:v>
                </c:pt>
                <c:pt idx="4">
                  <c:v>0.36213267281302258</c:v>
                </c:pt>
                <c:pt idx="5">
                  <c:v>-6.5064708510287728E-2</c:v>
                </c:pt>
                <c:pt idx="6">
                  <c:v>0.19502661099256188</c:v>
                </c:pt>
                <c:pt idx="7">
                  <c:v>0.31976595271137093</c:v>
                </c:pt>
                <c:pt idx="8">
                  <c:v>0.36260721751312475</c:v>
                </c:pt>
                <c:pt idx="9">
                  <c:v>1.0676230430151576</c:v>
                </c:pt>
                <c:pt idx="10">
                  <c:v>0.84856622097502876</c:v>
                </c:pt>
                <c:pt idx="11">
                  <c:v>0.8011679796708624</c:v>
                </c:pt>
                <c:pt idx="12">
                  <c:v>0.47154480134890714</c:v>
                </c:pt>
                <c:pt idx="13">
                  <c:v>0.14539794495792607</c:v>
                </c:pt>
                <c:pt idx="14">
                  <c:v>0.18518957990291937</c:v>
                </c:pt>
                <c:pt idx="15">
                  <c:v>-0.19190856298894721</c:v>
                </c:pt>
                <c:pt idx="16">
                  <c:v>0.14248219231403383</c:v>
                </c:pt>
                <c:pt idx="17">
                  <c:v>-2.1421773901395613E-2</c:v>
                </c:pt>
                <c:pt idx="18">
                  <c:v>-0.25698546548398382</c:v>
                </c:pt>
                <c:pt idx="19">
                  <c:v>-0.1385976419695116</c:v>
                </c:pt>
                <c:pt idx="20">
                  <c:v>-0.6967773072729575</c:v>
                </c:pt>
                <c:pt idx="21">
                  <c:v>-2.1434069100206701</c:v>
                </c:pt>
                <c:pt idx="22">
                  <c:v>-0.80071965285565583</c:v>
                </c:pt>
                <c:pt idx="23">
                  <c:v>-0.53337369043417648</c:v>
                </c:pt>
                <c:pt idx="24">
                  <c:v>7.0388429332234756E-2</c:v>
                </c:pt>
                <c:pt idx="25">
                  <c:v>2.1082132332125232</c:v>
                </c:pt>
                <c:pt idx="26">
                  <c:v>0.54002718228061808</c:v>
                </c:pt>
                <c:pt idx="27">
                  <c:v>0.28651169955913558</c:v>
                </c:pt>
                <c:pt idx="28">
                  <c:v>0.38093703992586614</c:v>
                </c:pt>
                <c:pt idx="29">
                  <c:v>0.10479825284280037</c:v>
                </c:pt>
                <c:pt idx="30">
                  <c:v>0.49700568632045161</c:v>
                </c:pt>
                <c:pt idx="31">
                  <c:v>0.65908299677033788</c:v>
                </c:pt>
                <c:pt idx="32">
                  <c:v>0.33463422372860552</c:v>
                </c:pt>
              </c:numCache>
            </c:numRef>
          </c:val>
          <c:extLst>
            <c:ext xmlns:c16="http://schemas.microsoft.com/office/drawing/2014/chart" uri="{C3380CC4-5D6E-409C-BE32-E72D297353CC}">
              <c16:uniqueId val="{00000002-2A82-4AEC-877C-88AF235AF82A}"/>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IPP'!$R$30:$AX$30</c:f>
              <c:numCache>
                <c:formatCode>0.0</c:formatCode>
                <c:ptCount val="33"/>
                <c:pt idx="0">
                  <c:v>0.69497691812608731</c:v>
                </c:pt>
                <c:pt idx="1">
                  <c:v>0.78508725997594397</c:v>
                </c:pt>
                <c:pt idx="2">
                  <c:v>0.99073344247385264</c:v>
                </c:pt>
                <c:pt idx="3">
                  <c:v>0.60112803930591463</c:v>
                </c:pt>
                <c:pt idx="4">
                  <c:v>0.8056510855242317</c:v>
                </c:pt>
                <c:pt idx="5">
                  <c:v>0.37292975928366651</c:v>
                </c:pt>
                <c:pt idx="6">
                  <c:v>0.2287440311870734</c:v>
                </c:pt>
                <c:pt idx="7">
                  <c:v>0.25105221227274938</c:v>
                </c:pt>
                <c:pt idx="8">
                  <c:v>0.39859566543955616</c:v>
                </c:pt>
                <c:pt idx="9">
                  <c:v>0.93860836876068798</c:v>
                </c:pt>
                <c:pt idx="10">
                  <c:v>0.85733344200421968</c:v>
                </c:pt>
                <c:pt idx="11">
                  <c:v>0.96180148351524564</c:v>
                </c:pt>
                <c:pt idx="12">
                  <c:v>0.66382399405022563</c:v>
                </c:pt>
                <c:pt idx="13">
                  <c:v>0.46639173271760581</c:v>
                </c:pt>
                <c:pt idx="14">
                  <c:v>0.40419840691742392</c:v>
                </c:pt>
                <c:pt idx="15">
                  <c:v>0.14440932883616331</c:v>
                </c:pt>
                <c:pt idx="16">
                  <c:v>0.25807569584954493</c:v>
                </c:pt>
                <c:pt idx="17">
                  <c:v>1.4459010693799896E-2</c:v>
                </c:pt>
                <c:pt idx="18">
                  <c:v>-0.25651049213587451</c:v>
                </c:pt>
                <c:pt idx="19">
                  <c:v>-0.34928328908715478</c:v>
                </c:pt>
                <c:pt idx="20">
                  <c:v>-0.60808014688232759</c:v>
                </c:pt>
                <c:pt idx="21">
                  <c:v>-2.0880437771647515</c:v>
                </c:pt>
                <c:pt idx="22">
                  <c:v>-0.5397213489370003</c:v>
                </c:pt>
                <c:pt idx="23">
                  <c:v>0.14511452076092651</c:v>
                </c:pt>
                <c:pt idx="24">
                  <c:v>0.49633095542560124</c:v>
                </c:pt>
                <c:pt idx="25">
                  <c:v>3.0129249260537683</c:v>
                </c:pt>
                <c:pt idx="26">
                  <c:v>0.73648478182030996</c:v>
                </c:pt>
                <c:pt idx="27">
                  <c:v>-5.6080447887036519E-2</c:v>
                </c:pt>
                <c:pt idx="28">
                  <c:v>0.14988190046361907</c:v>
                </c:pt>
                <c:pt idx="29">
                  <c:v>-0.43552695875331848</c:v>
                </c:pt>
                <c:pt idx="30">
                  <c:v>-0.39400819775201079</c:v>
                </c:pt>
                <c:pt idx="31">
                  <c:v>-0.25505671304535282</c:v>
                </c:pt>
                <c:pt idx="32">
                  <c:v>-0.35263162644050428</c:v>
                </c:pt>
              </c:numCache>
            </c:numRef>
          </c:val>
          <c:extLst>
            <c:ext xmlns:c16="http://schemas.microsoft.com/office/drawing/2014/chart" uri="{C3380CC4-5D6E-409C-BE32-E72D297353CC}">
              <c16:uniqueId val="{00000003-2A82-4AEC-877C-88AF235AF82A}"/>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IPP'!$R$31:$AX$31</c:f>
              <c:numCache>
                <c:formatCode>0.0</c:formatCode>
                <c:ptCount val="33"/>
                <c:pt idx="0">
                  <c:v>0.10273275765267503</c:v>
                </c:pt>
                <c:pt idx="1">
                  <c:v>1.7022273503113722E-2</c:v>
                </c:pt>
                <c:pt idx="2">
                  <c:v>3.145167851510499E-2</c:v>
                </c:pt>
                <c:pt idx="3">
                  <c:v>-6.7148299810871809E-2</c:v>
                </c:pt>
                <c:pt idx="4">
                  <c:v>-1.268547666727785E-2</c:v>
                </c:pt>
                <c:pt idx="5">
                  <c:v>7.6588175669582953E-2</c:v>
                </c:pt>
                <c:pt idx="6">
                  <c:v>4.5204856094121497E-2</c:v>
                </c:pt>
                <c:pt idx="7">
                  <c:v>0.16194666355811349</c:v>
                </c:pt>
                <c:pt idx="8">
                  <c:v>0.16169573185966221</c:v>
                </c:pt>
                <c:pt idx="9">
                  <c:v>0.34034954986554095</c:v>
                </c:pt>
                <c:pt idx="10">
                  <c:v>0.22387493834902869</c:v>
                </c:pt>
                <c:pt idx="11">
                  <c:v>0.23474883574173092</c:v>
                </c:pt>
                <c:pt idx="12">
                  <c:v>0.37691682805498294</c:v>
                </c:pt>
                <c:pt idx="13">
                  <c:v>0.16170745152429097</c:v>
                </c:pt>
                <c:pt idx="14">
                  <c:v>0.63541368560223832</c:v>
                </c:pt>
                <c:pt idx="15">
                  <c:v>0.32151776055716946</c:v>
                </c:pt>
                <c:pt idx="16">
                  <c:v>-0.11432204894408447</c:v>
                </c:pt>
                <c:pt idx="17">
                  <c:v>-5.1757146500390386E-2</c:v>
                </c:pt>
                <c:pt idx="18">
                  <c:v>-0.58706510968263637</c:v>
                </c:pt>
                <c:pt idx="19">
                  <c:v>-0.35487188237441109</c:v>
                </c:pt>
                <c:pt idx="20">
                  <c:v>-8.5397778834990529E-2</c:v>
                </c:pt>
                <c:pt idx="21">
                  <c:v>-0.27817734072291866</c:v>
                </c:pt>
                <c:pt idx="22">
                  <c:v>-2.9065624151318071E-3</c:v>
                </c:pt>
                <c:pt idx="23">
                  <c:v>-5.9498285904227809E-3</c:v>
                </c:pt>
                <c:pt idx="24">
                  <c:v>0.12344573775217325</c:v>
                </c:pt>
                <c:pt idx="25">
                  <c:v>0.16503598968244651</c:v>
                </c:pt>
                <c:pt idx="26">
                  <c:v>0.21876908691427957</c:v>
                </c:pt>
                <c:pt idx="27">
                  <c:v>-0.21769009003115003</c:v>
                </c:pt>
                <c:pt idx="28">
                  <c:v>1.678554867539786E-2</c:v>
                </c:pt>
                <c:pt idx="29">
                  <c:v>-1.1662751079334694E-2</c:v>
                </c:pt>
                <c:pt idx="30">
                  <c:v>6.6089208618214476E-2</c:v>
                </c:pt>
                <c:pt idx="31">
                  <c:v>0.43636866713601186</c:v>
                </c:pt>
                <c:pt idx="32">
                  <c:v>0.15580543098934227</c:v>
                </c:pt>
              </c:numCache>
            </c:numRef>
          </c:val>
          <c:extLst>
            <c:ext xmlns:c16="http://schemas.microsoft.com/office/drawing/2014/chart" uri="{C3380CC4-5D6E-409C-BE32-E72D297353CC}">
              <c16:uniqueId val="{00000004-2A82-4AEC-877C-88AF235AF82A}"/>
            </c:ext>
          </c:extLst>
        </c:ser>
        <c:ser>
          <c:idx val="5"/>
          <c:order val="5"/>
          <c:tx>
            <c:strRef>
              <c:f>'GRAF příspěvky IPP'!$A$32</c:f>
              <c:strCache>
                <c:ptCount val="1"/>
                <c:pt idx="0">
                  <c:v>Chemický a farmaceutický pr. (20, 21)</c:v>
                </c:pt>
              </c:strCache>
            </c:strRef>
          </c:tx>
          <c:spPr>
            <a:solidFill>
              <a:srgbClr val="F8A124"/>
            </a:solidFill>
            <a:ln>
              <a:noFill/>
            </a:ln>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IPP'!$R$32:$AX$32</c:f>
              <c:numCache>
                <c:formatCode>0.0</c:formatCode>
                <c:ptCount val="33"/>
                <c:pt idx="0">
                  <c:v>7.7208317080078318E-2</c:v>
                </c:pt>
                <c:pt idx="1">
                  <c:v>0.23592866818826699</c:v>
                </c:pt>
                <c:pt idx="2">
                  <c:v>-0.16336143877828874</c:v>
                </c:pt>
                <c:pt idx="3">
                  <c:v>-0.33439989501658035</c:v>
                </c:pt>
                <c:pt idx="4">
                  <c:v>-0.4177951528516321</c:v>
                </c:pt>
                <c:pt idx="5">
                  <c:v>-0.42569819359762062</c:v>
                </c:pt>
                <c:pt idx="6">
                  <c:v>-0.10788089066016884</c:v>
                </c:pt>
                <c:pt idx="7">
                  <c:v>0.23743965472329759</c:v>
                </c:pt>
                <c:pt idx="8">
                  <c:v>0.52311070740015453</c:v>
                </c:pt>
                <c:pt idx="9">
                  <c:v>0.82341422334347292</c:v>
                </c:pt>
                <c:pt idx="10">
                  <c:v>0.65076836480306144</c:v>
                </c:pt>
                <c:pt idx="11">
                  <c:v>0.50493978173151777</c:v>
                </c:pt>
                <c:pt idx="12">
                  <c:v>0.40295639892988133</c:v>
                </c:pt>
                <c:pt idx="13">
                  <c:v>8.055737499204732E-2</c:v>
                </c:pt>
                <c:pt idx="14">
                  <c:v>-5.3154805616806716E-2</c:v>
                </c:pt>
                <c:pt idx="15">
                  <c:v>-6.7994611415210404E-2</c:v>
                </c:pt>
                <c:pt idx="16">
                  <c:v>0.10386183133359356</c:v>
                </c:pt>
                <c:pt idx="17">
                  <c:v>4.7610492592970503E-2</c:v>
                </c:pt>
                <c:pt idx="18">
                  <c:v>0.23071819932128154</c:v>
                </c:pt>
                <c:pt idx="19">
                  <c:v>3.046294307116669E-2</c:v>
                </c:pt>
                <c:pt idx="20">
                  <c:v>-3.1218778316377292E-2</c:v>
                </c:pt>
                <c:pt idx="21">
                  <c:v>-0.54858975903434926</c:v>
                </c:pt>
                <c:pt idx="22">
                  <c:v>-0.21411469460909971</c:v>
                </c:pt>
                <c:pt idx="23">
                  <c:v>0.43233148897113949</c:v>
                </c:pt>
                <c:pt idx="24">
                  <c:v>0.28829426971776539</c:v>
                </c:pt>
                <c:pt idx="25">
                  <c:v>0.79933281321603367</c:v>
                </c:pt>
                <c:pt idx="26">
                  <c:v>0.31192170113272577</c:v>
                </c:pt>
                <c:pt idx="27">
                  <c:v>7.2471498351694683E-2</c:v>
                </c:pt>
                <c:pt idx="28">
                  <c:v>0.25171354682802011</c:v>
                </c:pt>
                <c:pt idx="29">
                  <c:v>0.17148055035811022</c:v>
                </c:pt>
                <c:pt idx="30">
                  <c:v>-8.8890710060444175E-2</c:v>
                </c:pt>
                <c:pt idx="31">
                  <c:v>-0.26763149558872579</c:v>
                </c:pt>
                <c:pt idx="32">
                  <c:v>-0.57314965186051281</c:v>
                </c:pt>
              </c:numCache>
            </c:numRef>
          </c:val>
          <c:extLst>
            <c:ext xmlns:c16="http://schemas.microsoft.com/office/drawing/2014/chart" uri="{C3380CC4-5D6E-409C-BE32-E72D297353CC}">
              <c16:uniqueId val="{00000005-2A82-4AEC-877C-88AF235AF82A}"/>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IPP'!$R$33:$AX$33</c:f>
              <c:numCache>
                <c:formatCode>0.0</c:formatCode>
                <c:ptCount val="33"/>
                <c:pt idx="0">
                  <c:v>0.98358746940884179</c:v>
                </c:pt>
                <c:pt idx="1">
                  <c:v>0.89923246363091291</c:v>
                </c:pt>
                <c:pt idx="2">
                  <c:v>1.0053837817799574</c:v>
                </c:pt>
                <c:pt idx="3">
                  <c:v>-0.1997463926135469</c:v>
                </c:pt>
                <c:pt idx="4">
                  <c:v>0.24329990001740057</c:v>
                </c:pt>
                <c:pt idx="5">
                  <c:v>-0.35930073634947696</c:v>
                </c:pt>
                <c:pt idx="6">
                  <c:v>5.4611870755817526E-2</c:v>
                </c:pt>
                <c:pt idx="7">
                  <c:v>0.57938738739229756</c:v>
                </c:pt>
                <c:pt idx="8">
                  <c:v>0.10796722998385261</c:v>
                </c:pt>
                <c:pt idx="9">
                  <c:v>1.4849667962274018</c:v>
                </c:pt>
                <c:pt idx="10">
                  <c:v>0.76494329225869251</c:v>
                </c:pt>
                <c:pt idx="11">
                  <c:v>0.92981101776031461</c:v>
                </c:pt>
                <c:pt idx="12">
                  <c:v>1.1595945228996394</c:v>
                </c:pt>
                <c:pt idx="13">
                  <c:v>0.67905455733759612</c:v>
                </c:pt>
                <c:pt idx="14">
                  <c:v>1.1071544502276858</c:v>
                </c:pt>
                <c:pt idx="15">
                  <c:v>0.4584448107077318</c:v>
                </c:pt>
                <c:pt idx="16">
                  <c:v>-4.2034374602800031E-2</c:v>
                </c:pt>
                <c:pt idx="17">
                  <c:v>4.7080538912348507E-2</c:v>
                </c:pt>
                <c:pt idx="18">
                  <c:v>-0.67715517865177</c:v>
                </c:pt>
                <c:pt idx="19">
                  <c:v>-0.19783909206023409</c:v>
                </c:pt>
                <c:pt idx="20">
                  <c:v>7.5330777097780674E-2</c:v>
                </c:pt>
                <c:pt idx="21">
                  <c:v>-2.8438492263065807</c:v>
                </c:pt>
                <c:pt idx="22">
                  <c:v>8.887357845023261E-2</c:v>
                </c:pt>
                <c:pt idx="23">
                  <c:v>0.13876281570829024</c:v>
                </c:pt>
                <c:pt idx="24">
                  <c:v>0.21014615403229517</c:v>
                </c:pt>
                <c:pt idx="25">
                  <c:v>5.1936386612240169</c:v>
                </c:pt>
                <c:pt idx="26">
                  <c:v>1.0321859362308055</c:v>
                </c:pt>
                <c:pt idx="27">
                  <c:v>0.89717493659966974</c:v>
                </c:pt>
                <c:pt idx="28">
                  <c:v>1.4486041643537626</c:v>
                </c:pt>
                <c:pt idx="29">
                  <c:v>0.43152950164995907</c:v>
                </c:pt>
                <c:pt idx="30">
                  <c:v>-0.558600562637107</c:v>
                </c:pt>
                <c:pt idx="31">
                  <c:v>-0.67902760551175634</c:v>
                </c:pt>
                <c:pt idx="32">
                  <c:v>-2.2470495992775472</c:v>
                </c:pt>
              </c:numCache>
            </c:numRef>
          </c:val>
          <c:extLst>
            <c:ext xmlns:c16="http://schemas.microsoft.com/office/drawing/2014/chart" uri="{C3380CC4-5D6E-409C-BE32-E72D297353CC}">
              <c16:uniqueId val="{00000006-2A82-4AEC-877C-88AF235AF82A}"/>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IPP'!$R$34:$AX$34</c:f>
              <c:numCache>
                <c:formatCode>0.0</c:formatCode>
                <c:ptCount val="33"/>
                <c:pt idx="0">
                  <c:v>0.1453689780549717</c:v>
                </c:pt>
                <c:pt idx="1">
                  <c:v>-0.33983324755997307</c:v>
                </c:pt>
                <c:pt idx="2">
                  <c:v>-0.39725135811041795</c:v>
                </c:pt>
                <c:pt idx="3">
                  <c:v>-1.114644115487744</c:v>
                </c:pt>
                <c:pt idx="4">
                  <c:v>-0.64587487131351284</c:v>
                </c:pt>
                <c:pt idx="5">
                  <c:v>9.883457535948835E-2</c:v>
                </c:pt>
                <c:pt idx="6">
                  <c:v>-0.47676721369922492</c:v>
                </c:pt>
                <c:pt idx="7">
                  <c:v>0.50385695934700236</c:v>
                </c:pt>
                <c:pt idx="8">
                  <c:v>0.66227118757014181</c:v>
                </c:pt>
                <c:pt idx="9">
                  <c:v>-0.18254891472265236</c:v>
                </c:pt>
                <c:pt idx="10">
                  <c:v>0.77170124339672375</c:v>
                </c:pt>
                <c:pt idx="11">
                  <c:v>0.73276064564397991</c:v>
                </c:pt>
                <c:pt idx="12">
                  <c:v>-0.53888499639537168</c:v>
                </c:pt>
                <c:pt idx="13">
                  <c:v>4.2147847309763065E-3</c:v>
                </c:pt>
                <c:pt idx="14">
                  <c:v>0.78783573859879186</c:v>
                </c:pt>
                <c:pt idx="15">
                  <c:v>0.33124933161720838</c:v>
                </c:pt>
                <c:pt idx="16">
                  <c:v>0.21326825173098618</c:v>
                </c:pt>
                <c:pt idx="17">
                  <c:v>4.5891627194929667E-2</c:v>
                </c:pt>
                <c:pt idx="18">
                  <c:v>-0.66559651426950051</c:v>
                </c:pt>
                <c:pt idx="19">
                  <c:v>-0.33090808889302403</c:v>
                </c:pt>
                <c:pt idx="20">
                  <c:v>-0.97342506810566543</c:v>
                </c:pt>
                <c:pt idx="21">
                  <c:v>-1.5875613971615929</c:v>
                </c:pt>
                <c:pt idx="22">
                  <c:v>-0.71564578738754925</c:v>
                </c:pt>
                <c:pt idx="23">
                  <c:v>-0.69506985368693885</c:v>
                </c:pt>
                <c:pt idx="24">
                  <c:v>0.48072477574831807</c:v>
                </c:pt>
                <c:pt idx="25">
                  <c:v>0.46331760076263345</c:v>
                </c:pt>
                <c:pt idx="26">
                  <c:v>0.2219684606787295</c:v>
                </c:pt>
                <c:pt idx="27">
                  <c:v>0.81349879426535543</c:v>
                </c:pt>
                <c:pt idx="28">
                  <c:v>-0.17516130075846151</c:v>
                </c:pt>
                <c:pt idx="29">
                  <c:v>0.27453065253565601</c:v>
                </c:pt>
                <c:pt idx="30">
                  <c:v>0.37988207575265875</c:v>
                </c:pt>
                <c:pt idx="31">
                  <c:v>-1.3729548731845103</c:v>
                </c:pt>
                <c:pt idx="32">
                  <c:v>-1.2157024788791866</c:v>
                </c:pt>
              </c:numCache>
            </c:numRef>
          </c:val>
          <c:extLst>
            <c:ext xmlns:c16="http://schemas.microsoft.com/office/drawing/2014/chart" uri="{C3380CC4-5D6E-409C-BE32-E72D297353CC}">
              <c16:uniqueId val="{00000007-2A82-4AEC-877C-88AF235AF82A}"/>
            </c:ext>
          </c:extLst>
        </c:ser>
        <c:dLbls>
          <c:showLegendKey val="0"/>
          <c:showVal val="0"/>
          <c:showCatName val="0"/>
          <c:showSerName val="0"/>
          <c:showPercent val="0"/>
          <c:showBubbleSize val="0"/>
        </c:dLbls>
        <c:gapWidth val="15"/>
        <c:overlap val="100"/>
        <c:axId val="122604160"/>
        <c:axId val="125780736"/>
      </c:barChart>
      <c:lineChart>
        <c:grouping val="standard"/>
        <c:varyColors val="0"/>
        <c:ser>
          <c:idx val="8"/>
          <c:order val="8"/>
          <c:tx>
            <c:strRef>
              <c:f>'GRAF příspěvky IPP'!$A$35</c:f>
              <c:strCache>
                <c:ptCount val="1"/>
                <c:pt idx="0">
                  <c:v>Průmysl celkem (NACE B až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IPP'!$R$35:$AX$35</c:f>
              <c:numCache>
                <c:formatCode>0.0</c:formatCode>
                <c:ptCount val="33"/>
                <c:pt idx="0">
                  <c:v>4.8516197114000104</c:v>
                </c:pt>
                <c:pt idx="1">
                  <c:v>5.3057646647000078</c:v>
                </c:pt>
                <c:pt idx="2">
                  <c:v>5.6509723288000355</c:v>
                </c:pt>
                <c:pt idx="3">
                  <c:v>2.4035243304999891</c:v>
                </c:pt>
                <c:pt idx="4">
                  <c:v>4.4795186778999661</c:v>
                </c:pt>
                <c:pt idx="5">
                  <c:v>2.5440704273000043</c:v>
                </c:pt>
                <c:pt idx="6">
                  <c:v>1.6941973048000025</c:v>
                </c:pt>
                <c:pt idx="7">
                  <c:v>3.5126955949999799</c:v>
                </c:pt>
                <c:pt idx="8">
                  <c:v>4.7458417446999954</c:v>
                </c:pt>
                <c:pt idx="9">
                  <c:v>8.0826593818000028</c:v>
                </c:pt>
                <c:pt idx="10">
                  <c:v>6.5865810428999945</c:v>
                </c:pt>
                <c:pt idx="11">
                  <c:v>7.488554331299988</c:v>
                </c:pt>
                <c:pt idx="12">
                  <c:v>4.2941434987999925</c:v>
                </c:pt>
                <c:pt idx="13">
                  <c:v>2.4045915341999953</c:v>
                </c:pt>
                <c:pt idx="14">
                  <c:v>3.7412027468000111</c:v>
                </c:pt>
                <c:pt idx="15">
                  <c:v>1.9131264158999906</c:v>
                </c:pt>
                <c:pt idx="16">
                  <c:v>0.85990960209994882</c:v>
                </c:pt>
                <c:pt idx="17">
                  <c:v>0.98874527810000035</c:v>
                </c:pt>
                <c:pt idx="18">
                  <c:v>-1.2008161934000359</c:v>
                </c:pt>
                <c:pt idx="19">
                  <c:v>-2.0241899479000005</c:v>
                </c:pt>
                <c:pt idx="20">
                  <c:v>-4.408310722500012</c:v>
                </c:pt>
                <c:pt idx="21">
                  <c:v>-22.953075925300023</c:v>
                </c:pt>
                <c:pt idx="22">
                  <c:v>-2.7947559611999915</c:v>
                </c:pt>
                <c:pt idx="23">
                  <c:v>2.1023200511999862</c:v>
                </c:pt>
                <c:pt idx="24">
                  <c:v>4.2905022020000079</c:v>
                </c:pt>
                <c:pt idx="25">
                  <c:v>28.237467680700014</c:v>
                </c:pt>
                <c:pt idx="26">
                  <c:v>-8.5296171199999882E-2</c:v>
                </c:pt>
                <c:pt idx="27">
                  <c:v>-1.8829755502000003</c:v>
                </c:pt>
                <c:pt idx="28">
                  <c:v>0.25361177150000458</c:v>
                </c:pt>
                <c:pt idx="29">
                  <c:v>0.74770967569999569</c:v>
                </c:pt>
                <c:pt idx="30">
                  <c:v>6.0609708645000007</c:v>
                </c:pt>
                <c:pt idx="31">
                  <c:v>3.1776249752000041</c:v>
                </c:pt>
                <c:pt idx="32">
                  <c:v>1.1591111729999994</c:v>
                </c:pt>
              </c:numCache>
            </c:numRef>
          </c:val>
          <c:smooth val="0"/>
          <c:extLst>
            <c:ext xmlns:c16="http://schemas.microsoft.com/office/drawing/2014/chart" uri="{C3380CC4-5D6E-409C-BE32-E72D297353CC}">
              <c16:uniqueId val="{00000008-2A82-4AEC-877C-88AF235AF82A}"/>
            </c:ext>
          </c:extLst>
        </c:ser>
        <c:dLbls>
          <c:showLegendKey val="0"/>
          <c:showVal val="0"/>
          <c:showCatName val="0"/>
          <c:showSerName val="0"/>
          <c:showPercent val="0"/>
          <c:showBubbleSize val="0"/>
        </c:dLbls>
        <c:marker val="1"/>
        <c:smooth val="0"/>
        <c:axId val="122604160"/>
        <c:axId val="125780736"/>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IPP'!$R$36:$AX$36</c:f>
              <c:numCache>
                <c:formatCode>General</c:formatCode>
                <c:ptCount val="33"/>
              </c:numCache>
            </c:numRef>
          </c:val>
          <c:smooth val="0"/>
          <c:extLst>
            <c:ext xmlns:c16="http://schemas.microsoft.com/office/drawing/2014/chart" uri="{C3380CC4-5D6E-409C-BE32-E72D297353CC}">
              <c16:uniqueId val="{00000009-2A82-4AEC-877C-88AF235AF82A}"/>
            </c:ext>
          </c:extLst>
        </c:ser>
        <c:ser>
          <c:idx val="10"/>
          <c:order val="10"/>
          <c:tx>
            <c:strRef>
              <c:f>'GRAF příspěvky IPP'!$A$37</c:f>
              <c:strCache>
                <c:ptCount val="1"/>
                <c:pt idx="0">
                  <c:v>Produkce, prům. celkem (báze 2015=100)</c:v>
                </c:pt>
              </c:strCache>
            </c:strRef>
          </c:tx>
          <c:spPr>
            <a:ln w="15875">
              <a:solidFill>
                <a:schemeClr val="tx1">
                  <a:lumMod val="95000"/>
                  <a:lumOff val="5000"/>
                </a:schemeClr>
              </a:solidFill>
            </a:ln>
          </c:spPr>
          <c:marker>
            <c:symbol val="none"/>
          </c:marker>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IPP'!$R$37:$AX$37</c:f>
              <c:numCache>
                <c:formatCode>##0.0</c:formatCode>
                <c:ptCount val="33"/>
                <c:pt idx="0">
                  <c:v>98.64560247999998</c:v>
                </c:pt>
                <c:pt idx="1">
                  <c:v>100.18242374</c:v>
                </c:pt>
                <c:pt idx="2">
                  <c:v>101.2850845633</c:v>
                </c:pt>
                <c:pt idx="3">
                  <c:v>100.52111345000009</c:v>
                </c:pt>
                <c:pt idx="4">
                  <c:v>103.0563593</c:v>
                </c:pt>
                <c:pt idx="5">
                  <c:v>102.59927942330012</c:v>
                </c:pt>
                <c:pt idx="6">
                  <c:v>102.83954233669982</c:v>
                </c:pt>
                <c:pt idx="7">
                  <c:v>104.07328304329998</c:v>
                </c:pt>
                <c:pt idx="8">
                  <c:v>107.56794223670001</c:v>
                </c:pt>
                <c:pt idx="9">
                  <c:v>110.67653847999986</c:v>
                </c:pt>
                <c:pt idx="10">
                  <c:v>109.9586102967</c:v>
                </c:pt>
                <c:pt idx="11">
                  <c:v>112.16043972999998</c:v>
                </c:pt>
                <c:pt idx="12">
                  <c:v>112.4788675433</c:v>
                </c:pt>
                <c:pt idx="13">
                  <c:v>113.50775882669984</c:v>
                </c:pt>
                <c:pt idx="14">
                  <c:v>114.25384011329984</c:v>
                </c:pt>
                <c:pt idx="15">
                  <c:v>113.88130123669984</c:v>
                </c:pt>
                <c:pt idx="16">
                  <c:v>113.38844283329982</c:v>
                </c:pt>
                <c:pt idx="17">
                  <c:v>115.08486213330001</c:v>
                </c:pt>
                <c:pt idx="18">
                  <c:v>112.53550211669977</c:v>
                </c:pt>
                <c:pt idx="19">
                  <c:v>111.44039929330012</c:v>
                </c:pt>
                <c:pt idx="20">
                  <c:v>108.6749157867</c:v>
                </c:pt>
                <c:pt idx="21">
                  <c:v>88.9758235133</c:v>
                </c:pt>
                <c:pt idx="22">
                  <c:v>109.4050159767</c:v>
                </c:pt>
                <c:pt idx="23">
                  <c:v>113.95534516999992</c:v>
                </c:pt>
                <c:pt idx="24">
                  <c:v>112.29207821329985</c:v>
                </c:pt>
                <c:pt idx="25">
                  <c:v>113.25779428000008</c:v>
                </c:pt>
                <c:pt idx="26">
                  <c:v>110.35191377330008</c:v>
                </c:pt>
                <c:pt idx="27">
                  <c:v>111.22766090330015</c:v>
                </c:pt>
                <c:pt idx="28">
                  <c:v>113.36815870999995</c:v>
                </c:pt>
                <c:pt idx="29">
                  <c:v>114.4453126467</c:v>
                </c:pt>
                <c:pt idx="30">
                  <c:v>116.34945597330002</c:v>
                </c:pt>
                <c:pt idx="31">
                  <c:v>115.05273560999991</c:v>
                </c:pt>
                <c:pt idx="32">
                  <c:v>114.56693029669987</c:v>
                </c:pt>
              </c:numCache>
            </c:numRef>
          </c:val>
          <c:smooth val="0"/>
          <c:extLst>
            <c:ext xmlns:c16="http://schemas.microsoft.com/office/drawing/2014/chart" uri="{C3380CC4-5D6E-409C-BE32-E72D297353CC}">
              <c16:uniqueId val="{0000000A-2A82-4AEC-877C-88AF235AF82A}"/>
            </c:ext>
          </c:extLst>
        </c:ser>
        <c:ser>
          <c:idx val="11"/>
          <c:order val="11"/>
          <c:tx>
            <c:strRef>
              <c:f>'GRAF příspěvky IPP'!$A$38</c:f>
              <c:strCache>
                <c:ptCount val="1"/>
                <c:pt idx="0">
                  <c:v>Tržby, prům. celkem (báze 2015=100)</c:v>
                </c:pt>
              </c:strCache>
            </c:strRef>
          </c:tx>
          <c:spPr>
            <a:ln w="15875">
              <a:solidFill>
                <a:schemeClr val="tx1">
                  <a:lumMod val="50000"/>
                  <a:lumOff val="50000"/>
                </a:schemeClr>
              </a:solidFill>
              <a:prstDash val="sysDash"/>
            </a:ln>
          </c:spPr>
          <c:marker>
            <c:symbol val="none"/>
          </c:marker>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IPP'!$R$38:$AX$38</c:f>
              <c:numCache>
                <c:formatCode>##0.0</c:formatCode>
                <c:ptCount val="33"/>
                <c:pt idx="0">
                  <c:v>98.928647706699849</c:v>
                </c:pt>
                <c:pt idx="1">
                  <c:v>100.52995774670001</c:v>
                </c:pt>
                <c:pt idx="2">
                  <c:v>100.75502845</c:v>
                </c:pt>
                <c:pt idx="3">
                  <c:v>99.786366096699837</c:v>
                </c:pt>
                <c:pt idx="4">
                  <c:v>100.23325782000002</c:v>
                </c:pt>
                <c:pt idx="5">
                  <c:v>99.062532509999869</c:v>
                </c:pt>
                <c:pt idx="6">
                  <c:v>100.58475803669978</c:v>
                </c:pt>
                <c:pt idx="7">
                  <c:v>103.32601011329984</c:v>
                </c:pt>
                <c:pt idx="8">
                  <c:v>106.91453119329998</c:v>
                </c:pt>
                <c:pt idx="9">
                  <c:v>109.53257710329984</c:v>
                </c:pt>
                <c:pt idx="10">
                  <c:v>107.5092221533</c:v>
                </c:pt>
                <c:pt idx="11">
                  <c:v>109.11652482000002</c:v>
                </c:pt>
                <c:pt idx="12">
                  <c:v>110.0374085</c:v>
                </c:pt>
                <c:pt idx="13">
                  <c:v>110.9731715833</c:v>
                </c:pt>
                <c:pt idx="14">
                  <c:v>113.02880105329984</c:v>
                </c:pt>
                <c:pt idx="15">
                  <c:v>114.48280249</c:v>
                </c:pt>
                <c:pt idx="16">
                  <c:v>113.39006210999995</c:v>
                </c:pt>
                <c:pt idx="17">
                  <c:v>115.27357595669984</c:v>
                </c:pt>
                <c:pt idx="18">
                  <c:v>112.1540635667</c:v>
                </c:pt>
                <c:pt idx="19">
                  <c:v>111.52589050329986</c:v>
                </c:pt>
                <c:pt idx="20">
                  <c:v>109.60384042669986</c:v>
                </c:pt>
                <c:pt idx="21">
                  <c:v>88.713331716699784</c:v>
                </c:pt>
                <c:pt idx="22">
                  <c:v>110.6502057333</c:v>
                </c:pt>
                <c:pt idx="23">
                  <c:v>116.5514529133</c:v>
                </c:pt>
                <c:pt idx="24">
                  <c:v>116.5100608533</c:v>
                </c:pt>
                <c:pt idx="25">
                  <c:v>118.2855516467</c:v>
                </c:pt>
                <c:pt idx="26">
                  <c:v>115.0804897467</c:v>
                </c:pt>
                <c:pt idx="27">
                  <c:v>120.3391553</c:v>
                </c:pt>
                <c:pt idx="28">
                  <c:v>128.3585854833</c:v>
                </c:pt>
                <c:pt idx="29">
                  <c:v>134.50982582329999</c:v>
                </c:pt>
                <c:pt idx="30">
                  <c:v>142.33677741330001</c:v>
                </c:pt>
                <c:pt idx="31">
                  <c:v>140.99427215330002</c:v>
                </c:pt>
                <c:pt idx="32">
                  <c:v>141.9186210933</c:v>
                </c:pt>
              </c:numCache>
            </c:numRef>
          </c:val>
          <c:smooth val="0"/>
          <c:extLst>
            <c:ext xmlns:c16="http://schemas.microsoft.com/office/drawing/2014/chart" uri="{C3380CC4-5D6E-409C-BE32-E72D297353CC}">
              <c16:uniqueId val="{0000000B-2A82-4AEC-877C-88AF235AF82A}"/>
            </c:ext>
          </c:extLst>
        </c:ser>
        <c:dLbls>
          <c:showLegendKey val="0"/>
          <c:showVal val="0"/>
          <c:showCatName val="0"/>
          <c:showSerName val="0"/>
          <c:showPercent val="0"/>
          <c:showBubbleSize val="0"/>
        </c:dLbls>
        <c:marker val="1"/>
        <c:smooth val="0"/>
        <c:axId val="73393280"/>
        <c:axId val="125782656"/>
      </c:lineChart>
      <c:catAx>
        <c:axId val="122604160"/>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125780736"/>
        <c:crosses val="autoZero"/>
        <c:auto val="1"/>
        <c:lblAlgn val="ctr"/>
        <c:lblOffset val="0"/>
        <c:noMultiLvlLbl val="0"/>
      </c:catAx>
      <c:valAx>
        <c:axId val="125780736"/>
        <c:scaling>
          <c:orientation val="minMax"/>
          <c:max val="31.5"/>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u="none" strike="noStrike" baseline="0">
                    <a:effectLst/>
                  </a:rPr>
                  <a:t>Průmysl. produkce v dílčích odvětvích (příspěvek k růstu)</a:t>
                </a:r>
                <a:endParaRPr lang="cs-CZ" sz="700" b="0" i="1">
                  <a:latin typeface="Arial" panose="020B0604020202020204" pitchFamily="34" charset="0"/>
                  <a:cs typeface="Arial" panose="020B0604020202020204" pitchFamily="34" charset="0"/>
                </a:endParaRPr>
              </a:p>
            </c:rich>
          </c:tx>
          <c:layout>
            <c:manualLayout>
              <c:xMode val="edge"/>
              <c:yMode val="edge"/>
              <c:x val="0"/>
              <c:y val="5.1905346109932297E-2"/>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22604160"/>
        <c:crosses val="autoZero"/>
        <c:crossBetween val="between"/>
        <c:majorUnit val="5"/>
      </c:valAx>
      <c:valAx>
        <c:axId val="125782656"/>
        <c:scaling>
          <c:orientation val="minMax"/>
          <c:max val="143"/>
          <c:min val="3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Produkce, tržby v průmyslu (báze 2015=100)</a:t>
                </a:r>
              </a:p>
            </c:rich>
          </c:tx>
          <c:layout>
            <c:manualLayout>
              <c:xMode val="edge"/>
              <c:yMode val="edge"/>
              <c:x val="0.9704015901117452"/>
              <c:y val="8.6384138537000027E-2"/>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73393280"/>
        <c:crosses val="max"/>
        <c:crossBetween val="between"/>
        <c:majorUnit val="10"/>
      </c:valAx>
      <c:catAx>
        <c:axId val="73393280"/>
        <c:scaling>
          <c:orientation val="minMax"/>
        </c:scaling>
        <c:delete val="1"/>
        <c:axPos val="b"/>
        <c:numFmt formatCode="General" sourceLinked="1"/>
        <c:majorTickMark val="out"/>
        <c:minorTickMark val="none"/>
        <c:tickLblPos val="none"/>
        <c:crossAx val="125782656"/>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799662370381336E-3"/>
          <c:y val="0.8254338599583817"/>
          <c:w val="0.98919860566585194"/>
          <c:h val="0.1675613345282423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62E-2"/>
          <c:w val="0.84974974879787579"/>
          <c:h val="0.75063602214308633"/>
        </c:manualLayout>
      </c:layout>
      <c:barChart>
        <c:barDir val="col"/>
        <c:grouping val="clustered"/>
        <c:varyColors val="0"/>
        <c:ser>
          <c:idx val="0"/>
          <c:order val="0"/>
          <c:tx>
            <c:strRef>
              <c:f>'výkonnost odvětví 2'!$A$36</c:f>
              <c:strCache>
                <c:ptCount val="1"/>
                <c:pt idx="0">
                  <c:v>Průmyslové zakázky celkem</c:v>
                </c:pt>
              </c:strCache>
            </c:strRef>
          </c:tx>
          <c:spPr>
            <a:solidFill>
              <a:schemeClr val="bg1">
                <a:lumMod val="75000"/>
              </a:schemeClr>
            </a:solidFill>
            <a:ln>
              <a:noFill/>
            </a:ln>
          </c:spPr>
          <c:invertIfNegative val="0"/>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2'!$R$36:$AY$36</c:f>
              <c:numCache>
                <c:formatCode>##0.0</c:formatCode>
                <c:ptCount val="34"/>
                <c:pt idx="0">
                  <c:v>8.5353894548000024</c:v>
                </c:pt>
                <c:pt idx="1">
                  <c:v>6.3740032441999945</c:v>
                </c:pt>
                <c:pt idx="2">
                  <c:v>6.0540271236999956</c:v>
                </c:pt>
                <c:pt idx="3">
                  <c:v>5.2610868972999976</c:v>
                </c:pt>
                <c:pt idx="4">
                  <c:v>2.639892480099999</c:v>
                </c:pt>
                <c:pt idx="5">
                  <c:v>7.5233833736999944</c:v>
                </c:pt>
                <c:pt idx="6">
                  <c:v>2.3667401951999927</c:v>
                </c:pt>
                <c:pt idx="7">
                  <c:v>6.6372980220999978</c:v>
                </c:pt>
                <c:pt idx="8">
                  <c:v>7.2642637417000104</c:v>
                </c:pt>
                <c:pt idx="9">
                  <c:v>8.2151073244999964</c:v>
                </c:pt>
                <c:pt idx="10">
                  <c:v>7.9541665196999887</c:v>
                </c:pt>
                <c:pt idx="11">
                  <c:v>7.3518853409999902</c:v>
                </c:pt>
                <c:pt idx="12">
                  <c:v>3.4479253911000001</c:v>
                </c:pt>
                <c:pt idx="13">
                  <c:v>3.7095478141000058</c:v>
                </c:pt>
                <c:pt idx="14">
                  <c:v>3.8047927777000012</c:v>
                </c:pt>
                <c:pt idx="15">
                  <c:v>3.0958525625999997</c:v>
                </c:pt>
                <c:pt idx="16">
                  <c:v>3.2186335616000012</c:v>
                </c:pt>
                <c:pt idx="17">
                  <c:v>1.4218114762000056</c:v>
                </c:pt>
                <c:pt idx="18">
                  <c:v>-0.25322037120000157</c:v>
                </c:pt>
                <c:pt idx="19">
                  <c:v>-3.8029715272000004</c:v>
                </c:pt>
                <c:pt idx="20">
                  <c:v>-2.0918519482000022</c:v>
                </c:pt>
                <c:pt idx="21">
                  <c:v>-27.667187618300005</c:v>
                </c:pt>
                <c:pt idx="22">
                  <c:v>-1.310591588500003</c:v>
                </c:pt>
                <c:pt idx="23">
                  <c:v>7.1560873368999909</c:v>
                </c:pt>
                <c:pt idx="24">
                  <c:v>8.4043556738999996</c:v>
                </c:pt>
                <c:pt idx="25">
                  <c:v>47.896596400900002</c:v>
                </c:pt>
                <c:pt idx="26">
                  <c:v>7.3132490553000107</c:v>
                </c:pt>
                <c:pt idx="27">
                  <c:v>3.5534586679000029</c:v>
                </c:pt>
                <c:pt idx="28">
                  <c:v>6.0319356453999955</c:v>
                </c:pt>
                <c:pt idx="29">
                  <c:v>9.7925018888000057</c:v>
                </c:pt>
                <c:pt idx="30">
                  <c:v>14.894537625000011</c:v>
                </c:pt>
                <c:pt idx="31">
                  <c:v>12.536341527999994</c:v>
                </c:pt>
                <c:pt idx="32">
                  <c:v>2.1304790845999975</c:v>
                </c:pt>
              </c:numCache>
            </c:numRef>
          </c:val>
          <c:extLst>
            <c:ext xmlns:c16="http://schemas.microsoft.com/office/drawing/2014/chart" uri="{C3380CC4-5D6E-409C-BE32-E72D297353CC}">
              <c16:uniqueId val="{00000000-B80A-49CB-88E2-A7D3B51B01BD}"/>
            </c:ext>
          </c:extLst>
        </c:ser>
        <c:dLbls>
          <c:showLegendKey val="0"/>
          <c:showVal val="0"/>
          <c:showCatName val="0"/>
          <c:showSerName val="0"/>
          <c:showPercent val="0"/>
          <c:showBubbleSize val="0"/>
        </c:dLbls>
        <c:gapWidth val="30"/>
        <c:axId val="83249408"/>
        <c:axId val="83267968"/>
      </c:barChart>
      <c:lineChart>
        <c:grouping val="standard"/>
        <c:varyColors val="0"/>
        <c:ser>
          <c:idx val="1"/>
          <c:order val="1"/>
          <c:tx>
            <c:strRef>
              <c:f>'výkonnost odvětví 2'!$A$37</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2'!$R$37:$AY$37</c:f>
              <c:numCache>
                <c:formatCode>#\ ##0.0</c:formatCode>
                <c:ptCount val="34"/>
                <c:pt idx="0">
                  <c:v>4.3678555677999924</c:v>
                </c:pt>
                <c:pt idx="1">
                  <c:v>9.9380074582000049</c:v>
                </c:pt>
                <c:pt idx="2">
                  <c:v>-2.8625917786000095</c:v>
                </c:pt>
                <c:pt idx="3">
                  <c:v>-0.24449638430000709</c:v>
                </c:pt>
                <c:pt idx="4">
                  <c:v>1.5608556055999958</c:v>
                </c:pt>
                <c:pt idx="5">
                  <c:v>1.4530189575000059</c:v>
                </c:pt>
                <c:pt idx="6">
                  <c:v>0.19507191760000336</c:v>
                </c:pt>
                <c:pt idx="7">
                  <c:v>2.810568046100002</c:v>
                </c:pt>
                <c:pt idx="8">
                  <c:v>12.6195755233</c:v>
                </c:pt>
                <c:pt idx="9">
                  <c:v>15.740843176199999</c:v>
                </c:pt>
                <c:pt idx="10">
                  <c:v>15.881411785300003</c:v>
                </c:pt>
                <c:pt idx="11">
                  <c:v>15.4396235432</c:v>
                </c:pt>
                <c:pt idx="12">
                  <c:v>1.405994336299994</c:v>
                </c:pt>
                <c:pt idx="13">
                  <c:v>2.5119296337000034</c:v>
                </c:pt>
                <c:pt idx="14">
                  <c:v>4.7248831052000071</c:v>
                </c:pt>
                <c:pt idx="15">
                  <c:v>3.5273288478999998</c:v>
                </c:pt>
                <c:pt idx="16">
                  <c:v>8.0476176921000029</c:v>
                </c:pt>
                <c:pt idx="17">
                  <c:v>5.2936390826000004</c:v>
                </c:pt>
                <c:pt idx="18">
                  <c:v>0.41940306940000482</c:v>
                </c:pt>
                <c:pt idx="19">
                  <c:v>-1.345625708499993</c:v>
                </c:pt>
                <c:pt idx="20">
                  <c:v>5.5521264895999956</c:v>
                </c:pt>
                <c:pt idx="21">
                  <c:v>-25.896794335699987</c:v>
                </c:pt>
                <c:pt idx="22">
                  <c:v>-3.0500801793999983</c:v>
                </c:pt>
                <c:pt idx="23">
                  <c:v>6.9104797820000012</c:v>
                </c:pt>
                <c:pt idx="24">
                  <c:v>-2.8106372719999952</c:v>
                </c:pt>
                <c:pt idx="25">
                  <c:v>43.420786243100011</c:v>
                </c:pt>
                <c:pt idx="26">
                  <c:v>9.3034312720000152</c:v>
                </c:pt>
                <c:pt idx="27">
                  <c:v>5.3772359177000055</c:v>
                </c:pt>
                <c:pt idx="28">
                  <c:v>8.2972658596000031</c:v>
                </c:pt>
                <c:pt idx="29">
                  <c:v>15.120667440899993</c:v>
                </c:pt>
                <c:pt idx="30">
                  <c:v>25.937943040799986</c:v>
                </c:pt>
                <c:pt idx="31">
                  <c:v>19.222064994600004</c:v>
                </c:pt>
                <c:pt idx="32">
                  <c:v>11.652223194200005</c:v>
                </c:pt>
              </c:numCache>
            </c:numRef>
          </c:val>
          <c:smooth val="0"/>
          <c:extLst>
            <c:ext xmlns:c16="http://schemas.microsoft.com/office/drawing/2014/chart" uri="{C3380CC4-5D6E-409C-BE32-E72D297353CC}">
              <c16:uniqueId val="{00000001-B80A-49CB-88E2-A7D3B51B01BD}"/>
            </c:ext>
          </c:extLst>
        </c:ser>
        <c:dLbls>
          <c:showLegendKey val="0"/>
          <c:showVal val="0"/>
          <c:showCatName val="0"/>
          <c:showSerName val="0"/>
          <c:showPercent val="0"/>
          <c:showBubbleSize val="0"/>
        </c:dLbls>
        <c:marker val="1"/>
        <c:smooth val="0"/>
        <c:axId val="83249408"/>
        <c:axId val="83267968"/>
      </c:lineChart>
      <c:lineChart>
        <c:grouping val="standard"/>
        <c:varyColors val="0"/>
        <c:ser>
          <c:idx val="2"/>
          <c:order val="2"/>
          <c:tx>
            <c:strRef>
              <c:f>'výkonnost odvětví 2'!$A$38</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2'!$R$38:$AY$38</c:f>
              <c:numCache>
                <c:formatCode>##0.0</c:formatCode>
                <c:ptCount val="34"/>
                <c:pt idx="0">
                  <c:v>85.4</c:v>
                </c:pt>
                <c:pt idx="1">
                  <c:v>85.1</c:v>
                </c:pt>
                <c:pt idx="2">
                  <c:v>85</c:v>
                </c:pt>
                <c:pt idx="3">
                  <c:v>84.1</c:v>
                </c:pt>
                <c:pt idx="4">
                  <c:v>83.7</c:v>
                </c:pt>
                <c:pt idx="5">
                  <c:v>85.2</c:v>
                </c:pt>
                <c:pt idx="6">
                  <c:v>84.4</c:v>
                </c:pt>
                <c:pt idx="7">
                  <c:v>84.7</c:v>
                </c:pt>
                <c:pt idx="8">
                  <c:v>84.4</c:v>
                </c:pt>
                <c:pt idx="9">
                  <c:v>83.4</c:v>
                </c:pt>
                <c:pt idx="10">
                  <c:v>84.2</c:v>
                </c:pt>
                <c:pt idx="11">
                  <c:v>84.7</c:v>
                </c:pt>
                <c:pt idx="12">
                  <c:v>85.8</c:v>
                </c:pt>
                <c:pt idx="13">
                  <c:v>85.4</c:v>
                </c:pt>
                <c:pt idx="14">
                  <c:v>86.2</c:v>
                </c:pt>
                <c:pt idx="15">
                  <c:v>85.7</c:v>
                </c:pt>
                <c:pt idx="16">
                  <c:v>85.7</c:v>
                </c:pt>
                <c:pt idx="17">
                  <c:v>85.7</c:v>
                </c:pt>
                <c:pt idx="18">
                  <c:v>84.8</c:v>
                </c:pt>
                <c:pt idx="19">
                  <c:v>84</c:v>
                </c:pt>
                <c:pt idx="20">
                  <c:v>84.3</c:v>
                </c:pt>
                <c:pt idx="21">
                  <c:v>69.400000000000006</c:v>
                </c:pt>
                <c:pt idx="22">
                  <c:v>76.2</c:v>
                </c:pt>
                <c:pt idx="23">
                  <c:v>83</c:v>
                </c:pt>
                <c:pt idx="24">
                  <c:v>85.7</c:v>
                </c:pt>
                <c:pt idx="25">
                  <c:v>85</c:v>
                </c:pt>
                <c:pt idx="26">
                  <c:v>88.1</c:v>
                </c:pt>
                <c:pt idx="27">
                  <c:v>76.5</c:v>
                </c:pt>
                <c:pt idx="28">
                  <c:v>83.3</c:v>
                </c:pt>
                <c:pt idx="29">
                  <c:v>81.599999999999994</c:v>
                </c:pt>
                <c:pt idx="30">
                  <c:v>83.2</c:v>
                </c:pt>
                <c:pt idx="31">
                  <c:v>80.5</c:v>
                </c:pt>
                <c:pt idx="32">
                  <c:v>80.900000000000006</c:v>
                </c:pt>
                <c:pt idx="33">
                  <c:v>83.3</c:v>
                </c:pt>
              </c:numCache>
            </c:numRef>
          </c:val>
          <c:smooth val="0"/>
          <c:extLst>
            <c:ext xmlns:c16="http://schemas.microsoft.com/office/drawing/2014/chart" uri="{C3380CC4-5D6E-409C-BE32-E72D297353CC}">
              <c16:uniqueId val="{00000002-B80A-49CB-88E2-A7D3B51B01BD}"/>
            </c:ext>
          </c:extLst>
        </c:ser>
        <c:ser>
          <c:idx val="3"/>
          <c:order val="3"/>
          <c:tx>
            <c:strRef>
              <c:f>'výkonnost odvětví 2'!$A$39</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2'!$R$39:$AY$39</c:f>
              <c:numCache>
                <c:formatCode>##0.0</c:formatCode>
                <c:ptCount val="34"/>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pt idx="33">
                  <c:v>92.7</c:v>
                </c:pt>
              </c:numCache>
            </c:numRef>
          </c:val>
          <c:smooth val="0"/>
          <c:extLst>
            <c:ext xmlns:c16="http://schemas.microsoft.com/office/drawing/2014/chart" uri="{C3380CC4-5D6E-409C-BE32-E72D297353CC}">
              <c16:uniqueId val="{00000003-B80A-49CB-88E2-A7D3B51B01BD}"/>
            </c:ext>
          </c:extLst>
        </c:ser>
        <c:ser>
          <c:idx val="4"/>
          <c:order val="4"/>
          <c:tx>
            <c:strRef>
              <c:f>'výkonnost odvětví 2'!$A$40</c:f>
              <c:strCache>
                <c:ptCount val="1"/>
                <c:pt idx="0">
                  <c:v>Bariéra růstu: nedostatečná poptávka</c:v>
                </c:pt>
              </c:strCache>
            </c:strRef>
          </c:tx>
          <c:spPr>
            <a:ln w="15875">
              <a:solidFill>
                <a:srgbClr val="00B050"/>
              </a:solidFill>
              <a:prstDash val="solid"/>
            </a:ln>
          </c:spPr>
          <c:marker>
            <c:symbol val="none"/>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2'!$R$40:$AY$40</c:f>
              <c:numCache>
                <c:formatCode>#\ ##0.0</c:formatCode>
                <c:ptCount val="34"/>
                <c:pt idx="0">
                  <c:v>45.3</c:v>
                </c:pt>
                <c:pt idx="1">
                  <c:v>49.6</c:v>
                </c:pt>
                <c:pt idx="2">
                  <c:v>49.7</c:v>
                </c:pt>
                <c:pt idx="3">
                  <c:v>46.4</c:v>
                </c:pt>
                <c:pt idx="4">
                  <c:v>45.9</c:v>
                </c:pt>
                <c:pt idx="5">
                  <c:v>44.6</c:v>
                </c:pt>
                <c:pt idx="6">
                  <c:v>43.8</c:v>
                </c:pt>
                <c:pt idx="7">
                  <c:v>42.9</c:v>
                </c:pt>
                <c:pt idx="8">
                  <c:v>42.7</c:v>
                </c:pt>
                <c:pt idx="9">
                  <c:v>41</c:v>
                </c:pt>
                <c:pt idx="10">
                  <c:v>41.2</c:v>
                </c:pt>
                <c:pt idx="11">
                  <c:v>35.800000000000004</c:v>
                </c:pt>
                <c:pt idx="12">
                  <c:v>35.4</c:v>
                </c:pt>
                <c:pt idx="13">
                  <c:v>36.300000000000004</c:v>
                </c:pt>
                <c:pt idx="14">
                  <c:v>32.4</c:v>
                </c:pt>
                <c:pt idx="15">
                  <c:v>32.9</c:v>
                </c:pt>
                <c:pt idx="16">
                  <c:v>33.800000000000004</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pt idx="33">
                  <c:v>42</c:v>
                </c:pt>
              </c:numCache>
            </c:numRef>
          </c:val>
          <c:smooth val="0"/>
          <c:extLst>
            <c:ext xmlns:c16="http://schemas.microsoft.com/office/drawing/2014/chart" uri="{C3380CC4-5D6E-409C-BE32-E72D297353CC}">
              <c16:uniqueId val="{00000004-B80A-49CB-88E2-A7D3B51B01BD}"/>
            </c:ext>
          </c:extLst>
        </c:ser>
        <c:ser>
          <c:idx val="5"/>
          <c:order val="5"/>
          <c:tx>
            <c:strRef>
              <c:f>'výkonnost odvětví 2'!$A$41</c:f>
              <c:strCache>
                <c:ptCount val="1"/>
                <c:pt idx="0">
                  <c:v>Bariéra růstu: nedostatek pracovníků</c:v>
                </c:pt>
              </c:strCache>
            </c:strRef>
          </c:tx>
          <c:spPr>
            <a:ln w="15875">
              <a:solidFill>
                <a:schemeClr val="accent3">
                  <a:lumMod val="75000"/>
                </a:schemeClr>
              </a:solidFill>
              <a:prstDash val="sysDash"/>
            </a:ln>
          </c:spPr>
          <c:marker>
            <c:symbol val="none"/>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2'!$R$41:$AY$41</c:f>
              <c:numCache>
                <c:formatCode>#\ ##0.0</c:formatCode>
                <c:ptCount val="34"/>
                <c:pt idx="0">
                  <c:v>6.1</c:v>
                </c:pt>
                <c:pt idx="1">
                  <c:v>6.9</c:v>
                </c:pt>
                <c:pt idx="2">
                  <c:v>8.7000000000000011</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pt idx="33">
                  <c:v>20.6</c:v>
                </c:pt>
              </c:numCache>
            </c:numRef>
          </c:val>
          <c:smooth val="0"/>
          <c:extLst>
            <c:ext xmlns:c16="http://schemas.microsoft.com/office/drawing/2014/chart" uri="{C3380CC4-5D6E-409C-BE32-E72D297353CC}">
              <c16:uniqueId val="{00000005-B80A-49CB-88E2-A7D3B51B01BD}"/>
            </c:ext>
          </c:extLst>
        </c:ser>
        <c:ser>
          <c:idx val="6"/>
          <c:order val="6"/>
          <c:tx>
            <c:strRef>
              <c:f>'výkonnost odvětví 2'!$A$42</c:f>
              <c:strCache>
                <c:ptCount val="1"/>
                <c:pt idx="0">
                  <c:v>Bariéra růstu: nedost. materiálu a zařízení</c:v>
                </c:pt>
              </c:strCache>
            </c:strRef>
          </c:tx>
          <c:spPr>
            <a:ln w="15875">
              <a:solidFill>
                <a:srgbClr val="1EB222"/>
              </a:solidFill>
              <a:prstDash val="dash"/>
            </a:ln>
          </c:spPr>
          <c:marker>
            <c:symbol val="none"/>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2'!$R$42:$AY$42</c:f>
              <c:numCache>
                <c:formatCode>#\ ##0.0</c:formatCode>
                <c:ptCount val="34"/>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10.200000000000001</c:v>
                </c:pt>
                <c:pt idx="22">
                  <c:v>6.7</c:v>
                </c:pt>
                <c:pt idx="23">
                  <c:v>10.9</c:v>
                </c:pt>
                <c:pt idx="24">
                  <c:v>23.1</c:v>
                </c:pt>
                <c:pt idx="25">
                  <c:v>32.1</c:v>
                </c:pt>
                <c:pt idx="26">
                  <c:v>45.9</c:v>
                </c:pt>
                <c:pt idx="27">
                  <c:v>41.2</c:v>
                </c:pt>
                <c:pt idx="28">
                  <c:v>39.300000000000004</c:v>
                </c:pt>
                <c:pt idx="29">
                  <c:v>47.8</c:v>
                </c:pt>
                <c:pt idx="30">
                  <c:v>53.4</c:v>
                </c:pt>
                <c:pt idx="31">
                  <c:v>46.4</c:v>
                </c:pt>
                <c:pt idx="32">
                  <c:v>37.4</c:v>
                </c:pt>
                <c:pt idx="33">
                  <c:v>32.5</c:v>
                </c:pt>
              </c:numCache>
            </c:numRef>
          </c:val>
          <c:smooth val="0"/>
          <c:extLst>
            <c:ext xmlns:c16="http://schemas.microsoft.com/office/drawing/2014/chart" uri="{C3380CC4-5D6E-409C-BE32-E72D297353CC}">
              <c16:uniqueId val="{00000006-B80A-49CB-88E2-A7D3B51B01BD}"/>
            </c:ext>
          </c:extLst>
        </c:ser>
        <c:ser>
          <c:idx val="7"/>
          <c:order val="7"/>
          <c:tx>
            <c:strRef>
              <c:f>'výkonnost odvětví 2'!$A$43</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2'!$R$43:$AY$43</c:f>
              <c:numCache>
                <c:formatCode>#\ ##0.0</c:formatCode>
                <c:ptCount val="34"/>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0.30000000000000032</c:v>
                </c:pt>
                <c:pt idx="17">
                  <c:v>-2</c:v>
                </c:pt>
                <c:pt idx="18">
                  <c:v>-3</c:v>
                </c:pt>
                <c:pt idx="19">
                  <c:v>-6.7</c:v>
                </c:pt>
                <c:pt idx="20">
                  <c:v>-5</c:v>
                </c:pt>
                <c:pt idx="21">
                  <c:v>-25</c:v>
                </c:pt>
                <c:pt idx="22">
                  <c:v>-6.3</c:v>
                </c:pt>
                <c:pt idx="23">
                  <c:v>-10</c:v>
                </c:pt>
                <c:pt idx="24">
                  <c:v>-1.3</c:v>
                </c:pt>
                <c:pt idx="25">
                  <c:v>5.3</c:v>
                </c:pt>
                <c:pt idx="26">
                  <c:v>-1.3</c:v>
                </c:pt>
                <c:pt idx="27">
                  <c:v>-5.3</c:v>
                </c:pt>
                <c:pt idx="28">
                  <c:v>-0.30000000000000032</c:v>
                </c:pt>
                <c:pt idx="29">
                  <c:v>8.3000000000000007</c:v>
                </c:pt>
                <c:pt idx="30">
                  <c:v>-1.7</c:v>
                </c:pt>
                <c:pt idx="31">
                  <c:v>-8.3000000000000007</c:v>
                </c:pt>
                <c:pt idx="32">
                  <c:v>-10.1</c:v>
                </c:pt>
                <c:pt idx="33">
                  <c:v>-7</c:v>
                </c:pt>
              </c:numCache>
            </c:numRef>
          </c:val>
          <c:smooth val="0"/>
          <c:extLst>
            <c:ext xmlns:c16="http://schemas.microsoft.com/office/drawing/2014/chart" uri="{C3380CC4-5D6E-409C-BE32-E72D297353CC}">
              <c16:uniqueId val="{00000007-B80A-49CB-88E2-A7D3B51B01BD}"/>
            </c:ext>
          </c:extLst>
        </c:ser>
        <c:dLbls>
          <c:showLegendKey val="0"/>
          <c:showVal val="0"/>
          <c:showCatName val="0"/>
          <c:showSerName val="0"/>
          <c:showPercent val="0"/>
          <c:showBubbleSize val="0"/>
        </c:dLbls>
        <c:marker val="1"/>
        <c:smooth val="0"/>
        <c:axId val="83272064"/>
        <c:axId val="83269888"/>
      </c:lineChart>
      <c:catAx>
        <c:axId val="83249408"/>
        <c:scaling>
          <c:orientation val="minMax"/>
        </c:scaling>
        <c:delete val="0"/>
        <c:axPos val="b"/>
        <c:numFmt formatCode="General" sourceLinked="1"/>
        <c:majorTickMark val="out"/>
        <c:minorTickMark val="none"/>
        <c:tickLblPos val="low"/>
        <c:crossAx val="83267968"/>
        <c:crosses val="autoZero"/>
        <c:auto val="1"/>
        <c:lblAlgn val="ctr"/>
        <c:lblOffset val="0"/>
        <c:noMultiLvlLbl val="0"/>
      </c:catAx>
      <c:valAx>
        <c:axId val="83267968"/>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83249408"/>
        <c:crosses val="autoZero"/>
        <c:crossBetween val="between"/>
        <c:majorUnit val="10"/>
      </c:valAx>
      <c:valAx>
        <c:axId val="83269888"/>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83272064"/>
        <c:crosses val="max"/>
        <c:crossBetween val="between"/>
        <c:majorUnit val="10"/>
      </c:valAx>
      <c:catAx>
        <c:axId val="83272064"/>
        <c:scaling>
          <c:orientation val="minMax"/>
        </c:scaling>
        <c:delete val="1"/>
        <c:axPos val="b"/>
        <c:numFmt formatCode="General" sourceLinked="1"/>
        <c:majorTickMark val="out"/>
        <c:minorTickMark val="none"/>
        <c:tickLblPos val="none"/>
        <c:crossAx val="83269888"/>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62395230772256E-2"/>
          <c:y val="0.85586448957034"/>
          <c:w val="0.98342327494608206"/>
          <c:h val="0.14063307954958187"/>
        </c:manualLayout>
      </c:layout>
      <c:overlay val="0"/>
      <c:spPr>
        <a:ln w="6350">
          <a:solidFill>
            <a:prstClr val="black">
              <a:lumMod val="95000"/>
              <a:lumOff val="5000"/>
            </a:prstClr>
          </a:solidFill>
        </a:ln>
      </c:spPr>
      <c:txPr>
        <a:bodyPr/>
        <a:lstStyle/>
        <a:p>
          <a:pPr>
            <a:defRPr sz="78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299E-2"/>
          <c:y val="1.56635509993703E-2"/>
          <c:w val="0.85237839893753009"/>
          <c:h val="0.75413191483370423"/>
        </c:manualLayout>
      </c:layout>
      <c:barChart>
        <c:barDir val="col"/>
        <c:grouping val="stacked"/>
        <c:varyColors val="0"/>
        <c:ser>
          <c:idx val="1"/>
          <c:order val="1"/>
          <c:tx>
            <c:strRef>
              <c:f>'výkonnost odvětví 3'!$Y$10</c:f>
              <c:strCache>
                <c:ptCount val="1"/>
                <c:pt idx="0">
                  <c:v>Pozemní stavitelství (příspěvek v p. b.)</c:v>
                </c:pt>
              </c:strCache>
            </c:strRef>
          </c:tx>
          <c:spPr>
            <a:solidFill>
              <a:schemeClr val="accent5">
                <a:lumMod val="60000"/>
                <a:lumOff val="40000"/>
              </a:schemeClr>
            </a:solidFill>
            <a:ln>
              <a:noFill/>
            </a:ln>
          </c:spPr>
          <c:invertIfNegative val="0"/>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3'!$Y$31:$Y$64</c:f>
              <c:numCache>
                <c:formatCode>0.0</c:formatCode>
                <c:ptCount val="34"/>
                <c:pt idx="0">
                  <c:v>6.1608280021117059</c:v>
                </c:pt>
                <c:pt idx="1">
                  <c:v>5.233145758167141</c:v>
                </c:pt>
                <c:pt idx="2">
                  <c:v>0.80759607612224849</c:v>
                </c:pt>
                <c:pt idx="3">
                  <c:v>-1.7801931736017576</c:v>
                </c:pt>
                <c:pt idx="4">
                  <c:v>-4.9260426394610803</c:v>
                </c:pt>
                <c:pt idx="5">
                  <c:v>-5.3893761554105293</c:v>
                </c:pt>
                <c:pt idx="6">
                  <c:v>0.86353074351830095</c:v>
                </c:pt>
                <c:pt idx="7">
                  <c:v>4.024919621283277</c:v>
                </c:pt>
                <c:pt idx="8">
                  <c:v>1.9522274027606881</c:v>
                </c:pt>
                <c:pt idx="9">
                  <c:v>10.53618103638459</c:v>
                </c:pt>
                <c:pt idx="10">
                  <c:v>3.6081127397870398</c:v>
                </c:pt>
                <c:pt idx="11">
                  <c:v>2.5440603272321791</c:v>
                </c:pt>
                <c:pt idx="12">
                  <c:v>13.904954514953625</c:v>
                </c:pt>
                <c:pt idx="13">
                  <c:v>6.2181132474761087</c:v>
                </c:pt>
                <c:pt idx="14">
                  <c:v>7.7210558178298507</c:v>
                </c:pt>
                <c:pt idx="15">
                  <c:v>2.6259550657116648</c:v>
                </c:pt>
                <c:pt idx="16">
                  <c:v>2.9182336777181717</c:v>
                </c:pt>
                <c:pt idx="17">
                  <c:v>2.5364056565930437</c:v>
                </c:pt>
                <c:pt idx="18">
                  <c:v>-0.98563922125675008</c:v>
                </c:pt>
                <c:pt idx="19">
                  <c:v>2.5504281086949971</c:v>
                </c:pt>
                <c:pt idx="20">
                  <c:v>-0.49220764984023602</c:v>
                </c:pt>
                <c:pt idx="21">
                  <c:v>-7.4230457928670921</c:v>
                </c:pt>
                <c:pt idx="22">
                  <c:v>-7.0813271193038139</c:v>
                </c:pt>
                <c:pt idx="23">
                  <c:v>-8.6028814784154495</c:v>
                </c:pt>
                <c:pt idx="24">
                  <c:v>-5.1009695388914045</c:v>
                </c:pt>
                <c:pt idx="25">
                  <c:v>3.056058109370074</c:v>
                </c:pt>
                <c:pt idx="26">
                  <c:v>3.0719025371360345</c:v>
                </c:pt>
                <c:pt idx="27">
                  <c:v>5.9460478744023417</c:v>
                </c:pt>
                <c:pt idx="28">
                  <c:v>7.6838594822945927</c:v>
                </c:pt>
                <c:pt idx="29">
                  <c:v>3.7815035269884545</c:v>
                </c:pt>
                <c:pt idx="30">
                  <c:v>-0.8531291281334038</c:v>
                </c:pt>
                <c:pt idx="31">
                  <c:v>-1.0474224464158697</c:v>
                </c:pt>
                <c:pt idx="32">
                  <c:v>1.2272665989668186</c:v>
                </c:pt>
              </c:numCache>
            </c:numRef>
          </c:val>
          <c:extLst>
            <c:ext xmlns:c16="http://schemas.microsoft.com/office/drawing/2014/chart" uri="{C3380CC4-5D6E-409C-BE32-E72D297353CC}">
              <c16:uniqueId val="{00000000-04DC-4394-9FA2-6A57B0AF0865}"/>
            </c:ext>
          </c:extLst>
        </c:ser>
        <c:ser>
          <c:idx val="2"/>
          <c:order val="2"/>
          <c:tx>
            <c:strRef>
              <c:f>'výkonnost odvětví 3'!$Z$10</c:f>
              <c:strCache>
                <c:ptCount val="1"/>
                <c:pt idx="0">
                  <c:v>Inženýrské stavitelství (příspěvek v p. b.)</c:v>
                </c:pt>
              </c:strCache>
            </c:strRef>
          </c:tx>
          <c:spPr>
            <a:solidFill>
              <a:schemeClr val="accent2">
                <a:lumMod val="60000"/>
                <a:lumOff val="40000"/>
              </a:schemeClr>
            </a:solidFill>
            <a:ln>
              <a:noFill/>
            </a:ln>
          </c:spPr>
          <c:invertIfNegative val="0"/>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3'!$Z$31:$Z$64</c:f>
              <c:numCache>
                <c:formatCode>0.0</c:formatCode>
                <c:ptCount val="34"/>
                <c:pt idx="0">
                  <c:v>3.0705403267337994</c:v>
                </c:pt>
                <c:pt idx="1">
                  <c:v>6.8741631874170288</c:v>
                </c:pt>
                <c:pt idx="2">
                  <c:v>6.9999177914089774</c:v>
                </c:pt>
                <c:pt idx="3">
                  <c:v>2.7886022034567057</c:v>
                </c:pt>
                <c:pt idx="4">
                  <c:v>-1.1526078736731107</c:v>
                </c:pt>
                <c:pt idx="5">
                  <c:v>-5.3513808653344856</c:v>
                </c:pt>
                <c:pt idx="6">
                  <c:v>-6.6686113975825858</c:v>
                </c:pt>
                <c:pt idx="7">
                  <c:v>-5.6971134882260275</c:v>
                </c:pt>
                <c:pt idx="8">
                  <c:v>-3.3555905673646342</c:v>
                </c:pt>
                <c:pt idx="9">
                  <c:v>-0.90415176747402504</c:v>
                </c:pt>
                <c:pt idx="10">
                  <c:v>-1.376901288471623</c:v>
                </c:pt>
                <c:pt idx="11">
                  <c:v>0.14984865454421994</c:v>
                </c:pt>
                <c:pt idx="12">
                  <c:v>1.8661234617319304</c:v>
                </c:pt>
                <c:pt idx="13">
                  <c:v>1.1653457222281625</c:v>
                </c:pt>
                <c:pt idx="14">
                  <c:v>4.7441915436444759</c:v>
                </c:pt>
                <c:pt idx="15">
                  <c:v>1.6256258958971166</c:v>
                </c:pt>
                <c:pt idx="16">
                  <c:v>0.73895008865178324</c:v>
                </c:pt>
                <c:pt idx="17">
                  <c:v>1.9508614834308369</c:v>
                </c:pt>
                <c:pt idx="18">
                  <c:v>0.52155296100802906</c:v>
                </c:pt>
                <c:pt idx="19">
                  <c:v>0.959676854324787</c:v>
                </c:pt>
                <c:pt idx="20">
                  <c:v>3.1388269340693769</c:v>
                </c:pt>
                <c:pt idx="21">
                  <c:v>1.2056036060568238</c:v>
                </c:pt>
                <c:pt idx="22">
                  <c:v>-1.7953878786263251</c:v>
                </c:pt>
                <c:pt idx="23">
                  <c:v>0.41205027286168161</c:v>
                </c:pt>
                <c:pt idx="24">
                  <c:v>-3.6947321791003282E-2</c:v>
                </c:pt>
                <c:pt idx="25">
                  <c:v>0.86454694955435607</c:v>
                </c:pt>
                <c:pt idx="26">
                  <c:v>-0.16377223085432244</c:v>
                </c:pt>
                <c:pt idx="27">
                  <c:v>-0.95395400670827923</c:v>
                </c:pt>
                <c:pt idx="28">
                  <c:v>3.6242806091187791</c:v>
                </c:pt>
                <c:pt idx="29">
                  <c:v>0.20354154779473321</c:v>
                </c:pt>
                <c:pt idx="30">
                  <c:v>2.9085323617429583E-2</c:v>
                </c:pt>
                <c:pt idx="31">
                  <c:v>0.93686465038909705</c:v>
                </c:pt>
                <c:pt idx="32">
                  <c:v>-2.3821332256416206</c:v>
                </c:pt>
              </c:numCache>
            </c:numRef>
          </c:val>
          <c:extLst>
            <c:ext xmlns:c16="http://schemas.microsoft.com/office/drawing/2014/chart" uri="{C3380CC4-5D6E-409C-BE32-E72D297353CC}">
              <c16:uniqueId val="{00000001-04DC-4394-9FA2-6A57B0AF0865}"/>
            </c:ext>
          </c:extLst>
        </c:ser>
        <c:dLbls>
          <c:showLegendKey val="0"/>
          <c:showVal val="0"/>
          <c:showCatName val="0"/>
          <c:showSerName val="0"/>
          <c:showPercent val="0"/>
          <c:showBubbleSize val="0"/>
        </c:dLbls>
        <c:gapWidth val="30"/>
        <c:overlap val="100"/>
        <c:axId val="89036288"/>
        <c:axId val="89038208"/>
      </c:barChart>
      <c:lineChart>
        <c:grouping val="standard"/>
        <c:varyColors val="0"/>
        <c:ser>
          <c:idx val="0"/>
          <c:order val="0"/>
          <c:tx>
            <c:strRef>
              <c:f>'výkonnost odvětví 3'!$X$10</c:f>
              <c:strCache>
                <c:ptCount val="1"/>
                <c:pt idx="0">
                  <c:v>Celková stavební produkce</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3'!$X$31:$X$64</c:f>
              <c:numCache>
                <c:formatCode>0.0</c:formatCode>
                <c:ptCount val="34"/>
                <c:pt idx="0">
                  <c:v>9.2313683288454893</c:v>
                </c:pt>
                <c:pt idx="1">
                  <c:v>12.107308945584153</c:v>
                </c:pt>
                <c:pt idx="2">
                  <c:v>7.8075138675311901</c:v>
                </c:pt>
                <c:pt idx="3">
                  <c:v>1.0084090298549313</c:v>
                </c:pt>
                <c:pt idx="4">
                  <c:v>-6.0786505131341979</c:v>
                </c:pt>
                <c:pt idx="5">
                  <c:v>-10.740757020745008</c:v>
                </c:pt>
                <c:pt idx="6">
                  <c:v>-5.8050806540642697</c:v>
                </c:pt>
                <c:pt idx="7">
                  <c:v>-1.6721938669427365</c:v>
                </c:pt>
                <c:pt idx="8">
                  <c:v>-1.4033631646039169</c:v>
                </c:pt>
                <c:pt idx="9">
                  <c:v>9.6320292689105482</c:v>
                </c:pt>
                <c:pt idx="10">
                  <c:v>2.2312114513154198</c:v>
                </c:pt>
                <c:pt idx="11">
                  <c:v>2.6939089817763771</c:v>
                </c:pt>
                <c:pt idx="12">
                  <c:v>15.771077976685531</c:v>
                </c:pt>
                <c:pt idx="13">
                  <c:v>7.3834589697042885</c:v>
                </c:pt>
                <c:pt idx="14">
                  <c:v>12.465247361474326</c:v>
                </c:pt>
                <c:pt idx="15">
                  <c:v>4.2515809616087754</c:v>
                </c:pt>
                <c:pt idx="16">
                  <c:v>3.65718376636993</c:v>
                </c:pt>
                <c:pt idx="17">
                  <c:v>4.4872671400238842</c:v>
                </c:pt>
                <c:pt idx="18">
                  <c:v>-0.46408626024870664</c:v>
                </c:pt>
                <c:pt idx="19">
                  <c:v>3.5101049630197987</c:v>
                </c:pt>
                <c:pt idx="20">
                  <c:v>2.6466192842291587</c:v>
                </c:pt>
                <c:pt idx="21">
                  <c:v>-6.2174421868102794</c:v>
                </c:pt>
                <c:pt idx="22">
                  <c:v>-8.8767149979301365</c:v>
                </c:pt>
                <c:pt idx="23">
                  <c:v>-8.1908312055537706</c:v>
                </c:pt>
                <c:pt idx="24">
                  <c:v>-5.1379168606823979</c:v>
                </c:pt>
                <c:pt idx="25">
                  <c:v>3.9206050589244392</c:v>
                </c:pt>
                <c:pt idx="26">
                  <c:v>2.908130306281695</c:v>
                </c:pt>
                <c:pt idx="27">
                  <c:v>4.9920938676940505</c:v>
                </c:pt>
                <c:pt idx="28">
                  <c:v>11.308140091413364</c:v>
                </c:pt>
                <c:pt idx="29">
                  <c:v>3.985045074783212</c:v>
                </c:pt>
                <c:pt idx="30">
                  <c:v>-0.8240438045159667</c:v>
                </c:pt>
                <c:pt idx="31">
                  <c:v>-0.1105577960267822</c:v>
                </c:pt>
                <c:pt idx="32">
                  <c:v>-1.1548666266748029</c:v>
                </c:pt>
              </c:numCache>
            </c:numRef>
          </c:val>
          <c:smooth val="0"/>
          <c:extLst>
            <c:ext xmlns:c16="http://schemas.microsoft.com/office/drawing/2014/chart" uri="{C3380CC4-5D6E-409C-BE32-E72D297353CC}">
              <c16:uniqueId val="{00000002-04DC-4394-9FA2-6A57B0AF0865}"/>
            </c:ext>
          </c:extLst>
        </c:ser>
        <c:ser>
          <c:idx val="3"/>
          <c:order val="3"/>
          <c:tx>
            <c:strRef>
              <c:f>'výkonnost odvětví 3'!$AA$10</c:f>
              <c:strCache>
                <c:ptCount val="1"/>
                <c:pt idx="0">
                  <c:v>Nové stavební zakázky v tuzemsku</c:v>
                </c:pt>
              </c:strCache>
            </c:strRef>
          </c:tx>
          <c:spPr>
            <a:ln w="15875">
              <a:solidFill>
                <a:srgbClr val="984807"/>
              </a:solidFill>
            </a:ln>
          </c:spPr>
          <c:marker>
            <c:symbol val="none"/>
          </c:marker>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3'!$AA$31:$AA$64</c:f>
              <c:numCache>
                <c:formatCode>0.0</c:formatCode>
                <c:ptCount val="34"/>
                <c:pt idx="0">
                  <c:v>-3.1547956675580053</c:v>
                </c:pt>
                <c:pt idx="1">
                  <c:v>9.7504961091663311</c:v>
                </c:pt>
                <c:pt idx="2">
                  <c:v>-1.0976060227612561</c:v>
                </c:pt>
                <c:pt idx="3">
                  <c:v>-2.3987783410040464</c:v>
                </c:pt>
                <c:pt idx="4">
                  <c:v>-6.6406358945753805</c:v>
                </c:pt>
                <c:pt idx="5">
                  <c:v>-0.49977652269311085</c:v>
                </c:pt>
                <c:pt idx="6">
                  <c:v>-7.0322087253454839</c:v>
                </c:pt>
                <c:pt idx="7">
                  <c:v>10.122126124559955</c:v>
                </c:pt>
                <c:pt idx="8">
                  <c:v>16.177217458847458</c:v>
                </c:pt>
                <c:pt idx="9">
                  <c:v>9.535087898401315</c:v>
                </c:pt>
                <c:pt idx="10">
                  <c:v>-1.2817324431350698</c:v>
                </c:pt>
                <c:pt idx="11">
                  <c:v>15.620806693503823</c:v>
                </c:pt>
                <c:pt idx="12">
                  <c:v>30.106973873688581</c:v>
                </c:pt>
                <c:pt idx="13">
                  <c:v>32.836878110611956</c:v>
                </c:pt>
                <c:pt idx="14">
                  <c:v>5.2768249907951263</c:v>
                </c:pt>
                <c:pt idx="15">
                  <c:v>1.8944565811032299</c:v>
                </c:pt>
                <c:pt idx="16">
                  <c:v>14.157245632065782</c:v>
                </c:pt>
                <c:pt idx="17">
                  <c:v>-9.3849543241233224</c:v>
                </c:pt>
                <c:pt idx="18">
                  <c:v>17.407871000993993</c:v>
                </c:pt>
                <c:pt idx="19">
                  <c:v>5.8323004254463804</c:v>
                </c:pt>
                <c:pt idx="20">
                  <c:v>-12.441635069859252</c:v>
                </c:pt>
                <c:pt idx="21">
                  <c:v>7.4973457220286734</c:v>
                </c:pt>
                <c:pt idx="22">
                  <c:v>2.0599736606932852</c:v>
                </c:pt>
                <c:pt idx="23">
                  <c:v>7.5507850088630155</c:v>
                </c:pt>
                <c:pt idx="24">
                  <c:v>28.856340981154403</c:v>
                </c:pt>
                <c:pt idx="25">
                  <c:v>22.047871359987191</c:v>
                </c:pt>
                <c:pt idx="26">
                  <c:v>10.015015612184271</c:v>
                </c:pt>
                <c:pt idx="27">
                  <c:v>1.0053213537781129</c:v>
                </c:pt>
                <c:pt idx="28">
                  <c:v>13.06747846041786</c:v>
                </c:pt>
                <c:pt idx="29">
                  <c:v>17.619163607261132</c:v>
                </c:pt>
                <c:pt idx="30">
                  <c:v>12.421954480552525</c:v>
                </c:pt>
                <c:pt idx="31">
                  <c:v>13.031852753748723</c:v>
                </c:pt>
                <c:pt idx="32">
                  <c:v>-11.830812069596632</c:v>
                </c:pt>
              </c:numCache>
            </c:numRef>
          </c:val>
          <c:smooth val="0"/>
          <c:extLst>
            <c:ext xmlns:c16="http://schemas.microsoft.com/office/drawing/2014/chart" uri="{C3380CC4-5D6E-409C-BE32-E72D297353CC}">
              <c16:uniqueId val="{00000003-04DC-4394-9FA2-6A57B0AF0865}"/>
            </c:ext>
          </c:extLst>
        </c:ser>
        <c:dLbls>
          <c:showLegendKey val="0"/>
          <c:showVal val="0"/>
          <c:showCatName val="0"/>
          <c:showSerName val="0"/>
          <c:showPercent val="0"/>
          <c:showBubbleSize val="0"/>
        </c:dLbls>
        <c:marker val="1"/>
        <c:smooth val="0"/>
        <c:axId val="89036288"/>
        <c:axId val="89038208"/>
      </c:lineChart>
      <c:lineChart>
        <c:grouping val="standard"/>
        <c:varyColors val="0"/>
        <c:ser>
          <c:idx val="4"/>
          <c:order val="4"/>
          <c:tx>
            <c:strRef>
              <c:f>'výkonnost odvětví 3'!$AB$10</c:f>
              <c:strCache>
                <c:ptCount val="1"/>
                <c:pt idx="0">
                  <c:v>Bariéra růstu: nedostatečná poptávka</c:v>
                </c:pt>
              </c:strCache>
            </c:strRef>
          </c:tx>
          <c:spPr>
            <a:ln w="15875">
              <a:solidFill>
                <a:srgbClr val="00B050"/>
              </a:solidFill>
              <a:prstDash val="dash"/>
            </a:ln>
          </c:spPr>
          <c:marker>
            <c:symbol val="none"/>
          </c:marker>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3'!$AB$31:$AB$64</c:f>
              <c:numCache>
                <c:formatCode>#\ ##0.0</c:formatCode>
                <c:ptCount val="34"/>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pt idx="31">
                  <c:v>20.6</c:v>
                </c:pt>
                <c:pt idx="32">
                  <c:v>31.9</c:v>
                </c:pt>
                <c:pt idx="33">
                  <c:v>29.8</c:v>
                </c:pt>
              </c:numCache>
            </c:numRef>
          </c:val>
          <c:smooth val="0"/>
          <c:extLst>
            <c:ext xmlns:c16="http://schemas.microsoft.com/office/drawing/2014/chart" uri="{C3380CC4-5D6E-409C-BE32-E72D297353CC}">
              <c16:uniqueId val="{00000004-04DC-4394-9FA2-6A57B0AF0865}"/>
            </c:ext>
          </c:extLst>
        </c:ser>
        <c:ser>
          <c:idx val="5"/>
          <c:order val="5"/>
          <c:tx>
            <c:strRef>
              <c:f>'výkonnost odvětví 3'!$AC$10</c:f>
              <c:strCache>
                <c:ptCount val="1"/>
                <c:pt idx="0">
                  <c:v>Bariéra růstu: nedostatek pracovníků</c:v>
                </c:pt>
              </c:strCache>
            </c:strRef>
          </c:tx>
          <c:spPr>
            <a:ln w="15875">
              <a:solidFill>
                <a:srgbClr val="00B050"/>
              </a:solidFill>
              <a:prstDash val="solid"/>
            </a:ln>
          </c:spPr>
          <c:marker>
            <c:symbol val="none"/>
          </c:marker>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3'!$AC$31:$AC$64</c:f>
              <c:numCache>
                <c:formatCode>#\ ##0.0</c:formatCode>
                <c:ptCount val="34"/>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35.300000000000004</c:v>
                </c:pt>
                <c:pt idx="23" formatCode="0.0">
                  <c:v>31.9</c:v>
                </c:pt>
                <c:pt idx="24">
                  <c:v>48.6</c:v>
                </c:pt>
                <c:pt idx="25">
                  <c:v>31.6</c:v>
                </c:pt>
                <c:pt idx="26">
                  <c:v>40.700000000000003</c:v>
                </c:pt>
                <c:pt idx="27">
                  <c:v>42</c:v>
                </c:pt>
                <c:pt idx="28">
                  <c:v>58</c:v>
                </c:pt>
                <c:pt idx="29">
                  <c:v>44.4</c:v>
                </c:pt>
                <c:pt idx="30">
                  <c:v>39</c:v>
                </c:pt>
                <c:pt idx="31">
                  <c:v>46.7</c:v>
                </c:pt>
                <c:pt idx="32">
                  <c:v>40</c:v>
                </c:pt>
                <c:pt idx="33">
                  <c:v>37.1</c:v>
                </c:pt>
              </c:numCache>
            </c:numRef>
          </c:val>
          <c:smooth val="0"/>
          <c:extLst>
            <c:ext xmlns:c16="http://schemas.microsoft.com/office/drawing/2014/chart" uri="{C3380CC4-5D6E-409C-BE32-E72D297353CC}">
              <c16:uniqueId val="{00000005-04DC-4394-9FA2-6A57B0AF0865}"/>
            </c:ext>
          </c:extLst>
        </c:ser>
        <c:ser>
          <c:idx val="6"/>
          <c:order val="6"/>
          <c:tx>
            <c:strRef>
              <c:f>'výkonnost odvětví 3'!$AD$10</c:f>
              <c:strCache>
                <c:ptCount val="1"/>
                <c:pt idx="0">
                  <c:v>Bariéra růstu: nedost. materiálu a vybavení</c:v>
                </c:pt>
              </c:strCache>
            </c:strRef>
          </c:tx>
          <c:spPr>
            <a:ln w="15875">
              <a:solidFill>
                <a:srgbClr val="37DD3B"/>
              </a:solidFill>
              <a:prstDash val="sysDash"/>
            </a:ln>
          </c:spPr>
          <c:marker>
            <c:symbol val="none"/>
          </c:marker>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3'!$AD$31:$AD$64</c:f>
              <c:numCache>
                <c:formatCode>#\ ##0.0</c:formatCode>
                <c:ptCount val="34"/>
                <c:pt idx="0">
                  <c:v>0.1</c:v>
                </c:pt>
                <c:pt idx="1">
                  <c:v>0.4</c:v>
                </c:pt>
                <c:pt idx="2">
                  <c:v>4</c:v>
                </c:pt>
                <c:pt idx="3">
                  <c:v>0.5</c:v>
                </c:pt>
                <c:pt idx="4">
                  <c:v>0.4</c:v>
                </c:pt>
                <c:pt idx="5">
                  <c:v>0.5</c:v>
                </c:pt>
                <c:pt idx="6">
                  <c:v>0.5</c:v>
                </c:pt>
                <c:pt idx="7">
                  <c:v>1.5</c:v>
                </c:pt>
                <c:pt idx="8">
                  <c:v>0.30000000000000032</c:v>
                </c:pt>
                <c:pt idx="9">
                  <c:v>0.30000000000000032</c:v>
                </c:pt>
                <c:pt idx="10">
                  <c:v>3.3</c:v>
                </c:pt>
                <c:pt idx="11">
                  <c:v>4.2</c:v>
                </c:pt>
                <c:pt idx="12">
                  <c:v>5.5</c:v>
                </c:pt>
                <c:pt idx="13">
                  <c:v>1.2</c:v>
                </c:pt>
                <c:pt idx="14">
                  <c:v>6.8</c:v>
                </c:pt>
                <c:pt idx="15">
                  <c:v>3.5</c:v>
                </c:pt>
                <c:pt idx="16">
                  <c:v>4.3</c:v>
                </c:pt>
                <c:pt idx="17">
                  <c:v>5.7</c:v>
                </c:pt>
                <c:pt idx="18">
                  <c:v>5.3</c:v>
                </c:pt>
                <c:pt idx="19">
                  <c:v>4</c:v>
                </c:pt>
                <c:pt idx="20">
                  <c:v>1.9000000000000001</c:v>
                </c:pt>
                <c:pt idx="21">
                  <c:v>3.4</c:v>
                </c:pt>
                <c:pt idx="22">
                  <c:v>1.3</c:v>
                </c:pt>
                <c:pt idx="23">
                  <c:v>0.8</c:v>
                </c:pt>
                <c:pt idx="24">
                  <c:v>1.3</c:v>
                </c:pt>
                <c:pt idx="25">
                  <c:v>4.3</c:v>
                </c:pt>
                <c:pt idx="26">
                  <c:v>16.3</c:v>
                </c:pt>
                <c:pt idx="27">
                  <c:v>22.8</c:v>
                </c:pt>
                <c:pt idx="28">
                  <c:v>24.7</c:v>
                </c:pt>
                <c:pt idx="29">
                  <c:v>41.3</c:v>
                </c:pt>
                <c:pt idx="30">
                  <c:v>38.6</c:v>
                </c:pt>
                <c:pt idx="31">
                  <c:v>23.4</c:v>
                </c:pt>
                <c:pt idx="32">
                  <c:v>19.5</c:v>
                </c:pt>
                <c:pt idx="33">
                  <c:v>17.2</c:v>
                </c:pt>
              </c:numCache>
            </c:numRef>
          </c:val>
          <c:smooth val="0"/>
          <c:extLst>
            <c:ext xmlns:c16="http://schemas.microsoft.com/office/drawing/2014/chart" uri="{C3380CC4-5D6E-409C-BE32-E72D297353CC}">
              <c16:uniqueId val="{00000006-04DC-4394-9FA2-6A57B0AF0865}"/>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3'!$AE$31:$AE$64</c:f>
              <c:numCache>
                <c:formatCode>0.0</c:formatCode>
                <c:ptCount val="34"/>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pt idx="33">
                  <c:v>-15.5</c:v>
                </c:pt>
              </c:numCache>
            </c:numRef>
          </c:val>
          <c:smooth val="0"/>
          <c:extLst>
            <c:ext xmlns:c16="http://schemas.microsoft.com/office/drawing/2014/chart" uri="{C3380CC4-5D6E-409C-BE32-E72D297353CC}">
              <c16:uniqueId val="{00000007-04DC-4394-9FA2-6A57B0AF0865}"/>
            </c:ext>
          </c:extLst>
        </c:ser>
        <c:dLbls>
          <c:showLegendKey val="0"/>
          <c:showVal val="0"/>
          <c:showCatName val="0"/>
          <c:showSerName val="0"/>
          <c:showPercent val="0"/>
          <c:showBubbleSize val="0"/>
        </c:dLbls>
        <c:marker val="1"/>
        <c:smooth val="0"/>
        <c:axId val="89046400"/>
        <c:axId val="89044480"/>
      </c:lineChart>
      <c:catAx>
        <c:axId val="8903628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89038208"/>
        <c:crosses val="autoZero"/>
        <c:auto val="1"/>
        <c:lblAlgn val="ctr"/>
        <c:lblOffset val="0"/>
        <c:noMultiLvlLbl val="0"/>
      </c:catAx>
      <c:valAx>
        <c:axId val="89038208"/>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příspěvky k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89036288"/>
        <c:crosses val="autoZero"/>
        <c:crossBetween val="between"/>
        <c:majorUnit val="10"/>
      </c:valAx>
      <c:valAx>
        <c:axId val="89044480"/>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89046400"/>
        <c:crosses val="max"/>
        <c:crossBetween val="between"/>
        <c:majorUnit val="20"/>
      </c:valAx>
      <c:catAx>
        <c:axId val="89046400"/>
        <c:scaling>
          <c:orientation val="minMax"/>
        </c:scaling>
        <c:delete val="1"/>
        <c:axPos val="b"/>
        <c:numFmt formatCode="General" sourceLinked="1"/>
        <c:majorTickMark val="out"/>
        <c:minorTickMark val="none"/>
        <c:tickLblPos val="none"/>
        <c:crossAx val="89044480"/>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8499319708759499E-2"/>
          <c:y val="0.85936703322638663"/>
          <c:w val="0.96925714241885463"/>
          <c:h val="0.13362821778942571"/>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26691729323462E-2"/>
          <c:y val="1.5803328678987486E-2"/>
          <c:w val="0.84775483743554902"/>
          <c:h val="0.69902590308489565"/>
        </c:manualLayout>
      </c:layout>
      <c:barChart>
        <c:barDir val="col"/>
        <c:grouping val="stacked"/>
        <c:varyColors val="0"/>
        <c:ser>
          <c:idx val="0"/>
          <c:order val="1"/>
          <c:tx>
            <c:strRef>
              <c:f>'Služby-příspěvkyk růstu-4'!$D$33</c:f>
              <c:strCache>
                <c:ptCount val="1"/>
                <c:pt idx="0">
                  <c:v>Doprava a skladování (p. b.)</c:v>
                </c:pt>
              </c:strCache>
            </c:strRef>
          </c:tx>
          <c:spPr>
            <a:solidFill>
              <a:srgbClr val="92D050"/>
            </a:solidFill>
            <a:ln>
              <a:noFill/>
            </a:ln>
          </c:spPr>
          <c:invertIfNegative val="0"/>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růstu-4'!$D$46:$D$79</c:f>
              <c:numCache>
                <c:formatCode>0.0</c:formatCode>
                <c:ptCount val="34"/>
                <c:pt idx="0">
                  <c:v>0.17627373165999941</c:v>
                </c:pt>
                <c:pt idx="1">
                  <c:v>-4.1398260783598463E-2</c:v>
                </c:pt>
                <c:pt idx="2">
                  <c:v>0.20127676583260184</c:v>
                </c:pt>
                <c:pt idx="3">
                  <c:v>4.2331882175001882E-2</c:v>
                </c:pt>
                <c:pt idx="4">
                  <c:v>0.2604828945619988</c:v>
                </c:pt>
                <c:pt idx="5">
                  <c:v>0.20044719477909853</c:v>
                </c:pt>
                <c:pt idx="6">
                  <c:v>0.14004615678000054</c:v>
                </c:pt>
                <c:pt idx="7">
                  <c:v>0.86059283114800178</c:v>
                </c:pt>
                <c:pt idx="8">
                  <c:v>1.6559965627289979</c:v>
                </c:pt>
                <c:pt idx="9">
                  <c:v>1.0934548874629975</c:v>
                </c:pt>
                <c:pt idx="10">
                  <c:v>1.1374484601479997</c:v>
                </c:pt>
                <c:pt idx="11">
                  <c:v>0.60470809717900065</c:v>
                </c:pt>
                <c:pt idx="12">
                  <c:v>1.7518533558899998</c:v>
                </c:pt>
                <c:pt idx="13">
                  <c:v>1.9191714775479998</c:v>
                </c:pt>
                <c:pt idx="14">
                  <c:v>1.4689069805629973</c:v>
                </c:pt>
                <c:pt idx="15">
                  <c:v>0.49822211685500084</c:v>
                </c:pt>
                <c:pt idx="16">
                  <c:v>0.75210969494300206</c:v>
                </c:pt>
                <c:pt idx="17">
                  <c:v>-7.8943058121998602E-2</c:v>
                </c:pt>
                <c:pt idx="18">
                  <c:v>-0.6761559609970017</c:v>
                </c:pt>
                <c:pt idx="19">
                  <c:v>-0.53883087511919936</c:v>
                </c:pt>
                <c:pt idx="20">
                  <c:v>-1.7873099078691976</c:v>
                </c:pt>
                <c:pt idx="21">
                  <c:v>-6.8790162520431002</c:v>
                </c:pt>
                <c:pt idx="22">
                  <c:v>-4.2156758486249952</c:v>
                </c:pt>
                <c:pt idx="23">
                  <c:v>-1.7596921701599977</c:v>
                </c:pt>
                <c:pt idx="24">
                  <c:v>-0.15017138784059986</c:v>
                </c:pt>
                <c:pt idx="25">
                  <c:v>6.9506599035744063</c:v>
                </c:pt>
                <c:pt idx="26">
                  <c:v>4.0996709945155994</c:v>
                </c:pt>
                <c:pt idx="27">
                  <c:v>4.5444705336066278</c:v>
                </c:pt>
                <c:pt idx="28">
                  <c:v>4.6413485285034968</c:v>
                </c:pt>
                <c:pt idx="29">
                  <c:v>4.79781831301898</c:v>
                </c:pt>
                <c:pt idx="30">
                  <c:v>3.7715119455304738</c:v>
                </c:pt>
                <c:pt idx="31">
                  <c:v>-0.10260527547599925</c:v>
                </c:pt>
                <c:pt idx="32">
                  <c:v>-1.4</c:v>
                </c:pt>
              </c:numCache>
            </c:numRef>
          </c:val>
          <c:extLst>
            <c:ext xmlns:c16="http://schemas.microsoft.com/office/drawing/2014/chart" uri="{C3380CC4-5D6E-409C-BE32-E72D297353CC}">
              <c16:uniqueId val="{00000000-80A6-4A4F-B9C5-178F1F0259CA}"/>
            </c:ext>
          </c:extLst>
        </c:ser>
        <c:ser>
          <c:idx val="1"/>
          <c:order val="2"/>
          <c:tx>
            <c:strRef>
              <c:f>'Služby-příspěvkyk růstu-4'!$E$33</c:f>
              <c:strCache>
                <c:ptCount val="1"/>
                <c:pt idx="0">
                  <c:v>Ubytování, stravování a pohostinství (p. b.)</c:v>
                </c:pt>
              </c:strCache>
            </c:strRef>
          </c:tx>
          <c:spPr>
            <a:solidFill>
              <a:srgbClr val="00B0F0"/>
            </a:solidFill>
            <a:ln>
              <a:noFill/>
            </a:ln>
          </c:spPr>
          <c:invertIfNegative val="0"/>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růstu-4'!$E$46:$E$79</c:f>
              <c:numCache>
                <c:formatCode>0.0</c:formatCode>
                <c:ptCount val="34"/>
                <c:pt idx="0">
                  <c:v>0.23064326026020021</c:v>
                </c:pt>
                <c:pt idx="1">
                  <c:v>0.65490030172000013</c:v>
                </c:pt>
                <c:pt idx="2">
                  <c:v>0.65615704203699965</c:v>
                </c:pt>
                <c:pt idx="3">
                  <c:v>0.40198126828160063</c:v>
                </c:pt>
                <c:pt idx="4">
                  <c:v>0.47264498177679992</c:v>
                </c:pt>
                <c:pt idx="5">
                  <c:v>0.16809598308499996</c:v>
                </c:pt>
                <c:pt idx="6">
                  <c:v>0.5678502803826001</c:v>
                </c:pt>
                <c:pt idx="7">
                  <c:v>0.60026021753880165</c:v>
                </c:pt>
                <c:pt idx="8">
                  <c:v>0.90716175756749962</c:v>
                </c:pt>
                <c:pt idx="9">
                  <c:v>1.2351843183735998</c:v>
                </c:pt>
                <c:pt idx="10">
                  <c:v>0.55372633890920031</c:v>
                </c:pt>
                <c:pt idx="11">
                  <c:v>0.45414701226059928</c:v>
                </c:pt>
                <c:pt idx="12">
                  <c:v>0.20562277238639989</c:v>
                </c:pt>
                <c:pt idx="13">
                  <c:v>4.6481198053399876E-2</c:v>
                </c:pt>
                <c:pt idx="14">
                  <c:v>5.8790755202600173E-2</c:v>
                </c:pt>
                <c:pt idx="15">
                  <c:v>-3.8611122396599751E-2</c:v>
                </c:pt>
                <c:pt idx="16">
                  <c:v>0.19877668230760023</c:v>
                </c:pt>
                <c:pt idx="17">
                  <c:v>0.19106550885020049</c:v>
                </c:pt>
                <c:pt idx="18">
                  <c:v>-2.1031638824599953E-2</c:v>
                </c:pt>
                <c:pt idx="19">
                  <c:v>-1.888187224559985E-2</c:v>
                </c:pt>
                <c:pt idx="20">
                  <c:v>-1.1578648579121595</c:v>
                </c:pt>
                <c:pt idx="21">
                  <c:v>-4.9674966649835008</c:v>
                </c:pt>
                <c:pt idx="22">
                  <c:v>-1.9520417393251044</c:v>
                </c:pt>
                <c:pt idx="23">
                  <c:v>-4.5017067627894294</c:v>
                </c:pt>
                <c:pt idx="24">
                  <c:v>-3.6933845036437498</c:v>
                </c:pt>
                <c:pt idx="25">
                  <c:v>1.3724082127149835</c:v>
                </c:pt>
                <c:pt idx="26">
                  <c:v>0.63617916285750042</c:v>
                </c:pt>
                <c:pt idx="27">
                  <c:v>2.8391165022808131</c:v>
                </c:pt>
                <c:pt idx="28">
                  <c:v>2.9561078391668976</c:v>
                </c:pt>
                <c:pt idx="29">
                  <c:v>2.6813701390722935</c:v>
                </c:pt>
                <c:pt idx="30">
                  <c:v>-0.42126370124067852</c:v>
                </c:pt>
                <c:pt idx="31">
                  <c:v>0.60066614945780028</c:v>
                </c:pt>
                <c:pt idx="32">
                  <c:v>0.56153839511549952</c:v>
                </c:pt>
              </c:numCache>
            </c:numRef>
          </c:val>
          <c:extLst>
            <c:ext xmlns:c16="http://schemas.microsoft.com/office/drawing/2014/chart" uri="{C3380CC4-5D6E-409C-BE32-E72D297353CC}">
              <c16:uniqueId val="{00000001-80A6-4A4F-B9C5-178F1F0259CA}"/>
            </c:ext>
          </c:extLst>
        </c:ser>
        <c:ser>
          <c:idx val="2"/>
          <c:order val="3"/>
          <c:tx>
            <c:strRef>
              <c:f>'Služby-příspěvkyk růstu-4'!$F$33</c:f>
              <c:strCache>
                <c:ptCount val="1"/>
                <c:pt idx="0">
                  <c:v>Informační a komunikační činnosti (p. b.)</c:v>
                </c:pt>
              </c:strCache>
            </c:strRef>
          </c:tx>
          <c:spPr>
            <a:solidFill>
              <a:srgbClr val="E6E100"/>
            </a:solidFill>
            <a:ln>
              <a:noFill/>
            </a:ln>
          </c:spPr>
          <c:invertIfNegative val="0"/>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růstu-4'!$F$46:$F$79</c:f>
              <c:numCache>
                <c:formatCode>0.0</c:formatCode>
                <c:ptCount val="34"/>
                <c:pt idx="0">
                  <c:v>1.4083798915137009</c:v>
                </c:pt>
                <c:pt idx="1">
                  <c:v>0.82540650715499952</c:v>
                </c:pt>
                <c:pt idx="2">
                  <c:v>0.80424272675400077</c:v>
                </c:pt>
                <c:pt idx="3">
                  <c:v>1.3174140502479976</c:v>
                </c:pt>
                <c:pt idx="4">
                  <c:v>0.35985664064800132</c:v>
                </c:pt>
                <c:pt idx="5">
                  <c:v>0.15751383681999903</c:v>
                </c:pt>
                <c:pt idx="6">
                  <c:v>0.32598498922400054</c:v>
                </c:pt>
                <c:pt idx="7">
                  <c:v>0.17761340848900084</c:v>
                </c:pt>
                <c:pt idx="8">
                  <c:v>0.76438636704000096</c:v>
                </c:pt>
                <c:pt idx="9">
                  <c:v>0.98207704425299869</c:v>
                </c:pt>
                <c:pt idx="10">
                  <c:v>0.77093881661000296</c:v>
                </c:pt>
                <c:pt idx="11">
                  <c:v>0.58294315828299859</c:v>
                </c:pt>
                <c:pt idx="12">
                  <c:v>1.4398200028309975</c:v>
                </c:pt>
                <c:pt idx="13">
                  <c:v>0.76531943813199965</c:v>
                </c:pt>
                <c:pt idx="14">
                  <c:v>1.415831001736001</c:v>
                </c:pt>
                <c:pt idx="15">
                  <c:v>0.98684323348800218</c:v>
                </c:pt>
                <c:pt idx="16">
                  <c:v>1.2348474246800001</c:v>
                </c:pt>
                <c:pt idx="17">
                  <c:v>1.1603884990620001</c:v>
                </c:pt>
                <c:pt idx="18">
                  <c:v>0.91591834325400012</c:v>
                </c:pt>
                <c:pt idx="19">
                  <c:v>1.1621880049516033</c:v>
                </c:pt>
                <c:pt idx="20">
                  <c:v>0.8191341781949999</c:v>
                </c:pt>
                <c:pt idx="21">
                  <c:v>1.3223529237600397E-2</c:v>
                </c:pt>
                <c:pt idx="22">
                  <c:v>-0.20840783961800008</c:v>
                </c:pt>
                <c:pt idx="23">
                  <c:v>-0.5414248305480025</c:v>
                </c:pt>
                <c:pt idx="24">
                  <c:v>0.71316924858200104</c:v>
                </c:pt>
                <c:pt idx="25">
                  <c:v>1.5486406955901637</c:v>
                </c:pt>
                <c:pt idx="26">
                  <c:v>1.4405780988855996</c:v>
                </c:pt>
                <c:pt idx="27">
                  <c:v>1.9065499671602741</c:v>
                </c:pt>
                <c:pt idx="28">
                  <c:v>1.4241015860772992</c:v>
                </c:pt>
                <c:pt idx="29">
                  <c:v>0.86579080876800141</c:v>
                </c:pt>
                <c:pt idx="30">
                  <c:v>0.69569690090645042</c:v>
                </c:pt>
                <c:pt idx="31">
                  <c:v>0.23551368312941123</c:v>
                </c:pt>
                <c:pt idx="32">
                  <c:v>0.54555719892637056</c:v>
                </c:pt>
              </c:numCache>
            </c:numRef>
          </c:val>
          <c:extLst>
            <c:ext xmlns:c16="http://schemas.microsoft.com/office/drawing/2014/chart" uri="{C3380CC4-5D6E-409C-BE32-E72D297353CC}">
              <c16:uniqueId val="{00000002-80A6-4A4F-B9C5-178F1F0259CA}"/>
            </c:ext>
          </c:extLst>
        </c:ser>
        <c:ser>
          <c:idx val="4"/>
          <c:order val="4"/>
          <c:tx>
            <c:strRef>
              <c:f>'Služby-příspěvkyk růstu-4'!$G$33</c:f>
              <c:strCache>
                <c:ptCount val="1"/>
                <c:pt idx="0">
                  <c:v>Činnosti v oblasti nemovitostí (p. b.)</c:v>
                </c:pt>
              </c:strCache>
            </c:strRef>
          </c:tx>
          <c:spPr>
            <a:solidFill>
              <a:schemeClr val="accent5">
                <a:lumMod val="60000"/>
                <a:lumOff val="40000"/>
              </a:schemeClr>
            </a:solidFill>
            <a:ln>
              <a:noFill/>
              <a:prstDash val="sysDash"/>
            </a:ln>
          </c:spPr>
          <c:invertIfNegative val="0"/>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růstu-4'!$G$46:$G$79</c:f>
              <c:numCache>
                <c:formatCode>0.0</c:formatCode>
                <c:ptCount val="34"/>
                <c:pt idx="0">
                  <c:v>4.7588818498199945E-2</c:v>
                </c:pt>
                <c:pt idx="1">
                  <c:v>-7.3007550905993864E-3</c:v>
                </c:pt>
                <c:pt idx="2">
                  <c:v>0.12810762983039936</c:v>
                </c:pt>
                <c:pt idx="3">
                  <c:v>2.4617916117599496E-2</c:v>
                </c:pt>
                <c:pt idx="4">
                  <c:v>0.25752090895740043</c:v>
                </c:pt>
                <c:pt idx="5">
                  <c:v>-4.2228184845005514E-3</c:v>
                </c:pt>
                <c:pt idx="6">
                  <c:v>0.14993183101380086</c:v>
                </c:pt>
                <c:pt idx="7">
                  <c:v>-6.6530028186599505E-2</c:v>
                </c:pt>
                <c:pt idx="8">
                  <c:v>0.20977398058900046</c:v>
                </c:pt>
                <c:pt idx="9">
                  <c:v>0.44953617213779962</c:v>
                </c:pt>
                <c:pt idx="10">
                  <c:v>-2.2338348474500537E-2</c:v>
                </c:pt>
                <c:pt idx="11">
                  <c:v>0.1398472309374002</c:v>
                </c:pt>
                <c:pt idx="12">
                  <c:v>2.6966101253399585E-2</c:v>
                </c:pt>
                <c:pt idx="13">
                  <c:v>-0.24884766500039995</c:v>
                </c:pt>
                <c:pt idx="14">
                  <c:v>-0.12645184379759991</c:v>
                </c:pt>
                <c:pt idx="15">
                  <c:v>-0.22378801642200069</c:v>
                </c:pt>
                <c:pt idx="16">
                  <c:v>0.14753986907940045</c:v>
                </c:pt>
                <c:pt idx="17">
                  <c:v>-7.3797086292003771E-3</c:v>
                </c:pt>
                <c:pt idx="18">
                  <c:v>-0.23287434101939941</c:v>
                </c:pt>
                <c:pt idx="19">
                  <c:v>-0.10147037326200042</c:v>
                </c:pt>
                <c:pt idx="20">
                  <c:v>0.42431890762080143</c:v>
                </c:pt>
                <c:pt idx="21">
                  <c:v>-0.29919163957060046</c:v>
                </c:pt>
                <c:pt idx="22">
                  <c:v>-0.26426338474666694</c:v>
                </c:pt>
                <c:pt idx="23">
                  <c:v>-0.23118426949069976</c:v>
                </c:pt>
                <c:pt idx="24">
                  <c:v>-0.20085438476490086</c:v>
                </c:pt>
                <c:pt idx="25">
                  <c:v>0.43434705815385077</c:v>
                </c:pt>
                <c:pt idx="26">
                  <c:v>2.9423998310004196E-3</c:v>
                </c:pt>
                <c:pt idx="27">
                  <c:v>0.23837123738399993</c:v>
                </c:pt>
                <c:pt idx="28">
                  <c:v>0.9317798842872006</c:v>
                </c:pt>
                <c:pt idx="29">
                  <c:v>0.47103938028000031</c:v>
                </c:pt>
                <c:pt idx="30">
                  <c:v>0.24148183282894767</c:v>
                </c:pt>
                <c:pt idx="31">
                  <c:v>0.36276827915000054</c:v>
                </c:pt>
                <c:pt idx="32">
                  <c:v>-2.7953795071999868E-2</c:v>
                </c:pt>
              </c:numCache>
            </c:numRef>
          </c:val>
          <c:extLst>
            <c:ext xmlns:c16="http://schemas.microsoft.com/office/drawing/2014/chart" uri="{C3380CC4-5D6E-409C-BE32-E72D297353CC}">
              <c16:uniqueId val="{00000003-80A6-4A4F-B9C5-178F1F0259CA}"/>
            </c:ext>
          </c:extLst>
        </c:ser>
        <c:ser>
          <c:idx val="5"/>
          <c:order val="5"/>
          <c:tx>
            <c:strRef>
              <c:f>'Služby-příspěvkyk růstu-4'!$H$33</c:f>
              <c:strCache>
                <c:ptCount val="1"/>
                <c:pt idx="0">
                  <c:v>Profesní, vědecké a technické činnosti (p. b.)</c:v>
                </c:pt>
              </c:strCache>
            </c:strRef>
          </c:tx>
          <c:spPr>
            <a:solidFill>
              <a:schemeClr val="accent6">
                <a:lumMod val="60000"/>
                <a:lumOff val="40000"/>
              </a:schemeClr>
            </a:solidFill>
            <a:ln>
              <a:noFill/>
            </a:ln>
          </c:spPr>
          <c:invertIfNegative val="0"/>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růstu-4'!$H$46:$H$79</c:f>
              <c:numCache>
                <c:formatCode>0.0</c:formatCode>
                <c:ptCount val="34"/>
                <c:pt idx="0">
                  <c:v>1.0468505532869989</c:v>
                </c:pt>
                <c:pt idx="1">
                  <c:v>0.72007462620000062</c:v>
                </c:pt>
                <c:pt idx="2">
                  <c:v>1.0906393004399988</c:v>
                </c:pt>
                <c:pt idx="3">
                  <c:v>-4.2990021238901499E-2</c:v>
                </c:pt>
                <c:pt idx="4">
                  <c:v>-0.43098075353700155</c:v>
                </c:pt>
                <c:pt idx="5">
                  <c:v>-1.3389465804999978</c:v>
                </c:pt>
                <c:pt idx="6">
                  <c:v>3.0728374200130306E-4</c:v>
                </c:pt>
                <c:pt idx="7">
                  <c:v>-0.31210716654949938</c:v>
                </c:pt>
                <c:pt idx="8">
                  <c:v>0.95807798756000062</c:v>
                </c:pt>
                <c:pt idx="9">
                  <c:v>0.59447839488779908</c:v>
                </c:pt>
                <c:pt idx="10">
                  <c:v>0.3086369056209004</c:v>
                </c:pt>
                <c:pt idx="11">
                  <c:v>0.42814590144940118</c:v>
                </c:pt>
                <c:pt idx="12">
                  <c:v>1.0521629274265001</c:v>
                </c:pt>
                <c:pt idx="13">
                  <c:v>0.5501113250554992</c:v>
                </c:pt>
                <c:pt idx="14">
                  <c:v>0.3596254694963989</c:v>
                </c:pt>
                <c:pt idx="15">
                  <c:v>-0.26680052765060186</c:v>
                </c:pt>
                <c:pt idx="16">
                  <c:v>0.7098884861869007</c:v>
                </c:pt>
                <c:pt idx="17">
                  <c:v>0.59156625867139978</c:v>
                </c:pt>
                <c:pt idx="18">
                  <c:v>-0.77754044718210102</c:v>
                </c:pt>
                <c:pt idx="19">
                  <c:v>-0.56889162352000111</c:v>
                </c:pt>
                <c:pt idx="20">
                  <c:v>-0.86298756252779962</c:v>
                </c:pt>
                <c:pt idx="21">
                  <c:v>-3.1826786933129987</c:v>
                </c:pt>
                <c:pt idx="22">
                  <c:v>-1.4951268594295066</c:v>
                </c:pt>
                <c:pt idx="23">
                  <c:v>-1.5495215129057982</c:v>
                </c:pt>
                <c:pt idx="24">
                  <c:v>-1.5897570854689647</c:v>
                </c:pt>
                <c:pt idx="25">
                  <c:v>2.7177633580318044</c:v>
                </c:pt>
                <c:pt idx="26">
                  <c:v>1.7630975025485993</c:v>
                </c:pt>
                <c:pt idx="27">
                  <c:v>2.09303101369794</c:v>
                </c:pt>
                <c:pt idx="28">
                  <c:v>2.2703464324547982</c:v>
                </c:pt>
                <c:pt idx="29">
                  <c:v>1.2338620529777751</c:v>
                </c:pt>
                <c:pt idx="30">
                  <c:v>1.0045707012391294</c:v>
                </c:pt>
                <c:pt idx="31">
                  <c:v>3.1260807364285555E-2</c:v>
                </c:pt>
                <c:pt idx="32">
                  <c:v>0.5025630523211545</c:v>
                </c:pt>
              </c:numCache>
            </c:numRef>
          </c:val>
          <c:extLst>
            <c:ext xmlns:c16="http://schemas.microsoft.com/office/drawing/2014/chart" uri="{C3380CC4-5D6E-409C-BE32-E72D297353CC}">
              <c16:uniqueId val="{00000004-80A6-4A4F-B9C5-178F1F0259CA}"/>
            </c:ext>
          </c:extLst>
        </c:ser>
        <c:ser>
          <c:idx val="6"/>
          <c:order val="6"/>
          <c:tx>
            <c:strRef>
              <c:f>'Služby-příspěvkyk růstu-4'!$I$33</c:f>
              <c:strCache>
                <c:ptCount val="1"/>
                <c:pt idx="0">
                  <c:v>Administr. a podpůrné čin. (příspěvek v p. b.)</c:v>
                </c:pt>
              </c:strCache>
            </c:strRef>
          </c:tx>
          <c:spPr>
            <a:solidFill>
              <a:schemeClr val="accent1">
                <a:lumMod val="20000"/>
                <a:lumOff val="80000"/>
              </a:schemeClr>
            </a:solidFill>
            <a:ln>
              <a:noFill/>
            </a:ln>
          </c:spPr>
          <c:invertIfNegative val="0"/>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růstu-4'!$I$46:$I$79</c:f>
              <c:numCache>
                <c:formatCode>0.0</c:formatCode>
                <c:ptCount val="34"/>
                <c:pt idx="0">
                  <c:v>0.51550370389649958</c:v>
                </c:pt>
                <c:pt idx="1">
                  <c:v>0.62101310773750029</c:v>
                </c:pt>
                <c:pt idx="2">
                  <c:v>0.43506961802500077</c:v>
                </c:pt>
                <c:pt idx="3">
                  <c:v>0.50168865387910011</c:v>
                </c:pt>
                <c:pt idx="4">
                  <c:v>0.4550707532813994</c:v>
                </c:pt>
                <c:pt idx="5">
                  <c:v>0.16398578688570092</c:v>
                </c:pt>
                <c:pt idx="6">
                  <c:v>0.26977885261849965</c:v>
                </c:pt>
                <c:pt idx="7">
                  <c:v>0.51378188366290034</c:v>
                </c:pt>
                <c:pt idx="8">
                  <c:v>1.320133173034</c:v>
                </c:pt>
                <c:pt idx="9">
                  <c:v>1.0879288678140993</c:v>
                </c:pt>
                <c:pt idx="10">
                  <c:v>0.64134107873250068</c:v>
                </c:pt>
                <c:pt idx="11">
                  <c:v>0.30531118010650082</c:v>
                </c:pt>
                <c:pt idx="12">
                  <c:v>0.53332072309840062</c:v>
                </c:pt>
                <c:pt idx="13">
                  <c:v>0.37840292387820118</c:v>
                </c:pt>
                <c:pt idx="14">
                  <c:v>0.43569101400389965</c:v>
                </c:pt>
                <c:pt idx="15">
                  <c:v>-1.3079338160200678E-2</c:v>
                </c:pt>
                <c:pt idx="16">
                  <c:v>0.47288540072630031</c:v>
                </c:pt>
                <c:pt idx="17">
                  <c:v>0.12968213694649991</c:v>
                </c:pt>
                <c:pt idx="18">
                  <c:v>-0.1232239748115999</c:v>
                </c:pt>
                <c:pt idx="19">
                  <c:v>-0.21537552647130034</c:v>
                </c:pt>
                <c:pt idx="20">
                  <c:v>-1.1051686942919998</c:v>
                </c:pt>
                <c:pt idx="21">
                  <c:v>-4.3129281059486004</c:v>
                </c:pt>
                <c:pt idx="22">
                  <c:v>-4.4460675231578994</c:v>
                </c:pt>
                <c:pt idx="23">
                  <c:v>-2.3716048373777987</c:v>
                </c:pt>
                <c:pt idx="24">
                  <c:v>-1.4732703403763998</c:v>
                </c:pt>
                <c:pt idx="25">
                  <c:v>1.7697809683939403</c:v>
                </c:pt>
                <c:pt idx="26">
                  <c:v>1.8505450464600017</c:v>
                </c:pt>
                <c:pt idx="27">
                  <c:v>1.0498709638992363</c:v>
                </c:pt>
                <c:pt idx="28">
                  <c:v>1.8422319047019373</c:v>
                </c:pt>
                <c:pt idx="29">
                  <c:v>2.1447223452546753</c:v>
                </c:pt>
                <c:pt idx="30">
                  <c:v>1.8858572291093003</c:v>
                </c:pt>
                <c:pt idx="31">
                  <c:v>0.46980802110480013</c:v>
                </c:pt>
                <c:pt idx="32">
                  <c:v>-0.37389504541899959</c:v>
                </c:pt>
              </c:numCache>
            </c:numRef>
          </c:val>
          <c:extLst>
            <c:ext xmlns:c16="http://schemas.microsoft.com/office/drawing/2014/chart" uri="{C3380CC4-5D6E-409C-BE32-E72D297353CC}">
              <c16:uniqueId val="{00000005-80A6-4A4F-B9C5-178F1F0259CA}"/>
            </c:ext>
          </c:extLst>
        </c:ser>
        <c:dLbls>
          <c:showLegendKey val="0"/>
          <c:showVal val="0"/>
          <c:showCatName val="0"/>
          <c:showSerName val="0"/>
          <c:showPercent val="0"/>
          <c:showBubbleSize val="0"/>
        </c:dLbls>
        <c:gapWidth val="20"/>
        <c:overlap val="100"/>
        <c:axId val="98854784"/>
        <c:axId val="98856320"/>
      </c:barChart>
      <c:lineChart>
        <c:grouping val="standard"/>
        <c:varyColors val="0"/>
        <c:ser>
          <c:idx val="3"/>
          <c:order val="0"/>
          <c:tx>
            <c:strRef>
              <c:f>'Služby-příspěvkyk růstu-4'!$C$33</c:f>
              <c:strCache>
                <c:ptCount val="1"/>
                <c:pt idx="0">
                  <c:v>Služby celkem (meziroční růst v %)</c:v>
                </c:pt>
              </c:strCache>
            </c:strRef>
          </c:tx>
          <c:spPr>
            <a:ln>
              <a:noFill/>
            </a:ln>
          </c:spPr>
          <c:marker>
            <c:symbol val="dot"/>
            <c:size val="7"/>
            <c:spPr>
              <a:solidFill>
                <a:schemeClr val="tx1">
                  <a:lumMod val="95000"/>
                  <a:lumOff val="5000"/>
                </a:schemeClr>
              </a:solidFill>
              <a:ln>
                <a:noFill/>
              </a:ln>
            </c:spPr>
          </c:marker>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růstu-4'!$C$46:$C$79</c:f>
              <c:numCache>
                <c:formatCode>0.0</c:formatCode>
                <c:ptCount val="34"/>
                <c:pt idx="0">
                  <c:v>3.3387856580999942</c:v>
                </c:pt>
                <c:pt idx="1">
                  <c:v>2.7067375338999993</c:v>
                </c:pt>
                <c:pt idx="2">
                  <c:v>3.2734904207</c:v>
                </c:pt>
                <c:pt idx="3">
                  <c:v>2.2083913160000073</c:v>
                </c:pt>
                <c:pt idx="4">
                  <c:v>1.3295921479000015</c:v>
                </c:pt>
                <c:pt idx="5">
                  <c:v>-0.87633228709999855</c:v>
                </c:pt>
                <c:pt idx="6">
                  <c:v>1.4335470749000061</c:v>
                </c:pt>
                <c:pt idx="7">
                  <c:v>1.6242102724999938</c:v>
                </c:pt>
                <c:pt idx="8">
                  <c:v>5.6462151451000011</c:v>
                </c:pt>
                <c:pt idx="9">
                  <c:v>5.4476828922000093</c:v>
                </c:pt>
                <c:pt idx="10">
                  <c:v>3.4016118395999939</c:v>
                </c:pt>
                <c:pt idx="11">
                  <c:v>2.5063195031000021</c:v>
                </c:pt>
                <c:pt idx="12">
                  <c:v>5.0712886034999984</c:v>
                </c:pt>
                <c:pt idx="13">
                  <c:v>3.4823349595999984</c:v>
                </c:pt>
                <c:pt idx="14">
                  <c:v>3.6926675579999992</c:v>
                </c:pt>
                <c:pt idx="15">
                  <c:v>1.0671514554999946</c:v>
                </c:pt>
                <c:pt idx="16">
                  <c:v>3.5777212416000079</c:v>
                </c:pt>
                <c:pt idx="17">
                  <c:v>1.9765133558999959</c:v>
                </c:pt>
                <c:pt idx="18">
                  <c:v>-0.81695782319999988</c:v>
                </c:pt>
                <c:pt idx="19">
                  <c:v>-0.15568719549999369</c:v>
                </c:pt>
                <c:pt idx="20">
                  <c:v>-3.6980250129000041</c:v>
                </c:pt>
                <c:pt idx="21">
                  <c:v>-19.64534524879997</c:v>
                </c:pt>
                <c:pt idx="22">
                  <c:v>-12.600965308100001</c:v>
                </c:pt>
                <c:pt idx="23">
                  <c:v>-10.912584080000014</c:v>
                </c:pt>
                <c:pt idx="24">
                  <c:v>-6.3942684535126197</c:v>
                </c:pt>
                <c:pt idx="25">
                  <c:v>14.793600196459142</c:v>
                </c:pt>
                <c:pt idx="26">
                  <c:v>9.7930132050982976</c:v>
                </c:pt>
                <c:pt idx="27">
                  <c:v>12.671410218028901</c:v>
                </c:pt>
                <c:pt idx="28">
                  <c:v>14.067469931718723</c:v>
                </c:pt>
                <c:pt idx="29">
                  <c:v>12.196508720194068</c:v>
                </c:pt>
                <c:pt idx="30">
                  <c:v>7.176695304149308</c:v>
                </c:pt>
                <c:pt idx="31">
                  <c:v>1.6035828199999997</c:v>
                </c:pt>
                <c:pt idx="32">
                  <c:v>-0.26171959730000088</c:v>
                </c:pt>
              </c:numCache>
            </c:numRef>
          </c:val>
          <c:smooth val="0"/>
          <c:extLst>
            <c:ext xmlns:c16="http://schemas.microsoft.com/office/drawing/2014/chart" uri="{C3380CC4-5D6E-409C-BE32-E72D297353CC}">
              <c16:uniqueId val="{00000006-80A6-4A4F-B9C5-178F1F0259CA}"/>
            </c:ext>
          </c:extLst>
        </c:ser>
        <c:dLbls>
          <c:showLegendKey val="0"/>
          <c:showVal val="0"/>
          <c:showCatName val="0"/>
          <c:showSerName val="0"/>
          <c:showPercent val="0"/>
          <c:showBubbleSize val="0"/>
        </c:dLbls>
        <c:marker val="1"/>
        <c:smooth val="0"/>
        <c:axId val="98854784"/>
        <c:axId val="98856320"/>
      </c:lineChart>
      <c:lineChart>
        <c:grouping val="standard"/>
        <c:varyColors val="0"/>
        <c:ser>
          <c:idx val="7"/>
          <c:order val="7"/>
          <c:tx>
            <c:strRef>
              <c:f>'Služby-příspěvkyk růstu-4'!$J$33</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růstu-4'!$J$46:$J$79</c:f>
              <c:numCache>
                <c:formatCode>#\ ##0.0</c:formatCode>
                <c:ptCount val="34"/>
                <c:pt idx="0">
                  <c:v>29.7</c:v>
                </c:pt>
                <c:pt idx="1">
                  <c:v>28.7</c:v>
                </c:pt>
                <c:pt idx="2">
                  <c:v>31.3</c:v>
                </c:pt>
                <c:pt idx="3">
                  <c:v>32.700000000000003</c:v>
                </c:pt>
                <c:pt idx="4">
                  <c:v>32.300000000000004</c:v>
                </c:pt>
                <c:pt idx="5">
                  <c:v>33</c:v>
                </c:pt>
                <c:pt idx="6">
                  <c:v>33</c:v>
                </c:pt>
                <c:pt idx="7">
                  <c:v>37.700000000000003</c:v>
                </c:pt>
                <c:pt idx="8">
                  <c:v>35.300000000000004</c:v>
                </c:pt>
                <c:pt idx="9">
                  <c:v>37.700000000000003</c:v>
                </c:pt>
                <c:pt idx="10">
                  <c:v>37.300000000000004</c:v>
                </c:pt>
                <c:pt idx="11">
                  <c:v>35.700000000000003</c:v>
                </c:pt>
                <c:pt idx="12">
                  <c:v>38.300000000000004</c:v>
                </c:pt>
                <c:pt idx="13">
                  <c:v>37</c:v>
                </c:pt>
                <c:pt idx="14">
                  <c:v>38.300000000000004</c:v>
                </c:pt>
                <c:pt idx="15">
                  <c:v>40.700000000000003</c:v>
                </c:pt>
                <c:pt idx="16">
                  <c:v>39.300000000000004</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pt idx="33" formatCode="0.0">
                  <c:v>28</c:v>
                </c:pt>
              </c:numCache>
            </c:numRef>
          </c:val>
          <c:smooth val="0"/>
          <c:extLst>
            <c:ext xmlns:c16="http://schemas.microsoft.com/office/drawing/2014/chart" uri="{C3380CC4-5D6E-409C-BE32-E72D297353CC}">
              <c16:uniqueId val="{00000007-80A6-4A4F-B9C5-178F1F0259CA}"/>
            </c:ext>
          </c:extLst>
        </c:ser>
        <c:ser>
          <c:idx val="8"/>
          <c:order val="8"/>
          <c:tx>
            <c:strRef>
              <c:f>'Služby-příspěvkyk růstu-4'!$K$33</c:f>
              <c:strCache>
                <c:ptCount val="1"/>
                <c:pt idx="0">
                  <c:v>Bariéra růstu: nedostatečná poptávka</c:v>
                </c:pt>
              </c:strCache>
            </c:strRef>
          </c:tx>
          <c:spPr>
            <a:ln w="15875">
              <a:solidFill>
                <a:srgbClr val="CA945E"/>
              </a:solidFill>
              <a:prstDash val="solid"/>
            </a:ln>
          </c:spPr>
          <c:marker>
            <c:symbol val="none"/>
          </c:marker>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růstu-4'!$K$46:$K$79</c:f>
              <c:numCache>
                <c:formatCode>#\ ##0.0</c:formatCode>
                <c:ptCount val="34"/>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34.800000000000004</c:v>
                </c:pt>
                <c:pt idx="25">
                  <c:v>36.800000000000004</c:v>
                </c:pt>
                <c:pt idx="26">
                  <c:v>28.9</c:v>
                </c:pt>
                <c:pt idx="27">
                  <c:v>26.3</c:v>
                </c:pt>
                <c:pt idx="28">
                  <c:v>31.6</c:v>
                </c:pt>
                <c:pt idx="29">
                  <c:v>15</c:v>
                </c:pt>
                <c:pt idx="30">
                  <c:v>30.2</c:v>
                </c:pt>
                <c:pt idx="31">
                  <c:v>17.600000000000001</c:v>
                </c:pt>
                <c:pt idx="32">
                  <c:v>25.4</c:v>
                </c:pt>
                <c:pt idx="33">
                  <c:v>19.100000000000001</c:v>
                </c:pt>
              </c:numCache>
            </c:numRef>
          </c:val>
          <c:smooth val="0"/>
          <c:extLst>
            <c:ext xmlns:c16="http://schemas.microsoft.com/office/drawing/2014/chart" uri="{C3380CC4-5D6E-409C-BE32-E72D297353CC}">
              <c16:uniqueId val="{00000008-80A6-4A4F-B9C5-178F1F0259CA}"/>
            </c:ext>
          </c:extLst>
        </c:ser>
        <c:ser>
          <c:idx val="9"/>
          <c:order val="9"/>
          <c:tx>
            <c:strRef>
              <c:f>'Služby-příspěvkyk růstu-4'!$L$33</c:f>
              <c:strCache>
                <c:ptCount val="1"/>
                <c:pt idx="0">
                  <c:v>Bariéra růstu: nedostatek pracovníků</c:v>
                </c:pt>
              </c:strCache>
            </c:strRef>
          </c:tx>
          <c:spPr>
            <a:ln w="15875">
              <a:solidFill>
                <a:srgbClr val="CA945E"/>
              </a:solidFill>
              <a:prstDash val="lgDash"/>
            </a:ln>
          </c:spPr>
          <c:marker>
            <c:symbol val="none"/>
          </c:marker>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růstu-4'!$L$46:$L$79</c:f>
              <c:numCache>
                <c:formatCode>#\ ##0.0</c:formatCode>
                <c:ptCount val="34"/>
                <c:pt idx="0">
                  <c:v>1.3</c:v>
                </c:pt>
                <c:pt idx="1">
                  <c:v>6</c:v>
                </c:pt>
                <c:pt idx="2">
                  <c:v>7.2</c:v>
                </c:pt>
                <c:pt idx="3">
                  <c:v>5.6</c:v>
                </c:pt>
                <c:pt idx="4">
                  <c:v>7.5</c:v>
                </c:pt>
                <c:pt idx="5">
                  <c:v>4.5</c:v>
                </c:pt>
                <c:pt idx="6">
                  <c:v>7.9</c:v>
                </c:pt>
                <c:pt idx="7">
                  <c:v>9.5</c:v>
                </c:pt>
                <c:pt idx="8">
                  <c:v>9.4</c:v>
                </c:pt>
                <c:pt idx="9">
                  <c:v>9.7000000000000011</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pt idx="33">
                  <c:v>9.7000000000000011</c:v>
                </c:pt>
              </c:numCache>
            </c:numRef>
          </c:val>
          <c:smooth val="0"/>
          <c:extLst>
            <c:ext xmlns:c16="http://schemas.microsoft.com/office/drawing/2014/chart" uri="{C3380CC4-5D6E-409C-BE32-E72D297353CC}">
              <c16:uniqueId val="{00000009-80A6-4A4F-B9C5-178F1F0259CA}"/>
            </c:ext>
          </c:extLst>
        </c:ser>
        <c:ser>
          <c:idx val="10"/>
          <c:order val="10"/>
          <c:tx>
            <c:strRef>
              <c:f>'Služby-příspěvkyk růstu-4'!$M$33</c:f>
              <c:strCache>
                <c:ptCount val="1"/>
                <c:pt idx="0">
                  <c:v>Tržby celkem (báze 2015=100, stálé ceny)</c:v>
                </c:pt>
              </c:strCache>
            </c:strRef>
          </c:tx>
          <c:spPr>
            <a:ln w="15875">
              <a:solidFill>
                <a:schemeClr val="tx1"/>
              </a:solidFill>
            </a:ln>
          </c:spPr>
          <c:marker>
            <c:symbol val="none"/>
          </c:marker>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růstu-4'!$M$46:$M$79</c:f>
              <c:numCache>
                <c:formatCode>0.0</c:formatCode>
                <c:ptCount val="34"/>
                <c:pt idx="0">
                  <c:v>98.905869400000086</c:v>
                </c:pt>
                <c:pt idx="1">
                  <c:v>99.939744966700005</c:v>
                </c:pt>
                <c:pt idx="2">
                  <c:v>100.46069412999999</c:v>
                </c:pt>
                <c:pt idx="3">
                  <c:v>100.69369150670001</c:v>
                </c:pt>
                <c:pt idx="4">
                  <c:v>99.506269490000136</c:v>
                </c:pt>
                <c:pt idx="5">
                  <c:v>99.882932769999869</c:v>
                </c:pt>
                <c:pt idx="6">
                  <c:v>101.6454132667</c:v>
                </c:pt>
                <c:pt idx="7">
                  <c:v>103.1425757933</c:v>
                </c:pt>
                <c:pt idx="8">
                  <c:v>103.7536856167</c:v>
                </c:pt>
                <c:pt idx="9">
                  <c:v>105.19867788669984</c:v>
                </c:pt>
                <c:pt idx="10">
                  <c:v>105.3356622867</c:v>
                </c:pt>
                <c:pt idx="11">
                  <c:v>106.72097377670001</c:v>
                </c:pt>
                <c:pt idx="12">
                  <c:v>107.91535113669984</c:v>
                </c:pt>
                <c:pt idx="13">
                  <c:v>108.70616911330002</c:v>
                </c:pt>
                <c:pt idx="14">
                  <c:v>109.37278169669978</c:v>
                </c:pt>
                <c:pt idx="15">
                  <c:v>108.88805681669976</c:v>
                </c:pt>
                <c:pt idx="16">
                  <c:v>110.44627128330015</c:v>
                </c:pt>
                <c:pt idx="17">
                  <c:v>110.87756216</c:v>
                </c:pt>
                <c:pt idx="18">
                  <c:v>109.16473103669982</c:v>
                </c:pt>
                <c:pt idx="19">
                  <c:v>108.93584104999998</c:v>
                </c:pt>
                <c:pt idx="20">
                  <c:v>105.36793023669986</c:v>
                </c:pt>
                <c:pt idx="21">
                  <c:v>90.203880829999989</c:v>
                </c:pt>
                <c:pt idx="22">
                  <c:v>97.528267896699859</c:v>
                </c:pt>
                <c:pt idx="23">
                  <c:v>95.952761640000006</c:v>
                </c:pt>
                <c:pt idx="24">
                  <c:v>97.5220549533</c:v>
                </c:pt>
                <c:pt idx="25">
                  <c:v>102.23534626670001</c:v>
                </c:pt>
                <c:pt idx="26">
                  <c:v>106.43087342000008</c:v>
                </c:pt>
                <c:pt idx="27">
                  <c:v>109.46740578000015</c:v>
                </c:pt>
                <c:pt idx="28">
                  <c:v>111.59700395669998</c:v>
                </c:pt>
                <c:pt idx="29">
                  <c:v>113.97800418670001</c:v>
                </c:pt>
                <c:pt idx="30">
                  <c:v>113.21268741999998</c:v>
                </c:pt>
                <c:pt idx="31">
                  <c:v>111.91387392000009</c:v>
                </c:pt>
                <c:pt idx="32">
                  <c:v>111.49306566670013</c:v>
                </c:pt>
              </c:numCache>
            </c:numRef>
          </c:val>
          <c:smooth val="0"/>
          <c:extLst>
            <c:ext xmlns:c16="http://schemas.microsoft.com/office/drawing/2014/chart" uri="{C3380CC4-5D6E-409C-BE32-E72D297353CC}">
              <c16:uniqueId val="{0000000A-80A6-4A4F-B9C5-178F1F0259CA}"/>
            </c:ext>
          </c:extLst>
        </c:ser>
        <c:ser>
          <c:idx val="11"/>
          <c:order val="11"/>
          <c:tx>
            <c:strRef>
              <c:f>'Služby-příspěvkyk růstu-4'!$N$33</c:f>
              <c:strCache>
                <c:ptCount val="1"/>
                <c:pt idx="0">
                  <c:v>Tržby celkem (báze 2015=100, běžné ceny)</c:v>
                </c:pt>
              </c:strCache>
            </c:strRef>
          </c:tx>
          <c:spPr>
            <a:ln w="15875">
              <a:solidFill>
                <a:schemeClr val="bg2">
                  <a:lumMod val="25000"/>
                </a:schemeClr>
              </a:solidFill>
              <a:prstDash val="sysDash"/>
            </a:ln>
          </c:spPr>
          <c:marker>
            <c:symbol val="none"/>
          </c:marker>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růstu-4'!$N$46:$N$79</c:f>
              <c:numCache>
                <c:formatCode>0.0</c:formatCode>
                <c:ptCount val="34"/>
                <c:pt idx="0">
                  <c:v>98.878809526699783</c:v>
                </c:pt>
                <c:pt idx="1">
                  <c:v>99.932801119999837</c:v>
                </c:pt>
                <c:pt idx="2">
                  <c:v>100.47612456000009</c:v>
                </c:pt>
                <c:pt idx="3">
                  <c:v>100.71226479000015</c:v>
                </c:pt>
                <c:pt idx="4">
                  <c:v>99.601623460000141</c:v>
                </c:pt>
                <c:pt idx="5">
                  <c:v>100.2234790433</c:v>
                </c:pt>
                <c:pt idx="6">
                  <c:v>102.13593757999986</c:v>
                </c:pt>
                <c:pt idx="7">
                  <c:v>103.9538192433001</c:v>
                </c:pt>
                <c:pt idx="8">
                  <c:v>105.28339829999992</c:v>
                </c:pt>
                <c:pt idx="9">
                  <c:v>107.13280340670001</c:v>
                </c:pt>
                <c:pt idx="10">
                  <c:v>107.78245525</c:v>
                </c:pt>
                <c:pt idx="11">
                  <c:v>109.74135017</c:v>
                </c:pt>
                <c:pt idx="12">
                  <c:v>111.4458726133</c:v>
                </c:pt>
                <c:pt idx="13">
                  <c:v>112.96754313330008</c:v>
                </c:pt>
                <c:pt idx="14">
                  <c:v>114.32754983669984</c:v>
                </c:pt>
                <c:pt idx="15">
                  <c:v>114.67629783669977</c:v>
                </c:pt>
                <c:pt idx="16">
                  <c:v>116.72200621330001</c:v>
                </c:pt>
                <c:pt idx="17">
                  <c:v>118.4237964933</c:v>
                </c:pt>
                <c:pt idx="18">
                  <c:v>117.19000776670001</c:v>
                </c:pt>
                <c:pt idx="19">
                  <c:v>117.1905607767</c:v>
                </c:pt>
                <c:pt idx="20">
                  <c:v>113.2309142367</c:v>
                </c:pt>
                <c:pt idx="21">
                  <c:v>96.647774276699849</c:v>
                </c:pt>
                <c:pt idx="22">
                  <c:v>105.48850793</c:v>
                </c:pt>
                <c:pt idx="23">
                  <c:v>103.67207354999985</c:v>
                </c:pt>
                <c:pt idx="24">
                  <c:v>105.51279886669982</c:v>
                </c:pt>
                <c:pt idx="25">
                  <c:v>111.35872837999985</c:v>
                </c:pt>
                <c:pt idx="26">
                  <c:v>117.05419338670002</c:v>
                </c:pt>
                <c:pt idx="27">
                  <c:v>121.5423597267</c:v>
                </c:pt>
                <c:pt idx="28">
                  <c:v>126.6919922467</c:v>
                </c:pt>
                <c:pt idx="29">
                  <c:v>132.1707957666998</c:v>
                </c:pt>
                <c:pt idx="30">
                  <c:v>134.22968942329999</c:v>
                </c:pt>
                <c:pt idx="31">
                  <c:v>134.84061227669997</c:v>
                </c:pt>
                <c:pt idx="32">
                  <c:v>136.83023030000024</c:v>
                </c:pt>
              </c:numCache>
            </c:numRef>
          </c:val>
          <c:smooth val="0"/>
          <c:extLst>
            <c:ext xmlns:c16="http://schemas.microsoft.com/office/drawing/2014/chart" uri="{C3380CC4-5D6E-409C-BE32-E72D297353CC}">
              <c16:uniqueId val="{0000000B-80A6-4A4F-B9C5-178F1F0259CA}"/>
            </c:ext>
          </c:extLst>
        </c:ser>
        <c:dLbls>
          <c:showLegendKey val="0"/>
          <c:showVal val="0"/>
          <c:showCatName val="0"/>
          <c:showSerName val="0"/>
          <c:showPercent val="0"/>
          <c:showBubbleSize val="0"/>
        </c:dLbls>
        <c:marker val="1"/>
        <c:smooth val="0"/>
        <c:axId val="98897280"/>
        <c:axId val="98895360"/>
      </c:lineChart>
      <c:catAx>
        <c:axId val="98854784"/>
        <c:scaling>
          <c:orientation val="minMax"/>
        </c:scaling>
        <c:delete val="0"/>
        <c:axPos val="b"/>
        <c:numFmt formatCode="General" sourceLinked="0"/>
        <c:majorTickMark val="out"/>
        <c:minorTickMark val="none"/>
        <c:tickLblPos val="low"/>
        <c:txPr>
          <a:bodyPr/>
          <a:lstStyle/>
          <a:p>
            <a:pPr>
              <a:defRPr sz="800"/>
            </a:pPr>
            <a:endParaRPr lang="cs-CZ"/>
          </a:p>
        </c:txPr>
        <c:crossAx val="98856320"/>
        <c:crosses val="autoZero"/>
        <c:auto val="1"/>
        <c:lblAlgn val="ctr"/>
        <c:lblOffset val="0"/>
        <c:noMultiLvlLbl val="0"/>
      </c:catAx>
      <c:valAx>
        <c:axId val="98856320"/>
        <c:scaling>
          <c:orientation val="minMax"/>
          <c:max val="15"/>
          <c:min val="-30"/>
        </c:scaling>
        <c:delete val="0"/>
        <c:axPos val="l"/>
        <c:majorGridlines>
          <c:spPr>
            <a:ln w="6350">
              <a:solidFill>
                <a:schemeClr val="bg1">
                  <a:lumMod val="75000"/>
                </a:schemeClr>
              </a:solidFill>
            </a:ln>
          </c:spPr>
        </c:majorGridlines>
        <c:title>
          <c:tx>
            <c:rich>
              <a:bodyPr/>
              <a:lstStyle/>
              <a:p>
                <a:pPr>
                  <a:defRPr sz="700" b="0" i="1"/>
                </a:pPr>
                <a:r>
                  <a:rPr lang="cs-CZ" sz="700" b="0" i="1"/>
                  <a:t>Příspěvky ke změně tržeb ve službách</a:t>
                </a:r>
              </a:p>
            </c:rich>
          </c:tx>
          <c:overlay val="0"/>
        </c:title>
        <c:numFmt formatCode="0" sourceLinked="0"/>
        <c:majorTickMark val="out"/>
        <c:minorTickMark val="none"/>
        <c:tickLblPos val="nextTo"/>
        <c:txPr>
          <a:bodyPr/>
          <a:lstStyle/>
          <a:p>
            <a:pPr>
              <a:defRPr sz="800"/>
            </a:pPr>
            <a:endParaRPr lang="cs-CZ"/>
          </a:p>
        </c:txPr>
        <c:crossAx val="98854784"/>
        <c:crosses val="autoZero"/>
        <c:crossBetween val="between"/>
        <c:majorUnit val="5"/>
      </c:valAx>
      <c:valAx>
        <c:axId val="98895360"/>
        <c:scaling>
          <c:orientation val="minMax"/>
          <c:max val="140"/>
          <c:min val="-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Tržby celkem (báze 2015=100)</a:t>
                </a:r>
                <a:r>
                  <a:rPr lang="cs-CZ" sz="700" b="0" i="1"/>
                  <a:t>,Saldo důvěry, bariéry růstu</a:t>
                </a:r>
              </a:p>
            </c:rich>
          </c:tx>
          <c:layout>
            <c:manualLayout>
              <c:xMode val="edge"/>
              <c:yMode val="edge"/>
              <c:x val="0.97059971540629864"/>
              <c:y val="1.8415267943787519E-2"/>
            </c:manualLayout>
          </c:layout>
          <c:overlay val="0"/>
        </c:title>
        <c:numFmt formatCode="0" sourceLinked="0"/>
        <c:majorTickMark val="out"/>
        <c:minorTickMark val="none"/>
        <c:tickLblPos val="nextTo"/>
        <c:txPr>
          <a:bodyPr/>
          <a:lstStyle/>
          <a:p>
            <a:pPr>
              <a:defRPr sz="800"/>
            </a:pPr>
            <a:endParaRPr lang="cs-CZ"/>
          </a:p>
        </c:txPr>
        <c:crossAx val="98897280"/>
        <c:crosses val="max"/>
        <c:crossBetween val="between"/>
        <c:majorUnit val="10"/>
      </c:valAx>
      <c:catAx>
        <c:axId val="98897280"/>
        <c:scaling>
          <c:orientation val="minMax"/>
        </c:scaling>
        <c:delete val="1"/>
        <c:axPos val="b"/>
        <c:numFmt formatCode="General" sourceLinked="1"/>
        <c:majorTickMark val="out"/>
        <c:minorTickMark val="none"/>
        <c:tickLblPos val="none"/>
        <c:crossAx val="98895360"/>
        <c:crosses val="autoZero"/>
        <c:auto val="1"/>
        <c:lblAlgn val="ctr"/>
        <c:lblOffset val="100"/>
        <c:noMultiLvlLbl val="0"/>
      </c:catAx>
      <c:spPr>
        <a:ln>
          <a:solidFill>
            <a:schemeClr val="tx1"/>
          </a:solidFill>
        </a:ln>
      </c:spPr>
    </c:plotArea>
    <c:legend>
      <c:legendPos val="r"/>
      <c:layout>
        <c:manualLayout>
          <c:xMode val="edge"/>
          <c:yMode val="edge"/>
          <c:x val="2.7894149438737292E-3"/>
          <c:y val="0.80683901693256188"/>
          <c:w val="0.9922935411278293"/>
          <c:h val="0.18952404020147051"/>
        </c:manualLayout>
      </c:layout>
      <c:overlay val="0"/>
      <c:spPr>
        <a:ln w="6350">
          <a:solidFill>
            <a:schemeClr val="tx1"/>
          </a:solidFill>
        </a:ln>
      </c:spPr>
      <c:txPr>
        <a:bodyPr/>
        <a:lstStyle/>
        <a:p>
          <a:pPr>
            <a:defRPr sz="72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157E-2"/>
          <c:y val="1.5803328678987486E-2"/>
          <c:w val="0.8508210133571954"/>
          <c:h val="0.74167997750452452"/>
        </c:manualLayout>
      </c:layout>
      <c:barChart>
        <c:barDir val="col"/>
        <c:grouping val="stacked"/>
        <c:varyColors val="0"/>
        <c:ser>
          <c:idx val="0"/>
          <c:order val="1"/>
          <c:tx>
            <c:strRef>
              <c:f>'výkonnost odvětví 5a'!$E$66</c:f>
              <c:strCache>
                <c:ptCount val="1"/>
                <c:pt idx="0">
                  <c:v>Maloobchod s potravinami (příspěvek)</c:v>
                </c:pt>
              </c:strCache>
            </c:strRef>
          </c:tx>
          <c:spPr>
            <a:solidFill>
              <a:srgbClr val="92D050"/>
            </a:solidFill>
            <a:ln w="15875">
              <a:noFill/>
            </a:ln>
          </c:spPr>
          <c:invertIfNegative val="0"/>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5a'!$E$67:$E$100</c:f>
              <c:numCache>
                <c:formatCode>#\ ##0.0</c:formatCode>
                <c:ptCount val="34"/>
                <c:pt idx="0">
                  <c:v>1.7968525782652036</c:v>
                </c:pt>
                <c:pt idx="1">
                  <c:v>1.1791224568789191</c:v>
                </c:pt>
                <c:pt idx="2">
                  <c:v>1.9051719303199939</c:v>
                </c:pt>
                <c:pt idx="3">
                  <c:v>1.4451215295824835</c:v>
                </c:pt>
                <c:pt idx="4">
                  <c:v>1.7447279503492539</c:v>
                </c:pt>
                <c:pt idx="5">
                  <c:v>1.4640451669330623</c:v>
                </c:pt>
                <c:pt idx="6">
                  <c:v>0.97147083630208386</c:v>
                </c:pt>
                <c:pt idx="7">
                  <c:v>-7.50691330187373E-2</c:v>
                </c:pt>
                <c:pt idx="8">
                  <c:v>0.73425778243231121</c:v>
                </c:pt>
                <c:pt idx="9">
                  <c:v>1.3336221651849498</c:v>
                </c:pt>
                <c:pt idx="10">
                  <c:v>1.148264067935566</c:v>
                </c:pt>
                <c:pt idx="11">
                  <c:v>0.8954293037390092</c:v>
                </c:pt>
                <c:pt idx="12">
                  <c:v>1.5129556035207505</c:v>
                </c:pt>
                <c:pt idx="13">
                  <c:v>0.53724684179172877</c:v>
                </c:pt>
                <c:pt idx="14">
                  <c:v>0.98097838613194488</c:v>
                </c:pt>
                <c:pt idx="15">
                  <c:v>0.45895493544282662</c:v>
                </c:pt>
                <c:pt idx="16">
                  <c:v>0.67460527770247813</c:v>
                </c:pt>
                <c:pt idx="17">
                  <c:v>1.1938610134109726</c:v>
                </c:pt>
                <c:pt idx="18">
                  <c:v>0.63015847733735963</c:v>
                </c:pt>
                <c:pt idx="19">
                  <c:v>0.62923634699872177</c:v>
                </c:pt>
                <c:pt idx="20">
                  <c:v>0.9469594125582842</c:v>
                </c:pt>
                <c:pt idx="21">
                  <c:v>-1.1878021201060334</c:v>
                </c:pt>
                <c:pt idx="22">
                  <c:v>-0.39836946074768959</c:v>
                </c:pt>
                <c:pt idx="23">
                  <c:v>0.24484515142503174</c:v>
                </c:pt>
                <c:pt idx="24">
                  <c:v>-0.44870069660916562</c:v>
                </c:pt>
                <c:pt idx="25">
                  <c:v>0.43470456459783874</c:v>
                </c:pt>
                <c:pt idx="26">
                  <c:v>-0.30638524812564877</c:v>
                </c:pt>
                <c:pt idx="27">
                  <c:v>-0.18456896753972324</c:v>
                </c:pt>
                <c:pt idx="28">
                  <c:v>-0.2644332124970542</c:v>
                </c:pt>
                <c:pt idx="29">
                  <c:v>-1.298273733857183</c:v>
                </c:pt>
                <c:pt idx="30">
                  <c:v>-2.2978022374091576</c:v>
                </c:pt>
                <c:pt idx="31">
                  <c:v>-3.2183996089311866</c:v>
                </c:pt>
                <c:pt idx="32">
                  <c:v>-3.0564813105890587</c:v>
                </c:pt>
              </c:numCache>
            </c:numRef>
          </c:val>
          <c:extLst>
            <c:ext xmlns:c16="http://schemas.microsoft.com/office/drawing/2014/chart" uri="{C3380CC4-5D6E-409C-BE32-E72D297353CC}">
              <c16:uniqueId val="{00000000-B659-4398-B92E-69FC3BE8765F}"/>
            </c:ext>
          </c:extLst>
        </c:ser>
        <c:ser>
          <c:idx val="1"/>
          <c:order val="2"/>
          <c:tx>
            <c:strRef>
              <c:f>'výkonnost odvětví 5a'!$F$66</c:f>
              <c:strCache>
                <c:ptCount val="1"/>
                <c:pt idx="0">
                  <c:v>Mal. s nepotravinářským zbož. (příspěvek)</c:v>
                </c:pt>
              </c:strCache>
            </c:strRef>
          </c:tx>
          <c:spPr>
            <a:solidFill>
              <a:schemeClr val="accent1">
                <a:lumMod val="40000"/>
                <a:lumOff val="60000"/>
              </a:schemeClr>
            </a:solidFill>
            <a:ln w="15875">
              <a:noFill/>
            </a:ln>
          </c:spPr>
          <c:invertIfNegative val="0"/>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5a'!$F$67:$F$100</c:f>
              <c:numCache>
                <c:formatCode>#\ ##0.0</c:formatCode>
                <c:ptCount val="34"/>
                <c:pt idx="0">
                  <c:v>3.5337647628605238</c:v>
                </c:pt>
                <c:pt idx="1">
                  <c:v>4.0403269648807054</c:v>
                </c:pt>
                <c:pt idx="2">
                  <c:v>2.8414781046087616</c:v>
                </c:pt>
                <c:pt idx="3">
                  <c:v>3.7696029154089437</c:v>
                </c:pt>
                <c:pt idx="4">
                  <c:v>2.8247932220754692</c:v>
                </c:pt>
                <c:pt idx="5">
                  <c:v>2.6799731375621909</c:v>
                </c:pt>
                <c:pt idx="6">
                  <c:v>3.347941642924769</c:v>
                </c:pt>
                <c:pt idx="7">
                  <c:v>3.6402362968460404</c:v>
                </c:pt>
                <c:pt idx="8">
                  <c:v>4.3767111447936236</c:v>
                </c:pt>
                <c:pt idx="9">
                  <c:v>4.6063896710500005</c:v>
                </c:pt>
                <c:pt idx="10">
                  <c:v>4.1933467197549064</c:v>
                </c:pt>
                <c:pt idx="11">
                  <c:v>4.8248475939610485</c:v>
                </c:pt>
                <c:pt idx="12">
                  <c:v>4.1828625238720027</c:v>
                </c:pt>
                <c:pt idx="13">
                  <c:v>3.5054484803167876</c:v>
                </c:pt>
                <c:pt idx="14">
                  <c:v>2.819438974679537</c:v>
                </c:pt>
                <c:pt idx="15">
                  <c:v>3.9553867638573244</c:v>
                </c:pt>
                <c:pt idx="16">
                  <c:v>4.4354535369958406</c:v>
                </c:pt>
                <c:pt idx="17">
                  <c:v>3.3723462442148215</c:v>
                </c:pt>
                <c:pt idx="18">
                  <c:v>3.7256703958918869</c:v>
                </c:pt>
                <c:pt idx="19">
                  <c:v>3.4440592495195479</c:v>
                </c:pt>
                <c:pt idx="20">
                  <c:v>-2.8251709833996521E-2</c:v>
                </c:pt>
                <c:pt idx="21">
                  <c:v>0.37120321946990481</c:v>
                </c:pt>
                <c:pt idx="22">
                  <c:v>1.7529788946207687</c:v>
                </c:pt>
                <c:pt idx="23">
                  <c:v>-1.0606589154268835</c:v>
                </c:pt>
                <c:pt idx="24">
                  <c:v>1.1032352547156199</c:v>
                </c:pt>
                <c:pt idx="25">
                  <c:v>5.7270426184807475</c:v>
                </c:pt>
                <c:pt idx="26">
                  <c:v>3.8044410655375258</c:v>
                </c:pt>
                <c:pt idx="27">
                  <c:v>5.2471277682417368</c:v>
                </c:pt>
                <c:pt idx="28">
                  <c:v>5.410120611589333</c:v>
                </c:pt>
                <c:pt idx="29">
                  <c:v>-1.1295059503721878</c:v>
                </c:pt>
                <c:pt idx="30">
                  <c:v>-3.8961561368469937</c:v>
                </c:pt>
                <c:pt idx="31">
                  <c:v>-5.6070211315812966</c:v>
                </c:pt>
                <c:pt idx="32">
                  <c:v>-4.816448415200453</c:v>
                </c:pt>
              </c:numCache>
            </c:numRef>
          </c:val>
          <c:extLst>
            <c:ext xmlns:c16="http://schemas.microsoft.com/office/drawing/2014/chart" uri="{C3380CC4-5D6E-409C-BE32-E72D297353CC}">
              <c16:uniqueId val="{00000001-B659-4398-B92E-69FC3BE8765F}"/>
            </c:ext>
          </c:extLst>
        </c:ser>
        <c:ser>
          <c:idx val="4"/>
          <c:order val="3"/>
          <c:tx>
            <c:strRef>
              <c:f>'výkonnost odvětví 5a'!$G$66</c:f>
              <c:strCache>
                <c:ptCount val="1"/>
                <c:pt idx="0">
                  <c:v>Maloobchodní prodej PHM (příspěvek)</c:v>
                </c:pt>
              </c:strCache>
            </c:strRef>
          </c:tx>
          <c:spPr>
            <a:solidFill>
              <a:schemeClr val="accent6">
                <a:lumMod val="40000"/>
                <a:lumOff val="60000"/>
              </a:schemeClr>
            </a:solidFill>
            <a:ln w="15875">
              <a:noFill/>
            </a:ln>
          </c:spPr>
          <c:invertIfNegative val="0"/>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5a'!$G$67:$G$100</c:f>
              <c:numCache>
                <c:formatCode>#\ ##0.0</c:formatCode>
                <c:ptCount val="34"/>
                <c:pt idx="0">
                  <c:v>0.75359194510045113</c:v>
                </c:pt>
                <c:pt idx="1">
                  <c:v>0.58821183102713259</c:v>
                </c:pt>
                <c:pt idx="2">
                  <c:v>0.79399459687356078</c:v>
                </c:pt>
                <c:pt idx="3">
                  <c:v>0.93961068819571214</c:v>
                </c:pt>
                <c:pt idx="4">
                  <c:v>0.69214098521927592</c:v>
                </c:pt>
                <c:pt idx="5">
                  <c:v>0.70440464135882064</c:v>
                </c:pt>
                <c:pt idx="6">
                  <c:v>0.62814320050368755</c:v>
                </c:pt>
                <c:pt idx="7">
                  <c:v>0.6256127692880088</c:v>
                </c:pt>
                <c:pt idx="8">
                  <c:v>0.51956983975724591</c:v>
                </c:pt>
                <c:pt idx="9">
                  <c:v>0.77336135806484263</c:v>
                </c:pt>
                <c:pt idx="10">
                  <c:v>0.84841829183324158</c:v>
                </c:pt>
                <c:pt idx="11">
                  <c:v>0.68454565742255236</c:v>
                </c:pt>
                <c:pt idx="12">
                  <c:v>0.67561195848099143</c:v>
                </c:pt>
                <c:pt idx="13">
                  <c:v>0.59075079613408388</c:v>
                </c:pt>
                <c:pt idx="14">
                  <c:v>0.37399713498271248</c:v>
                </c:pt>
                <c:pt idx="15">
                  <c:v>0.42674113172704531</c:v>
                </c:pt>
                <c:pt idx="16">
                  <c:v>0.55629349987096377</c:v>
                </c:pt>
                <c:pt idx="17">
                  <c:v>0.26295616202476968</c:v>
                </c:pt>
                <c:pt idx="18">
                  <c:v>0.19423130649799952</c:v>
                </c:pt>
                <c:pt idx="19">
                  <c:v>5.5904565164944207E-2</c:v>
                </c:pt>
                <c:pt idx="20">
                  <c:v>-0.75350296737444378</c:v>
                </c:pt>
                <c:pt idx="21">
                  <c:v>-2.0525680822481127</c:v>
                </c:pt>
                <c:pt idx="22">
                  <c:v>-4.8140542119499467E-2</c:v>
                </c:pt>
                <c:pt idx="23">
                  <c:v>-1.2048671034914455</c:v>
                </c:pt>
                <c:pt idx="24">
                  <c:v>-0.81267731005197164</c:v>
                </c:pt>
                <c:pt idx="25">
                  <c:v>1.0340829352131833</c:v>
                </c:pt>
                <c:pt idx="26">
                  <c:v>0.39031023614333382</c:v>
                </c:pt>
                <c:pt idx="27">
                  <c:v>0.99584083683099534</c:v>
                </c:pt>
                <c:pt idx="28">
                  <c:v>1.3779403028643198</c:v>
                </c:pt>
                <c:pt idx="29">
                  <c:v>-0.54234422696138462</c:v>
                </c:pt>
                <c:pt idx="30">
                  <c:v>-1.2771841004606979</c:v>
                </c:pt>
                <c:pt idx="31">
                  <c:v>-0.33373215205594292</c:v>
                </c:pt>
                <c:pt idx="32">
                  <c:v>0.10826874514024805</c:v>
                </c:pt>
              </c:numCache>
            </c:numRef>
          </c:val>
          <c:extLst>
            <c:ext xmlns:c16="http://schemas.microsoft.com/office/drawing/2014/chart" uri="{C3380CC4-5D6E-409C-BE32-E72D297353CC}">
              <c16:uniqueId val="{00000002-B659-4398-B92E-69FC3BE8765F}"/>
            </c:ext>
          </c:extLst>
        </c:ser>
        <c:dLbls>
          <c:showLegendKey val="0"/>
          <c:showVal val="0"/>
          <c:showCatName val="0"/>
          <c:showSerName val="0"/>
          <c:showPercent val="0"/>
          <c:showBubbleSize val="0"/>
        </c:dLbls>
        <c:gapWidth val="31"/>
        <c:overlap val="100"/>
        <c:axId val="100301824"/>
        <c:axId val="100603008"/>
      </c:barChart>
      <c:lineChart>
        <c:grouping val="standard"/>
        <c:varyColors val="0"/>
        <c:ser>
          <c:idx val="3"/>
          <c:order val="0"/>
          <c:tx>
            <c:strRef>
              <c:f>'výkonnost odvětví 5a'!$D$66</c:f>
              <c:strCache>
                <c:ptCount val="1"/>
                <c:pt idx="0">
                  <c:v>Maloobchod celkem (meziroční růst)</c:v>
                </c:pt>
              </c:strCache>
            </c:strRef>
          </c:tx>
          <c:spPr>
            <a:ln>
              <a:noFill/>
            </a:ln>
          </c:spPr>
          <c:marker>
            <c:symbol val="dash"/>
            <c:size val="7"/>
            <c:spPr>
              <a:solidFill>
                <a:schemeClr val="tx1">
                  <a:lumMod val="85000"/>
                  <a:lumOff val="15000"/>
                </a:schemeClr>
              </a:solidFill>
              <a:ln w="6350">
                <a:noFill/>
              </a:ln>
            </c:spPr>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5a'!$D$67:$D$100</c:f>
              <c:numCache>
                <c:formatCode>#\ ##0.0</c:formatCode>
                <c:ptCount val="34"/>
                <c:pt idx="0">
                  <c:v>5.9636205444000012</c:v>
                </c:pt>
                <c:pt idx="1">
                  <c:v>5.5921884395999859</c:v>
                </c:pt>
                <c:pt idx="2">
                  <c:v>5.5022460545000094</c:v>
                </c:pt>
                <c:pt idx="3">
                  <c:v>6.0250321769999902</c:v>
                </c:pt>
                <c:pt idx="4">
                  <c:v>5.2059376710999956</c:v>
                </c:pt>
                <c:pt idx="5">
                  <c:v>4.7779836855000095</c:v>
                </c:pt>
                <c:pt idx="6">
                  <c:v>4.7634220096000064</c:v>
                </c:pt>
                <c:pt idx="7">
                  <c:v>3.906217172500007</c:v>
                </c:pt>
                <c:pt idx="8">
                  <c:v>5.3191682382000067</c:v>
                </c:pt>
                <c:pt idx="9">
                  <c:v>6.4643894589999977</c:v>
                </c:pt>
                <c:pt idx="10">
                  <c:v>5.9751578491999968</c:v>
                </c:pt>
                <c:pt idx="11">
                  <c:v>6.1621326275999886</c:v>
                </c:pt>
                <c:pt idx="12">
                  <c:v>6.3390670470000003</c:v>
                </c:pt>
                <c:pt idx="13">
                  <c:v>4.6648962080999912</c:v>
                </c:pt>
                <c:pt idx="14">
                  <c:v>4.1971443662999803</c:v>
                </c:pt>
                <c:pt idx="15">
                  <c:v>4.8161135707999883</c:v>
                </c:pt>
                <c:pt idx="16">
                  <c:v>5.653718841799992</c:v>
                </c:pt>
                <c:pt idx="17">
                  <c:v>4.8265636037999968</c:v>
                </c:pt>
                <c:pt idx="18">
                  <c:v>4.5452014837000041</c:v>
                </c:pt>
                <c:pt idx="19">
                  <c:v>4.1996486233999963</c:v>
                </c:pt>
                <c:pt idx="20">
                  <c:v>6.0491738300001492E-2</c:v>
                </c:pt>
                <c:pt idx="21">
                  <c:v>-2.8962995720000038</c:v>
                </c:pt>
                <c:pt idx="22">
                  <c:v>1.3291675252000061</c:v>
                </c:pt>
                <c:pt idx="23">
                  <c:v>-2.0263752827000019</c:v>
                </c:pt>
                <c:pt idx="24">
                  <c:v>-0.18412703469999786</c:v>
                </c:pt>
                <c:pt idx="25">
                  <c:v>7.2801836781999976</c:v>
                </c:pt>
                <c:pt idx="26">
                  <c:v>3.9051822130000033</c:v>
                </c:pt>
                <c:pt idx="27">
                  <c:v>6.1725521779999974</c:v>
                </c:pt>
                <c:pt idx="28">
                  <c:v>6.5204449565999925</c:v>
                </c:pt>
                <c:pt idx="29">
                  <c:v>-2.9691285236000047</c:v>
                </c:pt>
                <c:pt idx="30">
                  <c:v>-7.4711265697000044</c:v>
                </c:pt>
                <c:pt idx="31">
                  <c:v>-9.1638267598000027</c:v>
                </c:pt>
                <c:pt idx="32">
                  <c:v>-7.767397049299996</c:v>
                </c:pt>
              </c:numCache>
            </c:numRef>
          </c:val>
          <c:smooth val="0"/>
          <c:extLst>
            <c:ext xmlns:c16="http://schemas.microsoft.com/office/drawing/2014/chart" uri="{C3380CC4-5D6E-409C-BE32-E72D297353CC}">
              <c16:uniqueId val="{00000003-B659-4398-B92E-69FC3BE8765F}"/>
            </c:ext>
          </c:extLst>
        </c:ser>
        <c:dLbls>
          <c:showLegendKey val="0"/>
          <c:showVal val="0"/>
          <c:showCatName val="0"/>
          <c:showSerName val="0"/>
          <c:showPercent val="0"/>
          <c:showBubbleSize val="0"/>
        </c:dLbls>
        <c:marker val="1"/>
        <c:smooth val="0"/>
        <c:axId val="100301824"/>
        <c:axId val="100603008"/>
      </c:lineChart>
      <c:lineChart>
        <c:grouping val="standard"/>
        <c:varyColors val="0"/>
        <c:ser>
          <c:idx val="5"/>
          <c:order val="4"/>
          <c:tx>
            <c:strRef>
              <c:f>'výkonnost odvětví 5a'!$H$66</c:f>
              <c:strCache>
                <c:ptCount val="1"/>
                <c:pt idx="0">
                  <c:v>Maloobchod, bez motor. segm. (2015=100)</c:v>
                </c:pt>
              </c:strCache>
            </c:strRef>
          </c:tx>
          <c:spPr>
            <a:ln w="15875">
              <a:solidFill>
                <a:schemeClr val="tx1">
                  <a:lumMod val="95000"/>
                  <a:lumOff val="5000"/>
                </a:schemeClr>
              </a:solidFill>
              <a:prstDash val="solid"/>
            </a:ln>
          </c:spPr>
          <c:marker>
            <c:symbol val="none"/>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5a'!$H$67:$H$100</c:f>
              <c:numCache>
                <c:formatCode>#\ ##0.0</c:formatCode>
                <c:ptCount val="34"/>
                <c:pt idx="0">
                  <c:v>98.108903473300003</c:v>
                </c:pt>
                <c:pt idx="1">
                  <c:v>99.176423353299839</c:v>
                </c:pt>
                <c:pt idx="2">
                  <c:v>100.24040488000009</c:v>
                </c:pt>
                <c:pt idx="3">
                  <c:v>102.4742682967</c:v>
                </c:pt>
                <c:pt idx="4">
                  <c:v>103.00654075999998</c:v>
                </c:pt>
                <c:pt idx="5">
                  <c:v>104.00728415330002</c:v>
                </c:pt>
                <c:pt idx="6">
                  <c:v>105.24950234329998</c:v>
                </c:pt>
                <c:pt idx="7">
                  <c:v>106.61154646670002</c:v>
                </c:pt>
                <c:pt idx="8">
                  <c:v>108.19528997</c:v>
                </c:pt>
                <c:pt idx="9">
                  <c:v>110.67867867999986</c:v>
                </c:pt>
                <c:pt idx="10">
                  <c:v>111.78129380670002</c:v>
                </c:pt>
                <c:pt idx="11">
                  <c:v>113.06724078329999</c:v>
                </c:pt>
                <c:pt idx="12">
                  <c:v>114.63997826000001</c:v>
                </c:pt>
                <c:pt idx="13">
                  <c:v>116.12165418330002</c:v>
                </c:pt>
                <c:pt idx="14">
                  <c:v>116.8100051867</c:v>
                </c:pt>
                <c:pt idx="15">
                  <c:v>118.44840057330002</c:v>
                </c:pt>
                <c:pt idx="16">
                  <c:v>120.62811213669976</c:v>
                </c:pt>
                <c:pt idx="17">
                  <c:v>122.0140614733001</c:v>
                </c:pt>
                <c:pt idx="18">
                  <c:v>122.34251458330009</c:v>
                </c:pt>
                <c:pt idx="19">
                  <c:v>123.45318212669984</c:v>
                </c:pt>
                <c:pt idx="20">
                  <c:v>120.2493864533</c:v>
                </c:pt>
                <c:pt idx="21">
                  <c:v>118.9229640667</c:v>
                </c:pt>
                <c:pt idx="22">
                  <c:v>124.49863366330017</c:v>
                </c:pt>
                <c:pt idx="23">
                  <c:v>120.66876724669984</c:v>
                </c:pt>
                <c:pt idx="24">
                  <c:v>118.25474940330002</c:v>
                </c:pt>
                <c:pt idx="25">
                  <c:v>127.38867849330001</c:v>
                </c:pt>
                <c:pt idx="26">
                  <c:v>129.80928313329997</c:v>
                </c:pt>
                <c:pt idx="27">
                  <c:v>128.80356586329995</c:v>
                </c:pt>
                <c:pt idx="28">
                  <c:v>126.72073771669976</c:v>
                </c:pt>
                <c:pt idx="29">
                  <c:v>123.39598482669984</c:v>
                </c:pt>
                <c:pt idx="30">
                  <c:v>120.08919012669986</c:v>
                </c:pt>
                <c:pt idx="31">
                  <c:v>117.7011379333</c:v>
                </c:pt>
                <c:pt idx="32">
                  <c:v>116.92540507669985</c:v>
                </c:pt>
              </c:numCache>
            </c:numRef>
          </c:val>
          <c:smooth val="0"/>
          <c:extLst>
            <c:ext xmlns:c16="http://schemas.microsoft.com/office/drawing/2014/chart" uri="{C3380CC4-5D6E-409C-BE32-E72D297353CC}">
              <c16:uniqueId val="{00000004-B659-4398-B92E-69FC3BE8765F}"/>
            </c:ext>
          </c:extLst>
        </c:ser>
        <c:ser>
          <c:idx val="2"/>
          <c:order val="5"/>
          <c:tx>
            <c:strRef>
              <c:f>'výkonnost odvětví 5a'!$I$66</c:f>
              <c:strCache>
                <c:ptCount val="1"/>
                <c:pt idx="0">
                  <c:v>z toho: maloobchod.prodej PHM (2015=100)</c:v>
                </c:pt>
              </c:strCache>
            </c:strRef>
          </c:tx>
          <c:spPr>
            <a:ln w="15875">
              <a:solidFill>
                <a:schemeClr val="bg2">
                  <a:lumMod val="50000"/>
                </a:schemeClr>
              </a:solidFill>
              <a:prstDash val="sysDash"/>
            </a:ln>
          </c:spPr>
          <c:marker>
            <c:symbol val="none"/>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5a'!$I$67:$I$100</c:f>
              <c:numCache>
                <c:formatCode>#\ ##0.0</c:formatCode>
                <c:ptCount val="34"/>
                <c:pt idx="0">
                  <c:v>98.902861683300088</c:v>
                </c:pt>
                <c:pt idx="1">
                  <c:v>98.641762076699848</c:v>
                </c:pt>
                <c:pt idx="2">
                  <c:v>99.862770576699759</c:v>
                </c:pt>
                <c:pt idx="3">
                  <c:v>102.5926056600001</c:v>
                </c:pt>
                <c:pt idx="4">
                  <c:v>103.82853170329984</c:v>
                </c:pt>
                <c:pt idx="5">
                  <c:v>104.32379246999992</c:v>
                </c:pt>
                <c:pt idx="6">
                  <c:v>104.52213576669986</c:v>
                </c:pt>
                <c:pt idx="7">
                  <c:v>107.60230518329986</c:v>
                </c:pt>
                <c:pt idx="8">
                  <c:v>108.05029219669984</c:v>
                </c:pt>
                <c:pt idx="9">
                  <c:v>110.91734060330012</c:v>
                </c:pt>
                <c:pt idx="10">
                  <c:v>110.9835808433</c:v>
                </c:pt>
                <c:pt idx="11">
                  <c:v>114.18133894999991</c:v>
                </c:pt>
                <c:pt idx="12">
                  <c:v>114.0189565133</c:v>
                </c:pt>
                <c:pt idx="13">
                  <c:v>116.6800979633</c:v>
                </c:pt>
                <c:pt idx="14">
                  <c:v>114.09303906000002</c:v>
                </c:pt>
                <c:pt idx="15">
                  <c:v>117.57587906329985</c:v>
                </c:pt>
                <c:pt idx="16">
                  <c:v>119.19948671329986</c:v>
                </c:pt>
                <c:pt idx="17">
                  <c:v>120.02304511669982</c:v>
                </c:pt>
                <c:pt idx="18">
                  <c:v>115.19566012999998</c:v>
                </c:pt>
                <c:pt idx="19">
                  <c:v>118.16034126999998</c:v>
                </c:pt>
                <c:pt idx="20">
                  <c:v>111.22961624330009</c:v>
                </c:pt>
                <c:pt idx="21">
                  <c:v>100.07614873329985</c:v>
                </c:pt>
                <c:pt idx="22">
                  <c:v>114.00860915</c:v>
                </c:pt>
                <c:pt idx="23">
                  <c:v>104.65409344000008</c:v>
                </c:pt>
                <c:pt idx="24">
                  <c:v>102.30890399</c:v>
                </c:pt>
                <c:pt idx="25">
                  <c:v>111.00930954330002</c:v>
                </c:pt>
                <c:pt idx="26">
                  <c:v>117.89445022000002</c:v>
                </c:pt>
                <c:pt idx="27">
                  <c:v>114.65352857329987</c:v>
                </c:pt>
                <c:pt idx="28">
                  <c:v>114.8749677533</c:v>
                </c:pt>
                <c:pt idx="29">
                  <c:v>106.01158791</c:v>
                </c:pt>
                <c:pt idx="30">
                  <c:v>106.00076005669985</c:v>
                </c:pt>
                <c:pt idx="31">
                  <c:v>111.11192865330008</c:v>
                </c:pt>
                <c:pt idx="32">
                  <c:v>115.3853039</c:v>
                </c:pt>
              </c:numCache>
            </c:numRef>
          </c:val>
          <c:smooth val="0"/>
          <c:extLst>
            <c:ext xmlns:c16="http://schemas.microsoft.com/office/drawing/2014/chart" uri="{C3380CC4-5D6E-409C-BE32-E72D297353CC}">
              <c16:uniqueId val="{00000005-B659-4398-B92E-69FC3BE8765F}"/>
            </c:ext>
          </c:extLst>
        </c:ser>
        <c:ser>
          <c:idx val="6"/>
          <c:order val="6"/>
          <c:tx>
            <c:strRef>
              <c:f>'výkonnost odvětví 5a'!$J$66</c:f>
              <c:strCache>
                <c:ptCount val="1"/>
                <c:pt idx="0">
                  <c:v>Obchod a opravy motor. vozidel (2015=100)</c:v>
                </c:pt>
              </c:strCache>
            </c:strRef>
          </c:tx>
          <c:spPr>
            <a:ln w="15875">
              <a:solidFill>
                <a:srgbClr val="984807"/>
              </a:solidFill>
              <a:prstDash val="solid"/>
            </a:ln>
          </c:spPr>
          <c:marker>
            <c:symbol val="none"/>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5a'!$J$67:$J$100</c:f>
              <c:numCache>
                <c:formatCode>#\ ##0.0</c:formatCode>
                <c:ptCount val="34"/>
                <c:pt idx="0">
                  <c:v>95.674913026699883</c:v>
                </c:pt>
                <c:pt idx="1">
                  <c:v>98.560016843300005</c:v>
                </c:pt>
                <c:pt idx="2">
                  <c:v>101.31104914330002</c:v>
                </c:pt>
                <c:pt idx="3">
                  <c:v>104.45402098330017</c:v>
                </c:pt>
                <c:pt idx="4">
                  <c:v>105.0998844667</c:v>
                </c:pt>
                <c:pt idx="5">
                  <c:v>106.74665345330017</c:v>
                </c:pt>
                <c:pt idx="6">
                  <c:v>108.98378878</c:v>
                </c:pt>
                <c:pt idx="7">
                  <c:v>109.86758091</c:v>
                </c:pt>
                <c:pt idx="8">
                  <c:v>110.82769768000009</c:v>
                </c:pt>
                <c:pt idx="9">
                  <c:v>111.38559074669986</c:v>
                </c:pt>
                <c:pt idx="10">
                  <c:v>109.70167963000009</c:v>
                </c:pt>
                <c:pt idx="11">
                  <c:v>112.16470216999991</c:v>
                </c:pt>
                <c:pt idx="12">
                  <c:v>110.27402299000002</c:v>
                </c:pt>
                <c:pt idx="13">
                  <c:v>109.89581527670001</c:v>
                </c:pt>
                <c:pt idx="14">
                  <c:v>109.13033198669984</c:v>
                </c:pt>
                <c:pt idx="15">
                  <c:v>106.65518173999986</c:v>
                </c:pt>
                <c:pt idx="16">
                  <c:v>109.01463176999999</c:v>
                </c:pt>
                <c:pt idx="17">
                  <c:v>110.7507360833</c:v>
                </c:pt>
                <c:pt idx="18">
                  <c:v>109.87685177329986</c:v>
                </c:pt>
                <c:pt idx="19">
                  <c:v>110.48031871000001</c:v>
                </c:pt>
                <c:pt idx="20">
                  <c:v>95.676395003299874</c:v>
                </c:pt>
                <c:pt idx="21">
                  <c:v>77.407445156699865</c:v>
                </c:pt>
                <c:pt idx="22">
                  <c:v>101.0189567533</c:v>
                </c:pt>
                <c:pt idx="23">
                  <c:v>102.6341597167</c:v>
                </c:pt>
                <c:pt idx="24">
                  <c:v>101.92430179</c:v>
                </c:pt>
                <c:pt idx="25">
                  <c:v>104.87521292999998</c:v>
                </c:pt>
                <c:pt idx="26">
                  <c:v>99.9690871233</c:v>
                </c:pt>
                <c:pt idx="27">
                  <c:v>98.537373770000002</c:v>
                </c:pt>
                <c:pt idx="28">
                  <c:v>98.585045013299847</c:v>
                </c:pt>
                <c:pt idx="29">
                  <c:v>97.510469470000118</c:v>
                </c:pt>
                <c:pt idx="30">
                  <c:v>96.69633564999998</c:v>
                </c:pt>
                <c:pt idx="31">
                  <c:v>97.851096823299883</c:v>
                </c:pt>
                <c:pt idx="32">
                  <c:v>102.8269633867</c:v>
                </c:pt>
              </c:numCache>
            </c:numRef>
          </c:val>
          <c:smooth val="0"/>
          <c:extLst>
            <c:ext xmlns:c16="http://schemas.microsoft.com/office/drawing/2014/chart" uri="{C3380CC4-5D6E-409C-BE32-E72D297353CC}">
              <c16:uniqueId val="{00000006-B659-4398-B92E-69FC3BE8765F}"/>
            </c:ext>
          </c:extLst>
        </c:ser>
        <c:ser>
          <c:idx val="7"/>
          <c:order val="7"/>
          <c:tx>
            <c:strRef>
              <c:f>'výkonnost odvětví 5a'!$K$66</c:f>
              <c:strCache>
                <c:ptCount val="1"/>
              </c:strCache>
            </c:strRef>
          </c:tx>
          <c:spPr>
            <a:ln w="3175">
              <a:noFill/>
              <a:prstDash val="sysDash"/>
            </a:ln>
          </c:spPr>
          <c:marker>
            <c:symbol val="none"/>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5a'!$K$67:$K$100</c:f>
              <c:numCache>
                <c:formatCode>General</c:formatCode>
                <c:ptCount val="34"/>
              </c:numCache>
            </c:numRef>
          </c:val>
          <c:smooth val="0"/>
          <c:extLst>
            <c:ext xmlns:c16="http://schemas.microsoft.com/office/drawing/2014/chart" uri="{C3380CC4-5D6E-409C-BE32-E72D297353CC}">
              <c16:uniqueId val="{00000007-B659-4398-B92E-69FC3BE8765F}"/>
            </c:ext>
          </c:extLst>
        </c:ser>
        <c:ser>
          <c:idx val="8"/>
          <c:order val="8"/>
          <c:tx>
            <c:strRef>
              <c:f>'výkonnost odvětví 5a'!$L$66</c:f>
              <c:strCache>
                <c:ptCount val="1"/>
                <c:pt idx="0">
                  <c:v>Saldo indikátoru důvěry spotřebitelů</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5a'!$L$67:$L$100</c:f>
              <c:numCache>
                <c:formatCode>0.0</c:formatCode>
                <c:ptCount val="34"/>
                <c:pt idx="0">
                  <c:v>-1.75</c:v>
                </c:pt>
                <c:pt idx="1">
                  <c:v>0.25</c:v>
                </c:pt>
                <c:pt idx="2">
                  <c:v>-3.75</c:v>
                </c:pt>
                <c:pt idx="3">
                  <c:v>-0.25</c:v>
                </c:pt>
                <c:pt idx="4">
                  <c:v>-1.5</c:v>
                </c:pt>
                <c:pt idx="5">
                  <c:v>0</c:v>
                </c:pt>
                <c:pt idx="6">
                  <c:v>-2.25</c:v>
                </c:pt>
                <c:pt idx="7">
                  <c:v>0.75000000000000078</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pt idx="33">
                  <c:v>-20.3</c:v>
                </c:pt>
              </c:numCache>
            </c:numRef>
          </c:val>
          <c:smooth val="0"/>
          <c:extLst>
            <c:ext xmlns:c16="http://schemas.microsoft.com/office/drawing/2014/chart" uri="{C3380CC4-5D6E-409C-BE32-E72D297353CC}">
              <c16:uniqueId val="{00000008-B659-4398-B92E-69FC3BE8765F}"/>
            </c:ext>
          </c:extLst>
        </c:ser>
        <c:ser>
          <c:idx val="9"/>
          <c:order val="9"/>
          <c:tx>
            <c:strRef>
              <c:f>'výkonnost odvětví 5a'!$M$66</c:f>
              <c:strCache>
                <c:ptCount val="1"/>
                <c:pt idx="0">
                  <c:v>Saldo indikátoru důvěry obchodníků</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5a'!$M$67:$M$100</c:f>
              <c:numCache>
                <c:formatCode>0.0</c:formatCode>
                <c:ptCount val="34"/>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pt idx="33">
                  <c:v>13.3</c:v>
                </c:pt>
              </c:numCache>
            </c:numRef>
          </c:val>
          <c:smooth val="0"/>
          <c:extLst>
            <c:ext xmlns:c16="http://schemas.microsoft.com/office/drawing/2014/chart" uri="{C3380CC4-5D6E-409C-BE32-E72D297353CC}">
              <c16:uniqueId val="{00000009-B659-4398-B92E-69FC3BE8765F}"/>
            </c:ext>
          </c:extLst>
        </c:ser>
        <c:dLbls>
          <c:showLegendKey val="0"/>
          <c:showVal val="0"/>
          <c:showCatName val="0"/>
          <c:showSerName val="0"/>
          <c:showPercent val="0"/>
          <c:showBubbleSize val="0"/>
        </c:dLbls>
        <c:marker val="1"/>
        <c:smooth val="0"/>
        <c:axId val="100660352"/>
        <c:axId val="100604928"/>
      </c:lineChart>
      <c:catAx>
        <c:axId val="100301824"/>
        <c:scaling>
          <c:orientation val="minMax"/>
        </c:scaling>
        <c:delete val="0"/>
        <c:axPos val="b"/>
        <c:numFmt formatCode="General" sourceLinked="0"/>
        <c:majorTickMark val="out"/>
        <c:minorTickMark val="none"/>
        <c:tickLblPos val="low"/>
        <c:txPr>
          <a:bodyPr/>
          <a:lstStyle/>
          <a:p>
            <a:pPr>
              <a:defRPr sz="800"/>
            </a:pPr>
            <a:endParaRPr lang="cs-CZ"/>
          </a:p>
        </c:txPr>
        <c:crossAx val="100603008"/>
        <c:crosses val="autoZero"/>
        <c:auto val="1"/>
        <c:lblAlgn val="ctr"/>
        <c:lblOffset val="0"/>
        <c:noMultiLvlLbl val="0"/>
      </c:catAx>
      <c:valAx>
        <c:axId val="100603008"/>
        <c:scaling>
          <c:orientation val="minMax"/>
          <c:max val="12"/>
          <c:min val="-10"/>
        </c:scaling>
        <c:delete val="0"/>
        <c:axPos val="l"/>
        <c:majorGridlines>
          <c:spPr>
            <a:ln w="6350">
              <a:solidFill>
                <a:schemeClr val="bg1">
                  <a:lumMod val="75000"/>
                </a:schemeClr>
              </a:solidFill>
            </a:ln>
          </c:spPr>
        </c:majorGridlines>
        <c:title>
          <c:tx>
            <c:rich>
              <a:bodyPr/>
              <a:lstStyle/>
              <a:p>
                <a:pPr>
                  <a:defRPr sz="750" b="0" i="1"/>
                </a:pPr>
                <a:r>
                  <a:rPr lang="cs-CZ" sz="750" b="0" i="1"/>
                  <a:t>Tržby</a:t>
                </a:r>
                <a:r>
                  <a:rPr lang="cs-CZ" sz="750" b="0" i="1" baseline="0"/>
                  <a:t> (příspěvěk k meziroč. růstu)</a:t>
                </a:r>
                <a:endParaRPr lang="cs-CZ" sz="750" b="0" i="1"/>
              </a:p>
            </c:rich>
          </c:tx>
          <c:layout>
            <c:manualLayout>
              <c:xMode val="edge"/>
              <c:yMode val="edge"/>
              <c:x val="2.6087065478329011E-3"/>
              <c:y val="0.18186950815930633"/>
            </c:manualLayout>
          </c:layout>
          <c:overlay val="0"/>
        </c:title>
        <c:numFmt formatCode="0" sourceLinked="0"/>
        <c:majorTickMark val="out"/>
        <c:minorTickMark val="none"/>
        <c:tickLblPos val="nextTo"/>
        <c:txPr>
          <a:bodyPr/>
          <a:lstStyle/>
          <a:p>
            <a:pPr>
              <a:defRPr sz="800"/>
            </a:pPr>
            <a:endParaRPr lang="cs-CZ"/>
          </a:p>
        </c:txPr>
        <c:crossAx val="100301824"/>
        <c:crosses val="autoZero"/>
        <c:crossBetween val="between"/>
        <c:majorUnit val="2"/>
      </c:valAx>
      <c:valAx>
        <c:axId val="100604928"/>
        <c:scaling>
          <c:orientation val="minMax"/>
          <c:max val="140"/>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Tržby</a:t>
                </a:r>
                <a:r>
                  <a:rPr lang="cs-CZ" sz="750" b="0" i="1" baseline="0">
                    <a:latin typeface="Arial" panose="020B0604020202020204" pitchFamily="34" charset="0"/>
                    <a:cs typeface="Arial" panose="020B0604020202020204" pitchFamily="34" charset="0"/>
                  </a:rPr>
                  <a:t> (rok 2015=100), </a:t>
                </a:r>
                <a:r>
                  <a:rPr lang="cs-CZ" sz="750" b="0" i="1" u="none" strike="noStrike" baseline="0">
                    <a:effectLst/>
                    <a:latin typeface="Arial" panose="020B0604020202020204" pitchFamily="34" charset="0"/>
                    <a:cs typeface="Arial" panose="020B0604020202020204" pitchFamily="34" charset="0"/>
                  </a:rPr>
                  <a:t>důvěra domácností (p. b.)</a:t>
                </a:r>
                <a:endParaRPr lang="cs-CZ" sz="750" b="0" i="1">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800"/>
            </a:pPr>
            <a:endParaRPr lang="cs-CZ"/>
          </a:p>
        </c:txPr>
        <c:crossAx val="100660352"/>
        <c:crosses val="max"/>
        <c:crossBetween val="between"/>
        <c:majorUnit val="10"/>
      </c:valAx>
      <c:catAx>
        <c:axId val="100660352"/>
        <c:scaling>
          <c:orientation val="minMax"/>
        </c:scaling>
        <c:delete val="1"/>
        <c:axPos val="b"/>
        <c:numFmt formatCode="General" sourceLinked="1"/>
        <c:majorTickMark val="out"/>
        <c:minorTickMark val="none"/>
        <c:tickLblPos val="none"/>
        <c:crossAx val="100604928"/>
        <c:crosses val="autoZero"/>
        <c:auto val="1"/>
        <c:lblAlgn val="ctr"/>
        <c:lblOffset val="100"/>
        <c:noMultiLvlLbl val="0"/>
      </c:catAx>
      <c:spPr>
        <a:ln>
          <a:solidFill>
            <a:schemeClr val="tx1"/>
          </a:solidFill>
        </a:ln>
      </c:spPr>
    </c:plotArea>
    <c:legend>
      <c:legendPos val="r"/>
      <c:layout>
        <c:manualLayout>
          <c:xMode val="edge"/>
          <c:yMode val="edge"/>
          <c:x val="7.8026315789473683E-3"/>
          <c:y val="0.83721607601948378"/>
          <c:w val="0.98158751044277359"/>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511717884667364E-2"/>
          <c:y val="2.3304908251716775E-2"/>
          <c:w val="0.92378402700888473"/>
          <c:h val="0.69508533791523497"/>
        </c:manualLayout>
      </c:layout>
      <c:barChart>
        <c:barDir val="col"/>
        <c:grouping val="clustered"/>
        <c:varyColors val="0"/>
        <c:ser>
          <c:idx val="1"/>
          <c:order val="1"/>
          <c:tx>
            <c:strRef>
              <c:f>'Vnější vztahy 2'!$A$7</c:f>
              <c:strCache>
                <c:ptCount val="1"/>
                <c:pt idx="0">
                  <c:v>2022</c:v>
                </c:pt>
              </c:strCache>
            </c:strRef>
          </c:tx>
          <c:spPr>
            <a:solidFill>
              <a:schemeClr val="bg1">
                <a:lumMod val="65000"/>
              </a:schemeClr>
            </a:solidFill>
          </c:spPr>
          <c:invertIfNegative val="0"/>
          <c:cat>
            <c:strRef>
              <c:f>'Vnější vztahy 2'!$B$5:$N$5</c:f>
              <c:strCache>
                <c:ptCount val="13"/>
                <c:pt idx="0">
                  <c:v>Ropa                                                                                           a zemní plyn</c:v>
                </c:pt>
                <c:pt idx="1">
                  <c:v>Potravinářské                                            výrobky</c:v>
                </c:pt>
                <c:pt idx="2">
                  <c:v>Oděvy</c:v>
                </c:pt>
                <c:pt idx="3">
                  <c:v>Koks, rafinované                                                          ropné prod.</c:v>
                </c:pt>
                <c:pt idx="4">
                  <c:v>Chemické látky                                                              a přípravky</c:v>
                </c:pt>
                <c:pt idx="5">
                  <c:v>Farmaceutické                                                                  výrobky</c:v>
                </c:pt>
                <c:pt idx="6">
                  <c:v>Ostat. nekovové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2'!$B$7:$N$7</c:f>
              <c:numCache>
                <c:formatCode>General</c:formatCode>
                <c:ptCount val="13"/>
                <c:pt idx="0">
                  <c:v>-52.984994583999985</c:v>
                </c:pt>
                <c:pt idx="1">
                  <c:v>-13.218468280999998</c:v>
                </c:pt>
                <c:pt idx="2">
                  <c:v>-9.2154738840000014</c:v>
                </c:pt>
                <c:pt idx="3">
                  <c:v>-10.449415975000003</c:v>
                </c:pt>
                <c:pt idx="4">
                  <c:v>-38.011325351000004</c:v>
                </c:pt>
                <c:pt idx="5">
                  <c:v>-18.191131472000009</c:v>
                </c:pt>
                <c:pt idx="6">
                  <c:v>7.7415523879999997</c:v>
                </c:pt>
                <c:pt idx="7">
                  <c:v>-47.397633159999998</c:v>
                </c:pt>
                <c:pt idx="8">
                  <c:v>20.518991954000008</c:v>
                </c:pt>
                <c:pt idx="9">
                  <c:v>-17.575899732000003</c:v>
                </c:pt>
                <c:pt idx="10">
                  <c:v>1.9739037659999996</c:v>
                </c:pt>
                <c:pt idx="11">
                  <c:v>24.097914669000009</c:v>
                </c:pt>
                <c:pt idx="12">
                  <c:v>104.97113052200001</c:v>
                </c:pt>
              </c:numCache>
            </c:numRef>
          </c:val>
          <c:extLst>
            <c:ext xmlns:c16="http://schemas.microsoft.com/office/drawing/2014/chart" uri="{C3380CC4-5D6E-409C-BE32-E72D297353CC}">
              <c16:uniqueId val="{00000000-4B7C-422E-92E3-50EFDC5A0154}"/>
            </c:ext>
          </c:extLst>
        </c:ser>
        <c:ser>
          <c:idx val="2"/>
          <c:order val="2"/>
          <c:tx>
            <c:strRef>
              <c:f>'Vnější vztahy 2'!$A$8</c:f>
              <c:strCache>
                <c:ptCount val="1"/>
                <c:pt idx="0">
                  <c:v>2023</c:v>
                </c:pt>
              </c:strCache>
            </c:strRef>
          </c:tx>
          <c:spPr>
            <a:solidFill>
              <a:srgbClr val="C00000"/>
            </a:solidFill>
          </c:spPr>
          <c:invertIfNegative val="0"/>
          <c:cat>
            <c:strRef>
              <c:f>'Vnější vztahy 2'!$B$5:$N$5</c:f>
              <c:strCache>
                <c:ptCount val="13"/>
                <c:pt idx="0">
                  <c:v>Ropa                                                                                           a zemní plyn</c:v>
                </c:pt>
                <c:pt idx="1">
                  <c:v>Potravinářské                                            výrobky</c:v>
                </c:pt>
                <c:pt idx="2">
                  <c:v>Oděvy</c:v>
                </c:pt>
                <c:pt idx="3">
                  <c:v>Koks, rafinované                                                          ropné prod.</c:v>
                </c:pt>
                <c:pt idx="4">
                  <c:v>Chemické látky                                                              a přípravky</c:v>
                </c:pt>
                <c:pt idx="5">
                  <c:v>Farmaceutické                                                                  výrobky</c:v>
                </c:pt>
                <c:pt idx="6">
                  <c:v>Ostat. nekovové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2'!$B$8:$N$8</c:f>
              <c:numCache>
                <c:formatCode>General</c:formatCode>
                <c:ptCount val="13"/>
                <c:pt idx="0">
                  <c:v>-41.643080417999997</c:v>
                </c:pt>
                <c:pt idx="1">
                  <c:v>-12.256010030000002</c:v>
                </c:pt>
                <c:pt idx="2">
                  <c:v>-10.642384737</c:v>
                </c:pt>
                <c:pt idx="3">
                  <c:v>-10.011485008000003</c:v>
                </c:pt>
                <c:pt idx="4">
                  <c:v>-35.736512478000016</c:v>
                </c:pt>
                <c:pt idx="5">
                  <c:v>-17.609940938000001</c:v>
                </c:pt>
                <c:pt idx="6">
                  <c:v>8.8107164750000031</c:v>
                </c:pt>
                <c:pt idx="7">
                  <c:v>-43.213087534999993</c:v>
                </c:pt>
                <c:pt idx="8">
                  <c:v>19.647751262000007</c:v>
                </c:pt>
                <c:pt idx="9">
                  <c:v>-15.759129661000001</c:v>
                </c:pt>
                <c:pt idx="10">
                  <c:v>-0.74908368399999992</c:v>
                </c:pt>
                <c:pt idx="11">
                  <c:v>31.018792979999983</c:v>
                </c:pt>
                <c:pt idx="12">
                  <c:v>148.22473179199994</c:v>
                </c:pt>
              </c:numCache>
            </c:numRef>
          </c:val>
          <c:extLst>
            <c:ext xmlns:c16="http://schemas.microsoft.com/office/drawing/2014/chart" uri="{C3380CC4-5D6E-409C-BE32-E72D297353CC}">
              <c16:uniqueId val="{00000001-4B7C-422E-92E3-50EFDC5A0154}"/>
            </c:ext>
          </c:extLst>
        </c:ser>
        <c:dLbls>
          <c:showLegendKey val="0"/>
          <c:showVal val="0"/>
          <c:showCatName val="0"/>
          <c:showSerName val="0"/>
          <c:showPercent val="0"/>
          <c:showBubbleSize val="0"/>
        </c:dLbls>
        <c:gapWidth val="97"/>
        <c:axId val="79411072"/>
        <c:axId val="83612416"/>
        <c:extLst>
          <c:ext xmlns:c15="http://schemas.microsoft.com/office/drawing/2012/chart" uri="{02D57815-91ED-43cb-92C2-25804820EDAC}">
            <c15:filteredBarSeries>
              <c15:ser>
                <c:idx val="0"/>
                <c:order val="0"/>
                <c:tx>
                  <c:strRef>
                    <c:extLst>
                      <c:ext uri="{02D57815-91ED-43cb-92C2-25804820EDAC}">
                        <c15:formulaRef>
                          <c15:sqref>'Vnější vztahy 2'!$A$6</c15:sqref>
                        </c15:formulaRef>
                      </c:ext>
                    </c:extLst>
                    <c:strCache>
                      <c:ptCount val="1"/>
                      <c:pt idx="0">
                        <c:v>2021</c:v>
                      </c:pt>
                    </c:strCache>
                  </c:strRef>
                </c:tx>
                <c:spPr>
                  <a:solidFill>
                    <a:schemeClr val="tx1">
                      <a:lumMod val="50000"/>
                      <a:lumOff val="50000"/>
                    </a:schemeClr>
                  </a:solidFill>
                  <a:ln>
                    <a:noFill/>
                  </a:ln>
                </c:spPr>
                <c:invertIfNegative val="0"/>
                <c:cat>
                  <c:strRef>
                    <c:extLst>
                      <c:ext uri="{02D57815-91ED-43cb-92C2-25804820EDAC}">
                        <c15:formulaRef>
                          <c15:sqref>'Vnější vztahy 2'!$B$5:$N$5</c15:sqref>
                        </c15:formulaRef>
                      </c:ext>
                    </c:extLst>
                    <c:strCache>
                      <c:ptCount val="13"/>
                      <c:pt idx="0">
                        <c:v>Ropa                                                                                           a zemní plyn</c:v>
                      </c:pt>
                      <c:pt idx="1">
                        <c:v>Potravinářské                                            výrobky</c:v>
                      </c:pt>
                      <c:pt idx="2">
                        <c:v>Oděvy</c:v>
                      </c:pt>
                      <c:pt idx="3">
                        <c:v>Koks, rafinované                                                          ropné prod.</c:v>
                      </c:pt>
                      <c:pt idx="4">
                        <c:v>Chemické látky                                                              a přípravky</c:v>
                      </c:pt>
                      <c:pt idx="5">
                        <c:v>Farmaceutické                                                                  výrobky</c:v>
                      </c:pt>
                      <c:pt idx="6">
                        <c:v>Ostat. nekovové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extLst>
                      <c:ext uri="{02D57815-91ED-43cb-92C2-25804820EDAC}">
                        <c15:formulaRef>
                          <c15:sqref>'Vnější vztahy 2'!$B$6:$N$6</c15:sqref>
                        </c15:formulaRef>
                      </c:ext>
                    </c:extLst>
                    <c:numCache>
                      <c:formatCode>General</c:formatCode>
                      <c:ptCount val="13"/>
                      <c:pt idx="0">
                        <c:v>-21.617115904999999</c:v>
                      </c:pt>
                      <c:pt idx="1">
                        <c:v>-10.697178878999999</c:v>
                      </c:pt>
                      <c:pt idx="2">
                        <c:v>-6.1543490370000002</c:v>
                      </c:pt>
                      <c:pt idx="3">
                        <c:v>-3.8531764960000001</c:v>
                      </c:pt>
                      <c:pt idx="4">
                        <c:v>-32.679474902999999</c:v>
                      </c:pt>
                      <c:pt idx="5">
                        <c:v>-20.605568039000001</c:v>
                      </c:pt>
                      <c:pt idx="6">
                        <c:v>6.6531381349999998</c:v>
                      </c:pt>
                      <c:pt idx="7">
                        <c:v>-29.792545924999999</c:v>
                      </c:pt>
                      <c:pt idx="8">
                        <c:v>16.766544988</c:v>
                      </c:pt>
                      <c:pt idx="9">
                        <c:v>-12.882278257999999</c:v>
                      </c:pt>
                      <c:pt idx="10">
                        <c:v>6.2764400360000003</c:v>
                      </c:pt>
                      <c:pt idx="11">
                        <c:v>28.219568735999999</c:v>
                      </c:pt>
                      <c:pt idx="12">
                        <c:v>122.341809423</c:v>
                      </c:pt>
                    </c:numCache>
                  </c:numRef>
                </c:val>
                <c:extLst>
                  <c:ext xmlns:c16="http://schemas.microsoft.com/office/drawing/2014/chart" uri="{C3380CC4-5D6E-409C-BE32-E72D297353CC}">
                    <c16:uniqueId val="{00000002-4B7C-422E-92E3-50EFDC5A0154}"/>
                  </c:ext>
                </c:extLst>
              </c15:ser>
            </c15:filteredBarSeries>
          </c:ext>
        </c:extLst>
      </c:barChart>
      <c:catAx>
        <c:axId val="79411072"/>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83612416"/>
        <c:crosses val="autoZero"/>
        <c:auto val="1"/>
        <c:lblAlgn val="ctr"/>
        <c:lblOffset val="100"/>
        <c:noMultiLvlLbl val="0"/>
      </c:catAx>
      <c:valAx>
        <c:axId val="83612416"/>
        <c:scaling>
          <c:orientation val="minMax"/>
          <c:max val="160"/>
          <c:min val="-8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79411072"/>
        <c:crosses val="autoZero"/>
        <c:crossBetween val="between"/>
        <c:majorUnit val="40"/>
      </c:valAx>
      <c:spPr>
        <a:ln>
          <a:solidFill>
            <a:schemeClr val="tx1"/>
          </a:solidFill>
        </a:ln>
      </c:spPr>
    </c:plotArea>
    <c:legend>
      <c:legendPos val="t"/>
      <c:layout>
        <c:manualLayout>
          <c:xMode val="edge"/>
          <c:yMode val="edge"/>
          <c:x val="0.14065045404275039"/>
          <c:y val="6.1827033218785812E-2"/>
          <c:w val="0.26887915184156158"/>
          <c:h val="5.3991695303550982E-2"/>
        </c:manualLayout>
      </c:layout>
      <c:overlay val="0"/>
      <c:spPr>
        <a:ln w="6350">
          <a:no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33BFF-4B11-41B2-8873-A9310F8BC4B5}">
  <ds:schemaRefs>
    <ds:schemaRef ds:uri="http://schemas.openxmlformats.org/officeDocument/2006/bibliography"/>
  </ds:schemaRefs>
</ds:datastoreItem>
</file>

<file path=customXml/itemProps5.xml><?xml version="1.0" encoding="utf-8"?>
<ds:datastoreItem xmlns:ds="http://schemas.openxmlformats.org/officeDocument/2006/customXml" ds:itemID="{FA965298-602B-47BA-BF18-287FD963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4</TotalTime>
  <Pages>43</Pages>
  <Words>16469</Words>
  <Characters>97170</Characters>
  <Application>Microsoft Office Word</Application>
  <DocSecurity>0</DocSecurity>
  <Lines>809</Lines>
  <Paragraphs>226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4</cp:revision>
  <cp:lastPrinted>2023-06-09T17:23:00Z</cp:lastPrinted>
  <dcterms:created xsi:type="dcterms:W3CDTF">2023-06-15T09:42:00Z</dcterms:created>
  <dcterms:modified xsi:type="dcterms:W3CDTF">2023-06-15T09:45:00Z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