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A758E" w14:textId="77777777" w:rsidR="001E1AF1" w:rsidRDefault="001E1AF1" w:rsidP="001E1AF1">
      <w:pPr>
        <w:pStyle w:val="Nadpis11"/>
      </w:pPr>
      <w:bookmarkStart w:id="0" w:name="_Toc153531180"/>
      <w:bookmarkStart w:id="1" w:name="_GoBack"/>
      <w:bookmarkEnd w:id="1"/>
      <w:r>
        <w:t>8. Státní rozpočet</w:t>
      </w:r>
      <w:bookmarkEnd w:id="0"/>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E1AF1" w:rsidRPr="003C07E6" w14:paraId="18AC94B6" w14:textId="77777777" w:rsidTr="08AB0269">
        <w:trPr>
          <w:trHeight w:val="60"/>
        </w:trPr>
        <w:tc>
          <w:tcPr>
            <w:tcW w:w="1792" w:type="dxa"/>
            <w:shd w:val="clear" w:color="auto" w:fill="auto"/>
            <w:tcMar>
              <w:left w:w="0" w:type="dxa"/>
            </w:tcMar>
          </w:tcPr>
          <w:p w14:paraId="65DCC7BD" w14:textId="77777777" w:rsidR="001E1AF1" w:rsidRDefault="001E1AF1" w:rsidP="00D26E6B">
            <w:pPr>
              <w:pStyle w:val="Marginlie"/>
            </w:pPr>
            <w:r>
              <w:t xml:space="preserve">SR nadále hospodařil s hlubokým schodkem, který se však během 3. čtvrtletí zmírnil. </w:t>
            </w:r>
          </w:p>
        </w:tc>
        <w:tc>
          <w:tcPr>
            <w:tcW w:w="203" w:type="dxa"/>
            <w:shd w:val="clear" w:color="auto" w:fill="auto"/>
            <w:tcMar>
              <w:left w:w="0" w:type="dxa"/>
            </w:tcMar>
          </w:tcPr>
          <w:p w14:paraId="61E780DD" w14:textId="77777777" w:rsidR="001E1AF1" w:rsidRDefault="001E1AF1" w:rsidP="00D26E6B">
            <w:pPr>
              <w:pStyle w:val="Textpoznpodarou"/>
              <w:jc w:val="both"/>
              <w:rPr>
                <w:spacing w:val="-4"/>
              </w:rPr>
            </w:pPr>
          </w:p>
        </w:tc>
        <w:tc>
          <w:tcPr>
            <w:tcW w:w="7674" w:type="dxa"/>
            <w:shd w:val="clear" w:color="auto" w:fill="auto"/>
            <w:tcMar>
              <w:left w:w="0" w:type="dxa"/>
            </w:tcMar>
          </w:tcPr>
          <w:p w14:paraId="09478B03" w14:textId="77777777" w:rsidR="001E1AF1" w:rsidRDefault="001E1AF1" w:rsidP="00D26E6B">
            <w:pPr>
              <w:spacing w:after="200"/>
              <w:rPr>
                <w:spacing w:val="-2"/>
              </w:rPr>
            </w:pPr>
            <w:r>
              <w:rPr>
                <w:spacing w:val="-2"/>
              </w:rPr>
              <w:t>Státní rozpočet (SR)</w:t>
            </w:r>
            <w:r w:rsidRPr="00EC0AAD">
              <w:rPr>
                <w:rStyle w:val="Znakapoznpodarou"/>
                <w:spacing w:val="-2"/>
              </w:rPr>
              <w:footnoteReference w:id="1"/>
            </w:r>
            <w:r>
              <w:rPr>
                <w:spacing w:val="-2"/>
              </w:rPr>
              <w:t xml:space="preserve"> hospodařil v 1. až 3. čtvrtletí s deficitem 180,7 mld. korun. SR za toto období roku vykázal hluboký schodek počtvrté v řadě. Letošní deficit byl ale v tomto kontextu nejnižší a meziročně klesl o celou třetinu. Během 3. čtvrtletí 2023 se rozpočtový schodek snížil, neboť na konci letošního pololetí vystoupal až na 215,4 mld. korun (to představovalo již skoro tři čtvrtiny celoročního plánovaného deficitu</w:t>
            </w:r>
            <w:r w:rsidRPr="00EC0AAD">
              <w:rPr>
                <w:rStyle w:val="Znakapoznpodarou"/>
                <w:spacing w:val="-2"/>
              </w:rPr>
              <w:footnoteReference w:id="2"/>
            </w:r>
            <w:r>
              <w:rPr>
                <w:spacing w:val="-2"/>
              </w:rPr>
              <w:t>). Toto zlepšení během letních měsíců souviselo především s očekávaným podstatným posílením příjmů SR (dividendy, výnosy z mimořádných firemních daní, zejména v oblasti energetiky). Podstatnou roli sehrálo navíc i započtení prostředků z Národního plánu obnovy, které letos od června významně navýšily celkové příjmy z EU</w:t>
            </w:r>
            <w:r>
              <w:rPr>
                <w:rStyle w:val="Znakapoznpodarou"/>
                <w:spacing w:val="-2"/>
              </w:rPr>
              <w:footnoteReference w:id="3"/>
            </w:r>
            <w:r>
              <w:rPr>
                <w:spacing w:val="-2"/>
              </w:rPr>
              <w:t xml:space="preserve">. Schodek SR po očištění všech </w:t>
            </w:r>
            <w:r w:rsidRPr="00BF6E26">
              <w:rPr>
                <w:spacing w:val="-2"/>
              </w:rPr>
              <w:t>příjmů a výdajů souvisejících se společnými projekty ČR a EU</w:t>
            </w:r>
            <w:r>
              <w:rPr>
                <w:spacing w:val="-2"/>
              </w:rPr>
              <w:t xml:space="preserve"> činil letos za tři čtvrtletí 214,6 mld. korun a meziročně se zlepšil „jen“ o 40,8 mld. </w:t>
            </w:r>
          </w:p>
        </w:tc>
      </w:tr>
      <w:tr w:rsidR="001E1AF1" w:rsidRPr="003C07E6" w14:paraId="7B27870D" w14:textId="77777777" w:rsidTr="08AB0269">
        <w:trPr>
          <w:trHeight w:val="60"/>
        </w:trPr>
        <w:tc>
          <w:tcPr>
            <w:tcW w:w="1792" w:type="dxa"/>
            <w:shd w:val="clear" w:color="auto" w:fill="auto"/>
            <w:tcMar>
              <w:left w:w="0" w:type="dxa"/>
            </w:tcMar>
          </w:tcPr>
          <w:p w14:paraId="2FD1BA72" w14:textId="77777777" w:rsidR="001E1AF1" w:rsidRDefault="001E1AF1" w:rsidP="00D26E6B">
            <w:pPr>
              <w:pStyle w:val="Marginlie"/>
            </w:pPr>
            <w:r>
              <w:t xml:space="preserve">Růst celkových příjmů mírně převyšoval rozpočtové očekávání. Táhly ho vyšší daňové příjmy i příliv prostředků z rozpočtu EU. </w:t>
            </w:r>
          </w:p>
        </w:tc>
        <w:tc>
          <w:tcPr>
            <w:tcW w:w="203" w:type="dxa"/>
            <w:shd w:val="clear" w:color="auto" w:fill="auto"/>
            <w:tcMar>
              <w:left w:w="0" w:type="dxa"/>
            </w:tcMar>
          </w:tcPr>
          <w:p w14:paraId="1BEA8753" w14:textId="77777777" w:rsidR="001E1AF1" w:rsidRDefault="001E1AF1" w:rsidP="00D26E6B">
            <w:pPr>
              <w:pStyle w:val="Textpoznpodarou"/>
              <w:jc w:val="both"/>
              <w:rPr>
                <w:spacing w:val="-4"/>
              </w:rPr>
            </w:pPr>
          </w:p>
        </w:tc>
        <w:tc>
          <w:tcPr>
            <w:tcW w:w="7674" w:type="dxa"/>
            <w:shd w:val="clear" w:color="auto" w:fill="auto"/>
            <w:tcMar>
              <w:left w:w="0" w:type="dxa"/>
            </w:tcMar>
          </w:tcPr>
          <w:p w14:paraId="0F5641D0" w14:textId="77777777" w:rsidR="001E1AF1" w:rsidRDefault="001E1AF1" w:rsidP="00D26E6B">
            <w:pPr>
              <w:spacing w:after="200"/>
              <w:rPr>
                <w:spacing w:val="-2"/>
              </w:rPr>
            </w:pPr>
            <w:r w:rsidRPr="00716AD7">
              <w:rPr>
                <w:color w:val="0D0D0D" w:themeColor="text1" w:themeTint="F2"/>
                <w:spacing w:val="-3"/>
              </w:rPr>
              <w:t xml:space="preserve">Celkové příjmy SR </w:t>
            </w:r>
            <w:r>
              <w:rPr>
                <w:color w:val="0D0D0D" w:themeColor="text1" w:themeTint="F2"/>
                <w:spacing w:val="-3"/>
              </w:rPr>
              <w:t>letos za tři čtvrtletí</w:t>
            </w:r>
            <w:r>
              <w:rPr>
                <w:spacing w:val="-3"/>
              </w:rPr>
              <w:t xml:space="preserve"> vlivem vysokého cenového růstu v ekonomice </w:t>
            </w:r>
            <w:r>
              <w:rPr>
                <w:spacing w:val="-3"/>
              </w:rPr>
              <w:br/>
              <w:t>i výše uvedených mimořádných výnosů meziročně vzrostly o rovných 23 % a mírně předčily rozpočtové očekávání. K tomuto růstu vcelku rovnoměrně přispěly jak daňové příjmy bez pojistného (+109,7 mld. korun), tak nedaňové a kapitálové příjmy i</w:t>
            </w:r>
            <w:r w:rsidRPr="009B4B62">
              <w:rPr>
                <w:spacing w:val="-3"/>
              </w:rPr>
              <w:t xml:space="preserve"> přijaté transfery</w:t>
            </w:r>
            <w:r>
              <w:rPr>
                <w:spacing w:val="-3"/>
              </w:rPr>
              <w:t xml:space="preserve"> (+118,2 mld.). Nezanedbatelný vliv měl i výběr pojistného</w:t>
            </w:r>
            <w:r>
              <w:rPr>
                <w:rStyle w:val="Znakapoznpodarou"/>
                <w:spacing w:val="-3"/>
              </w:rPr>
              <w:footnoteReference w:id="4"/>
            </w:r>
            <w:r>
              <w:rPr>
                <w:spacing w:val="-3"/>
              </w:rPr>
              <w:t xml:space="preserve"> (+40,9 mld.), jeho meziroční tempo ovšem vlivem mírného ochlazování trhu práce během letošního roku postupně sláblo (v 1. čtvrtletí 10,1 %, 3. čtvrtletí 7,0 %)</w:t>
            </w:r>
            <w:r>
              <w:rPr>
                <w:rStyle w:val="Znakapoznpodarou"/>
                <w:spacing w:val="-3"/>
              </w:rPr>
              <w:footnoteReference w:id="5"/>
            </w:r>
            <w:r>
              <w:rPr>
                <w:spacing w:val="-3"/>
              </w:rPr>
              <w:t>. Naopak růst celostátního daňového inkasa po zvolnění ve 2. čtvrtletí v následujícím období zrychlil, a to i po odečtení mimořádných firemních daní (z nadměrných příjmů či z neočekávaných zisků)</w:t>
            </w:r>
            <w:r>
              <w:rPr>
                <w:rStyle w:val="Znakapoznpodarou"/>
                <w:spacing w:val="-3"/>
              </w:rPr>
              <w:footnoteReference w:id="6"/>
            </w:r>
            <w:r>
              <w:rPr>
                <w:spacing w:val="-3"/>
              </w:rPr>
              <w:t xml:space="preserve">. Pomohlo tomu také mírné zotavení soukromé spotřeby. </w:t>
            </w:r>
          </w:p>
        </w:tc>
      </w:tr>
      <w:tr w:rsidR="001E1AF1" w:rsidRPr="003C07E6" w14:paraId="415AADFF" w14:textId="77777777" w:rsidTr="08AB0269">
        <w:trPr>
          <w:trHeight w:val="60"/>
        </w:trPr>
        <w:tc>
          <w:tcPr>
            <w:tcW w:w="1792" w:type="dxa"/>
            <w:shd w:val="clear" w:color="auto" w:fill="auto"/>
            <w:tcMar>
              <w:left w:w="0" w:type="dxa"/>
            </w:tcMar>
          </w:tcPr>
          <w:p w14:paraId="3674EA4B" w14:textId="77777777" w:rsidR="001E1AF1" w:rsidRDefault="001E1AF1" w:rsidP="00D26E6B">
            <w:pPr>
              <w:pStyle w:val="Marginlie"/>
            </w:pPr>
            <w:r>
              <w:t xml:space="preserve">K růstu daňového inkasa přispěly nejvíce dočasně zavedené mimořádné firemní daně. </w:t>
            </w:r>
          </w:p>
        </w:tc>
        <w:tc>
          <w:tcPr>
            <w:tcW w:w="203" w:type="dxa"/>
            <w:shd w:val="clear" w:color="auto" w:fill="auto"/>
            <w:tcMar>
              <w:left w:w="0" w:type="dxa"/>
            </w:tcMar>
          </w:tcPr>
          <w:p w14:paraId="3E4D20BA" w14:textId="77777777" w:rsidR="001E1AF1" w:rsidRDefault="001E1AF1" w:rsidP="00D26E6B">
            <w:pPr>
              <w:pStyle w:val="Textpoznpodarou"/>
              <w:jc w:val="both"/>
              <w:rPr>
                <w:spacing w:val="-4"/>
              </w:rPr>
            </w:pPr>
          </w:p>
        </w:tc>
        <w:tc>
          <w:tcPr>
            <w:tcW w:w="7674" w:type="dxa"/>
            <w:shd w:val="clear" w:color="auto" w:fill="auto"/>
            <w:tcMar>
              <w:left w:w="0" w:type="dxa"/>
            </w:tcMar>
          </w:tcPr>
          <w:p w14:paraId="2FED6579" w14:textId="77777777" w:rsidR="001E1AF1" w:rsidRPr="00EC0AAD" w:rsidRDefault="001E1AF1" w:rsidP="00D26E6B">
            <w:pPr>
              <w:spacing w:after="200"/>
              <w:rPr>
                <w:spacing w:val="-2"/>
              </w:rPr>
            </w:pPr>
            <w:r>
              <w:rPr>
                <w:spacing w:val="-4"/>
              </w:rPr>
              <w:t>K růstu celkových daňových příjmů SR přispěly v 1. až 3. čtvrtletí 2023 nejvíce mimořádné příjmy ze zdanění firem (+42,4 mld. korun), a to i přesto, že jejich souhrnný dosavadní výběr zdaleka nenaplňuje původní rozpočtová očekávání</w:t>
            </w:r>
            <w:r>
              <w:rPr>
                <w:rStyle w:val="Znakapoznpodarou"/>
                <w:spacing w:val="-3"/>
              </w:rPr>
              <w:footnoteReference w:id="7"/>
            </w:r>
            <w:r>
              <w:rPr>
                <w:spacing w:val="-4"/>
              </w:rPr>
              <w:t>. To platí pro jeho klíčovou položku – daň z</w:t>
            </w:r>
            <w:r>
              <w:rPr>
                <w:spacing w:val="-2"/>
              </w:rPr>
              <w:t> </w:t>
            </w:r>
            <w:r>
              <w:rPr>
                <w:spacing w:val="-4"/>
              </w:rPr>
              <w:t>neočekávaných zisků</w:t>
            </w:r>
            <w:r>
              <w:rPr>
                <w:rStyle w:val="Znakapoznpodarou"/>
                <w:spacing w:val="-4"/>
              </w:rPr>
              <w:footnoteReference w:id="8"/>
            </w:r>
            <w:r>
              <w:rPr>
                <w:spacing w:val="-4"/>
              </w:rPr>
              <w:t xml:space="preserve"> – jejichž první letošní záloha (v září) přinesla SR 25,6 mld. korun. Naproti tomu na dani z nadměrných příjmů</w:t>
            </w:r>
            <w:r>
              <w:rPr>
                <w:rStyle w:val="Znakapoznpodarou"/>
                <w:spacing w:val="-4"/>
              </w:rPr>
              <w:footnoteReference w:id="9"/>
            </w:r>
            <w:r>
              <w:rPr>
                <w:spacing w:val="-4"/>
              </w:rPr>
              <w:t xml:space="preserve"> zaplatily energetické firmy státu již 16,7 mld. korun, čímž byl u této daně již na konci září odhad celoročního příjmu mírně překonán.  </w:t>
            </w:r>
          </w:p>
        </w:tc>
      </w:tr>
      <w:tr w:rsidR="001E1AF1" w:rsidRPr="003C07E6" w14:paraId="006EEB27" w14:textId="77777777" w:rsidTr="08AB0269">
        <w:trPr>
          <w:trHeight w:val="145"/>
        </w:trPr>
        <w:tc>
          <w:tcPr>
            <w:tcW w:w="1792" w:type="dxa"/>
            <w:shd w:val="clear" w:color="auto" w:fill="auto"/>
            <w:tcMar>
              <w:left w:w="0" w:type="dxa"/>
            </w:tcMar>
          </w:tcPr>
          <w:p w14:paraId="4ED1DDB6" w14:textId="77777777" w:rsidR="001E1AF1" w:rsidRPr="00CB5638" w:rsidRDefault="001E1AF1" w:rsidP="00D26E6B">
            <w:pPr>
              <w:pStyle w:val="Marginlie"/>
            </w:pPr>
            <w:r>
              <w:t>Vysoký výnos korporátní daně souvisí s růstem míry zisku podniků, patrným loni i letos.</w:t>
            </w:r>
          </w:p>
        </w:tc>
        <w:tc>
          <w:tcPr>
            <w:tcW w:w="203" w:type="dxa"/>
            <w:shd w:val="clear" w:color="auto" w:fill="auto"/>
            <w:tcMar>
              <w:left w:w="0" w:type="dxa"/>
            </w:tcMar>
          </w:tcPr>
          <w:p w14:paraId="6433734B" w14:textId="77777777" w:rsidR="001E1AF1" w:rsidRDefault="001E1AF1" w:rsidP="00D26E6B">
            <w:pPr>
              <w:pStyle w:val="Textpoznpodarou"/>
              <w:jc w:val="both"/>
              <w:rPr>
                <w:spacing w:val="-4"/>
              </w:rPr>
            </w:pPr>
          </w:p>
        </w:tc>
        <w:tc>
          <w:tcPr>
            <w:tcW w:w="7674" w:type="dxa"/>
            <w:shd w:val="clear" w:color="auto" w:fill="auto"/>
            <w:tcMar>
              <w:left w:w="0" w:type="dxa"/>
            </w:tcMar>
          </w:tcPr>
          <w:p w14:paraId="24DAFED5" w14:textId="77777777" w:rsidR="001E1AF1" w:rsidRPr="00491320" w:rsidRDefault="001E1AF1" w:rsidP="00D26E6B">
            <w:pPr>
              <w:spacing w:after="200"/>
              <w:rPr>
                <w:spacing w:val="-5"/>
              </w:rPr>
            </w:pPr>
            <w:r>
              <w:rPr>
                <w:spacing w:val="-5"/>
              </w:rPr>
              <w:t xml:space="preserve">Svižný růst inkasa daně z příjmů právnických osob (bez mimořádných daní) pokračoval. Za tři čtvrtletí získal SR letos na této dani meziročně skoro o třetinu více a výše inkasa (159,2 mld. korun) již na konci září překročila celoroční očekávaný objem. Výnos korporátní daně (ovlivněný zejména úhradou daně za rok 2022 a splátkou letošních záloh u větších plátců) souvisí s vysokou mírou zisku podniků, a to zejména v oblasti finančnictví a energetiky, ale i v chemickém i kovodělném průmyslu či v primárním sektoru. </w:t>
            </w:r>
          </w:p>
        </w:tc>
      </w:tr>
      <w:tr w:rsidR="001E1AF1" w:rsidRPr="003C07E6" w14:paraId="584FB9B3" w14:textId="77777777" w:rsidTr="08AB0269">
        <w:trPr>
          <w:trHeight w:val="145"/>
        </w:trPr>
        <w:tc>
          <w:tcPr>
            <w:tcW w:w="1792" w:type="dxa"/>
            <w:shd w:val="clear" w:color="auto" w:fill="auto"/>
            <w:tcMar>
              <w:left w:w="0" w:type="dxa"/>
            </w:tcMar>
          </w:tcPr>
          <w:p w14:paraId="3A3FEC5E" w14:textId="77777777" w:rsidR="001E1AF1" w:rsidRPr="00CB5638" w:rsidRDefault="001E1AF1" w:rsidP="00D26E6B">
            <w:pPr>
              <w:pStyle w:val="Marginlie"/>
            </w:pPr>
            <w:r>
              <w:t xml:space="preserve">Nad očekávání vysoký růst inkasa daně z příjmu fyzických osob pramenil z příznivé pozice zaměstnanců na </w:t>
            </w:r>
            <w:r>
              <w:lastRenderedPageBreak/>
              <w:t>pracovním trhu i z růstu úrokových sazeb na vkladech.</w:t>
            </w:r>
          </w:p>
        </w:tc>
        <w:tc>
          <w:tcPr>
            <w:tcW w:w="203" w:type="dxa"/>
            <w:shd w:val="clear" w:color="auto" w:fill="auto"/>
            <w:tcMar>
              <w:left w:w="0" w:type="dxa"/>
            </w:tcMar>
          </w:tcPr>
          <w:p w14:paraId="415BAAA4" w14:textId="77777777" w:rsidR="001E1AF1" w:rsidRDefault="001E1AF1" w:rsidP="00D26E6B">
            <w:pPr>
              <w:pStyle w:val="Textpoznpodarou"/>
              <w:jc w:val="both"/>
              <w:rPr>
                <w:spacing w:val="-4"/>
              </w:rPr>
            </w:pPr>
          </w:p>
        </w:tc>
        <w:tc>
          <w:tcPr>
            <w:tcW w:w="7674" w:type="dxa"/>
            <w:shd w:val="clear" w:color="auto" w:fill="auto"/>
            <w:tcMar>
              <w:left w:w="0" w:type="dxa"/>
            </w:tcMar>
          </w:tcPr>
          <w:p w14:paraId="74AE285F" w14:textId="77777777" w:rsidR="001E1AF1" w:rsidRPr="009F0CDD" w:rsidRDefault="001E1AF1" w:rsidP="00D26E6B">
            <w:pPr>
              <w:spacing w:after="200"/>
              <w:rPr>
                <w:color w:val="0D0D0D" w:themeColor="text1" w:themeTint="F2"/>
                <w:spacing w:val="-4"/>
              </w:rPr>
            </w:pPr>
            <w:r w:rsidRPr="009F0CDD">
              <w:rPr>
                <w:color w:val="0D0D0D" w:themeColor="text1" w:themeTint="F2"/>
                <w:spacing w:val="-4"/>
              </w:rPr>
              <w:t xml:space="preserve">Na dani z příjmů od fyzických osob (DPFO) plynulo v 1. až 3. čtvrtletí do SR meziročně skoro o čtvrtinu více (+20,1 mld. korun). Hlavní zásluhu na tom měla klíčová příjmová daň </w:t>
            </w:r>
            <w:r w:rsidRPr="009F0CDD">
              <w:rPr>
                <w:color w:val="0D0D0D" w:themeColor="text1" w:themeTint="F2"/>
                <w:spacing w:val="-4"/>
              </w:rPr>
              <w:lastRenderedPageBreak/>
              <w:t>placená plátci (ze závislé činnosti)</w:t>
            </w:r>
            <w:r w:rsidRPr="009F0CDD">
              <w:rPr>
                <w:rStyle w:val="Znakapoznpodarou"/>
                <w:color w:val="0D0D0D" w:themeColor="text1" w:themeTint="F2"/>
                <w:spacing w:val="-4"/>
              </w:rPr>
              <w:footnoteReference w:id="10"/>
            </w:r>
            <w:r>
              <w:rPr>
                <w:color w:val="0D0D0D" w:themeColor="text1" w:themeTint="F2"/>
                <w:spacing w:val="-4"/>
              </w:rPr>
              <w:t>. Do jejího výběru</w:t>
            </w:r>
            <w:r w:rsidRPr="009F0CDD">
              <w:rPr>
                <w:color w:val="0D0D0D" w:themeColor="text1" w:themeTint="F2"/>
                <w:spacing w:val="-4"/>
              </w:rPr>
              <w:t xml:space="preserve"> se </w:t>
            </w:r>
            <w:r>
              <w:rPr>
                <w:color w:val="0D0D0D" w:themeColor="text1" w:themeTint="F2"/>
                <w:spacing w:val="-4"/>
              </w:rPr>
              <w:t xml:space="preserve">příznivě </w:t>
            </w:r>
            <w:r w:rsidRPr="009F0CDD">
              <w:rPr>
                <w:color w:val="0D0D0D" w:themeColor="text1" w:themeTint="F2"/>
                <w:spacing w:val="-4"/>
              </w:rPr>
              <w:t xml:space="preserve">promítal přetrvávající růst zaměstnanosti i svižný nominální růst průměrné mzdy v podnikové sféře. </w:t>
            </w:r>
            <w:r>
              <w:rPr>
                <w:color w:val="0D0D0D" w:themeColor="text1" w:themeTint="F2"/>
                <w:spacing w:val="-4"/>
              </w:rPr>
              <w:t>Naopak v</w:t>
            </w:r>
            <w:r w:rsidRPr="009F0CDD">
              <w:rPr>
                <w:color w:val="0D0D0D" w:themeColor="text1" w:themeTint="F2"/>
                <w:spacing w:val="-4"/>
              </w:rPr>
              <w:t xml:space="preserve"> menší míře se na inkasu negativně projevil vliv daňových změn (pokračující navyšování daňové slevy na poplatníka, zvýšení daňového zvýhodnění na druhé a třetí dítě). </w:t>
            </w:r>
            <w:r>
              <w:rPr>
                <w:color w:val="0D0D0D" w:themeColor="text1" w:themeTint="F2"/>
                <w:spacing w:val="-4"/>
              </w:rPr>
              <w:t>V</w:t>
            </w:r>
            <w:r w:rsidRPr="009F0CDD">
              <w:rPr>
                <w:color w:val="0D0D0D" w:themeColor="text1" w:themeTint="F2"/>
                <w:spacing w:val="-4"/>
              </w:rPr>
              <w:t>ýběr váhově méně významné daně DPFO placené poplatníky, jež cílí hlavně na drobné podnik</w:t>
            </w:r>
            <w:r>
              <w:rPr>
                <w:color w:val="0D0D0D" w:themeColor="text1" w:themeTint="F2"/>
                <w:spacing w:val="-4"/>
              </w:rPr>
              <w:t xml:space="preserve">atele, </w:t>
            </w:r>
            <w:r w:rsidRPr="009F0CDD">
              <w:rPr>
                <w:color w:val="0D0D0D" w:themeColor="text1" w:themeTint="F2"/>
                <w:spacing w:val="-4"/>
              </w:rPr>
              <w:t xml:space="preserve">meziročně </w:t>
            </w:r>
            <w:r>
              <w:rPr>
                <w:color w:val="0D0D0D" w:themeColor="text1" w:themeTint="F2"/>
                <w:spacing w:val="-4"/>
              </w:rPr>
              <w:t xml:space="preserve">pouze stagnoval, z velké části vlivem negativně působících daňových změn (zvýšení slevy na poplatníka, navýšení limitu příjmů pro možnost vstupu do paušálního režimu daně). </w:t>
            </w:r>
            <w:r w:rsidRPr="009F0CDD">
              <w:rPr>
                <w:color w:val="0D0D0D" w:themeColor="text1" w:themeTint="F2"/>
                <w:spacing w:val="-4"/>
              </w:rPr>
              <w:t>Dařil</w:t>
            </w:r>
            <w:r>
              <w:rPr>
                <w:color w:val="0D0D0D" w:themeColor="text1" w:themeTint="F2"/>
                <w:spacing w:val="-4"/>
              </w:rPr>
              <w:t>o se naopak</w:t>
            </w:r>
            <w:r w:rsidRPr="009F0CDD">
              <w:rPr>
                <w:color w:val="0D0D0D" w:themeColor="text1" w:themeTint="F2"/>
                <w:spacing w:val="-4"/>
              </w:rPr>
              <w:t xml:space="preserve"> inkasu DPFO vybírané srážkou</w:t>
            </w:r>
            <w:r>
              <w:rPr>
                <w:color w:val="0D0D0D" w:themeColor="text1" w:themeTint="F2"/>
                <w:spacing w:val="-4"/>
              </w:rPr>
              <w:t xml:space="preserve">. Jeho meziroční růst dále sílil (za tři čtvrtletí na 43 %), a to hlavně díky vysokým úrokovým sazbám (v menší míře i vlivem </w:t>
            </w:r>
            <w:r w:rsidRPr="009F0CDD">
              <w:rPr>
                <w:color w:val="0D0D0D" w:themeColor="text1" w:themeTint="F2"/>
                <w:spacing w:val="-4"/>
              </w:rPr>
              <w:t>vyšší</w:t>
            </w:r>
            <w:r>
              <w:rPr>
                <w:color w:val="0D0D0D" w:themeColor="text1" w:themeTint="F2"/>
                <w:spacing w:val="-4"/>
              </w:rPr>
              <w:t>ho</w:t>
            </w:r>
            <w:r w:rsidRPr="009F0CDD">
              <w:rPr>
                <w:color w:val="0D0D0D" w:themeColor="text1" w:themeTint="F2"/>
                <w:spacing w:val="-4"/>
              </w:rPr>
              <w:t xml:space="preserve"> po</w:t>
            </w:r>
            <w:r>
              <w:rPr>
                <w:color w:val="0D0D0D" w:themeColor="text1" w:themeTint="F2"/>
                <w:spacing w:val="-4"/>
              </w:rPr>
              <w:t>čtu osob pracujících na dohody). Inkaso všech výše uvedených kategorií DPFO letos převyšovalo rozpočtové očekávání.</w:t>
            </w:r>
          </w:p>
        </w:tc>
      </w:tr>
      <w:tr w:rsidR="001E1AF1" w:rsidRPr="003C07E6" w14:paraId="1D9DDDDC" w14:textId="77777777" w:rsidTr="08AB0269">
        <w:trPr>
          <w:trHeight w:val="145"/>
        </w:trPr>
        <w:tc>
          <w:tcPr>
            <w:tcW w:w="1792" w:type="dxa"/>
            <w:shd w:val="clear" w:color="auto" w:fill="auto"/>
            <w:tcMar>
              <w:left w:w="0" w:type="dxa"/>
            </w:tcMar>
          </w:tcPr>
          <w:p w14:paraId="0593E52B" w14:textId="77777777" w:rsidR="001E1AF1" w:rsidRDefault="001E1AF1" w:rsidP="00D26E6B">
            <w:pPr>
              <w:pStyle w:val="Marginlie"/>
              <w:rPr>
                <w:spacing w:val="-5"/>
              </w:rPr>
            </w:pPr>
            <w:r>
              <w:rPr>
                <w:spacing w:val="-5"/>
              </w:rPr>
              <w:lastRenderedPageBreak/>
              <w:t>Rychlejšímu růstu inkasa DPH stále bránila utlumená spotřeba domácností.</w:t>
            </w:r>
          </w:p>
        </w:tc>
        <w:tc>
          <w:tcPr>
            <w:tcW w:w="203" w:type="dxa"/>
            <w:shd w:val="clear" w:color="auto" w:fill="auto"/>
            <w:tcMar>
              <w:left w:w="0" w:type="dxa"/>
            </w:tcMar>
          </w:tcPr>
          <w:p w14:paraId="15CB4DA2" w14:textId="77777777" w:rsidR="001E1AF1" w:rsidRDefault="001E1AF1" w:rsidP="00D26E6B">
            <w:pPr>
              <w:pStyle w:val="Textpoznpodarou"/>
              <w:jc w:val="both"/>
              <w:rPr>
                <w:spacing w:val="-4"/>
              </w:rPr>
            </w:pPr>
          </w:p>
        </w:tc>
        <w:tc>
          <w:tcPr>
            <w:tcW w:w="7674" w:type="dxa"/>
            <w:shd w:val="clear" w:color="auto" w:fill="auto"/>
            <w:tcMar>
              <w:left w:w="0" w:type="dxa"/>
            </w:tcMar>
          </w:tcPr>
          <w:p w14:paraId="336DFD5E" w14:textId="77777777" w:rsidR="001E1AF1" w:rsidRPr="008D6B23" w:rsidRDefault="001E1AF1" w:rsidP="00D26E6B">
            <w:pPr>
              <w:spacing w:after="200"/>
              <w:rPr>
                <w:color w:val="0D0D0D" w:themeColor="text1" w:themeTint="F2"/>
                <w:spacing w:val="-4"/>
              </w:rPr>
            </w:pPr>
            <w:r w:rsidRPr="008D6B23">
              <w:rPr>
                <w:color w:val="0D0D0D" w:themeColor="text1" w:themeTint="F2"/>
                <w:spacing w:val="-4"/>
              </w:rPr>
              <w:t>Ačkoli výběr DPH vzrostl za tři čtvrtletí meziročně jen o 5,5 % (zhruba polovičním tempem proti rozpočtovému očekávání), stále představoval váhově nejvýznamnější příjmovou položku SR. Efekt doznívajícího vysokého cenového růstu v ekonomice, jenž</w:t>
            </w:r>
            <w:r>
              <w:rPr>
                <w:color w:val="0D0D0D" w:themeColor="text1" w:themeTint="F2"/>
                <w:spacing w:val="-4"/>
              </w:rPr>
              <w:t xml:space="preserve"> se propisuje </w:t>
            </w:r>
            <w:r w:rsidRPr="008D6B23">
              <w:rPr>
                <w:color w:val="0D0D0D" w:themeColor="text1" w:themeTint="F2"/>
                <w:spacing w:val="-4"/>
              </w:rPr>
              <w:t xml:space="preserve">do výběru daně, je tlumen přetrvávající utlumenou spotřebou domácností. </w:t>
            </w:r>
            <w:r w:rsidRPr="008D6B23">
              <w:rPr>
                <w:spacing w:val="-4"/>
              </w:rPr>
              <w:t>Růst inkasa příjmů byl v řádově menší míře brzděn i zvýšením limitu tržeb pro registraci DPH</w:t>
            </w:r>
            <w:r w:rsidRPr="008D6B23">
              <w:rPr>
                <w:rStyle w:val="Znakapoznpodarou"/>
                <w:spacing w:val="-4"/>
              </w:rPr>
              <w:footnoteReference w:id="11"/>
            </w:r>
            <w:r w:rsidRPr="008D6B23">
              <w:rPr>
                <w:spacing w:val="-4"/>
              </w:rPr>
              <w:t>.</w:t>
            </w:r>
          </w:p>
        </w:tc>
      </w:tr>
      <w:tr w:rsidR="001E1AF1" w:rsidRPr="00F704D2" w14:paraId="5576EF4F" w14:textId="77777777" w:rsidTr="08AB0269">
        <w:trPr>
          <w:trHeight w:val="170"/>
        </w:trPr>
        <w:tc>
          <w:tcPr>
            <w:tcW w:w="1792" w:type="dxa"/>
            <w:vMerge w:val="restart"/>
            <w:shd w:val="clear" w:color="auto" w:fill="auto"/>
            <w:tcMar>
              <w:left w:w="0" w:type="dxa"/>
            </w:tcMar>
          </w:tcPr>
          <w:p w14:paraId="4C550B2D" w14:textId="77777777" w:rsidR="001E1AF1" w:rsidRDefault="001E1AF1" w:rsidP="00D26E6B">
            <w:pPr>
              <w:pStyle w:val="Marginlie"/>
            </w:pPr>
          </w:p>
        </w:tc>
        <w:tc>
          <w:tcPr>
            <w:tcW w:w="203" w:type="dxa"/>
            <w:vMerge w:val="restart"/>
            <w:shd w:val="clear" w:color="auto" w:fill="auto"/>
            <w:tcMar>
              <w:left w:w="0" w:type="dxa"/>
            </w:tcMar>
          </w:tcPr>
          <w:p w14:paraId="759A9769" w14:textId="77777777" w:rsidR="001E1AF1" w:rsidRDefault="001E1AF1" w:rsidP="00D26E6B">
            <w:pPr>
              <w:pStyle w:val="Textpoznpodarou"/>
              <w:jc w:val="both"/>
              <w:rPr>
                <w:spacing w:val="-4"/>
              </w:rPr>
            </w:pPr>
          </w:p>
        </w:tc>
        <w:tc>
          <w:tcPr>
            <w:tcW w:w="7674" w:type="dxa"/>
            <w:shd w:val="clear" w:color="auto" w:fill="auto"/>
            <w:tcMar>
              <w:left w:w="0" w:type="dxa"/>
            </w:tcMar>
          </w:tcPr>
          <w:p w14:paraId="46AF7DB9" w14:textId="77777777" w:rsidR="001E1AF1" w:rsidRPr="00E63A41" w:rsidRDefault="001E1AF1" w:rsidP="00D26E6B">
            <w:pPr>
              <w:spacing w:after="20"/>
              <w:rPr>
                <w:rFonts w:cs="Arial"/>
                <w:b/>
                <w:bCs/>
                <w:color w:val="000000"/>
                <w:szCs w:val="20"/>
              </w:rPr>
            </w:pPr>
            <w:r w:rsidRPr="00E63A41">
              <w:rPr>
                <w:rFonts w:cs="Arial"/>
                <w:b/>
                <w:bCs/>
                <w:color w:val="000000"/>
                <w:szCs w:val="20"/>
              </w:rPr>
              <w:t xml:space="preserve">Graf č. 18 Příspěvek dílčích příjmů k meziročnímu růstu celostátního inkasa daňových příjmů </w:t>
            </w:r>
            <w:r w:rsidRPr="00E63A41">
              <w:rPr>
                <w:rFonts w:cs="Arial"/>
                <w:bCs/>
                <w:color w:val="000000"/>
                <w:szCs w:val="20"/>
              </w:rPr>
              <w:t>(v p. b.)</w:t>
            </w:r>
            <w:r w:rsidRPr="00E63A41">
              <w:rPr>
                <w:rFonts w:cs="Arial"/>
                <w:b/>
                <w:bCs/>
                <w:color w:val="000000"/>
                <w:szCs w:val="20"/>
              </w:rPr>
              <w:t xml:space="preserve"> a saldo státního rozpočtu </w:t>
            </w:r>
            <w:r w:rsidRPr="00E63A41">
              <w:rPr>
                <w:rFonts w:cs="Arial"/>
                <w:bCs/>
                <w:color w:val="000000"/>
                <w:szCs w:val="20"/>
              </w:rPr>
              <w:t>(v mld. korun)</w:t>
            </w:r>
            <w:r w:rsidRPr="00E63A41">
              <w:rPr>
                <w:rFonts w:cs="Arial"/>
                <w:b/>
                <w:bCs/>
                <w:color w:val="000000"/>
                <w:szCs w:val="20"/>
              </w:rPr>
              <w:t xml:space="preserve"> v rámci 1. až </w:t>
            </w:r>
            <w:r>
              <w:rPr>
                <w:rFonts w:cs="Arial"/>
                <w:b/>
                <w:bCs/>
                <w:color w:val="000000"/>
                <w:szCs w:val="20"/>
              </w:rPr>
              <w:br/>
            </w:r>
            <w:r w:rsidRPr="00E63A41">
              <w:rPr>
                <w:rFonts w:cs="Arial"/>
                <w:b/>
                <w:bCs/>
                <w:color w:val="000000"/>
                <w:szCs w:val="20"/>
              </w:rPr>
              <w:t>3. čtvrtletí</w:t>
            </w:r>
          </w:p>
        </w:tc>
      </w:tr>
      <w:tr w:rsidR="001E1AF1" w14:paraId="0691E3C5" w14:textId="77777777" w:rsidTr="08AB0269">
        <w:tblPrEx>
          <w:tblCellMar>
            <w:left w:w="70" w:type="dxa"/>
            <w:right w:w="70" w:type="dxa"/>
          </w:tblCellMar>
        </w:tblPrEx>
        <w:trPr>
          <w:trHeight w:val="170"/>
        </w:trPr>
        <w:tc>
          <w:tcPr>
            <w:tcW w:w="1792" w:type="dxa"/>
            <w:vMerge/>
          </w:tcPr>
          <w:p w14:paraId="4EC78004" w14:textId="77777777" w:rsidR="001E1AF1" w:rsidRDefault="001E1AF1" w:rsidP="00D26E6B">
            <w:pPr>
              <w:pStyle w:val="Marginlie"/>
            </w:pPr>
          </w:p>
        </w:tc>
        <w:tc>
          <w:tcPr>
            <w:tcW w:w="203" w:type="dxa"/>
            <w:vMerge/>
          </w:tcPr>
          <w:p w14:paraId="5686FCE2" w14:textId="77777777" w:rsidR="001E1AF1" w:rsidRDefault="001E1AF1" w:rsidP="00D26E6B">
            <w:pPr>
              <w:pStyle w:val="Textpoznpodarou"/>
              <w:jc w:val="both"/>
              <w:rPr>
                <w:spacing w:val="-4"/>
              </w:rPr>
            </w:pPr>
          </w:p>
        </w:tc>
        <w:tc>
          <w:tcPr>
            <w:tcW w:w="7674" w:type="dxa"/>
            <w:shd w:val="clear" w:color="auto" w:fill="auto"/>
          </w:tcPr>
          <w:p w14:paraId="13A0455E" w14:textId="77777777" w:rsidR="001E1AF1" w:rsidRPr="0067514E" w:rsidRDefault="001E1AF1" w:rsidP="00D26E6B">
            <w:pPr>
              <w:spacing w:after="0"/>
              <w:rPr>
                <w:spacing w:val="-6"/>
              </w:rPr>
            </w:pPr>
            <w:r>
              <w:rPr>
                <w:noProof/>
              </w:rPr>
              <w:drawing>
                <wp:inline distT="0" distB="0" distL="0" distR="0" wp14:anchorId="6E95230E" wp14:editId="6A6EB05E">
                  <wp:extent cx="4741545" cy="3398292"/>
                  <wp:effectExtent l="0" t="0" r="1905"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E1AF1" w:rsidRPr="007B3A78" w14:paraId="6B43C8A5" w14:textId="77777777" w:rsidTr="08AB0269">
        <w:trPr>
          <w:trHeight w:val="170"/>
        </w:trPr>
        <w:tc>
          <w:tcPr>
            <w:tcW w:w="1792" w:type="dxa"/>
            <w:vMerge/>
            <w:tcMar>
              <w:left w:w="0" w:type="dxa"/>
            </w:tcMar>
          </w:tcPr>
          <w:p w14:paraId="25DBAE05" w14:textId="77777777" w:rsidR="001E1AF1" w:rsidRDefault="001E1AF1" w:rsidP="00D26E6B">
            <w:pPr>
              <w:pStyle w:val="Marginlie"/>
            </w:pPr>
          </w:p>
        </w:tc>
        <w:tc>
          <w:tcPr>
            <w:tcW w:w="203" w:type="dxa"/>
            <w:vMerge/>
            <w:tcMar>
              <w:left w:w="0" w:type="dxa"/>
            </w:tcMar>
          </w:tcPr>
          <w:p w14:paraId="77AFCB28" w14:textId="77777777" w:rsidR="001E1AF1" w:rsidRDefault="001E1AF1" w:rsidP="00D26E6B">
            <w:pPr>
              <w:pStyle w:val="Textpoznpodarou"/>
              <w:jc w:val="both"/>
              <w:rPr>
                <w:spacing w:val="-4"/>
              </w:rPr>
            </w:pPr>
          </w:p>
        </w:tc>
        <w:tc>
          <w:tcPr>
            <w:tcW w:w="7674" w:type="dxa"/>
            <w:shd w:val="clear" w:color="auto" w:fill="auto"/>
            <w:tcMar>
              <w:left w:w="0" w:type="dxa"/>
            </w:tcMar>
          </w:tcPr>
          <w:p w14:paraId="2E11B977" w14:textId="77777777" w:rsidR="001E1AF1" w:rsidRDefault="001E1AF1" w:rsidP="00D26E6B">
            <w:pPr>
              <w:tabs>
                <w:tab w:val="right" w:pos="7683"/>
              </w:tabs>
              <w:spacing w:after="0" w:line="240" w:lineRule="auto"/>
              <w:jc w:val="left"/>
              <w:rPr>
                <w:spacing w:val="-2"/>
                <w:sz w:val="14"/>
                <w:szCs w:val="14"/>
              </w:rPr>
            </w:pPr>
            <w:r>
              <w:rPr>
                <w:spacing w:val="-2"/>
                <w:sz w:val="14"/>
                <w:szCs w:val="14"/>
              </w:rPr>
              <w:t>Poznámka: Údaje očištěné o vliv prostředků z EU a Finančních mechanismů jsou k dispozici od roku 2013.</w:t>
            </w:r>
          </w:p>
          <w:p w14:paraId="7904CE7D" w14:textId="77777777" w:rsidR="001E1AF1" w:rsidRDefault="001E1AF1" w:rsidP="00D26E6B">
            <w:pPr>
              <w:tabs>
                <w:tab w:val="right" w:pos="7683"/>
              </w:tabs>
              <w:spacing w:after="0" w:line="240" w:lineRule="auto"/>
              <w:jc w:val="left"/>
              <w:rPr>
                <w:sz w:val="16"/>
                <w:szCs w:val="16"/>
              </w:rPr>
            </w:pPr>
            <w:r>
              <w:rPr>
                <w:spacing w:val="-2"/>
                <w:sz w:val="14"/>
                <w:szCs w:val="14"/>
              </w:rPr>
              <w:t>FO = fyzické soby, PO = právnické osoby. Ostatní daně z příjmů FO zahrnují daně placené</w:t>
            </w:r>
            <w:r w:rsidRPr="005B05AD">
              <w:rPr>
                <w:spacing w:val="-2"/>
                <w:sz w:val="14"/>
                <w:szCs w:val="14"/>
              </w:rPr>
              <w:t xml:space="preserve"> poplatníky</w:t>
            </w:r>
            <w:r>
              <w:rPr>
                <w:spacing w:val="-2"/>
                <w:sz w:val="14"/>
                <w:szCs w:val="14"/>
              </w:rPr>
              <w:t xml:space="preserve"> (zejména z drobného podnikání) a dále daně vybírané</w:t>
            </w:r>
            <w:r w:rsidRPr="005B05AD">
              <w:rPr>
                <w:spacing w:val="-2"/>
                <w:sz w:val="14"/>
                <w:szCs w:val="14"/>
              </w:rPr>
              <w:t xml:space="preserve"> srážkou</w:t>
            </w:r>
            <w:r>
              <w:rPr>
                <w:spacing w:val="-2"/>
                <w:sz w:val="14"/>
                <w:szCs w:val="14"/>
              </w:rPr>
              <w:t>.</w:t>
            </w:r>
          </w:p>
          <w:p w14:paraId="48727D75" w14:textId="77777777" w:rsidR="001E1AF1" w:rsidRPr="00764654" w:rsidRDefault="001E1AF1" w:rsidP="00D26E6B">
            <w:pPr>
              <w:tabs>
                <w:tab w:val="right" w:pos="7683"/>
              </w:tabs>
              <w:spacing w:after="200" w:line="240" w:lineRule="auto"/>
              <w:jc w:val="left"/>
              <w:rPr>
                <w:sz w:val="14"/>
                <w:szCs w:val="14"/>
              </w:rPr>
            </w:pPr>
            <w:r>
              <w:rPr>
                <w:sz w:val="14"/>
                <w:szCs w:val="14"/>
              </w:rPr>
              <w:t>Ostatní daně a poplatky obsahují zejména daň z nemovitých věcí, d</w:t>
            </w:r>
            <w:r w:rsidRPr="001F4360">
              <w:rPr>
                <w:sz w:val="14"/>
                <w:szCs w:val="14"/>
              </w:rPr>
              <w:t>aň z hazardních her</w:t>
            </w:r>
            <w:r>
              <w:rPr>
                <w:sz w:val="14"/>
                <w:szCs w:val="14"/>
              </w:rPr>
              <w:t>, d</w:t>
            </w:r>
            <w:r w:rsidRPr="001F4360">
              <w:rPr>
                <w:sz w:val="14"/>
                <w:szCs w:val="14"/>
              </w:rPr>
              <w:t>álniční poplatek</w:t>
            </w:r>
            <w:r>
              <w:rPr>
                <w:sz w:val="14"/>
                <w:szCs w:val="14"/>
              </w:rPr>
              <w:t>, mýtné a v roce 2023 nově rovněž o</w:t>
            </w:r>
            <w:r w:rsidRPr="003C78E5">
              <w:rPr>
                <w:sz w:val="14"/>
                <w:szCs w:val="14"/>
              </w:rPr>
              <w:t>dvod z nadměrných příjmů</w:t>
            </w:r>
            <w:r>
              <w:rPr>
                <w:sz w:val="14"/>
                <w:szCs w:val="14"/>
              </w:rPr>
              <w:t xml:space="preserve"> a neočekávaných zisků.                                                                                                    </w:t>
            </w:r>
            <w:r w:rsidRPr="002777A9">
              <w:rPr>
                <w:sz w:val="14"/>
                <w:szCs w:val="14"/>
              </w:rPr>
              <w:t>Zdroj: MF ČR</w:t>
            </w:r>
          </w:p>
        </w:tc>
      </w:tr>
      <w:tr w:rsidR="001E1AF1" w:rsidRPr="007B3A78" w14:paraId="3E6C440A" w14:textId="77777777" w:rsidTr="08AB0269">
        <w:trPr>
          <w:trHeight w:val="170"/>
        </w:trPr>
        <w:tc>
          <w:tcPr>
            <w:tcW w:w="1792" w:type="dxa"/>
            <w:shd w:val="clear" w:color="auto" w:fill="auto"/>
            <w:tcMar>
              <w:left w:w="0" w:type="dxa"/>
            </w:tcMar>
          </w:tcPr>
          <w:p w14:paraId="2275454C" w14:textId="77777777" w:rsidR="001E1AF1" w:rsidRDefault="001E1AF1" w:rsidP="00D26E6B">
            <w:pPr>
              <w:pStyle w:val="Marginlie"/>
              <w:rPr>
                <w:spacing w:val="-5"/>
              </w:rPr>
            </w:pPr>
            <w:r>
              <w:rPr>
                <w:spacing w:val="-5"/>
              </w:rPr>
              <w:t>Meziroční pokles inkasa spotřebních daní nastal u</w:t>
            </w:r>
            <w:r>
              <w:t> </w:t>
            </w:r>
            <w:r>
              <w:rPr>
                <w:spacing w:val="-5"/>
              </w:rPr>
              <w:t xml:space="preserve">všech významných komodit. Nejvíce k němu </w:t>
            </w:r>
            <w:r>
              <w:rPr>
                <w:spacing w:val="-5"/>
              </w:rPr>
              <w:lastRenderedPageBreak/>
              <w:t>přispělo nízké inkaso z tabákových výrobků.</w:t>
            </w:r>
          </w:p>
        </w:tc>
        <w:tc>
          <w:tcPr>
            <w:tcW w:w="203" w:type="dxa"/>
            <w:shd w:val="clear" w:color="auto" w:fill="auto"/>
            <w:tcMar>
              <w:left w:w="0" w:type="dxa"/>
            </w:tcMar>
          </w:tcPr>
          <w:p w14:paraId="07F0490F" w14:textId="77777777" w:rsidR="001E1AF1" w:rsidRDefault="001E1AF1" w:rsidP="00D26E6B">
            <w:pPr>
              <w:pStyle w:val="Textpoznpodarou"/>
              <w:jc w:val="both"/>
              <w:rPr>
                <w:spacing w:val="-4"/>
              </w:rPr>
            </w:pPr>
          </w:p>
        </w:tc>
        <w:tc>
          <w:tcPr>
            <w:tcW w:w="7674" w:type="dxa"/>
            <w:shd w:val="clear" w:color="auto" w:fill="auto"/>
            <w:tcMar>
              <w:left w:w="0" w:type="dxa"/>
            </w:tcMar>
          </w:tcPr>
          <w:p w14:paraId="282F6CC3" w14:textId="77777777" w:rsidR="001E1AF1" w:rsidRDefault="001E1AF1" w:rsidP="00D26E6B">
            <w:pPr>
              <w:spacing w:after="220"/>
              <w:rPr>
                <w:spacing w:val="-4"/>
              </w:rPr>
            </w:pPr>
            <w:r>
              <w:rPr>
                <w:color w:val="0D0D0D" w:themeColor="text1" w:themeTint="F2"/>
                <w:spacing w:val="-4"/>
              </w:rPr>
              <w:t>Také inkaso</w:t>
            </w:r>
            <w:r w:rsidRPr="002623CB">
              <w:rPr>
                <w:color w:val="0D0D0D" w:themeColor="text1" w:themeTint="F2"/>
                <w:spacing w:val="-4"/>
              </w:rPr>
              <w:t xml:space="preserve"> </w:t>
            </w:r>
            <w:r w:rsidRPr="00760991">
              <w:rPr>
                <w:color w:val="0D0D0D" w:themeColor="text1" w:themeTint="F2"/>
                <w:spacing w:val="-4"/>
              </w:rPr>
              <w:t>spotřební</w:t>
            </w:r>
            <w:r>
              <w:rPr>
                <w:color w:val="0D0D0D" w:themeColor="text1" w:themeTint="F2"/>
                <w:spacing w:val="-4"/>
              </w:rPr>
              <w:t>ch</w:t>
            </w:r>
            <w:r w:rsidRPr="00760991">
              <w:rPr>
                <w:color w:val="0D0D0D" w:themeColor="text1" w:themeTint="F2"/>
                <w:spacing w:val="-4"/>
              </w:rPr>
              <w:t xml:space="preserve"> dani</w:t>
            </w:r>
            <w:r w:rsidRPr="00760991">
              <w:rPr>
                <w:rStyle w:val="Znakapoznpodarou"/>
                <w:color w:val="0D0D0D" w:themeColor="text1" w:themeTint="F2"/>
                <w:spacing w:val="-4"/>
              </w:rPr>
              <w:footnoteReference w:id="12"/>
            </w:r>
            <w:r>
              <w:rPr>
                <w:color w:val="0D0D0D" w:themeColor="text1" w:themeTint="F2"/>
                <w:spacing w:val="-4"/>
              </w:rPr>
              <w:t xml:space="preserve"> citelně zaostávalo za rozpočtovým očekáváním, neboť SR z těchto daní v</w:t>
            </w:r>
            <w:r>
              <w:rPr>
                <w:spacing w:val="-4"/>
              </w:rPr>
              <w:t> 1. až 3. čtvrtletí</w:t>
            </w:r>
            <w:r>
              <w:rPr>
                <w:color w:val="0D0D0D" w:themeColor="text1" w:themeTint="F2"/>
                <w:spacing w:val="-4"/>
              </w:rPr>
              <w:t xml:space="preserve"> získal meziročně o 4,7 % </w:t>
            </w:r>
            <w:r w:rsidRPr="002623CB">
              <w:rPr>
                <w:color w:val="0D0D0D" w:themeColor="text1" w:themeTint="F2"/>
                <w:spacing w:val="-4"/>
              </w:rPr>
              <w:t>mén</w:t>
            </w:r>
            <w:r>
              <w:rPr>
                <w:color w:val="0D0D0D" w:themeColor="text1" w:themeTint="F2"/>
                <w:spacing w:val="-4"/>
              </w:rPr>
              <w:t xml:space="preserve">ě. V samotném 3. čtvrtletí se ovšem pokles inkasa, trvající nepřetržitě od poloviny loňského roku, zastavil (0,3 %). </w:t>
            </w:r>
            <w:r>
              <w:rPr>
                <w:color w:val="0D0D0D" w:themeColor="text1" w:themeTint="F2"/>
                <w:spacing w:val="-4"/>
              </w:rPr>
              <w:lastRenderedPageBreak/>
              <w:t>Projevila se zde vyšší spotřeba pohonných hmot související mj. s avizovaným zvýšením daně z motorové nafty</w:t>
            </w:r>
            <w:r>
              <w:rPr>
                <w:rStyle w:val="Znakapoznpodarou"/>
                <w:color w:val="0D0D0D" w:themeColor="text1" w:themeTint="F2"/>
                <w:spacing w:val="-4"/>
              </w:rPr>
              <w:footnoteReference w:id="13"/>
            </w:r>
            <w:r>
              <w:rPr>
                <w:color w:val="0D0D0D" w:themeColor="text1" w:themeTint="F2"/>
                <w:spacing w:val="-4"/>
              </w:rPr>
              <w:t>. V úhrnu za tři letošní čtvrtletí se nicméně inkaso spotřební daně z </w:t>
            </w:r>
            <w:r w:rsidRPr="00C71CE3">
              <w:rPr>
                <w:color w:val="0D0D0D" w:themeColor="text1" w:themeTint="F2"/>
                <w:spacing w:val="-4"/>
              </w:rPr>
              <w:t>minerálních olejů</w:t>
            </w:r>
            <w:r>
              <w:rPr>
                <w:color w:val="0D0D0D" w:themeColor="text1" w:themeTint="F2"/>
                <w:spacing w:val="-4"/>
              </w:rPr>
              <w:t xml:space="preserve"> stále nacházelo mírně pod loňskou úrovní (</w:t>
            </w:r>
            <w:r>
              <w:rPr>
                <w:spacing w:val="-4"/>
              </w:rPr>
              <w:t>–</w:t>
            </w:r>
            <w:r>
              <w:rPr>
                <w:color w:val="0D0D0D" w:themeColor="text1" w:themeTint="F2"/>
                <w:spacing w:val="-4"/>
              </w:rPr>
              <w:t xml:space="preserve">0,9 %), neboť recese tuzemské ekonomiky se odrazila i v </w:t>
            </w:r>
            <w:r>
              <w:rPr>
                <w:spacing w:val="-4"/>
              </w:rPr>
              <w:t>poklesu objemu nákladní dopravy (vlivem nižšího obratu zbožového zahraničního obchodu). Pro pokles inkasa všech spotřebních daní byl ovšem určující nízký výběr daně z tabákových výrobků (−8,2 %). K tomu došlo i přes pokračující navyšování daňové sazby, neboť silnější vliv na inkaso měla změna nákupních preferencí obyvatel ČR (přesun spotřeby k alternativním, v tuzemsku méně zdaněným produktům</w:t>
            </w:r>
            <w:r>
              <w:rPr>
                <w:rStyle w:val="Znakapoznpodarou"/>
                <w:spacing w:val="-4"/>
              </w:rPr>
              <w:footnoteReference w:id="14"/>
            </w:r>
            <w:r>
              <w:rPr>
                <w:spacing w:val="-4"/>
              </w:rPr>
              <w:t>, posílení přeshraničních nákupů). SR získal meziročně méně i na dani ze specifických komodit (líh, pivo, šumivé víno a meziprodukty), patrně vlivem omezení zbytných výdajů tuzemských domácností. Úsporné chování domácností i firem vyústilo v razantní plošný pokles výběru všech energetických daní (nejvíce u pevných paliv).</w:t>
            </w:r>
          </w:p>
        </w:tc>
      </w:tr>
      <w:tr w:rsidR="001E1AF1" w:rsidRPr="007B3A78" w14:paraId="79F1165A" w14:textId="77777777" w:rsidTr="08AB0269">
        <w:trPr>
          <w:trHeight w:val="170"/>
        </w:trPr>
        <w:tc>
          <w:tcPr>
            <w:tcW w:w="1792" w:type="dxa"/>
            <w:shd w:val="clear" w:color="auto" w:fill="auto"/>
            <w:tcMar>
              <w:left w:w="0" w:type="dxa"/>
            </w:tcMar>
          </w:tcPr>
          <w:p w14:paraId="5A7B0D3F" w14:textId="77777777" w:rsidR="001E1AF1" w:rsidRDefault="001E1AF1" w:rsidP="00D26E6B">
            <w:pPr>
              <w:pStyle w:val="Marginlie"/>
            </w:pPr>
            <w:r>
              <w:lastRenderedPageBreak/>
              <w:t xml:space="preserve">Růst celkových výdajů SR navzdory potřebě mimořádných transferů za tři čtvrtletí nepřekročil rozpočtové očekávání. </w:t>
            </w:r>
          </w:p>
        </w:tc>
        <w:tc>
          <w:tcPr>
            <w:tcW w:w="203" w:type="dxa"/>
            <w:shd w:val="clear" w:color="auto" w:fill="auto"/>
            <w:tcMar>
              <w:left w:w="0" w:type="dxa"/>
            </w:tcMar>
          </w:tcPr>
          <w:p w14:paraId="3DB80D04" w14:textId="77777777" w:rsidR="001E1AF1" w:rsidRDefault="001E1AF1" w:rsidP="00D26E6B">
            <w:pPr>
              <w:pStyle w:val="Textpoznpodarou"/>
              <w:jc w:val="both"/>
              <w:rPr>
                <w:spacing w:val="-4"/>
              </w:rPr>
            </w:pPr>
          </w:p>
        </w:tc>
        <w:tc>
          <w:tcPr>
            <w:tcW w:w="7674" w:type="dxa"/>
            <w:shd w:val="clear" w:color="auto" w:fill="auto"/>
            <w:tcMar>
              <w:left w:w="0" w:type="dxa"/>
            </w:tcMar>
          </w:tcPr>
          <w:p w14:paraId="58D83834" w14:textId="77777777" w:rsidR="001E1AF1" w:rsidRPr="0070407F" w:rsidRDefault="001E1AF1" w:rsidP="00D26E6B">
            <w:pPr>
              <w:spacing w:after="220"/>
              <w:rPr>
                <w:color w:val="0D0D0D" w:themeColor="text1" w:themeTint="F2"/>
                <w:spacing w:val="-5"/>
              </w:rPr>
            </w:pPr>
            <w:r>
              <w:rPr>
                <w:color w:val="0D0D0D" w:themeColor="text1" w:themeTint="F2"/>
                <w:spacing w:val="-5"/>
              </w:rPr>
              <w:t>Tempo meziročního růstu celkových výdajů</w:t>
            </w:r>
            <w:r w:rsidRPr="00B71DEC">
              <w:rPr>
                <w:color w:val="0D0D0D" w:themeColor="text1" w:themeTint="F2"/>
                <w:spacing w:val="-5"/>
              </w:rPr>
              <w:t xml:space="preserve"> SR </w:t>
            </w:r>
            <w:r>
              <w:rPr>
                <w:color w:val="0D0D0D" w:themeColor="text1" w:themeTint="F2"/>
                <w:spacing w:val="-5"/>
              </w:rPr>
              <w:t>bylo letos tři čtvrtletí oproti příjmům skoro o</w:t>
            </w:r>
            <w:r>
              <w:rPr>
                <w:spacing w:val="-4"/>
              </w:rPr>
              <w:t> </w:t>
            </w:r>
            <w:r>
              <w:rPr>
                <w:color w:val="0D0D0D" w:themeColor="text1" w:themeTint="F2"/>
                <w:spacing w:val="-5"/>
              </w:rPr>
              <w:t>polovinu nižší (12,4</w:t>
            </w:r>
            <w:r w:rsidRPr="008F130B">
              <w:rPr>
                <w:color w:val="0D0D0D" w:themeColor="text1" w:themeTint="F2"/>
                <w:spacing w:val="-5"/>
              </w:rPr>
              <w:t xml:space="preserve"> %</w:t>
            </w:r>
            <w:r>
              <w:rPr>
                <w:color w:val="0D0D0D" w:themeColor="text1" w:themeTint="F2"/>
                <w:spacing w:val="-5"/>
              </w:rPr>
              <w:t>) a v září poprvé letos kleslo (v kumulaci od počátku roku) pod úroveň rozpočtového očekávání (12,9</w:t>
            </w:r>
            <w:r>
              <w:rPr>
                <w:spacing w:val="-4"/>
              </w:rPr>
              <w:t> </w:t>
            </w:r>
            <w:r>
              <w:rPr>
                <w:color w:val="0D0D0D" w:themeColor="text1" w:themeTint="F2"/>
                <w:spacing w:val="-5"/>
              </w:rPr>
              <w:t xml:space="preserve">%). </w:t>
            </w:r>
            <w:r>
              <w:rPr>
                <w:spacing w:val="-2"/>
              </w:rPr>
              <w:t xml:space="preserve">Do </w:t>
            </w:r>
            <w:r w:rsidRPr="003A4FAE">
              <w:rPr>
                <w:color w:val="0D0D0D" w:themeColor="text1" w:themeTint="F2"/>
                <w:spacing w:val="-2"/>
              </w:rPr>
              <w:t xml:space="preserve">růstu výdajů SR </w:t>
            </w:r>
            <w:r>
              <w:rPr>
                <w:spacing w:val="-2"/>
              </w:rPr>
              <w:t>se promítala jak pomoc státu související s vysokými cenami energií (dosud nedostatečně kompenzovaná mimořádnými příjmy ze zdanění vybraných sektorů ekonomiky), tak dopady pozvolna doznívající vysoké inflace (valorizace důchodů, vyšší objem vyplacených sociálních dávek, rostoucí splátky státního dluhu). Ačkoli k fiskální expanzi přispěly letos tradičně zejména běžné výdaje, stejně jako loni hrály nezanedbatelnou roli také vyšší investice.</w:t>
            </w:r>
          </w:p>
        </w:tc>
      </w:tr>
      <w:tr w:rsidR="001E1AF1" w:rsidRPr="007B3A78" w14:paraId="01CC70B1" w14:textId="77777777" w:rsidTr="08AB0269">
        <w:trPr>
          <w:trHeight w:val="170"/>
        </w:trPr>
        <w:tc>
          <w:tcPr>
            <w:tcW w:w="1792" w:type="dxa"/>
            <w:shd w:val="clear" w:color="auto" w:fill="auto"/>
            <w:tcMar>
              <w:left w:w="0" w:type="dxa"/>
            </w:tcMar>
          </w:tcPr>
          <w:p w14:paraId="30F37761" w14:textId="77777777" w:rsidR="001E1AF1" w:rsidRDefault="001E1AF1" w:rsidP="00D26E6B">
            <w:pPr>
              <w:pStyle w:val="Marginlie"/>
            </w:pPr>
            <w:r>
              <w:t xml:space="preserve">Za strmým růstem výdajů na sociální dávky stály výdaje na důchody. </w:t>
            </w:r>
          </w:p>
          <w:p w14:paraId="0737814F" w14:textId="77777777" w:rsidR="001E1AF1" w:rsidRDefault="001E1AF1" w:rsidP="00D26E6B">
            <w:pPr>
              <w:pStyle w:val="Marginlie"/>
            </w:pPr>
          </w:p>
          <w:p w14:paraId="77686898" w14:textId="77777777" w:rsidR="001E1AF1" w:rsidRDefault="001E1AF1" w:rsidP="00D26E6B">
            <w:pPr>
              <w:pStyle w:val="Marginlie"/>
            </w:pPr>
          </w:p>
          <w:p w14:paraId="7B81988F" w14:textId="77777777" w:rsidR="001E1AF1" w:rsidRDefault="001E1AF1" w:rsidP="00D26E6B">
            <w:pPr>
              <w:pStyle w:val="Marginlie"/>
            </w:pPr>
          </w:p>
          <w:p w14:paraId="35C6A434" w14:textId="77777777" w:rsidR="001E1AF1" w:rsidRDefault="001E1AF1" w:rsidP="00D26E6B">
            <w:pPr>
              <w:pStyle w:val="Marginlie"/>
            </w:pPr>
          </w:p>
          <w:p w14:paraId="20963B48" w14:textId="77777777" w:rsidR="001E1AF1" w:rsidRDefault="001E1AF1" w:rsidP="00D26E6B">
            <w:pPr>
              <w:pStyle w:val="Marginlie"/>
            </w:pPr>
          </w:p>
          <w:p w14:paraId="3E6CEB35" w14:textId="77777777" w:rsidR="001E1AF1" w:rsidRDefault="001E1AF1" w:rsidP="00D26E6B">
            <w:pPr>
              <w:pStyle w:val="Marginlie"/>
            </w:pPr>
          </w:p>
          <w:p w14:paraId="738836FA" w14:textId="77777777" w:rsidR="001E1AF1" w:rsidRDefault="001E1AF1" w:rsidP="00D26E6B">
            <w:pPr>
              <w:pStyle w:val="Marginlie"/>
            </w:pPr>
            <w:r>
              <w:t xml:space="preserve">Navzdory zmírnění tempa u mimořádné červnové valorizace se letos důchodový účet propadl do rekordního deficitu. </w:t>
            </w:r>
          </w:p>
        </w:tc>
        <w:tc>
          <w:tcPr>
            <w:tcW w:w="203" w:type="dxa"/>
            <w:shd w:val="clear" w:color="auto" w:fill="auto"/>
            <w:tcMar>
              <w:left w:w="0" w:type="dxa"/>
            </w:tcMar>
          </w:tcPr>
          <w:p w14:paraId="4BB21625" w14:textId="77777777" w:rsidR="001E1AF1" w:rsidRDefault="001E1AF1" w:rsidP="00D26E6B">
            <w:pPr>
              <w:pStyle w:val="Textpoznpodarou"/>
              <w:jc w:val="both"/>
              <w:rPr>
                <w:spacing w:val="-4"/>
              </w:rPr>
            </w:pPr>
          </w:p>
        </w:tc>
        <w:tc>
          <w:tcPr>
            <w:tcW w:w="7674" w:type="dxa"/>
            <w:shd w:val="clear" w:color="auto" w:fill="auto"/>
            <w:tcMar>
              <w:left w:w="0" w:type="dxa"/>
            </w:tcMar>
          </w:tcPr>
          <w:p w14:paraId="0A087711" w14:textId="77777777" w:rsidR="001E1AF1" w:rsidRPr="001843D5" w:rsidRDefault="001E1AF1" w:rsidP="00D26E6B">
            <w:pPr>
              <w:spacing w:after="220"/>
              <w:rPr>
                <w:color w:val="0D0D0D" w:themeColor="text1" w:themeTint="F2"/>
                <w:spacing w:val="-4"/>
              </w:rPr>
            </w:pPr>
            <w:r>
              <w:t>O celou polovinu z celkového letošního navýšení běžných výdajů (+157,3 mld. korun) se zasloužily sociální dávky, na které směřovalo meziročně o 13,9 % více. Jejich podíl na všech výdajích SR byl nejvyšší za posledních pět let (40,2 %). Téměř veškerý růst v oblasti sociálních dávek pokryly vyšší výdaje na důchody, jež dosáhly 512,6 mld. korun (při meziročním růstu o 17,6 %). Jejich čerpání bylo, podobně jako loni, zásadně ovlivněno jak řádnou lednovou valorizací, tak mimořádným navýšením během roku</w:t>
            </w:r>
            <w:r>
              <w:rPr>
                <w:rStyle w:val="Znakapoznpodarou"/>
              </w:rPr>
              <w:footnoteReference w:id="15"/>
            </w:r>
            <w:r>
              <w:t xml:space="preserve">. </w:t>
            </w:r>
            <w:r>
              <w:rPr>
                <w:color w:val="0D0D0D" w:themeColor="text1" w:themeTint="F2"/>
                <w:spacing w:val="-4"/>
              </w:rPr>
              <w:t>Počet příjemců důchodů navzdory vyššímu zájmu o předčasné penze</w:t>
            </w:r>
            <w:r>
              <w:rPr>
                <w:rStyle w:val="Znakapoznpodarou"/>
                <w:color w:val="0D0D0D" w:themeColor="text1" w:themeTint="F2"/>
                <w:spacing w:val="-4"/>
              </w:rPr>
              <w:footnoteReference w:id="16"/>
            </w:r>
            <w:r>
              <w:rPr>
                <w:color w:val="0D0D0D" w:themeColor="text1" w:themeTint="F2"/>
                <w:spacing w:val="-4"/>
              </w:rPr>
              <w:t xml:space="preserve"> klesal, byť mírnějším tempem (−0,2 % meziročně) než v předchozích dvou letech.</w:t>
            </w:r>
            <w:r>
              <w:rPr>
                <w:spacing w:val="-6"/>
              </w:rPr>
              <w:t xml:space="preserve"> Přestože stále d</w:t>
            </w:r>
            <w:r w:rsidRPr="00791977">
              <w:rPr>
                <w:spacing w:val="-6"/>
              </w:rPr>
              <w:t>obr</w:t>
            </w:r>
            <w:r>
              <w:rPr>
                <w:spacing w:val="-6"/>
              </w:rPr>
              <w:t>á kondice tuzemského trhu práce podporovala</w:t>
            </w:r>
            <w:r>
              <w:rPr>
                <w:spacing w:val="-4"/>
              </w:rPr>
              <w:t xml:space="preserve"> pokračující růst</w:t>
            </w:r>
            <w:r w:rsidRPr="00862F80">
              <w:rPr>
                <w:spacing w:val="-4"/>
              </w:rPr>
              <w:t xml:space="preserve"> příjmů </w:t>
            </w:r>
            <w:r>
              <w:rPr>
                <w:rFonts w:cs="Arial"/>
                <w:color w:val="0D0D0D" w:themeColor="text1" w:themeTint="F2"/>
                <w:spacing w:val="-4"/>
              </w:rPr>
              <w:t>důchodového pojištění, jeho meziroční tempo nebylo letos oproti výdajům na důchody ani poloviční (8,3</w:t>
            </w:r>
            <w:r>
              <w:rPr>
                <w:color w:val="0D0D0D" w:themeColor="text1" w:themeTint="F2"/>
                <w:spacing w:val="-5"/>
              </w:rPr>
              <w:t> </w:t>
            </w:r>
            <w:r>
              <w:rPr>
                <w:rFonts w:cs="Arial"/>
                <w:color w:val="0D0D0D" w:themeColor="text1" w:themeTint="F2"/>
                <w:spacing w:val="-4"/>
              </w:rPr>
              <w:t>%)</w:t>
            </w:r>
            <w:r>
              <w:rPr>
                <w:rStyle w:val="Znakapoznpodarou"/>
                <w:color w:val="0D0D0D" w:themeColor="text1" w:themeTint="F2"/>
                <w:spacing w:val="-4"/>
              </w:rPr>
              <w:footnoteReference w:id="17"/>
            </w:r>
            <w:r>
              <w:rPr>
                <w:rFonts w:cs="Arial"/>
                <w:color w:val="0D0D0D" w:themeColor="text1" w:themeTint="F2"/>
                <w:spacing w:val="-4"/>
              </w:rPr>
              <w:t>. Saldo</w:t>
            </w:r>
            <w:r w:rsidRPr="00862F80">
              <w:rPr>
                <w:rFonts w:cs="Arial"/>
                <w:color w:val="0D0D0D" w:themeColor="text1" w:themeTint="F2"/>
                <w:spacing w:val="-4"/>
              </w:rPr>
              <w:t xml:space="preserve"> </w:t>
            </w:r>
            <w:r>
              <w:rPr>
                <w:rFonts w:cs="Arial"/>
                <w:color w:val="0D0D0D" w:themeColor="text1" w:themeTint="F2"/>
                <w:spacing w:val="-4"/>
              </w:rPr>
              <w:t xml:space="preserve">systému </w:t>
            </w:r>
            <w:r>
              <w:rPr>
                <w:rFonts w:cs="Arial"/>
                <w:color w:val="0D0D0D" w:themeColor="text1" w:themeTint="F2"/>
                <w:spacing w:val="-2"/>
              </w:rPr>
              <w:t>důchodového pojištění</w:t>
            </w:r>
            <w:r w:rsidRPr="001C3185">
              <w:rPr>
                <w:rStyle w:val="Znakapoznpodarou"/>
                <w:color w:val="0D0D0D" w:themeColor="text1" w:themeTint="F2"/>
                <w:spacing w:val="-2"/>
              </w:rPr>
              <w:footnoteReference w:id="18"/>
            </w:r>
            <w:r>
              <w:rPr>
                <w:rFonts w:cs="Arial"/>
                <w:color w:val="0D0D0D" w:themeColor="text1" w:themeTint="F2"/>
                <w:spacing w:val="-2"/>
              </w:rPr>
              <w:t xml:space="preserve"> se proto za tři čtvrtletí propadlo do rekordního</w:t>
            </w:r>
            <w:r w:rsidRPr="001C3185">
              <w:rPr>
                <w:rFonts w:cs="Arial"/>
                <w:color w:val="0D0D0D" w:themeColor="text1" w:themeTint="F2"/>
                <w:spacing w:val="-2"/>
              </w:rPr>
              <w:t xml:space="preserve"> deficitu (</w:t>
            </w:r>
            <w:r>
              <w:rPr>
                <w:rFonts w:cs="Arial"/>
                <w:color w:val="0D0D0D" w:themeColor="text1" w:themeTint="F2"/>
                <w:spacing w:val="-2"/>
              </w:rPr>
              <w:t>58,1 mld. korun), meziročně více než trojnásobného.</w:t>
            </w:r>
          </w:p>
        </w:tc>
      </w:tr>
      <w:tr w:rsidR="001E1AF1" w:rsidRPr="007B3A78" w14:paraId="0163A9A0" w14:textId="77777777" w:rsidTr="08AB0269">
        <w:trPr>
          <w:trHeight w:val="170"/>
        </w:trPr>
        <w:tc>
          <w:tcPr>
            <w:tcW w:w="1792" w:type="dxa"/>
            <w:shd w:val="clear" w:color="auto" w:fill="auto"/>
            <w:tcMar>
              <w:left w:w="0" w:type="dxa"/>
            </w:tcMar>
          </w:tcPr>
          <w:p w14:paraId="1B0BDB8B" w14:textId="77777777" w:rsidR="001E1AF1" w:rsidRDefault="001E1AF1" w:rsidP="00D26E6B">
            <w:pPr>
              <w:pStyle w:val="Marginlie"/>
            </w:pPr>
            <w:r>
              <w:t>Růst výdajů na nedůchodové sociální dávky byl tažen výdaji na státní sociální podporu.</w:t>
            </w:r>
          </w:p>
          <w:p w14:paraId="30F2218A" w14:textId="77777777" w:rsidR="001E1AF1" w:rsidRDefault="001E1AF1" w:rsidP="00D26E6B">
            <w:pPr>
              <w:pStyle w:val="Marginlie"/>
            </w:pPr>
          </w:p>
          <w:p w14:paraId="53FD84E5" w14:textId="77777777" w:rsidR="001E1AF1" w:rsidRDefault="001E1AF1" w:rsidP="00D26E6B">
            <w:pPr>
              <w:pStyle w:val="Marginlie"/>
            </w:pPr>
          </w:p>
          <w:p w14:paraId="3FE03642" w14:textId="77777777" w:rsidR="001E1AF1" w:rsidRDefault="001E1AF1" w:rsidP="00D26E6B">
            <w:pPr>
              <w:pStyle w:val="Marginlie"/>
            </w:pPr>
          </w:p>
          <w:p w14:paraId="178E5F7D" w14:textId="77777777" w:rsidR="001E1AF1" w:rsidRDefault="001E1AF1" w:rsidP="00D26E6B">
            <w:pPr>
              <w:pStyle w:val="Marginlie"/>
            </w:pPr>
          </w:p>
          <w:p w14:paraId="4BF20C43" w14:textId="77777777" w:rsidR="001E1AF1" w:rsidRDefault="001E1AF1" w:rsidP="00D26E6B">
            <w:pPr>
              <w:pStyle w:val="Marginlie"/>
            </w:pPr>
          </w:p>
          <w:p w14:paraId="1FCD359E" w14:textId="77777777" w:rsidR="001E1AF1" w:rsidRDefault="001E1AF1" w:rsidP="00D26E6B">
            <w:pPr>
              <w:pStyle w:val="Marginlie"/>
            </w:pPr>
            <w:r>
              <w:t>Rostly i výdaje na sociální péči či na nezaměstnané. Klesly naopak výdaje za nemocenské a ošetřovné.</w:t>
            </w:r>
          </w:p>
          <w:p w14:paraId="1E8EA89F" w14:textId="77777777" w:rsidR="001E1AF1" w:rsidRDefault="001E1AF1" w:rsidP="00D26E6B">
            <w:pPr>
              <w:pStyle w:val="Marginlie"/>
            </w:pPr>
          </w:p>
          <w:p w14:paraId="61E79468" w14:textId="77777777" w:rsidR="001E1AF1" w:rsidRDefault="001E1AF1" w:rsidP="00D26E6B">
            <w:pPr>
              <w:pStyle w:val="Marginlie"/>
            </w:pPr>
          </w:p>
          <w:p w14:paraId="0C353FE9" w14:textId="77777777" w:rsidR="001E1AF1" w:rsidRDefault="001E1AF1" w:rsidP="00D26E6B">
            <w:pPr>
              <w:pStyle w:val="Marginlie"/>
            </w:pPr>
          </w:p>
          <w:p w14:paraId="71E19739" w14:textId="77777777" w:rsidR="001E1AF1" w:rsidRDefault="001E1AF1" w:rsidP="00D26E6B">
            <w:pPr>
              <w:pStyle w:val="Marginlie"/>
            </w:pPr>
          </w:p>
          <w:p w14:paraId="76734DC8" w14:textId="77777777" w:rsidR="001E1AF1" w:rsidRDefault="001E1AF1" w:rsidP="00D26E6B">
            <w:pPr>
              <w:pStyle w:val="Marginlie"/>
            </w:pPr>
            <w:r>
              <w:t>Výdaje na dávky z nemocenského pojištění nadále mírně převyšovaly příjmy z pojistného.</w:t>
            </w:r>
          </w:p>
        </w:tc>
        <w:tc>
          <w:tcPr>
            <w:tcW w:w="203" w:type="dxa"/>
            <w:shd w:val="clear" w:color="auto" w:fill="auto"/>
            <w:tcMar>
              <w:left w:w="0" w:type="dxa"/>
            </w:tcMar>
          </w:tcPr>
          <w:p w14:paraId="407BD709" w14:textId="77777777" w:rsidR="001E1AF1" w:rsidRDefault="001E1AF1" w:rsidP="00D26E6B">
            <w:pPr>
              <w:pStyle w:val="Textpoznpodarou"/>
              <w:jc w:val="both"/>
              <w:rPr>
                <w:spacing w:val="-4"/>
              </w:rPr>
            </w:pPr>
          </w:p>
        </w:tc>
        <w:tc>
          <w:tcPr>
            <w:tcW w:w="7674" w:type="dxa"/>
            <w:shd w:val="clear" w:color="auto" w:fill="auto"/>
            <w:tcMar>
              <w:left w:w="0" w:type="dxa"/>
            </w:tcMar>
          </w:tcPr>
          <w:p w14:paraId="69F544F7" w14:textId="77777777" w:rsidR="001E1AF1" w:rsidRPr="00C24A66" w:rsidRDefault="001E1AF1" w:rsidP="00D26E6B">
            <w:pPr>
              <w:spacing w:after="200"/>
              <w:rPr>
                <w:spacing w:val="-4"/>
              </w:rPr>
            </w:pPr>
            <w:r>
              <w:rPr>
                <w:color w:val="0D0D0D" w:themeColor="text1" w:themeTint="F2"/>
                <w:spacing w:val="-4"/>
              </w:rPr>
              <w:t>Jestliže tempo růstu výdajů na důchody se letos meziročně takřka zdvojnásobilo, tak u</w:t>
            </w:r>
            <w:r>
              <w:t> </w:t>
            </w:r>
            <w:r>
              <w:rPr>
                <w:color w:val="0D0D0D" w:themeColor="text1" w:themeTint="F2"/>
                <w:spacing w:val="-4"/>
              </w:rPr>
              <w:t>nedůchodových sociálních dávek jejich dynamika v souladu s rozpočtovým očekáváním výrazně opadla (na 1,8 % při celkovém čerpání ve výši 137,7</w:t>
            </w:r>
            <w:r w:rsidRPr="000C79A6">
              <w:rPr>
                <w:color w:val="0D0D0D" w:themeColor="text1" w:themeTint="F2"/>
                <w:spacing w:val="-4"/>
              </w:rPr>
              <w:t xml:space="preserve"> </w:t>
            </w:r>
            <w:r w:rsidRPr="008F130B">
              <w:rPr>
                <w:color w:val="0D0D0D" w:themeColor="text1" w:themeTint="F2"/>
                <w:spacing w:val="-4"/>
              </w:rPr>
              <w:t>mld. korun</w:t>
            </w:r>
            <w:r>
              <w:rPr>
                <w:color w:val="0D0D0D" w:themeColor="text1" w:themeTint="F2"/>
                <w:spacing w:val="-4"/>
              </w:rPr>
              <w:t>). I přes mírný celkový růst došlo oproti loňsku u většiny dílčích dávek k růstu čerpání. Výdaje na dávky státní sociální podpory (SSP)</w:t>
            </w:r>
            <w:r>
              <w:rPr>
                <w:rStyle w:val="Znakapoznpodarou"/>
                <w:color w:val="0D0D0D" w:themeColor="text1" w:themeTint="F2"/>
                <w:spacing w:val="-4"/>
              </w:rPr>
              <w:footnoteReference w:id="19"/>
            </w:r>
            <w:r>
              <w:rPr>
                <w:color w:val="0D0D0D" w:themeColor="text1" w:themeTint="F2"/>
                <w:spacing w:val="-4"/>
              </w:rPr>
              <w:t xml:space="preserve"> vzrostly o 6,4 %, primárně kvůli razantnímu</w:t>
            </w:r>
            <w:r w:rsidRPr="008F130B">
              <w:rPr>
                <w:color w:val="0D0D0D" w:themeColor="text1" w:themeTint="F2"/>
                <w:spacing w:val="-4"/>
              </w:rPr>
              <w:t xml:space="preserve"> zvýšení objemu </w:t>
            </w:r>
            <w:r w:rsidRPr="008F130B">
              <w:rPr>
                <w:color w:val="0D0D0D" w:themeColor="text1" w:themeTint="F2"/>
                <w:spacing w:val="-4"/>
              </w:rPr>
              <w:lastRenderedPageBreak/>
              <w:t>vyplacených příspěvků na bydlení</w:t>
            </w:r>
            <w:r>
              <w:rPr>
                <w:rStyle w:val="Znakapoznpodarou"/>
                <w:color w:val="0D0D0D" w:themeColor="text1" w:themeTint="F2"/>
                <w:spacing w:val="-4"/>
              </w:rPr>
              <w:footnoteReference w:id="20"/>
            </w:r>
            <w:r w:rsidRPr="008F130B">
              <w:rPr>
                <w:color w:val="0D0D0D" w:themeColor="text1" w:themeTint="F2"/>
                <w:spacing w:val="-4"/>
              </w:rPr>
              <w:t xml:space="preserve"> (</w:t>
            </w:r>
            <w:r>
              <w:rPr>
                <w:color w:val="0D0D0D" w:themeColor="text1" w:themeTint="F2"/>
                <w:spacing w:val="-4"/>
              </w:rPr>
              <w:t>123 %, vlivem</w:t>
            </w:r>
            <w:r w:rsidRPr="008F130B">
              <w:rPr>
                <w:color w:val="0D0D0D" w:themeColor="text1" w:themeTint="F2"/>
                <w:spacing w:val="-4"/>
              </w:rPr>
              <w:t xml:space="preserve"> vysokých cen energií a </w:t>
            </w:r>
            <w:r w:rsidRPr="008F130B">
              <w:rPr>
                <w:spacing w:val="-4"/>
              </w:rPr>
              <w:t>zvýšení</w:t>
            </w:r>
            <w:r>
              <w:rPr>
                <w:spacing w:val="-4"/>
              </w:rPr>
              <w:t>m</w:t>
            </w:r>
            <w:r w:rsidRPr="008F130B">
              <w:rPr>
                <w:spacing w:val="-4"/>
              </w:rPr>
              <w:t xml:space="preserve"> nákladů uznatelných pro výplatu</w:t>
            </w:r>
            <w:r>
              <w:rPr>
                <w:spacing w:val="-4"/>
              </w:rPr>
              <w:t>, ale i růstu povědomí o</w:t>
            </w:r>
            <w:r>
              <w:rPr>
                <w:color w:val="0D0D0D" w:themeColor="text1" w:themeTint="F2"/>
                <w:spacing w:val="-4"/>
              </w:rPr>
              <w:t> </w:t>
            </w:r>
            <w:r>
              <w:rPr>
                <w:spacing w:val="-4"/>
              </w:rPr>
              <w:t>možnosti čerpání této pomoci v populaci, či zjednodušení procedury podání žádosti o</w:t>
            </w:r>
            <w:r>
              <w:rPr>
                <w:color w:val="0D0D0D" w:themeColor="text1" w:themeTint="F2"/>
                <w:spacing w:val="-4"/>
              </w:rPr>
              <w:t> </w:t>
            </w:r>
            <w:r>
              <w:rPr>
                <w:spacing w:val="-4"/>
              </w:rPr>
              <w:t xml:space="preserve">dávku). Naopak výdaje na přídavky na děti klesly skoro o polovinu, a to </w:t>
            </w:r>
            <w:r w:rsidRPr="00324885">
              <w:rPr>
                <w:color w:val="0D0D0D" w:themeColor="text1" w:themeTint="F2"/>
                <w:spacing w:val="-4"/>
              </w:rPr>
              <w:t>výhradně vlivem vyšší loňské základny (poskytování jednorázového příspěvku 5 tis. korun</w:t>
            </w:r>
            <w:r>
              <w:rPr>
                <w:color w:val="0D0D0D" w:themeColor="text1" w:themeTint="F2"/>
                <w:spacing w:val="-4"/>
              </w:rPr>
              <w:t xml:space="preserve"> na dítě od srpna 2022). U přídavků vyplácených pravidelně je totiž patrný nárůst čerpání</w:t>
            </w:r>
            <w:r>
              <w:rPr>
                <w:rStyle w:val="Znakapoznpodarou"/>
                <w:spacing w:val="-4"/>
              </w:rPr>
              <w:footnoteReference w:id="21"/>
            </w:r>
            <w:r>
              <w:rPr>
                <w:spacing w:val="-4"/>
              </w:rPr>
              <w:t>. Klesly výdaje na váhově dominantní položku</w:t>
            </w:r>
            <w:r w:rsidRPr="008F130B">
              <w:rPr>
                <w:spacing w:val="-4"/>
              </w:rPr>
              <w:t xml:space="preserve"> SSP </w:t>
            </w:r>
            <w:r>
              <w:rPr>
                <w:rFonts w:cs="Arial"/>
                <w:color w:val="0D0D0D" w:themeColor="text1" w:themeTint="F2"/>
                <w:spacing w:val="-2"/>
              </w:rPr>
              <w:t>−</w:t>
            </w:r>
            <w:r>
              <w:rPr>
                <w:spacing w:val="-4"/>
              </w:rPr>
              <w:t xml:space="preserve"> rodičovské příspěvky</w:t>
            </w:r>
            <w:r w:rsidRPr="008F130B">
              <w:rPr>
                <w:spacing w:val="-4"/>
              </w:rPr>
              <w:t xml:space="preserve"> (</w:t>
            </w:r>
            <w:r>
              <w:rPr>
                <w:color w:val="0D0D0D" w:themeColor="text1" w:themeTint="F2"/>
                <w:spacing w:val="-4"/>
              </w:rPr>
              <w:t>−5,7</w:t>
            </w:r>
            <w:r w:rsidRPr="008F130B">
              <w:rPr>
                <w:color w:val="0D0D0D" w:themeColor="text1" w:themeTint="F2"/>
                <w:spacing w:val="-4"/>
              </w:rPr>
              <w:t xml:space="preserve"> %</w:t>
            </w:r>
            <w:r>
              <w:rPr>
                <w:spacing w:val="-4"/>
              </w:rPr>
              <w:t>). K tomu došlo (po skokovém navýšení výdajů v roce 2020) třetím</w:t>
            </w:r>
            <w:r w:rsidRPr="008F130B">
              <w:rPr>
                <w:spacing w:val="-4"/>
              </w:rPr>
              <w:t xml:space="preserve"> rokem v řadě.</w:t>
            </w:r>
            <w:r>
              <w:rPr>
                <w:spacing w:val="-4"/>
              </w:rPr>
              <w:t xml:space="preserve"> Z dalších podpor se zvýšily </w:t>
            </w:r>
            <w:r>
              <w:rPr>
                <w:color w:val="0D0D0D" w:themeColor="text1" w:themeTint="F2"/>
                <w:spacing w:val="-4"/>
              </w:rPr>
              <w:t>dávky sociální péče (</w:t>
            </w:r>
            <w:r w:rsidRPr="007B5490">
              <w:rPr>
                <w:color w:val="0D0D0D" w:themeColor="text1" w:themeTint="F2"/>
                <w:spacing w:val="-4"/>
              </w:rPr>
              <w:t xml:space="preserve">0,9 </w:t>
            </w:r>
            <w:r>
              <w:rPr>
                <w:spacing w:val="-4"/>
              </w:rPr>
              <w:t xml:space="preserve">%), neboť růst </w:t>
            </w:r>
            <w:r w:rsidRPr="007B5490">
              <w:rPr>
                <w:color w:val="0D0D0D" w:themeColor="text1" w:themeTint="F2"/>
                <w:spacing w:val="-4"/>
              </w:rPr>
              <w:t xml:space="preserve">objemu dávek </w:t>
            </w:r>
            <w:r>
              <w:rPr>
                <w:rFonts w:cs="Arial"/>
                <w:color w:val="0D0D0D" w:themeColor="text1" w:themeTint="F2"/>
                <w:spacing w:val="-4"/>
              </w:rPr>
              <w:t>pro zdravotně postižené (hlavně</w:t>
            </w:r>
            <w:r w:rsidRPr="007B5490">
              <w:rPr>
                <w:rFonts w:cs="Arial"/>
                <w:color w:val="0D0D0D" w:themeColor="text1" w:themeTint="F2"/>
                <w:spacing w:val="-4"/>
              </w:rPr>
              <w:t xml:space="preserve"> na mobilitu) i příspěvků na péči (pro dlouhodobě nemocné) </w:t>
            </w:r>
            <w:r>
              <w:rPr>
                <w:rFonts w:cs="Arial"/>
                <w:color w:val="0D0D0D" w:themeColor="text1" w:themeTint="F2"/>
                <w:spacing w:val="-4"/>
              </w:rPr>
              <w:t xml:space="preserve">převážil efekt poklesu u dávek pomoci v hmotné nouzi (o 10,4 %, </w:t>
            </w:r>
            <w:r>
              <w:rPr>
                <w:spacing w:val="-4"/>
              </w:rPr>
              <w:t>a</w:t>
            </w:r>
            <w:r w:rsidRPr="008F130B">
              <w:rPr>
                <w:spacing w:val="-4"/>
              </w:rPr>
              <w:t> </w:t>
            </w:r>
            <w:r>
              <w:rPr>
                <w:spacing w:val="-4"/>
              </w:rPr>
              <w:t>to</w:t>
            </w:r>
            <w:r>
              <w:rPr>
                <w:rFonts w:cs="Arial"/>
                <w:color w:val="0D0D0D" w:themeColor="text1" w:themeTint="F2"/>
                <w:spacing w:val="-4"/>
              </w:rPr>
              <w:t xml:space="preserve"> především vlivem redukce váhově významných </w:t>
            </w:r>
            <w:r>
              <w:rPr>
                <w:spacing w:val="-4"/>
              </w:rPr>
              <w:t xml:space="preserve">humanitárních dávek pro </w:t>
            </w:r>
            <w:r>
              <w:rPr>
                <w:rFonts w:cs="Arial"/>
                <w:color w:val="0D0D0D" w:themeColor="text1" w:themeTint="F2"/>
                <w:spacing w:val="-4"/>
              </w:rPr>
              <w:t xml:space="preserve">uprchlíky </w:t>
            </w:r>
            <w:r w:rsidRPr="008F130B">
              <w:rPr>
                <w:rFonts w:cs="Arial"/>
                <w:color w:val="0D0D0D" w:themeColor="text1" w:themeTint="F2"/>
                <w:spacing w:val="-4"/>
              </w:rPr>
              <w:t>z</w:t>
            </w:r>
            <w:r>
              <w:rPr>
                <w:rFonts w:cs="Arial"/>
                <w:color w:val="0D0D0D" w:themeColor="text1" w:themeTint="F2"/>
                <w:spacing w:val="-4"/>
              </w:rPr>
              <w:t> </w:t>
            </w:r>
            <w:r w:rsidRPr="008F130B">
              <w:rPr>
                <w:rFonts w:cs="Arial"/>
                <w:color w:val="0D0D0D" w:themeColor="text1" w:themeTint="F2"/>
                <w:spacing w:val="-4"/>
              </w:rPr>
              <w:t>Ukrajiny</w:t>
            </w:r>
            <w:r>
              <w:rPr>
                <w:rFonts w:cs="Arial"/>
                <w:color w:val="0D0D0D" w:themeColor="text1" w:themeTint="F2"/>
                <w:spacing w:val="-4"/>
              </w:rPr>
              <w:t>)</w:t>
            </w:r>
            <w:r>
              <w:rPr>
                <w:rStyle w:val="Znakapoznpodarou"/>
                <w:color w:val="0D0D0D" w:themeColor="text1" w:themeTint="F2"/>
                <w:spacing w:val="-4"/>
              </w:rPr>
              <w:footnoteReference w:id="22"/>
            </w:r>
            <w:r>
              <w:rPr>
                <w:rFonts w:cs="Arial"/>
                <w:color w:val="0D0D0D" w:themeColor="text1" w:themeTint="F2"/>
                <w:spacing w:val="-4"/>
              </w:rPr>
              <w:t xml:space="preserve">. Po dvou předešlých letech se letos obnovil růst výdajů na podpory </w:t>
            </w:r>
            <w:r w:rsidRPr="008671F8">
              <w:rPr>
                <w:rFonts w:cs="Arial"/>
                <w:color w:val="0D0D0D" w:themeColor="text1" w:themeTint="F2"/>
                <w:spacing w:val="-4"/>
              </w:rPr>
              <w:t>v nezaměstnanosti (6,1 %)</w:t>
            </w:r>
            <w:r w:rsidRPr="008671F8">
              <w:rPr>
                <w:rStyle w:val="Znakapoznpodarou"/>
                <w:color w:val="0D0D0D" w:themeColor="text1" w:themeTint="F2"/>
                <w:spacing w:val="-4"/>
              </w:rPr>
              <w:footnoteReference w:id="23"/>
            </w:r>
            <w:r w:rsidRPr="008671F8">
              <w:rPr>
                <w:rFonts w:cs="Arial"/>
                <w:color w:val="0D0D0D" w:themeColor="text1" w:themeTint="F2"/>
                <w:spacing w:val="-4"/>
              </w:rPr>
              <w:t>.</w:t>
            </w:r>
            <w:r w:rsidRPr="00655496">
              <w:rPr>
                <w:rFonts w:cs="Arial"/>
                <w:color w:val="0D0D0D" w:themeColor="text1" w:themeTint="F2"/>
                <w:spacing w:val="-4"/>
              </w:rPr>
              <w:t xml:space="preserve"> Výdaje na </w:t>
            </w:r>
            <w:r w:rsidRPr="00655496">
              <w:rPr>
                <w:color w:val="0D0D0D" w:themeColor="text1" w:themeTint="F2"/>
                <w:spacing w:val="-4"/>
              </w:rPr>
              <w:t>d</w:t>
            </w:r>
            <w:r>
              <w:rPr>
                <w:color w:val="0D0D0D" w:themeColor="text1" w:themeTint="F2"/>
                <w:spacing w:val="-4"/>
              </w:rPr>
              <w:t>ávky nemocenského pojištění se po období pandemie</w:t>
            </w:r>
            <w:r>
              <w:rPr>
                <w:spacing w:val="-4"/>
              </w:rPr>
              <w:t xml:space="preserve"> meziročně snížily (−4,9</w:t>
            </w:r>
            <w:r w:rsidRPr="008F130B">
              <w:rPr>
                <w:spacing w:val="-4"/>
              </w:rPr>
              <w:t> %),</w:t>
            </w:r>
            <w:r>
              <w:rPr>
                <w:spacing w:val="-4"/>
              </w:rPr>
              <w:t xml:space="preserve"> a to třetím rokem v řadě</w:t>
            </w:r>
            <w:r>
              <w:rPr>
                <w:rStyle w:val="Znakapoznpodarou"/>
                <w:spacing w:val="-4"/>
              </w:rPr>
              <w:footnoteReference w:id="24"/>
            </w:r>
            <w:r>
              <w:rPr>
                <w:spacing w:val="-4"/>
              </w:rPr>
              <w:t>. Navzdory svižnému</w:t>
            </w:r>
            <w:r w:rsidRPr="008F130B">
              <w:rPr>
                <w:spacing w:val="-4"/>
              </w:rPr>
              <w:t xml:space="preserve"> růst</w:t>
            </w:r>
            <w:r>
              <w:rPr>
                <w:spacing w:val="-4"/>
              </w:rPr>
              <w:t>u</w:t>
            </w:r>
            <w:r w:rsidRPr="008F130B">
              <w:rPr>
                <w:spacing w:val="-4"/>
              </w:rPr>
              <w:t xml:space="preserve"> vý</w:t>
            </w:r>
            <w:r>
              <w:rPr>
                <w:spacing w:val="-4"/>
              </w:rPr>
              <w:t>běru pojistného tyto dávky i</w:t>
            </w:r>
            <w:r w:rsidRPr="008F130B">
              <w:rPr>
                <w:spacing w:val="-4"/>
              </w:rPr>
              <w:t xml:space="preserve"> </w:t>
            </w:r>
            <w:r>
              <w:rPr>
                <w:spacing w:val="-4"/>
              </w:rPr>
              <w:t xml:space="preserve">letos </w:t>
            </w:r>
            <w:r w:rsidRPr="008F130B">
              <w:rPr>
                <w:spacing w:val="-4"/>
              </w:rPr>
              <w:t>přev</w:t>
            </w:r>
            <w:r>
              <w:rPr>
                <w:spacing w:val="-4"/>
              </w:rPr>
              <w:t>yšovaly příjmy z pojistného, tento schodek se nicméně meziročně zredukoval o více než polovinu (na 2,7 mld. korun).</w:t>
            </w:r>
          </w:p>
        </w:tc>
      </w:tr>
      <w:tr w:rsidR="001E1AF1" w:rsidRPr="007B3A78" w14:paraId="4ED5BE8E" w14:textId="77777777" w:rsidTr="08AB0269">
        <w:trPr>
          <w:trHeight w:val="170"/>
        </w:trPr>
        <w:tc>
          <w:tcPr>
            <w:tcW w:w="1792" w:type="dxa"/>
            <w:shd w:val="clear" w:color="auto" w:fill="auto"/>
            <w:tcMar>
              <w:left w:w="0" w:type="dxa"/>
            </w:tcMar>
          </w:tcPr>
          <w:p w14:paraId="676F1632" w14:textId="77777777" w:rsidR="001E1AF1" w:rsidRDefault="001E1AF1" w:rsidP="00D26E6B">
            <w:pPr>
              <w:pStyle w:val="Marginlie"/>
            </w:pPr>
            <w:r>
              <w:lastRenderedPageBreak/>
              <w:t>Prudký růst neinvestičních dotací podnikatelům úzce souvisel se zastropováním cen energií pro zákazníky.</w:t>
            </w:r>
          </w:p>
        </w:tc>
        <w:tc>
          <w:tcPr>
            <w:tcW w:w="203" w:type="dxa"/>
            <w:shd w:val="clear" w:color="auto" w:fill="auto"/>
            <w:tcMar>
              <w:left w:w="0" w:type="dxa"/>
            </w:tcMar>
          </w:tcPr>
          <w:p w14:paraId="2BB3696A" w14:textId="77777777" w:rsidR="001E1AF1" w:rsidRDefault="001E1AF1" w:rsidP="00D26E6B">
            <w:pPr>
              <w:pStyle w:val="Textpoznpodarou"/>
              <w:jc w:val="both"/>
              <w:rPr>
                <w:spacing w:val="-4"/>
              </w:rPr>
            </w:pPr>
          </w:p>
        </w:tc>
        <w:tc>
          <w:tcPr>
            <w:tcW w:w="7674" w:type="dxa"/>
            <w:shd w:val="clear" w:color="auto" w:fill="auto"/>
            <w:tcMar>
              <w:left w:w="0" w:type="dxa"/>
            </w:tcMar>
          </w:tcPr>
          <w:p w14:paraId="1CDFC002" w14:textId="77777777" w:rsidR="001E1AF1" w:rsidRDefault="001E1AF1" w:rsidP="00D26E6B">
            <w:pPr>
              <w:spacing w:after="200"/>
              <w:rPr>
                <w:color w:val="0D0D0D" w:themeColor="text1" w:themeTint="F2"/>
                <w:spacing w:val="-5"/>
              </w:rPr>
            </w:pPr>
            <w:r>
              <w:rPr>
                <w:color w:val="0D0D0D" w:themeColor="text1" w:themeTint="F2"/>
                <w:spacing w:val="-5"/>
              </w:rPr>
              <w:t xml:space="preserve">Neinvestiční dotace se meziročně zvýšily o 54,5 % a téměř dorovnaly rekordní výdaje z 1. až 3. čtvrtletí roku 2021 (106,2 mld. korun), které tehdy zásadně ovlivnila pandemie covidu-19. Letošní čerpání dotací již překonalo celoroční rozpočtovanou výši. </w:t>
            </w:r>
            <w:r>
              <w:rPr>
                <w:color w:val="0D0D0D" w:themeColor="text1" w:themeTint="F2"/>
                <w:spacing w:val="-4"/>
              </w:rPr>
              <w:t>Jsou zde zahrnuty zejména mimořádné výdaje – hlavně kompenzace za dodávky elektřiny a plynu zákazníkům a ztráty kvůli zastropování jejich cen (40,2 mld., korun, z toho +23,9 mld. korun připadalo na 1. čtvrtletí 2023), dále dotace provozovatelům přenosové soustavy (11,6 mld.) či pomoc firmám v energeticky náročných odvětvích (4,6 mld.). Po zmírnění objemu výše uvedené celkové pomoci s vysokými cenami energií, k níž došlo během 2. čtvrtletí, následně čerpání některých výdajů zrychlilo</w:t>
            </w:r>
            <w:r>
              <w:rPr>
                <w:rStyle w:val="Znakapoznpodarou"/>
                <w:color w:val="0D0D0D" w:themeColor="text1" w:themeTint="F2"/>
                <w:spacing w:val="-4"/>
              </w:rPr>
              <w:footnoteReference w:id="25"/>
            </w:r>
            <w:r>
              <w:rPr>
                <w:color w:val="0D0D0D" w:themeColor="text1" w:themeTint="F2"/>
                <w:spacing w:val="-4"/>
              </w:rPr>
              <w:t>. Růst transferů podnikatelů byl tlumen mírným poklesem zálohových dotací na obnovitelné zdroje energie, k úspoře došlo také u výdajů</w:t>
            </w:r>
            <w:r w:rsidRPr="00517B82">
              <w:rPr>
                <w:color w:val="0D0D0D" w:themeColor="text1" w:themeTint="F2"/>
                <w:spacing w:val="-4"/>
              </w:rPr>
              <w:t xml:space="preserve"> na řešení dopadů sou</w:t>
            </w:r>
            <w:r>
              <w:rPr>
                <w:color w:val="0D0D0D" w:themeColor="text1" w:themeTint="F2"/>
                <w:spacing w:val="-4"/>
              </w:rPr>
              <w:t>visejících s pandemií</w:t>
            </w:r>
            <w:r w:rsidRPr="00517B82">
              <w:rPr>
                <w:color w:val="0D0D0D" w:themeColor="text1" w:themeTint="F2"/>
                <w:spacing w:val="-4"/>
              </w:rPr>
              <w:t>.</w:t>
            </w:r>
          </w:p>
        </w:tc>
      </w:tr>
      <w:tr w:rsidR="001E1AF1" w:rsidRPr="007B3A78" w14:paraId="5F3C9F0A" w14:textId="77777777" w:rsidTr="08AB0269">
        <w:trPr>
          <w:trHeight w:val="170"/>
        </w:trPr>
        <w:tc>
          <w:tcPr>
            <w:tcW w:w="1792" w:type="dxa"/>
            <w:shd w:val="clear" w:color="auto" w:fill="auto"/>
            <w:tcMar>
              <w:left w:w="0" w:type="dxa"/>
            </w:tcMar>
          </w:tcPr>
          <w:p w14:paraId="78FC1F68" w14:textId="77777777" w:rsidR="001E1AF1" w:rsidRDefault="001E1AF1" w:rsidP="00D26E6B">
            <w:pPr>
              <w:pStyle w:val="Marginlie"/>
            </w:pPr>
            <w:r>
              <w:t>Na svižném růstu běžných transferů územním rozpočtům se podílely hlavně vyšší výdaje na regionální školství.</w:t>
            </w:r>
          </w:p>
          <w:p w14:paraId="7B4DC01B" w14:textId="77777777" w:rsidR="001E1AF1" w:rsidRDefault="001E1AF1" w:rsidP="00D26E6B">
            <w:pPr>
              <w:pStyle w:val="Marginlie"/>
            </w:pPr>
          </w:p>
        </w:tc>
        <w:tc>
          <w:tcPr>
            <w:tcW w:w="203" w:type="dxa"/>
            <w:shd w:val="clear" w:color="auto" w:fill="auto"/>
            <w:tcMar>
              <w:left w:w="0" w:type="dxa"/>
            </w:tcMar>
          </w:tcPr>
          <w:p w14:paraId="70CFB83A" w14:textId="77777777" w:rsidR="001E1AF1" w:rsidRDefault="001E1AF1" w:rsidP="00D26E6B">
            <w:pPr>
              <w:pStyle w:val="Textpoznpodarou"/>
              <w:jc w:val="both"/>
              <w:rPr>
                <w:spacing w:val="-4"/>
              </w:rPr>
            </w:pPr>
          </w:p>
        </w:tc>
        <w:tc>
          <w:tcPr>
            <w:tcW w:w="7674" w:type="dxa"/>
            <w:shd w:val="clear" w:color="auto" w:fill="auto"/>
            <w:tcMar>
              <w:left w:w="0" w:type="dxa"/>
            </w:tcMar>
          </w:tcPr>
          <w:p w14:paraId="6BDB82FA" w14:textId="77777777" w:rsidR="001E1AF1" w:rsidRDefault="001E1AF1" w:rsidP="00D26E6B">
            <w:pPr>
              <w:spacing w:after="200"/>
              <w:rPr>
                <w:color w:val="0D0D0D" w:themeColor="text1" w:themeTint="F2"/>
                <w:spacing w:val="-5"/>
              </w:rPr>
            </w:pPr>
            <w:r w:rsidRPr="00E865AB">
              <w:rPr>
                <w:color w:val="0D0D0D" w:themeColor="text1" w:themeTint="F2"/>
                <w:spacing w:val="-5"/>
              </w:rPr>
              <w:t xml:space="preserve">Výrazně posílily rovněž váhově významné běžné </w:t>
            </w:r>
            <w:r w:rsidRPr="00E865AB">
              <w:rPr>
                <w:color w:val="0D0D0D" w:themeColor="text1" w:themeTint="F2"/>
                <w:spacing w:val="-4"/>
              </w:rPr>
              <w:t>transfery územním rozpočtům</w:t>
            </w:r>
            <w:r>
              <w:rPr>
                <w:color w:val="0D0D0D" w:themeColor="text1" w:themeTint="F2"/>
                <w:spacing w:val="-4"/>
              </w:rPr>
              <w:t xml:space="preserve">, meziročně </w:t>
            </w:r>
            <w:r w:rsidRPr="00E865AB">
              <w:rPr>
                <w:color w:val="0D0D0D" w:themeColor="text1" w:themeTint="F2"/>
                <w:spacing w:val="-4"/>
              </w:rPr>
              <w:t xml:space="preserve">o 13,5 % (+26,6 mld. korun). </w:t>
            </w:r>
            <w:r>
              <w:rPr>
                <w:color w:val="0D0D0D" w:themeColor="text1" w:themeTint="F2"/>
                <w:spacing w:val="-4"/>
              </w:rPr>
              <w:t>Projevilo se zde posílení výdajů do oblasti regionálního školství (+10,8 mld. korun, primárně na navýšení platových tarifů pedagogů i ostatních pracovníků</w:t>
            </w:r>
            <w:r>
              <w:rPr>
                <w:rStyle w:val="Znakapoznpodarou"/>
                <w:color w:val="0D0D0D" w:themeColor="text1" w:themeTint="F2"/>
                <w:spacing w:val="-4"/>
              </w:rPr>
              <w:footnoteReference w:id="26"/>
            </w:r>
            <w:r>
              <w:rPr>
                <w:color w:val="0D0D0D" w:themeColor="text1" w:themeTint="F2"/>
                <w:spacing w:val="-4"/>
              </w:rPr>
              <w:t xml:space="preserve">), sociálních služeb či na kompenzační příspěvek na ubytování uprchlíků z Ukrajiny. Rostly i výdaje na spolufinancování programů v oblasti vzdělávání, podpořených z rozpočtu EU. SR výrazně zatížily také očekávané </w:t>
            </w:r>
            <w:r w:rsidRPr="00E865AB">
              <w:rPr>
                <w:color w:val="0D0D0D" w:themeColor="text1" w:themeTint="F2"/>
                <w:spacing w:val="-4"/>
              </w:rPr>
              <w:t>výdaje na obsluhu státního dluhu</w:t>
            </w:r>
            <w:r>
              <w:rPr>
                <w:color w:val="0D0D0D" w:themeColor="text1" w:themeTint="F2"/>
                <w:spacing w:val="-4"/>
              </w:rPr>
              <w:t>,</w:t>
            </w:r>
            <w:r w:rsidRPr="00E865AB">
              <w:rPr>
                <w:color w:val="0D0D0D" w:themeColor="text1" w:themeTint="F2"/>
                <w:spacing w:val="-4"/>
              </w:rPr>
              <w:t xml:space="preserve"> </w:t>
            </w:r>
            <w:r>
              <w:rPr>
                <w:color w:val="0D0D0D" w:themeColor="text1" w:themeTint="F2"/>
                <w:spacing w:val="-4"/>
              </w:rPr>
              <w:t>jež meziročně vzrostly o čtvrtinu (+8,2 mld. korun)</w:t>
            </w:r>
            <w:r>
              <w:rPr>
                <w:rStyle w:val="Znakapoznpodarou"/>
                <w:spacing w:val="-4"/>
              </w:rPr>
              <w:footnoteReference w:id="27"/>
            </w:r>
            <w:r>
              <w:rPr>
                <w:color w:val="0D0D0D" w:themeColor="text1" w:themeTint="F2"/>
                <w:spacing w:val="-4"/>
              </w:rPr>
              <w:t xml:space="preserve">. O necelou desetinu více (+9 mld. korun) vydal SR </w:t>
            </w:r>
            <w:r w:rsidRPr="00966A90">
              <w:rPr>
                <w:color w:val="0D0D0D" w:themeColor="text1" w:themeTint="F2"/>
                <w:spacing w:val="-4"/>
              </w:rPr>
              <w:t>na platy v organizačních složkách stát</w:t>
            </w:r>
            <w:r>
              <w:rPr>
                <w:color w:val="0D0D0D" w:themeColor="text1" w:themeTint="F2"/>
                <w:spacing w:val="-4"/>
              </w:rPr>
              <w:t>u</w:t>
            </w:r>
            <w:r w:rsidRPr="00966A90">
              <w:rPr>
                <w:color w:val="0D0D0D" w:themeColor="text1" w:themeTint="F2"/>
                <w:spacing w:val="-4"/>
              </w:rPr>
              <w:t xml:space="preserve">. </w:t>
            </w:r>
            <w:r>
              <w:rPr>
                <w:color w:val="0D0D0D" w:themeColor="text1" w:themeTint="F2"/>
                <w:spacing w:val="-4"/>
              </w:rPr>
              <w:t>To souviselo s lednovým navýšením platových tarifů příslušníků bezpečnostních sborů a vojáků a loňským zářijovým navýšením u zaměstnanců ve státní službě. Po zmrazení během pandemie se navíc rovněž citelně zvýšily výdaje na platy ústavních činitelů.</w:t>
            </w:r>
          </w:p>
        </w:tc>
      </w:tr>
      <w:tr w:rsidR="001E1AF1" w:rsidRPr="007B3A78" w14:paraId="4C5CA63D" w14:textId="77777777" w:rsidTr="08AB0269">
        <w:trPr>
          <w:trHeight w:val="170"/>
        </w:trPr>
        <w:tc>
          <w:tcPr>
            <w:tcW w:w="1792" w:type="dxa"/>
            <w:shd w:val="clear" w:color="auto" w:fill="auto"/>
            <w:tcMar>
              <w:left w:w="0" w:type="dxa"/>
            </w:tcMar>
          </w:tcPr>
          <w:p w14:paraId="33AE23F7" w14:textId="77777777" w:rsidR="001E1AF1" w:rsidRDefault="001E1AF1" w:rsidP="00D26E6B">
            <w:pPr>
              <w:pStyle w:val="Marginlie"/>
            </w:pPr>
            <w:r>
              <w:lastRenderedPageBreak/>
              <w:t>Pokles čerpání na neinvestiční nákupy předčil rozpočtové očekávání.</w:t>
            </w:r>
          </w:p>
        </w:tc>
        <w:tc>
          <w:tcPr>
            <w:tcW w:w="203" w:type="dxa"/>
            <w:shd w:val="clear" w:color="auto" w:fill="auto"/>
            <w:tcMar>
              <w:left w:w="0" w:type="dxa"/>
            </w:tcMar>
          </w:tcPr>
          <w:p w14:paraId="3AA692B2" w14:textId="77777777" w:rsidR="001E1AF1" w:rsidRDefault="001E1AF1" w:rsidP="00D26E6B">
            <w:pPr>
              <w:pStyle w:val="Textpoznpodarou"/>
              <w:jc w:val="both"/>
              <w:rPr>
                <w:spacing w:val="-4"/>
              </w:rPr>
            </w:pPr>
          </w:p>
        </w:tc>
        <w:tc>
          <w:tcPr>
            <w:tcW w:w="7674" w:type="dxa"/>
            <w:shd w:val="clear" w:color="auto" w:fill="auto"/>
            <w:tcMar>
              <w:left w:w="0" w:type="dxa"/>
            </w:tcMar>
          </w:tcPr>
          <w:p w14:paraId="235699F2" w14:textId="77777777" w:rsidR="001E1AF1" w:rsidRDefault="001E1AF1" w:rsidP="00D26E6B">
            <w:pPr>
              <w:spacing w:after="200"/>
              <w:rPr>
                <w:color w:val="0D0D0D" w:themeColor="text1" w:themeTint="F2"/>
                <w:spacing w:val="-5"/>
              </w:rPr>
            </w:pPr>
            <w:r w:rsidRPr="00966A90">
              <w:rPr>
                <w:color w:val="0D0D0D" w:themeColor="text1" w:themeTint="F2"/>
                <w:spacing w:val="-5"/>
              </w:rPr>
              <w:t>R</w:t>
            </w:r>
            <w:r w:rsidRPr="00966A90">
              <w:rPr>
                <w:color w:val="0D0D0D" w:themeColor="text1" w:themeTint="F2"/>
                <w:spacing w:val="-4"/>
              </w:rPr>
              <w:t xml:space="preserve">ůst běžných výdajů SR tlumily </w:t>
            </w:r>
            <w:r>
              <w:rPr>
                <w:color w:val="0D0D0D" w:themeColor="text1" w:themeTint="F2"/>
                <w:spacing w:val="-4"/>
              </w:rPr>
              <w:t>hlavně</w:t>
            </w:r>
            <w:r w:rsidRPr="00966A90">
              <w:rPr>
                <w:color w:val="0D0D0D" w:themeColor="text1" w:themeTint="F2"/>
                <w:spacing w:val="-4"/>
              </w:rPr>
              <w:t xml:space="preserve"> neinvestiční nákupy, </w:t>
            </w:r>
            <w:r>
              <w:rPr>
                <w:color w:val="0D0D0D" w:themeColor="text1" w:themeTint="F2"/>
                <w:spacing w:val="-4"/>
              </w:rPr>
              <w:t xml:space="preserve">jejichž meziroční pokles </w:t>
            </w:r>
            <w:r>
              <w:rPr>
                <w:color w:val="0D0D0D" w:themeColor="text1" w:themeTint="F2"/>
                <w:spacing w:val="-4"/>
              </w:rPr>
              <w:br/>
              <w:t>(o</w:t>
            </w:r>
            <w:r w:rsidRPr="00966A90">
              <w:rPr>
                <w:color w:val="0D0D0D" w:themeColor="text1" w:themeTint="F2"/>
                <w:spacing w:val="-4"/>
              </w:rPr>
              <w:t> </w:t>
            </w:r>
            <w:r>
              <w:rPr>
                <w:color w:val="0D0D0D" w:themeColor="text1" w:themeTint="F2"/>
                <w:spacing w:val="-4"/>
              </w:rPr>
              <w:t xml:space="preserve"> 18</w:t>
            </w:r>
            <w:r w:rsidRPr="00966A90">
              <w:rPr>
                <w:color w:val="0D0D0D" w:themeColor="text1" w:themeTint="F2"/>
                <w:spacing w:val="-4"/>
              </w:rPr>
              <w:t> </w:t>
            </w:r>
            <w:r>
              <w:rPr>
                <w:color w:val="0D0D0D" w:themeColor="text1" w:themeTint="F2"/>
                <w:spacing w:val="-4"/>
              </w:rPr>
              <w:t>%) zatím předčil rozpočtové očekávání. Úspory se týkaly hlavně výdajů</w:t>
            </w:r>
            <w:r w:rsidRPr="00966A90">
              <w:rPr>
                <w:color w:val="0D0D0D" w:themeColor="text1" w:themeTint="F2"/>
                <w:spacing w:val="-4"/>
              </w:rPr>
              <w:t xml:space="preserve"> na pořízení vakcín (</w:t>
            </w:r>
            <w:r>
              <w:rPr>
                <w:color w:val="0D0D0D" w:themeColor="text1" w:themeTint="F2"/>
                <w:spacing w:val="-4"/>
              </w:rPr>
              <w:t>−</w:t>
            </w:r>
            <w:r w:rsidRPr="00966A90">
              <w:rPr>
                <w:color w:val="0D0D0D" w:themeColor="text1" w:themeTint="F2"/>
                <w:spacing w:val="-4"/>
              </w:rPr>
              <w:t>5,1 mld. Kč) či oblast</w:t>
            </w:r>
            <w:r>
              <w:rPr>
                <w:color w:val="0D0D0D" w:themeColor="text1" w:themeTint="F2"/>
                <w:spacing w:val="-4"/>
              </w:rPr>
              <w:t>i</w:t>
            </w:r>
            <w:r w:rsidRPr="00966A90">
              <w:rPr>
                <w:color w:val="0D0D0D" w:themeColor="text1" w:themeTint="F2"/>
                <w:spacing w:val="-4"/>
              </w:rPr>
              <w:t xml:space="preserve"> státních hmotných rezerv (</w:t>
            </w:r>
            <w:r>
              <w:rPr>
                <w:color w:val="0D0D0D" w:themeColor="text1" w:themeTint="F2"/>
                <w:spacing w:val="-4"/>
              </w:rPr>
              <w:t>−</w:t>
            </w:r>
            <w:r w:rsidRPr="00966A90">
              <w:rPr>
                <w:color w:val="0D0D0D" w:themeColor="text1" w:themeTint="F2"/>
                <w:spacing w:val="-4"/>
              </w:rPr>
              <w:t>5,9 mld. Kč), u nichž došlo loni k vyšším nákupům plynu. N</w:t>
            </w:r>
            <w:r w:rsidRPr="00966A90">
              <w:rPr>
                <w:color w:val="0D0D0D" w:themeColor="text1" w:themeTint="F2"/>
              </w:rPr>
              <w:t>a druhou stranu silný cenový růst stále prodražoval některé běžné provozní výdaje (</w:t>
            </w:r>
            <w:r w:rsidRPr="00966A90">
              <w:rPr>
                <w:color w:val="0D0D0D" w:themeColor="text1" w:themeTint="F2"/>
                <w:spacing w:val="-4"/>
              </w:rPr>
              <w:t>např. u nákupů vody, paliv, energií či služeb).</w:t>
            </w:r>
          </w:p>
        </w:tc>
      </w:tr>
      <w:tr w:rsidR="001E1AF1" w:rsidRPr="00F704D2" w14:paraId="41A166B8" w14:textId="77777777" w:rsidTr="08AB0269">
        <w:trPr>
          <w:trHeight w:val="170"/>
        </w:trPr>
        <w:tc>
          <w:tcPr>
            <w:tcW w:w="1792" w:type="dxa"/>
            <w:vMerge w:val="restart"/>
            <w:shd w:val="clear" w:color="auto" w:fill="auto"/>
            <w:tcMar>
              <w:left w:w="0" w:type="dxa"/>
            </w:tcMar>
          </w:tcPr>
          <w:p w14:paraId="19625D63" w14:textId="77777777" w:rsidR="001E1AF1" w:rsidRDefault="001E1AF1" w:rsidP="00D26E6B">
            <w:pPr>
              <w:pStyle w:val="Marginlie"/>
            </w:pPr>
          </w:p>
        </w:tc>
        <w:tc>
          <w:tcPr>
            <w:tcW w:w="203" w:type="dxa"/>
            <w:vMerge w:val="restart"/>
            <w:shd w:val="clear" w:color="auto" w:fill="auto"/>
            <w:tcMar>
              <w:left w:w="0" w:type="dxa"/>
            </w:tcMar>
          </w:tcPr>
          <w:p w14:paraId="6DA54FAA" w14:textId="77777777" w:rsidR="001E1AF1" w:rsidRDefault="001E1AF1" w:rsidP="00D26E6B">
            <w:pPr>
              <w:pStyle w:val="Textpoznpodarou"/>
              <w:jc w:val="both"/>
              <w:rPr>
                <w:spacing w:val="-4"/>
              </w:rPr>
            </w:pPr>
          </w:p>
        </w:tc>
        <w:tc>
          <w:tcPr>
            <w:tcW w:w="7674" w:type="dxa"/>
            <w:shd w:val="clear" w:color="auto" w:fill="auto"/>
            <w:tcMar>
              <w:left w:w="0" w:type="dxa"/>
            </w:tcMar>
          </w:tcPr>
          <w:p w14:paraId="79EE2F81" w14:textId="77777777" w:rsidR="001E1AF1" w:rsidRPr="00E63A41" w:rsidRDefault="001E1AF1" w:rsidP="00D26E6B">
            <w:pPr>
              <w:spacing w:after="20" w:line="240" w:lineRule="auto"/>
              <w:jc w:val="left"/>
              <w:rPr>
                <w:rFonts w:cs="Arial"/>
                <w:bCs/>
              </w:rPr>
            </w:pPr>
            <w:r w:rsidRPr="00E63A41">
              <w:rPr>
                <w:b/>
              </w:rPr>
              <w:t xml:space="preserve">Graf č. 19 </w:t>
            </w:r>
            <w:r w:rsidRPr="00E63A41">
              <w:rPr>
                <w:rFonts w:cs="Arial"/>
                <w:b/>
                <w:bCs/>
              </w:rPr>
              <w:t>Vybrané výdaje státního rozpočtu</w:t>
            </w:r>
            <w:r>
              <w:rPr>
                <w:rFonts w:cs="Arial"/>
                <w:b/>
                <w:bCs/>
              </w:rPr>
              <w:t xml:space="preserve"> </w:t>
            </w:r>
            <w:r w:rsidRPr="00E63A41">
              <w:rPr>
                <w:rFonts w:cs="Arial"/>
                <w:bCs/>
              </w:rPr>
              <w:t>(kumulace za 1. až 3. čtvrtletí, v mld. korun)</w:t>
            </w:r>
          </w:p>
        </w:tc>
      </w:tr>
      <w:tr w:rsidR="001E1AF1" w14:paraId="54964723" w14:textId="77777777" w:rsidTr="08AB0269">
        <w:tblPrEx>
          <w:tblCellMar>
            <w:left w:w="70" w:type="dxa"/>
            <w:right w:w="70" w:type="dxa"/>
          </w:tblCellMar>
        </w:tblPrEx>
        <w:trPr>
          <w:trHeight w:val="170"/>
        </w:trPr>
        <w:tc>
          <w:tcPr>
            <w:tcW w:w="1792" w:type="dxa"/>
            <w:vMerge/>
          </w:tcPr>
          <w:p w14:paraId="67EE6840" w14:textId="77777777" w:rsidR="001E1AF1" w:rsidRDefault="001E1AF1" w:rsidP="00D26E6B">
            <w:pPr>
              <w:pStyle w:val="Marginlie"/>
            </w:pPr>
          </w:p>
        </w:tc>
        <w:tc>
          <w:tcPr>
            <w:tcW w:w="203" w:type="dxa"/>
            <w:vMerge/>
          </w:tcPr>
          <w:p w14:paraId="40223D0F" w14:textId="77777777" w:rsidR="001E1AF1" w:rsidRDefault="001E1AF1" w:rsidP="00D26E6B">
            <w:pPr>
              <w:pStyle w:val="Textpoznpodarou"/>
              <w:jc w:val="both"/>
              <w:rPr>
                <w:spacing w:val="-4"/>
              </w:rPr>
            </w:pPr>
          </w:p>
        </w:tc>
        <w:tc>
          <w:tcPr>
            <w:tcW w:w="7674" w:type="dxa"/>
            <w:shd w:val="clear" w:color="auto" w:fill="auto"/>
          </w:tcPr>
          <w:p w14:paraId="7C8D522B" w14:textId="77777777" w:rsidR="001E1AF1" w:rsidRPr="0067514E" w:rsidRDefault="001E1AF1" w:rsidP="00D26E6B">
            <w:pPr>
              <w:spacing w:after="0"/>
              <w:rPr>
                <w:spacing w:val="-6"/>
              </w:rPr>
            </w:pPr>
            <w:r>
              <w:rPr>
                <w:noProof/>
              </w:rPr>
              <w:drawing>
                <wp:inline distT="0" distB="0" distL="0" distR="0" wp14:anchorId="3370EFB9" wp14:editId="0EA9636D">
                  <wp:extent cx="4720355" cy="3401149"/>
                  <wp:effectExtent l="0" t="0" r="4445" b="889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E1AF1" w:rsidRPr="00343AC1" w14:paraId="37EA08AF" w14:textId="77777777" w:rsidTr="08AB0269">
        <w:trPr>
          <w:trHeight w:val="170"/>
        </w:trPr>
        <w:tc>
          <w:tcPr>
            <w:tcW w:w="1792" w:type="dxa"/>
            <w:vMerge/>
            <w:tcMar>
              <w:left w:w="0" w:type="dxa"/>
            </w:tcMar>
          </w:tcPr>
          <w:p w14:paraId="2433EBF3" w14:textId="77777777" w:rsidR="001E1AF1" w:rsidRDefault="001E1AF1" w:rsidP="00D26E6B">
            <w:pPr>
              <w:pStyle w:val="Marginlie"/>
            </w:pPr>
          </w:p>
        </w:tc>
        <w:tc>
          <w:tcPr>
            <w:tcW w:w="203" w:type="dxa"/>
            <w:vMerge/>
            <w:tcMar>
              <w:left w:w="0" w:type="dxa"/>
            </w:tcMar>
          </w:tcPr>
          <w:p w14:paraId="76EF81C5" w14:textId="77777777" w:rsidR="001E1AF1" w:rsidRDefault="001E1AF1" w:rsidP="00D26E6B">
            <w:pPr>
              <w:pStyle w:val="Textpoznpodarou"/>
              <w:jc w:val="both"/>
              <w:rPr>
                <w:spacing w:val="-4"/>
              </w:rPr>
            </w:pPr>
          </w:p>
        </w:tc>
        <w:tc>
          <w:tcPr>
            <w:tcW w:w="7674" w:type="dxa"/>
            <w:shd w:val="clear" w:color="auto" w:fill="auto"/>
            <w:tcMar>
              <w:left w:w="0" w:type="dxa"/>
            </w:tcMar>
          </w:tcPr>
          <w:p w14:paraId="5D52611E" w14:textId="77777777" w:rsidR="001E1AF1" w:rsidRPr="008F2BE2" w:rsidRDefault="001E1AF1" w:rsidP="00D26E6B">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3C64B429" w14:textId="77777777" w:rsidR="001E1AF1" w:rsidRPr="008F2BE2" w:rsidRDefault="001E1AF1" w:rsidP="00D26E6B">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7E6050D2" w14:textId="77777777" w:rsidR="001E1AF1" w:rsidRDefault="001E1AF1" w:rsidP="00D26E6B">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500996E0" w14:textId="77777777" w:rsidR="001E1AF1" w:rsidRDefault="001E1AF1" w:rsidP="00D26E6B">
            <w:pPr>
              <w:pStyle w:val="Textpoznpodarou"/>
              <w:rPr>
                <w:spacing w:val="-4"/>
                <w:sz w:val="14"/>
                <w:szCs w:val="14"/>
              </w:rPr>
            </w:pPr>
            <w:r>
              <w:rPr>
                <w:spacing w:val="-4"/>
                <w:sz w:val="14"/>
                <w:szCs w:val="14"/>
              </w:rPr>
              <w:t>***** Odpovídá saldu rozpočtové kapitoly Státní dluh.</w:t>
            </w:r>
          </w:p>
          <w:p w14:paraId="1AEE02B1" w14:textId="77777777" w:rsidR="001E1AF1" w:rsidRPr="00D94406" w:rsidRDefault="001E1AF1" w:rsidP="00D26E6B">
            <w:pPr>
              <w:pStyle w:val="Textpoznpodarou"/>
              <w:spacing w:after="160"/>
              <w:rPr>
                <w:sz w:val="16"/>
                <w:szCs w:val="16"/>
              </w:rPr>
            </w:pPr>
            <w:r w:rsidRPr="000F45E7">
              <w:rPr>
                <w:spacing w:val="-4"/>
                <w:sz w:val="14"/>
                <w:szCs w:val="14"/>
              </w:rPr>
              <w:t>Zdroj: MF ČR, MPSV</w:t>
            </w:r>
          </w:p>
        </w:tc>
      </w:tr>
    </w:tbl>
    <w:p w14:paraId="285BE6E2" w14:textId="77777777" w:rsidR="001E1AF1" w:rsidRDefault="001E1AF1" w:rsidP="001E1AF1">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18"/>
        <w:gridCol w:w="210"/>
        <w:gridCol w:w="7741"/>
      </w:tblGrid>
      <w:tr w:rsidR="001E1AF1" w:rsidRPr="004B2C92" w14:paraId="0F46DEBE" w14:textId="77777777" w:rsidTr="08AB0269">
        <w:trPr>
          <w:trHeight w:val="145"/>
        </w:trPr>
        <w:tc>
          <w:tcPr>
            <w:tcW w:w="1718" w:type="dxa"/>
            <w:shd w:val="clear" w:color="auto" w:fill="auto"/>
            <w:tcMar>
              <w:left w:w="0" w:type="dxa"/>
            </w:tcMar>
          </w:tcPr>
          <w:p w14:paraId="68B5469D" w14:textId="77777777" w:rsidR="001E1AF1" w:rsidRDefault="001E1AF1" w:rsidP="00D26E6B">
            <w:pPr>
              <w:pStyle w:val="Marginlie"/>
            </w:pPr>
            <w:r>
              <w:t xml:space="preserve">Ke svižnému růstu investic přispěly výdaje na životní prostředí, obranu a bezpečnost. </w:t>
            </w:r>
          </w:p>
          <w:p w14:paraId="0D62DF10" w14:textId="77777777" w:rsidR="001E1AF1" w:rsidRDefault="001E1AF1" w:rsidP="00D26E6B">
            <w:pPr>
              <w:pStyle w:val="Marginlie"/>
            </w:pPr>
          </w:p>
          <w:p w14:paraId="25141D1D" w14:textId="77777777" w:rsidR="001E1AF1" w:rsidRDefault="001E1AF1" w:rsidP="00D26E6B">
            <w:pPr>
              <w:pStyle w:val="Marginlie"/>
            </w:pPr>
          </w:p>
          <w:p w14:paraId="0FADB323" w14:textId="77777777" w:rsidR="001E1AF1" w:rsidRDefault="001E1AF1" w:rsidP="00D26E6B">
            <w:pPr>
              <w:pStyle w:val="Marginlie"/>
            </w:pPr>
          </w:p>
          <w:p w14:paraId="15BDF1C7" w14:textId="77777777" w:rsidR="001E1AF1" w:rsidRDefault="001E1AF1" w:rsidP="00D26E6B">
            <w:pPr>
              <w:pStyle w:val="Marginlie"/>
            </w:pPr>
          </w:p>
          <w:p w14:paraId="32F10B47" w14:textId="77777777" w:rsidR="001E1AF1" w:rsidRDefault="001E1AF1" w:rsidP="00D26E6B">
            <w:pPr>
              <w:pStyle w:val="Marginlie"/>
            </w:pPr>
          </w:p>
          <w:p w14:paraId="644A6E2B" w14:textId="77777777" w:rsidR="001E1AF1" w:rsidRDefault="001E1AF1" w:rsidP="00D26E6B">
            <w:pPr>
              <w:pStyle w:val="Marginlie"/>
            </w:pPr>
          </w:p>
          <w:p w14:paraId="16715D7C" w14:textId="77777777" w:rsidR="001E1AF1" w:rsidRPr="005B591B" w:rsidRDefault="001E1AF1" w:rsidP="00D26E6B">
            <w:pPr>
              <w:pStyle w:val="Marginlie"/>
            </w:pPr>
            <w:r>
              <w:t>Podíl investic na celkových výdajích SR byl nejvyšší za posledních osm let.</w:t>
            </w:r>
          </w:p>
        </w:tc>
        <w:tc>
          <w:tcPr>
            <w:tcW w:w="210" w:type="dxa"/>
            <w:shd w:val="clear" w:color="auto" w:fill="auto"/>
            <w:tcMar>
              <w:left w:w="0" w:type="dxa"/>
            </w:tcMar>
          </w:tcPr>
          <w:p w14:paraId="161C2D2D" w14:textId="77777777" w:rsidR="001E1AF1" w:rsidRDefault="001E1AF1" w:rsidP="00D26E6B">
            <w:pPr>
              <w:pStyle w:val="Textpoznpodarou"/>
              <w:jc w:val="both"/>
              <w:rPr>
                <w:spacing w:val="-4"/>
              </w:rPr>
            </w:pPr>
          </w:p>
        </w:tc>
        <w:tc>
          <w:tcPr>
            <w:tcW w:w="7741" w:type="dxa"/>
            <w:shd w:val="clear" w:color="auto" w:fill="auto"/>
            <w:tcMar>
              <w:left w:w="0" w:type="dxa"/>
            </w:tcMar>
          </w:tcPr>
          <w:p w14:paraId="51FDC3A1" w14:textId="77777777" w:rsidR="001E1AF1" w:rsidRPr="00094150" w:rsidRDefault="001E1AF1" w:rsidP="00D26E6B">
            <w:pPr>
              <w:spacing w:after="200"/>
              <w:rPr>
                <w:color w:val="0D0D0D" w:themeColor="text1" w:themeTint="F2"/>
                <w:spacing w:val="-4"/>
              </w:rPr>
            </w:pPr>
            <w:r>
              <w:rPr>
                <w:color w:val="0D0D0D" w:themeColor="text1" w:themeTint="F2"/>
                <w:spacing w:val="-2"/>
              </w:rPr>
              <w:t>Tempo růstu výdajů na investice ze SR zrychlovalo. Za tři čtvrtletí bylo čerpáno meziročně o 18,9 % více (+21,3 mld. korun). Byly tak proinvestovány již bezmála dvě třetiny z celoroční plánované výše</w:t>
            </w:r>
            <w:r>
              <w:rPr>
                <w:rStyle w:val="Znakapoznpodarou"/>
                <w:color w:val="0D0D0D" w:themeColor="text1" w:themeTint="F2"/>
                <w:spacing w:val="-2"/>
              </w:rPr>
              <w:footnoteReference w:id="28"/>
            </w:r>
            <w:r>
              <w:rPr>
                <w:color w:val="0D0D0D" w:themeColor="text1" w:themeTint="F2"/>
                <w:spacing w:val="-2"/>
              </w:rPr>
              <w:t>. Polovina z dosud letos čerpaných investic byla alokována výhradně do oblastí financovaných z národních zdrojů, na projekty realizované prostřednictvím společných programů ČR z EU pak směřovalo 67,6 mld. korun. Největší objem investic putoval</w:t>
            </w:r>
            <w:r w:rsidRPr="00B72898">
              <w:rPr>
                <w:color w:val="0D0D0D" w:themeColor="text1" w:themeTint="F2"/>
                <w:spacing w:val="-2"/>
              </w:rPr>
              <w:t xml:space="preserve"> tradičně na ob</w:t>
            </w:r>
            <w:r>
              <w:rPr>
                <w:color w:val="0D0D0D" w:themeColor="text1" w:themeTint="F2"/>
                <w:spacing w:val="-2"/>
              </w:rPr>
              <w:t>last dopravní infrastruktury (44,5 mld. korun), meziročně zde však došlo k poklesu (když byl posílen princip vícezdrojového financování).</w:t>
            </w:r>
            <w:r w:rsidRPr="00B72898">
              <w:rPr>
                <w:color w:val="0D0D0D" w:themeColor="text1" w:themeTint="F2"/>
                <w:spacing w:val="-2"/>
              </w:rPr>
              <w:t xml:space="preserve"> V</w:t>
            </w:r>
            <w:r>
              <w:rPr>
                <w:color w:val="0D0D0D" w:themeColor="text1" w:themeTint="F2"/>
                <w:spacing w:val="-2"/>
              </w:rPr>
              <w:t>zrostly</w:t>
            </w:r>
            <w:r w:rsidRPr="00B72898">
              <w:rPr>
                <w:color w:val="0D0D0D" w:themeColor="text1" w:themeTint="F2"/>
                <w:spacing w:val="-2"/>
              </w:rPr>
              <w:t xml:space="preserve"> </w:t>
            </w:r>
            <w:r>
              <w:rPr>
                <w:color w:val="0D0D0D" w:themeColor="text1" w:themeTint="F2"/>
                <w:spacing w:val="-2"/>
              </w:rPr>
              <w:t xml:space="preserve">naopak </w:t>
            </w:r>
            <w:r w:rsidRPr="00B72898">
              <w:rPr>
                <w:color w:val="0D0D0D" w:themeColor="text1" w:themeTint="F2"/>
                <w:spacing w:val="-2"/>
              </w:rPr>
              <w:t>výdaje d</w:t>
            </w:r>
            <w:r>
              <w:rPr>
                <w:color w:val="0D0D0D" w:themeColor="text1" w:themeTint="F2"/>
                <w:spacing w:val="-2"/>
              </w:rPr>
              <w:t xml:space="preserve">o oblasti životního prostředí, </w:t>
            </w:r>
            <w:r w:rsidRPr="00B72898">
              <w:rPr>
                <w:color w:val="0D0D0D" w:themeColor="text1" w:themeTint="F2"/>
                <w:spacing w:val="-2"/>
              </w:rPr>
              <w:t>z velké části směřované na realizaci programu Nová zelená úsporám v rámci Národního plánu obnovy (+4,6 mld. korun)</w:t>
            </w:r>
            <w:r>
              <w:rPr>
                <w:color w:val="0D0D0D" w:themeColor="text1" w:themeTint="F2"/>
                <w:spacing w:val="-2"/>
              </w:rPr>
              <w:t>. Více bylo alokováno též na projekty</w:t>
            </w:r>
            <w:r w:rsidRPr="00B72898">
              <w:rPr>
                <w:color w:val="0D0D0D" w:themeColor="text1" w:themeTint="F2"/>
                <w:spacing w:val="-2"/>
              </w:rPr>
              <w:t xml:space="preserve"> v rámci Operačního programu Podnikání a inovace pro konkurenceschopnost 2014+ či Integrovaného regionálního</w:t>
            </w:r>
            <w:r>
              <w:rPr>
                <w:color w:val="0D0D0D" w:themeColor="text1" w:themeTint="F2"/>
                <w:spacing w:val="-4"/>
              </w:rPr>
              <w:t xml:space="preserve"> operačního programu 2014+</w:t>
            </w:r>
            <w:r w:rsidRPr="00F545A1">
              <w:rPr>
                <w:color w:val="0D0D0D" w:themeColor="text1" w:themeTint="F2"/>
                <w:spacing w:val="-4"/>
              </w:rPr>
              <w:t>.</w:t>
            </w:r>
            <w:r>
              <w:rPr>
                <w:color w:val="0D0D0D" w:themeColor="text1" w:themeTint="F2"/>
                <w:spacing w:val="-4"/>
              </w:rPr>
              <w:t xml:space="preserve"> Po delší době se na růstu investic významně podílely také armádní nákupy. Celkové investice se na veškerých výdajích SR dosud letos podílely 8,3 %, což bylo nejvíce za posledních osm let. Z dlouhodobého pohledu se ale stále jedná spíše o průměrnou hodnotu. </w:t>
            </w:r>
          </w:p>
        </w:tc>
      </w:tr>
      <w:tr w:rsidR="001E1AF1" w:rsidRPr="004B2C92" w14:paraId="6E549753" w14:textId="77777777" w:rsidTr="08AB0269">
        <w:trPr>
          <w:trHeight w:val="145"/>
        </w:trPr>
        <w:tc>
          <w:tcPr>
            <w:tcW w:w="1718" w:type="dxa"/>
            <w:shd w:val="clear" w:color="auto" w:fill="auto"/>
            <w:tcMar>
              <w:left w:w="0" w:type="dxa"/>
            </w:tcMar>
          </w:tcPr>
          <w:p w14:paraId="2CDBDE0A" w14:textId="77777777" w:rsidR="001E1AF1" w:rsidRPr="005B591B" w:rsidRDefault="001E1AF1" w:rsidP="00D26E6B">
            <w:pPr>
              <w:pStyle w:val="Marginlie"/>
            </w:pPr>
            <w:r w:rsidRPr="005B591B">
              <w:t>Státní dluh</w:t>
            </w:r>
            <w:r>
              <w:t xml:space="preserve"> se mezikvartálně zvýšil poosmé v řadě. Tempo </w:t>
            </w:r>
            <w:r>
              <w:lastRenderedPageBreak/>
              <w:t>růstu dluhu se ale snížilo.</w:t>
            </w:r>
          </w:p>
        </w:tc>
        <w:tc>
          <w:tcPr>
            <w:tcW w:w="210" w:type="dxa"/>
            <w:shd w:val="clear" w:color="auto" w:fill="auto"/>
            <w:tcMar>
              <w:left w:w="0" w:type="dxa"/>
            </w:tcMar>
          </w:tcPr>
          <w:p w14:paraId="09E1F642" w14:textId="77777777" w:rsidR="001E1AF1" w:rsidRDefault="001E1AF1" w:rsidP="00D26E6B">
            <w:pPr>
              <w:pStyle w:val="Textpoznpodarou"/>
              <w:jc w:val="both"/>
              <w:rPr>
                <w:spacing w:val="-4"/>
              </w:rPr>
            </w:pPr>
          </w:p>
        </w:tc>
        <w:tc>
          <w:tcPr>
            <w:tcW w:w="7741" w:type="dxa"/>
            <w:shd w:val="clear" w:color="auto" w:fill="auto"/>
            <w:tcMar>
              <w:left w:w="0" w:type="dxa"/>
            </w:tcMar>
          </w:tcPr>
          <w:p w14:paraId="3CB10689" w14:textId="77777777" w:rsidR="001E1AF1" w:rsidRDefault="001E1AF1" w:rsidP="00D26E6B">
            <w:pPr>
              <w:spacing w:after="200"/>
              <w:rPr>
                <w:color w:val="0D0D0D" w:themeColor="text1" w:themeTint="F2"/>
                <w:spacing w:val="-2"/>
              </w:rPr>
            </w:pPr>
            <w:r>
              <w:rPr>
                <w:color w:val="0D0D0D" w:themeColor="text1" w:themeTint="F2"/>
                <w:spacing w:val="-2"/>
              </w:rPr>
              <w:t>Přetrvávající hluboké rozpočtové schod</w:t>
            </w:r>
            <w:r w:rsidRPr="00BE22C9">
              <w:rPr>
                <w:color w:val="0D0D0D" w:themeColor="text1" w:themeTint="F2"/>
                <w:spacing w:val="-2"/>
              </w:rPr>
              <w:t>k</w:t>
            </w:r>
            <w:r>
              <w:rPr>
                <w:color w:val="0D0D0D" w:themeColor="text1" w:themeTint="F2"/>
                <w:spacing w:val="-2"/>
              </w:rPr>
              <w:t xml:space="preserve">y spolu s plánovanými splátkami dluhu vyústily ve vysokou </w:t>
            </w:r>
            <w:r w:rsidRPr="00C83496">
              <w:rPr>
                <w:color w:val="0D0D0D" w:themeColor="text1" w:themeTint="F2"/>
                <w:spacing w:val="-2"/>
              </w:rPr>
              <w:t>výpůjční potřeb</w:t>
            </w:r>
            <w:r>
              <w:rPr>
                <w:color w:val="0D0D0D" w:themeColor="text1" w:themeTint="F2"/>
                <w:spacing w:val="-2"/>
              </w:rPr>
              <w:t>u</w:t>
            </w:r>
            <w:r w:rsidRPr="00C83496">
              <w:rPr>
                <w:color w:val="0D0D0D" w:themeColor="text1" w:themeTint="F2"/>
                <w:spacing w:val="-2"/>
              </w:rPr>
              <w:t xml:space="preserve"> státu. Státní dluh tak letos na konci září vystoupal na rekordních 3 115 mld. korun </w:t>
            </w:r>
            <w:r>
              <w:rPr>
                <w:color w:val="0D0D0D" w:themeColor="text1" w:themeTint="F2"/>
                <w:spacing w:val="-2"/>
              </w:rPr>
              <w:t xml:space="preserve">a mezičtvrtletně se zvýšil poosmé v řadě. Od počátku letošního roku se </w:t>
            </w:r>
            <w:r>
              <w:rPr>
                <w:color w:val="0D0D0D" w:themeColor="text1" w:themeTint="F2"/>
                <w:spacing w:val="-2"/>
              </w:rPr>
              <w:lastRenderedPageBreak/>
              <w:t>dluh zvýšil o 220 mld. korun, nejméně za poslední čtyři roky. Zmírnění tempa zadlužování lze vysvětlit nižším objemem přijatých krátkodobých zahraničních zápůjček a současně vyšším objemem splacených zápůjček. Díky tomu došlo od počátku letošního roku ke snížení vnějšího dluhu o 39 % (na 177 mld. korun). Vnitřní dluh se naopak zvýšil o 13 %, především kvůli pokračující vysoké emisi středně- a dlouhodobých státních dluhopisů</w:t>
            </w:r>
            <w:r>
              <w:rPr>
                <w:rStyle w:val="Znakapoznpodarou"/>
                <w:spacing w:val="-2"/>
              </w:rPr>
              <w:footnoteReference w:id="29"/>
            </w:r>
            <w:r>
              <w:rPr>
                <w:color w:val="0D0D0D" w:themeColor="text1" w:themeTint="F2"/>
                <w:spacing w:val="-2"/>
              </w:rPr>
              <w:t xml:space="preserve">, dílčí vliv měl i vyšší objem státních pokladničních poukázek. </w:t>
            </w:r>
          </w:p>
        </w:tc>
      </w:tr>
      <w:tr w:rsidR="001E1AF1" w:rsidRPr="00D52ED2" w14:paraId="33A261F5" w14:textId="77777777" w:rsidTr="08AB0269">
        <w:trPr>
          <w:trHeight w:val="145"/>
        </w:trPr>
        <w:tc>
          <w:tcPr>
            <w:tcW w:w="1718" w:type="dxa"/>
            <w:shd w:val="clear" w:color="auto" w:fill="auto"/>
            <w:tcMar>
              <w:left w:w="0" w:type="dxa"/>
            </w:tcMar>
          </w:tcPr>
          <w:p w14:paraId="3E3E3806" w14:textId="77777777" w:rsidR="001E1AF1" w:rsidRDefault="001E1AF1" w:rsidP="00D26E6B">
            <w:pPr>
              <w:pStyle w:val="Marginlie"/>
            </w:pPr>
          </w:p>
        </w:tc>
        <w:tc>
          <w:tcPr>
            <w:tcW w:w="210" w:type="dxa"/>
            <w:shd w:val="clear" w:color="auto" w:fill="auto"/>
            <w:tcMar>
              <w:left w:w="0" w:type="dxa"/>
            </w:tcMar>
          </w:tcPr>
          <w:p w14:paraId="73F8152B" w14:textId="77777777" w:rsidR="001E1AF1" w:rsidRDefault="001E1AF1" w:rsidP="00D26E6B">
            <w:pPr>
              <w:pStyle w:val="Textpoznpodarou"/>
              <w:jc w:val="both"/>
              <w:rPr>
                <w:spacing w:val="-4"/>
              </w:rPr>
            </w:pPr>
          </w:p>
        </w:tc>
        <w:tc>
          <w:tcPr>
            <w:tcW w:w="7741" w:type="dxa"/>
            <w:shd w:val="clear" w:color="auto" w:fill="auto"/>
            <w:tcMar>
              <w:left w:w="0" w:type="dxa"/>
            </w:tcMar>
          </w:tcPr>
          <w:p w14:paraId="0F510E68" w14:textId="77777777" w:rsidR="001E1AF1" w:rsidRDefault="001E1AF1" w:rsidP="00D26E6B">
            <w:pPr>
              <w:spacing w:after="40"/>
              <w:rPr>
                <w:color w:val="0D0D0D" w:themeColor="text1" w:themeTint="F2"/>
                <w:spacing w:val="-4"/>
              </w:rPr>
            </w:pPr>
            <w:r w:rsidRPr="00C4556A">
              <w:rPr>
                <w:b/>
                <w:spacing w:val="-2"/>
              </w:rPr>
              <w:t xml:space="preserve">Graf č. 20 </w:t>
            </w:r>
            <w:r w:rsidRPr="00C4556A">
              <w:rPr>
                <w:rFonts w:cs="Arial"/>
                <w:b/>
                <w:bCs/>
                <w:spacing w:val="-2"/>
              </w:rPr>
              <w:t>Saldo hospodaření</w:t>
            </w:r>
            <w:r>
              <w:rPr>
                <w:rFonts w:cs="Arial"/>
                <w:b/>
                <w:bCs/>
                <w:spacing w:val="-2"/>
              </w:rPr>
              <w:t xml:space="preserve"> </w:t>
            </w:r>
            <w:r w:rsidRPr="00C4556A">
              <w:rPr>
                <w:rFonts w:cs="Arial"/>
                <w:bCs/>
                <w:spacing w:val="-2"/>
              </w:rPr>
              <w:t>(</w:t>
            </w:r>
            <w:r>
              <w:rPr>
                <w:rFonts w:cs="Arial"/>
                <w:bCs/>
                <w:spacing w:val="-2"/>
              </w:rPr>
              <w:t xml:space="preserve">jednotlivá čtvrtletí, sezónně očištěno, v % HDP), </w:t>
            </w:r>
            <w:r w:rsidRPr="00563385">
              <w:rPr>
                <w:rFonts w:cs="Arial"/>
                <w:b/>
                <w:bCs/>
                <w:spacing w:val="-2"/>
              </w:rPr>
              <w:t xml:space="preserve">míra zadlužení </w:t>
            </w:r>
            <w:r>
              <w:rPr>
                <w:rFonts w:cs="Arial"/>
                <w:bCs/>
                <w:spacing w:val="-2"/>
              </w:rPr>
              <w:t>(stav na konci čtvrtletí, v % HDP)</w:t>
            </w:r>
            <w:r>
              <w:rPr>
                <w:rFonts w:cs="Arial"/>
                <w:b/>
                <w:bCs/>
                <w:spacing w:val="-2"/>
              </w:rPr>
              <w:t xml:space="preserve"> vládních institucí v</w:t>
            </w:r>
            <w:r w:rsidRPr="00563385">
              <w:rPr>
                <w:rFonts w:cs="Arial"/>
                <w:b/>
                <w:bCs/>
                <w:spacing w:val="-2"/>
              </w:rPr>
              <w:t xml:space="preserve"> EU27</w:t>
            </w:r>
            <w:r>
              <w:rPr>
                <w:rFonts w:cs="Arial"/>
                <w:b/>
                <w:bCs/>
                <w:spacing w:val="-2"/>
              </w:rPr>
              <w:t xml:space="preserve"> a jejích vybraných členských státech</w:t>
            </w:r>
          </w:p>
        </w:tc>
      </w:tr>
      <w:tr w:rsidR="001E1AF1" w:rsidRPr="00D52ED2" w14:paraId="4418CABC" w14:textId="77777777" w:rsidTr="08AB0269">
        <w:tblPrEx>
          <w:tblCellMar>
            <w:left w:w="70" w:type="dxa"/>
            <w:right w:w="70" w:type="dxa"/>
          </w:tblCellMar>
        </w:tblPrEx>
        <w:trPr>
          <w:trHeight w:val="145"/>
        </w:trPr>
        <w:tc>
          <w:tcPr>
            <w:tcW w:w="1718" w:type="dxa"/>
            <w:shd w:val="clear" w:color="auto" w:fill="auto"/>
          </w:tcPr>
          <w:p w14:paraId="7794B3FD" w14:textId="77777777" w:rsidR="001E1AF1" w:rsidRDefault="001E1AF1" w:rsidP="00D26E6B">
            <w:pPr>
              <w:pStyle w:val="Marginlie"/>
            </w:pPr>
          </w:p>
        </w:tc>
        <w:tc>
          <w:tcPr>
            <w:tcW w:w="210" w:type="dxa"/>
            <w:shd w:val="clear" w:color="auto" w:fill="auto"/>
          </w:tcPr>
          <w:p w14:paraId="1EC9F5C3" w14:textId="77777777" w:rsidR="001E1AF1" w:rsidRDefault="001E1AF1" w:rsidP="00D26E6B">
            <w:pPr>
              <w:pStyle w:val="Textpoznpodarou"/>
              <w:jc w:val="both"/>
              <w:rPr>
                <w:spacing w:val="-4"/>
              </w:rPr>
            </w:pPr>
          </w:p>
        </w:tc>
        <w:tc>
          <w:tcPr>
            <w:tcW w:w="7741" w:type="dxa"/>
            <w:shd w:val="clear" w:color="auto" w:fill="auto"/>
          </w:tcPr>
          <w:p w14:paraId="44E5EF44" w14:textId="77777777" w:rsidR="001E1AF1" w:rsidRPr="00C4556A" w:rsidRDefault="001E1AF1" w:rsidP="00D26E6B">
            <w:pPr>
              <w:spacing w:after="0"/>
              <w:rPr>
                <w:b/>
                <w:spacing w:val="-2"/>
              </w:rPr>
            </w:pPr>
            <w:r>
              <w:rPr>
                <w:noProof/>
              </w:rPr>
              <w:drawing>
                <wp:inline distT="0" distB="0" distL="0" distR="0" wp14:anchorId="13581090" wp14:editId="34800E20">
                  <wp:extent cx="4737652" cy="3420718"/>
                  <wp:effectExtent l="0" t="0" r="6350" b="889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E1AF1" w:rsidRPr="00D52ED2" w14:paraId="38F0F090" w14:textId="77777777" w:rsidTr="08AB0269">
        <w:trPr>
          <w:trHeight w:val="145"/>
        </w:trPr>
        <w:tc>
          <w:tcPr>
            <w:tcW w:w="1718" w:type="dxa"/>
            <w:shd w:val="clear" w:color="auto" w:fill="auto"/>
            <w:tcMar>
              <w:left w:w="0" w:type="dxa"/>
            </w:tcMar>
          </w:tcPr>
          <w:p w14:paraId="06266FA2" w14:textId="77777777" w:rsidR="001E1AF1" w:rsidRDefault="001E1AF1" w:rsidP="00D26E6B">
            <w:pPr>
              <w:pStyle w:val="Marginlie"/>
            </w:pPr>
          </w:p>
        </w:tc>
        <w:tc>
          <w:tcPr>
            <w:tcW w:w="210" w:type="dxa"/>
            <w:shd w:val="clear" w:color="auto" w:fill="auto"/>
            <w:tcMar>
              <w:left w:w="0" w:type="dxa"/>
            </w:tcMar>
          </w:tcPr>
          <w:p w14:paraId="0B954B75" w14:textId="77777777" w:rsidR="001E1AF1" w:rsidRDefault="001E1AF1" w:rsidP="00D26E6B">
            <w:pPr>
              <w:pStyle w:val="Textpoznpodarou"/>
              <w:jc w:val="both"/>
              <w:rPr>
                <w:spacing w:val="-4"/>
              </w:rPr>
            </w:pPr>
          </w:p>
        </w:tc>
        <w:tc>
          <w:tcPr>
            <w:tcW w:w="7741" w:type="dxa"/>
            <w:shd w:val="clear" w:color="auto" w:fill="auto"/>
            <w:tcMar>
              <w:left w:w="0" w:type="dxa"/>
            </w:tcMar>
          </w:tcPr>
          <w:p w14:paraId="797C846B" w14:textId="77777777" w:rsidR="001E1AF1" w:rsidRDefault="001E1AF1" w:rsidP="00D26E6B">
            <w:pPr>
              <w:spacing w:after="0"/>
              <w:rPr>
                <w:noProof/>
              </w:rPr>
            </w:pPr>
            <w:r>
              <w:rPr>
                <w:spacing w:val="-4"/>
                <w:sz w:val="14"/>
                <w:szCs w:val="14"/>
              </w:rPr>
              <w:t>Zdroj: Eurostat</w:t>
            </w:r>
          </w:p>
        </w:tc>
      </w:tr>
    </w:tbl>
    <w:p w14:paraId="0E49892D" w14:textId="77777777" w:rsidR="001E1AF1" w:rsidRPr="001C3855" w:rsidRDefault="001E1AF1" w:rsidP="001E1AF1">
      <w:pPr>
        <w:pStyle w:val="Nadpis11"/>
        <w:rPr>
          <w:sz w:val="2"/>
          <w:szCs w:val="2"/>
        </w:rPr>
      </w:pPr>
    </w:p>
    <w:tbl>
      <w:tblPr>
        <w:tblW w:w="96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18"/>
        <w:gridCol w:w="210"/>
        <w:gridCol w:w="7741"/>
      </w:tblGrid>
      <w:tr w:rsidR="001E1AF1" w14:paraId="29848E38" w14:textId="77777777" w:rsidTr="08AB0269">
        <w:trPr>
          <w:trHeight w:val="145"/>
        </w:trPr>
        <w:tc>
          <w:tcPr>
            <w:tcW w:w="1718" w:type="dxa"/>
            <w:tcBorders>
              <w:top w:val="nil"/>
              <w:left w:val="nil"/>
              <w:bottom w:val="nil"/>
              <w:right w:val="nil"/>
            </w:tcBorders>
            <w:shd w:val="clear" w:color="auto" w:fill="auto"/>
            <w:tcMar>
              <w:left w:w="0" w:type="dxa"/>
            </w:tcMar>
          </w:tcPr>
          <w:p w14:paraId="3620340D" w14:textId="44588721" w:rsidR="001E1AF1" w:rsidRPr="005B591B" w:rsidRDefault="001E1AF1" w:rsidP="00D26E6B">
            <w:pPr>
              <w:pStyle w:val="Marginlie"/>
            </w:pPr>
            <w:r>
              <w:t>Schodek ús</w:t>
            </w:r>
            <w:r w:rsidR="00650FFC">
              <w:t>tředních vládních institucí</w:t>
            </w:r>
            <w:r>
              <w:t xml:space="preserve"> se meziročně prohloubil, přebytek místních vládních institucí naopak dále rostl.</w:t>
            </w:r>
          </w:p>
        </w:tc>
        <w:tc>
          <w:tcPr>
            <w:tcW w:w="210" w:type="dxa"/>
            <w:tcBorders>
              <w:top w:val="nil"/>
              <w:left w:val="nil"/>
              <w:bottom w:val="nil"/>
              <w:right w:val="nil"/>
            </w:tcBorders>
            <w:shd w:val="clear" w:color="auto" w:fill="auto"/>
            <w:tcMar>
              <w:left w:w="0" w:type="dxa"/>
            </w:tcMar>
          </w:tcPr>
          <w:p w14:paraId="0C79B31D"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33D91197" w14:textId="5CCD143A" w:rsidR="001E1AF1" w:rsidRPr="006E5270" w:rsidRDefault="001E1AF1" w:rsidP="00D26E6B">
            <w:r>
              <w:t>Sektor vládních institucí (VI) v ČR hospodařil v 1. pololetí 2023</w:t>
            </w:r>
            <w:r w:rsidRPr="00006754">
              <w:rPr>
                <w:rStyle w:val="Znakapoznpodarou"/>
                <w:color w:val="0D0D0D" w:themeColor="text1" w:themeTint="F2"/>
                <w:spacing w:val="-3"/>
              </w:rPr>
              <w:footnoteReference w:id="30"/>
            </w:r>
            <w:r>
              <w:t xml:space="preserve"> s deficitem 78,4 mld. korun</w:t>
            </w:r>
            <w:r w:rsidRPr="00006754">
              <w:rPr>
                <w:rStyle w:val="Znakapoznpodarou"/>
                <w:color w:val="0D0D0D" w:themeColor="text1" w:themeTint="F2"/>
                <w:spacing w:val="-3"/>
              </w:rPr>
              <w:footnoteReference w:id="31"/>
            </w:r>
            <w:r>
              <w:t>. Tento výsledek byl ovlivněn hlubokým schodkem n</w:t>
            </w:r>
            <w:r w:rsidR="00650FFC">
              <w:t>a počátku roku (105,3 mld.</w:t>
            </w:r>
            <w:r>
              <w:t>), následující 2. kvartál přinesl stejně jako vloni mírný převis příjmů nad výdaji</w:t>
            </w:r>
            <w:r>
              <w:rPr>
                <w:rStyle w:val="Znakapoznpodarou"/>
              </w:rPr>
              <w:footnoteReference w:id="32"/>
            </w:r>
            <w:r>
              <w:t>. Schodek za celé pololetí byl letos meziročně o 16,8 mld. hlubší. Za tímto zhoršením stály především ústřední vládní instituce, na jejichž bedrech spočívaly klíčové mimořádné výdaje související s řešením dopadů vysoké inflace či s integrací uprchlíků z Ukrajiny. Meziročně se zhoršil i výsledek hospodaření zdravotních pojišťoven, ten i přesto dosáhl mírného přebytku (2 mld. korun) – v rámci 1. pololetí již třetím rokem v řadě. Naopak místní vládní instituce vykázaly, jako v posledních letech tradičně, významnější přebytek. Ten činil 82,2 mld. korun, meziročně vzrostl potřetí v řadě – letos o 8,2 mld.</w:t>
            </w:r>
          </w:p>
        </w:tc>
      </w:tr>
      <w:tr w:rsidR="001E1AF1" w14:paraId="628FDCA5" w14:textId="77777777" w:rsidTr="08AB0269">
        <w:trPr>
          <w:trHeight w:val="145"/>
        </w:trPr>
        <w:tc>
          <w:tcPr>
            <w:tcW w:w="1718" w:type="dxa"/>
            <w:tcBorders>
              <w:top w:val="nil"/>
              <w:left w:val="nil"/>
              <w:bottom w:val="nil"/>
              <w:right w:val="nil"/>
            </w:tcBorders>
            <w:shd w:val="clear" w:color="auto" w:fill="auto"/>
            <w:tcMar>
              <w:left w:w="0" w:type="dxa"/>
            </w:tcMar>
          </w:tcPr>
          <w:p w14:paraId="5D50D54E" w14:textId="558E85B7" w:rsidR="001E1AF1" w:rsidRDefault="001E1AF1" w:rsidP="00D26E6B">
            <w:pPr>
              <w:pStyle w:val="Marginlie"/>
            </w:pPr>
            <w:r>
              <w:lastRenderedPageBreak/>
              <w:t>K růst</w:t>
            </w:r>
            <w:r w:rsidR="00650FFC">
              <w:t>u příjmů vládních institucí</w:t>
            </w:r>
            <w:r>
              <w:t xml:space="preserve"> výrazně přispěly přijaté vlastnické důchody.</w:t>
            </w:r>
          </w:p>
          <w:p w14:paraId="57AC9D16" w14:textId="77777777" w:rsidR="00650FFC" w:rsidRDefault="00650FFC" w:rsidP="00D26E6B">
            <w:pPr>
              <w:pStyle w:val="Marginlie"/>
            </w:pPr>
          </w:p>
          <w:p w14:paraId="0113FECF" w14:textId="77777777" w:rsidR="001E1AF1" w:rsidRDefault="001E1AF1" w:rsidP="00D26E6B">
            <w:pPr>
              <w:pStyle w:val="Marginlie"/>
            </w:pPr>
            <w:r>
              <w:t>Růst výdajů vládních institucí v ČR probíhal hlavně pod taktovkou navýšených sociálních dávek a naturálních sociálních transferů.</w:t>
            </w:r>
          </w:p>
          <w:p w14:paraId="77230D22" w14:textId="77777777" w:rsidR="001E1AF1" w:rsidRDefault="001E1AF1" w:rsidP="00D26E6B">
            <w:pPr>
              <w:pStyle w:val="Marginlie"/>
            </w:pPr>
          </w:p>
          <w:p w14:paraId="16BBCB90" w14:textId="77777777" w:rsidR="001E1AF1" w:rsidRDefault="001E1AF1" w:rsidP="00D26E6B">
            <w:pPr>
              <w:pStyle w:val="Marginlie"/>
            </w:pPr>
          </w:p>
          <w:p w14:paraId="3D7D1C38" w14:textId="77777777" w:rsidR="001E1AF1" w:rsidRDefault="001E1AF1" w:rsidP="00D26E6B">
            <w:pPr>
              <w:pStyle w:val="Marginlie"/>
            </w:pPr>
          </w:p>
          <w:p w14:paraId="03B06012" w14:textId="77777777" w:rsidR="001E1AF1" w:rsidRDefault="001E1AF1" w:rsidP="00D26E6B">
            <w:pPr>
              <w:pStyle w:val="Marginlie"/>
            </w:pPr>
          </w:p>
          <w:p w14:paraId="20625035" w14:textId="77777777" w:rsidR="001E1AF1" w:rsidRDefault="001E1AF1" w:rsidP="00D26E6B">
            <w:pPr>
              <w:pStyle w:val="Marginlie"/>
            </w:pPr>
          </w:p>
          <w:p w14:paraId="76ABC789" w14:textId="77777777" w:rsidR="001E1AF1" w:rsidRDefault="001E1AF1" w:rsidP="00D26E6B">
            <w:pPr>
              <w:pStyle w:val="Marginlie"/>
            </w:pPr>
          </w:p>
          <w:p w14:paraId="3712BB25" w14:textId="77777777" w:rsidR="001E1AF1" w:rsidRDefault="001E1AF1" w:rsidP="00D26E6B">
            <w:pPr>
              <w:pStyle w:val="Marginlie"/>
            </w:pPr>
          </w:p>
          <w:p w14:paraId="64A25554" w14:textId="77777777" w:rsidR="001E1AF1" w:rsidRDefault="001E1AF1" w:rsidP="00D26E6B">
            <w:pPr>
              <w:pStyle w:val="Marginlie"/>
            </w:pPr>
            <w:r>
              <w:t xml:space="preserve">Na zrychlení investiční aktivity se podílely zejména obce a kraje. </w:t>
            </w:r>
          </w:p>
          <w:p w14:paraId="42B05E05" w14:textId="77777777" w:rsidR="001E1AF1" w:rsidRDefault="001E1AF1" w:rsidP="00D26E6B">
            <w:pPr>
              <w:pStyle w:val="Marginlie"/>
            </w:pPr>
          </w:p>
        </w:tc>
        <w:tc>
          <w:tcPr>
            <w:tcW w:w="210" w:type="dxa"/>
            <w:tcBorders>
              <w:top w:val="nil"/>
              <w:left w:val="nil"/>
              <w:bottom w:val="nil"/>
              <w:right w:val="nil"/>
            </w:tcBorders>
            <w:shd w:val="clear" w:color="auto" w:fill="auto"/>
            <w:tcMar>
              <w:left w:w="0" w:type="dxa"/>
            </w:tcMar>
          </w:tcPr>
          <w:p w14:paraId="0313ABE1"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24B583D9" w14:textId="01970C05" w:rsidR="001E1AF1" w:rsidRPr="00650FFC" w:rsidRDefault="001E1AF1" w:rsidP="00D26E6B">
            <w:pPr>
              <w:spacing w:after="200"/>
              <w:rPr>
                <w:spacing w:val="-4"/>
              </w:rPr>
            </w:pPr>
            <w:r w:rsidRPr="00650FFC">
              <w:rPr>
                <w:spacing w:val="-4"/>
                <w:szCs w:val="20"/>
              </w:rPr>
              <w:t>V 1. pololetí 2023 přispěly k meziročnímu růstu příjmů celého sektoru VI (12,3 %, +168 mld. korun) nejvíce</w:t>
            </w:r>
            <w:r w:rsidRPr="00650FFC">
              <w:rPr>
                <w:spacing w:val="-4"/>
              </w:rPr>
              <w:t xml:space="preserve"> přijaté vlastnické důchody, jejichž výše se oproti loňsku zejména vlivem vyšších dividend od podniků s účastí státu více než zdvojnásobila (na 90 mld.). Díky dobré kondici trhu práce zrychlil růst běžných daní z důchodů (na 16 %), stát meziročně získal více i na čistých sociálních příspěvcích (7,5 %). V kontrastu s tím byl fiskální přinos daní navázaných</w:t>
            </w:r>
            <w:r w:rsidR="00650FFC" w:rsidRPr="00650FFC">
              <w:rPr>
                <w:spacing w:val="-4"/>
              </w:rPr>
              <w:t xml:space="preserve"> na spotřebu slabý, když příjmy z těchto daní nominálně stále</w:t>
            </w:r>
            <w:r w:rsidRPr="00650FFC">
              <w:rPr>
                <w:spacing w:val="-4"/>
              </w:rPr>
              <w:t xml:space="preserve"> zaostával</w:t>
            </w:r>
            <w:r w:rsidR="00650FFC" w:rsidRPr="00650FFC">
              <w:rPr>
                <w:spacing w:val="-4"/>
              </w:rPr>
              <w:t>y</w:t>
            </w:r>
            <w:r w:rsidRPr="00650FFC">
              <w:rPr>
                <w:spacing w:val="-4"/>
              </w:rPr>
              <w:t xml:space="preserve"> za inflací. Např. příjem z daně z produktů vzrostl o 2</w:t>
            </w:r>
            <w:r w:rsidR="00650FFC" w:rsidRPr="00650FFC">
              <w:rPr>
                <w:spacing w:val="-4"/>
              </w:rPr>
              <w:t>,2 % (z</w:t>
            </w:r>
            <w:r w:rsidR="00650FFC" w:rsidRPr="00650FFC">
              <w:rPr>
                <w:spacing w:val="-4"/>
                <w:szCs w:val="20"/>
              </w:rPr>
              <w:t> </w:t>
            </w:r>
            <w:r w:rsidRPr="00650FFC">
              <w:rPr>
                <w:spacing w:val="-4"/>
              </w:rPr>
              <w:t>toho v</w:t>
            </w:r>
            <w:r w:rsidR="00650FFC">
              <w:rPr>
                <w:spacing w:val="-4"/>
              </w:rPr>
              <w:t>e 2. čtvrtletí 2023 pouze o 0,7</w:t>
            </w:r>
            <w:r w:rsidR="00650FFC">
              <w:rPr>
                <w:szCs w:val="20"/>
              </w:rPr>
              <w:t> </w:t>
            </w:r>
            <w:r w:rsidRPr="00650FFC">
              <w:rPr>
                <w:spacing w:val="-4"/>
              </w:rPr>
              <w:t>%). Na meziročním růstu celkových výdajů sektoru VI (12,9 %) se nejvíce podílely sociální dávky a naturální sociální transfery (+68,5 mld. kor</w:t>
            </w:r>
            <w:r w:rsidR="00650FFC">
              <w:rPr>
                <w:spacing w:val="-4"/>
              </w:rPr>
              <w:t>un) a též placené dotace (+38,6</w:t>
            </w:r>
            <w:r w:rsidR="00650FFC">
              <w:rPr>
                <w:szCs w:val="20"/>
              </w:rPr>
              <w:t> </w:t>
            </w:r>
            <w:r w:rsidRPr="00650FFC">
              <w:rPr>
                <w:spacing w:val="-4"/>
              </w:rPr>
              <w:t xml:space="preserve">mld. korun), za jejichž svižným růstem (51 %) stály především kompenzace za dodávky elektřiny a plynu. Zrychlil také meziroční růst mezispotřeby (na 15,1 %) či vyplacených náhrad zaměstnancům (8,4 %). Čerpání výdajů na každou z těchto dvou položek se meziročně zvýšilo o více než 25 mld. korun. Vysoká úroveň úrokových sazeb dál ovlivňovala přírůstek placených důchodů z vlastnictví (+15,2 mld. korun). Druhým rokem v řadě zrychlil růst investic. K dosavadnímu posilování výdajů na tvorbu hrubého fixního kapitálu v letošním roce (+18,0 mld. korun), na rozdíl od přechozích let, přispěla hlavně vyšší investiční aktivita obcí a krajů. </w:t>
            </w:r>
          </w:p>
        </w:tc>
      </w:tr>
      <w:tr w:rsidR="001E1AF1" w14:paraId="796BB0C4" w14:textId="77777777" w:rsidTr="08AB0269">
        <w:trPr>
          <w:trHeight w:val="145"/>
        </w:trPr>
        <w:tc>
          <w:tcPr>
            <w:tcW w:w="1718" w:type="dxa"/>
            <w:tcBorders>
              <w:top w:val="nil"/>
              <w:left w:val="nil"/>
              <w:bottom w:val="nil"/>
              <w:right w:val="nil"/>
            </w:tcBorders>
            <w:shd w:val="clear" w:color="auto" w:fill="auto"/>
            <w:tcMar>
              <w:left w:w="0" w:type="dxa"/>
            </w:tcMar>
          </w:tcPr>
          <w:p w14:paraId="44109B5B" w14:textId="77777777" w:rsidR="001E1AF1" w:rsidRDefault="001E1AF1" w:rsidP="00D26E6B">
            <w:pPr>
              <w:pStyle w:val="Marginlie"/>
            </w:pPr>
            <w:r>
              <w:t xml:space="preserve">Deficit sektoru VI ve vztahu k HDP se ve většině států EU proti konci loňského roku mírně snížil, meziročně byl však hlubší. </w:t>
            </w:r>
          </w:p>
          <w:p w14:paraId="4C24BDBC" w14:textId="77777777" w:rsidR="001E1AF1" w:rsidRPr="005B591B" w:rsidRDefault="001E1AF1" w:rsidP="00D26E6B">
            <w:pPr>
              <w:pStyle w:val="Marginlie"/>
            </w:pPr>
          </w:p>
        </w:tc>
        <w:tc>
          <w:tcPr>
            <w:tcW w:w="210" w:type="dxa"/>
            <w:tcBorders>
              <w:top w:val="nil"/>
              <w:left w:val="nil"/>
              <w:bottom w:val="nil"/>
              <w:right w:val="nil"/>
            </w:tcBorders>
            <w:shd w:val="clear" w:color="auto" w:fill="auto"/>
            <w:tcMar>
              <w:left w:w="0" w:type="dxa"/>
            </w:tcMar>
          </w:tcPr>
          <w:p w14:paraId="388FC0AB"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7DDF451F" w14:textId="77777777" w:rsidR="001E1AF1" w:rsidRPr="00B53BF7" w:rsidRDefault="001E1AF1" w:rsidP="00D26E6B">
            <w:pPr>
              <w:spacing w:after="200"/>
              <w:rPr>
                <w:szCs w:val="20"/>
              </w:rPr>
            </w:pPr>
            <w:r>
              <w:rPr>
                <w:szCs w:val="20"/>
              </w:rPr>
              <w:t xml:space="preserve">Během 1. pololetí 2023 se mírně zlepšila </w:t>
            </w:r>
            <w:r w:rsidRPr="00437F71">
              <w:rPr>
                <w:color w:val="0D0D0D" w:themeColor="text1" w:themeTint="F2"/>
                <w:spacing w:val="-4"/>
              </w:rPr>
              <w:t xml:space="preserve">kondice veřejných financí v EU i </w:t>
            </w:r>
            <w:r>
              <w:rPr>
                <w:color w:val="0D0D0D" w:themeColor="text1" w:themeTint="F2"/>
                <w:spacing w:val="-4"/>
              </w:rPr>
              <w:t xml:space="preserve">v samotných státech eurozóny. Po odeznění loňské cenové eskalace u energií došlo k částečnému zmírnění potřeby mimořádných veřejných výdajů. Na druhou stranu pokračující velmi slabý ekonomický růst se negativně podepsal i na příjmech sektoru VI. Jeho schodek (po sezónním očištění) dosáhl letos ve 2. čtvrtletí v celé EU 3,2 % (na konci loňského roku se přitom propadl na 4,8 %). Schodek v Česku, obdobně jako v celé eurozóně, činil 3,3 % HDP, což znamenalo stále lepší výsledek než např. v Polsku (−4,1 %) či na Slovensku </w:t>
            </w:r>
            <w:r>
              <w:rPr>
                <w:color w:val="0D0D0D" w:themeColor="text1" w:themeTint="F2"/>
                <w:spacing w:val="-4"/>
              </w:rPr>
              <w:br/>
              <w:t xml:space="preserve">(−4,8 %). Nejhlubším schodkům čelily Maďarsko (−6,6 %) a Rumunsko (−6,3 %), okolo 5 % dosahovaly deficity také ve velkých ekonomikách Itálie, Španělska či Francie. Přebytek hospodaření sektoru VI vykázalo jen šest členských států Unie (nejvyšší Dánsko 2,8 %). Oproti konci loňského roku se sice schodek ve většině států snížil, ve srovnání </w:t>
            </w:r>
            <w:r>
              <w:rPr>
                <w:color w:val="0D0D0D" w:themeColor="text1" w:themeTint="F2"/>
                <w:spacing w:val="-4"/>
              </w:rPr>
              <w:br/>
              <w:t xml:space="preserve">s 2. čtvrtletím 2022 ale zpravidla mírně narostl. K nejvýraznějšímu meziročnímu zhoršení došlo ve Švédsku, Finsku a na Slovensku (shodně o více než 3 p. b.). </w:t>
            </w:r>
          </w:p>
        </w:tc>
      </w:tr>
      <w:tr w:rsidR="001E1AF1" w14:paraId="1D7A0297" w14:textId="77777777" w:rsidTr="08AB0269">
        <w:trPr>
          <w:trHeight w:val="145"/>
        </w:trPr>
        <w:tc>
          <w:tcPr>
            <w:tcW w:w="1718" w:type="dxa"/>
            <w:tcBorders>
              <w:top w:val="nil"/>
              <w:left w:val="nil"/>
              <w:bottom w:val="nil"/>
              <w:right w:val="nil"/>
            </w:tcBorders>
            <w:shd w:val="clear" w:color="auto" w:fill="auto"/>
            <w:tcMar>
              <w:left w:w="0" w:type="dxa"/>
            </w:tcMar>
          </w:tcPr>
          <w:p w14:paraId="33694ECF" w14:textId="77777777" w:rsidR="001E1AF1" w:rsidRDefault="001E1AF1" w:rsidP="00D26E6B">
            <w:pPr>
              <w:pStyle w:val="Marginlie"/>
            </w:pPr>
            <w:r>
              <w:t>Pokračoval více než dva roky trvající pokles míry zadlužení sektoru VI v EU i zemích eurozóny.</w:t>
            </w:r>
          </w:p>
          <w:p w14:paraId="6A011B8F" w14:textId="77777777" w:rsidR="001E1AF1" w:rsidRDefault="001E1AF1" w:rsidP="00D26E6B">
            <w:pPr>
              <w:pStyle w:val="Marginlie"/>
            </w:pPr>
          </w:p>
          <w:p w14:paraId="478B3E46" w14:textId="77777777" w:rsidR="001E1AF1" w:rsidRDefault="001E1AF1" w:rsidP="00D26E6B">
            <w:pPr>
              <w:pStyle w:val="Marginlie"/>
            </w:pPr>
          </w:p>
          <w:p w14:paraId="43E0F0E6" w14:textId="77777777" w:rsidR="001E1AF1" w:rsidRDefault="001E1AF1" w:rsidP="00D26E6B">
            <w:pPr>
              <w:pStyle w:val="Marginlie"/>
            </w:pPr>
          </w:p>
          <w:p w14:paraId="27868FDB" w14:textId="77777777" w:rsidR="001E1AF1" w:rsidRDefault="001E1AF1" w:rsidP="00D26E6B">
            <w:pPr>
              <w:pStyle w:val="Marginlie"/>
            </w:pPr>
          </w:p>
          <w:p w14:paraId="70499867" w14:textId="77777777" w:rsidR="001E1AF1" w:rsidRDefault="001E1AF1" w:rsidP="00D26E6B">
            <w:pPr>
              <w:pStyle w:val="Marginlie"/>
            </w:pPr>
          </w:p>
          <w:p w14:paraId="52688B12" w14:textId="77777777" w:rsidR="001E1AF1" w:rsidRDefault="001E1AF1" w:rsidP="00D26E6B">
            <w:pPr>
              <w:pStyle w:val="Marginlie"/>
            </w:pPr>
          </w:p>
          <w:p w14:paraId="0FAC21DC" w14:textId="77777777" w:rsidR="001E1AF1" w:rsidRDefault="001E1AF1" w:rsidP="00D26E6B">
            <w:pPr>
              <w:pStyle w:val="Marginlie"/>
            </w:pPr>
          </w:p>
          <w:p w14:paraId="599BB31C" w14:textId="77777777" w:rsidR="001E1AF1" w:rsidRPr="005B591B" w:rsidRDefault="001E1AF1" w:rsidP="00D26E6B">
            <w:pPr>
              <w:pStyle w:val="Marginlie"/>
            </w:pPr>
            <w:r>
              <w:t>Byť v Česku nebyl od vrcholu pandemie patrný trend snižování míry zadlužení, její aktuální dosažená úroveň stále řadila tuzemskou ekonomiku do desítky nejméně zadlužených v EU.</w:t>
            </w:r>
          </w:p>
        </w:tc>
        <w:tc>
          <w:tcPr>
            <w:tcW w:w="210" w:type="dxa"/>
            <w:tcBorders>
              <w:top w:val="nil"/>
              <w:left w:val="nil"/>
              <w:bottom w:val="nil"/>
              <w:right w:val="nil"/>
            </w:tcBorders>
            <w:shd w:val="clear" w:color="auto" w:fill="auto"/>
            <w:tcMar>
              <w:left w:w="0" w:type="dxa"/>
            </w:tcMar>
          </w:tcPr>
          <w:p w14:paraId="4533303C"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57CE3953" w14:textId="6567C66A" w:rsidR="001E1AF1" w:rsidRPr="00FF50C2" w:rsidRDefault="001E1AF1" w:rsidP="00D26E6B">
            <w:pPr>
              <w:spacing w:after="200"/>
            </w:pPr>
            <w:r>
              <w:t xml:space="preserve">Během dosavadní části letošního roku pokračoval mezikvartální pokles míry zadlužování sektoru VI v EU i v samotné eurozóně, byť značně pomalejším tempem než v předchozích dvou letech. Letos na konci 2. čtvrtletí tak zadlužení v Unii dosahovalo 83,1 % HDP (v eurozóně 90,3 % HDP). To bylo meziročně o 2,8 p. b. méně, oproti rekordní úrovni z vrcholného období pandemie </w:t>
            </w:r>
            <w:r w:rsidR="0042507B">
              <w:t xml:space="preserve">(1. čtvrtletí 2021) </w:t>
            </w:r>
            <w:r>
              <w:t>o 8,9 p .b. méně. Meziročně vzrostlo zadlužení pouze v šesti státech Unie, mimo jiné</w:t>
            </w:r>
            <w:r w:rsidR="0042507B">
              <w:t xml:space="preserve"> i v Česku (ze 43,5</w:t>
            </w:r>
            <w:r w:rsidRPr="000A00D4">
              <w:rPr>
                <w:spacing w:val="20"/>
              </w:rPr>
              <w:t>% na</w:t>
            </w:r>
            <w:r>
              <w:t xml:space="preserve"> 44,3 % HDP). Tento negativní vývoj postihl i některé další státy s tradičně podprůměrnou úrovní zadlužení (Bulharsko, Estonsko, Lucembursko). Naopak některé vysoce zadlužené země dokázaly za stejné období zredukovat svou míru zadlu</w:t>
            </w:r>
            <w:r w:rsidR="0042507B">
              <w:t>žení o </w:t>
            </w:r>
            <w:r>
              <w:t xml:space="preserve">více než desetinu (Řecko, Portugalsko). Česko </w:t>
            </w:r>
            <w:r w:rsidR="003D6982">
              <w:t xml:space="preserve">však </w:t>
            </w:r>
            <w:r>
              <w:t xml:space="preserve">stále patřilo do desítky relativně nejméně zadlužených ekonomik Unie, dynamika zadlužování sektoru VI byla však v posledních letech nepříznivá – jak proti ostatním státům s nízkou úrovní dluhu, tak ve srovnání s některými sousedními státy (Polsko). </w:t>
            </w:r>
            <w:r>
              <w:rPr>
                <w:color w:val="0D0D0D" w:themeColor="text1" w:themeTint="F2"/>
                <w:spacing w:val="-4"/>
              </w:rPr>
              <w:t xml:space="preserve">Proti minimální úrovni z posledního konjukturního období (2015 až 2019) byla aktuální míra zadlužení v EU vyšší o 5,4 p. b. (v zemích současné eurozóny o 6,2 p. b.). Horší tendenci v tomto srovnání než Česko (+14,3 p. b.) vykázaly již pouze Rumunsko (+14,6 p. b.) a Francie (+16,3 p. b.). Naopak pod „předpandemickou“ úroveň zadlužení se již stačily vedle některých tradičně rozpočtově </w:t>
            </w:r>
            <w:r w:rsidRPr="004828DA">
              <w:rPr>
                <w:color w:val="0D0D0D" w:themeColor="text1" w:themeTint="F2"/>
                <w:spacing w:val="-5"/>
              </w:rPr>
              <w:t>disciplinovaných zemí (Švédsko, Dánsko</w:t>
            </w:r>
            <w:r>
              <w:rPr>
                <w:color w:val="0D0D0D" w:themeColor="text1" w:themeTint="F2"/>
                <w:spacing w:val="-5"/>
              </w:rPr>
              <w:t>, Nizozemsko</w:t>
            </w:r>
            <w:r w:rsidRPr="004828DA">
              <w:rPr>
                <w:color w:val="0D0D0D" w:themeColor="text1" w:themeTint="F2"/>
                <w:spacing w:val="-5"/>
              </w:rPr>
              <w:t>) dostat také Irsko, Chorvatsko, Kypr</w:t>
            </w:r>
            <w:r>
              <w:rPr>
                <w:color w:val="0D0D0D" w:themeColor="text1" w:themeTint="F2"/>
                <w:spacing w:val="-5"/>
              </w:rPr>
              <w:t>,</w:t>
            </w:r>
            <w:r w:rsidRPr="004828DA">
              <w:rPr>
                <w:color w:val="0D0D0D" w:themeColor="text1" w:themeTint="F2"/>
                <w:spacing w:val="-5"/>
              </w:rPr>
              <w:t xml:space="preserve"> Portugalsko</w:t>
            </w:r>
            <w:r>
              <w:rPr>
                <w:color w:val="0D0D0D" w:themeColor="text1" w:themeTint="F2"/>
                <w:spacing w:val="-5"/>
              </w:rPr>
              <w:t xml:space="preserve"> a Řecko.</w:t>
            </w:r>
          </w:p>
        </w:tc>
      </w:tr>
    </w:tbl>
    <w:p w14:paraId="6CC221BC" w14:textId="77777777" w:rsidR="001E1AF1" w:rsidRPr="001C3855" w:rsidRDefault="001E1AF1" w:rsidP="001E1AF1">
      <w:pPr>
        <w:pStyle w:val="Nadpis11"/>
        <w:rPr>
          <w:sz w:val="2"/>
          <w:szCs w:val="2"/>
        </w:rPr>
      </w:pPr>
    </w:p>
    <w:p w14:paraId="6FD91E5A" w14:textId="4E3C7394" w:rsidR="00106BCC" w:rsidRPr="001C3855" w:rsidRDefault="00106BCC" w:rsidP="001E1AF1">
      <w:pPr>
        <w:pStyle w:val="Nadpis11"/>
        <w:rPr>
          <w:sz w:val="2"/>
          <w:szCs w:val="2"/>
        </w:rPr>
      </w:pPr>
    </w:p>
    <w:sectPr w:rsidR="00106BCC" w:rsidRPr="001C3855" w:rsidSect="002A33A7">
      <w:headerReference w:type="even" r:id="rId15"/>
      <w:headerReference w:type="default" r:id="rId16"/>
      <w:footerReference w:type="even" r:id="rId17"/>
      <w:footerReference w:type="default" r:id="rId18"/>
      <w:pgSz w:w="11906" w:h="16838" w:code="9"/>
      <w:pgMar w:top="1134" w:right="1134" w:bottom="1418" w:left="1134" w:header="680" w:footer="737"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ACBF8" w14:textId="77777777" w:rsidR="008503B8" w:rsidRDefault="008503B8" w:rsidP="00E71A58">
      <w:r>
        <w:separator/>
      </w:r>
    </w:p>
  </w:endnote>
  <w:endnote w:type="continuationSeparator" w:id="0">
    <w:p w14:paraId="63D75BB8" w14:textId="77777777" w:rsidR="008503B8" w:rsidRDefault="008503B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2771C06" w:rsidR="000D7C6F" w:rsidRPr="00932443" w:rsidRDefault="000D7C6F"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2A33A7">
      <w:rPr>
        <w:szCs w:val="16"/>
      </w:rPr>
      <w:t>38</w:t>
    </w:r>
    <w:r w:rsidRPr="00932443">
      <w:rPr>
        <w:szCs w:val="16"/>
      </w:rPr>
      <w:fldChar w:fldCharType="end"/>
    </w:r>
    <w:r w:rsidRPr="00932443">
      <w:rPr>
        <w:szCs w:val="16"/>
      </w:rPr>
      <w:tab/>
    </w:r>
    <w:r>
      <w:rPr>
        <w:szCs w:val="16"/>
      </w:rPr>
      <w:t>1. až 3.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6A226B7D" w:rsidR="000D7C6F" w:rsidRPr="00932443" w:rsidRDefault="000D7C6F" w:rsidP="00FA6CB6">
    <w:pPr>
      <w:pStyle w:val="Zpat"/>
      <w:rPr>
        <w:szCs w:val="16"/>
      </w:rPr>
    </w:pPr>
    <w:r w:rsidRPr="00FA6CB6">
      <w:rPr>
        <w:szCs w:val="16"/>
      </w:rPr>
      <w:tab/>
    </w:r>
    <w:r>
      <w:rPr>
        <w:szCs w:val="16"/>
      </w:rPr>
      <w:t>1. až 3.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2A33A7">
      <w:rPr>
        <w:rStyle w:val="ZpatChar"/>
        <w:szCs w:val="16"/>
      </w:rPr>
      <w:t>39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0D99" w14:textId="77777777" w:rsidR="008503B8" w:rsidRDefault="008503B8" w:rsidP="00A21B4D">
      <w:pPr>
        <w:spacing w:after="0"/>
      </w:pPr>
      <w:r>
        <w:separator/>
      </w:r>
    </w:p>
  </w:footnote>
  <w:footnote w:type="continuationSeparator" w:id="0">
    <w:p w14:paraId="1079E9B5" w14:textId="77777777" w:rsidR="008503B8" w:rsidRDefault="008503B8" w:rsidP="00E71A58">
      <w:r>
        <w:continuationSeparator/>
      </w:r>
    </w:p>
  </w:footnote>
  <w:footnote w:id="1">
    <w:p w14:paraId="2FAAA2BD" w14:textId="77777777" w:rsidR="000D7C6F" w:rsidRPr="008522D6" w:rsidRDefault="000D7C6F" w:rsidP="001E1AF1">
      <w:pPr>
        <w:pStyle w:val="Textpoznpodarou"/>
        <w:jc w:val="both"/>
        <w:rPr>
          <w:sz w:val="16"/>
          <w:szCs w:val="16"/>
        </w:rPr>
      </w:pPr>
      <w:r w:rsidRPr="008522D6">
        <w:rPr>
          <w:rStyle w:val="Znakapoznpodarou"/>
          <w:sz w:val="16"/>
          <w:szCs w:val="16"/>
        </w:rPr>
        <w:footnoteRef/>
      </w:r>
      <w:r w:rsidRPr="008522D6">
        <w:rPr>
          <w:sz w:val="16"/>
          <w:szCs w:val="16"/>
        </w:rPr>
        <w:t xml:space="preserve"> </w:t>
      </w:r>
      <w:r w:rsidRPr="008522D6">
        <w:rPr>
          <w:color w:val="0D0D0D" w:themeColor="text1" w:themeTint="F2"/>
          <w:sz w:val="16"/>
          <w:szCs w:val="16"/>
        </w:rPr>
        <w:t xml:space="preserve">Pokud není uvedeno jinak, vycházejí všechny údaje týkající se státního rozpočtu </w:t>
      </w:r>
      <w:r w:rsidRPr="008522D6">
        <w:rPr>
          <w:rFonts w:cs="Arial"/>
          <w:color w:val="0D0D0D" w:themeColor="text1" w:themeTint="F2"/>
          <w:sz w:val="16"/>
          <w:szCs w:val="16"/>
        </w:rPr>
        <w:t xml:space="preserve">z dat Ministerstva financí </w:t>
      </w:r>
      <w:r>
        <w:rPr>
          <w:rFonts w:cs="Arial"/>
          <w:color w:val="0D0D0D" w:themeColor="text1" w:themeTint="F2"/>
          <w:sz w:val="16"/>
          <w:szCs w:val="16"/>
        </w:rPr>
        <w:t xml:space="preserve">ČR </w:t>
      </w:r>
      <w:r w:rsidRPr="008522D6">
        <w:rPr>
          <w:rFonts w:cs="Arial"/>
          <w:color w:val="0D0D0D" w:themeColor="text1" w:themeTint="F2"/>
          <w:sz w:val="16"/>
          <w:szCs w:val="16"/>
        </w:rPr>
        <w:t>o pokladním plnění.</w:t>
      </w:r>
    </w:p>
  </w:footnote>
  <w:footnote w:id="2">
    <w:p w14:paraId="40320095" w14:textId="77777777" w:rsidR="000D7C6F" w:rsidRPr="008522D6" w:rsidRDefault="000D7C6F" w:rsidP="001E1AF1">
      <w:pPr>
        <w:pStyle w:val="Textpoznpodarou"/>
        <w:rPr>
          <w:sz w:val="16"/>
          <w:szCs w:val="16"/>
        </w:rPr>
      </w:pPr>
      <w:r w:rsidRPr="008522D6">
        <w:rPr>
          <w:rStyle w:val="Znakapoznpodarou"/>
          <w:sz w:val="16"/>
          <w:szCs w:val="16"/>
        </w:rPr>
        <w:footnoteRef/>
      </w:r>
      <w:r>
        <w:rPr>
          <w:sz w:val="16"/>
          <w:szCs w:val="16"/>
        </w:rPr>
        <w:t xml:space="preserve"> Dle zákona č. 449/2023 Sb.,</w:t>
      </w:r>
      <w:r w:rsidRPr="008522D6">
        <w:rPr>
          <w:sz w:val="16"/>
          <w:szCs w:val="16"/>
        </w:rPr>
        <w:t xml:space="preserve"> o státním</w:t>
      </w:r>
      <w:r>
        <w:rPr>
          <w:sz w:val="16"/>
          <w:szCs w:val="16"/>
        </w:rPr>
        <w:t xml:space="preserve"> rozpočtu na rok 2023, schváleného</w:t>
      </w:r>
      <w:r w:rsidRPr="008522D6">
        <w:rPr>
          <w:sz w:val="16"/>
          <w:szCs w:val="16"/>
        </w:rPr>
        <w:t xml:space="preserve"> 30. listopadu 2022.</w:t>
      </w:r>
    </w:p>
  </w:footnote>
  <w:footnote w:id="3">
    <w:p w14:paraId="594D1863" w14:textId="77777777" w:rsidR="000D7C6F" w:rsidRPr="00E318D9" w:rsidRDefault="000D7C6F" w:rsidP="001E1AF1">
      <w:pPr>
        <w:pStyle w:val="Textpoznpodarou"/>
        <w:rPr>
          <w:sz w:val="16"/>
          <w:szCs w:val="16"/>
        </w:rPr>
      </w:pPr>
      <w:r w:rsidRPr="00E318D9">
        <w:rPr>
          <w:rStyle w:val="Znakapoznpodarou"/>
          <w:sz w:val="16"/>
          <w:szCs w:val="16"/>
        </w:rPr>
        <w:footnoteRef/>
      </w:r>
      <w:r w:rsidRPr="00E318D9">
        <w:rPr>
          <w:sz w:val="16"/>
          <w:szCs w:val="16"/>
        </w:rPr>
        <w:t xml:space="preserve"> V úhrnu za 1. až 3. čtvrtletí 2023 vzrostly celkové pří</w:t>
      </w:r>
      <w:r>
        <w:rPr>
          <w:sz w:val="16"/>
          <w:szCs w:val="16"/>
        </w:rPr>
        <w:t>jmy státního rozpočtu</w:t>
      </w:r>
      <w:r w:rsidRPr="00E318D9">
        <w:rPr>
          <w:sz w:val="16"/>
          <w:szCs w:val="16"/>
        </w:rPr>
        <w:t xml:space="preserve"> od EU (vč. Finančních mechanismů EHP/Norska/Švýcarska) meziročně </w:t>
      </w:r>
      <w:r>
        <w:rPr>
          <w:sz w:val="16"/>
          <w:szCs w:val="16"/>
        </w:rPr>
        <w:t>o</w:t>
      </w:r>
      <w:r w:rsidRPr="00E318D9">
        <w:rPr>
          <w:sz w:val="16"/>
          <w:szCs w:val="16"/>
        </w:rPr>
        <w:t xml:space="preserve"> tři čtvrtiny, resp. 59,1 mld. korun, z toho příjmy z Národního plánu </w:t>
      </w:r>
      <w:r>
        <w:rPr>
          <w:sz w:val="16"/>
          <w:szCs w:val="16"/>
        </w:rPr>
        <w:t xml:space="preserve">činily </w:t>
      </w:r>
      <w:r w:rsidRPr="00E318D9">
        <w:rPr>
          <w:sz w:val="16"/>
          <w:szCs w:val="16"/>
        </w:rPr>
        <w:t>45,2 mld.</w:t>
      </w:r>
    </w:p>
  </w:footnote>
  <w:footnote w:id="4">
    <w:p w14:paraId="7DAD7A02" w14:textId="77777777" w:rsidR="000D7C6F" w:rsidRPr="00C65A49" w:rsidRDefault="000D7C6F" w:rsidP="001E1AF1">
      <w:pPr>
        <w:pStyle w:val="Textpoznpodarou"/>
        <w:rPr>
          <w:sz w:val="16"/>
          <w:szCs w:val="16"/>
        </w:rPr>
      </w:pPr>
      <w:r w:rsidRPr="00C65A49">
        <w:rPr>
          <w:rStyle w:val="Znakapoznpodarou"/>
          <w:sz w:val="16"/>
          <w:szCs w:val="16"/>
        </w:rPr>
        <w:footnoteRef/>
      </w:r>
      <w:r w:rsidRPr="00C65A49">
        <w:rPr>
          <w:sz w:val="16"/>
          <w:szCs w:val="16"/>
        </w:rPr>
        <w:t xml:space="preserve"> </w:t>
      </w:r>
      <w:r>
        <w:rPr>
          <w:sz w:val="16"/>
          <w:szCs w:val="16"/>
        </w:rPr>
        <w:t>Jde o pojistné na</w:t>
      </w:r>
      <w:r w:rsidRPr="00C65A49">
        <w:rPr>
          <w:sz w:val="16"/>
          <w:szCs w:val="16"/>
        </w:rPr>
        <w:t xml:space="preserve"> sociální zabezpečení a aktivní politiku zaměstnanosti.</w:t>
      </w:r>
    </w:p>
  </w:footnote>
  <w:footnote w:id="5">
    <w:p w14:paraId="032E9C16" w14:textId="77777777" w:rsidR="000D7C6F" w:rsidRPr="003B0F66" w:rsidRDefault="000D7C6F" w:rsidP="001E1AF1">
      <w:pPr>
        <w:pStyle w:val="Textpoznpodarou"/>
        <w:rPr>
          <w:sz w:val="16"/>
          <w:szCs w:val="16"/>
        </w:rPr>
      </w:pPr>
      <w:r w:rsidRPr="003B0F66">
        <w:rPr>
          <w:rStyle w:val="Znakapoznpodarou"/>
          <w:sz w:val="16"/>
          <w:szCs w:val="16"/>
        </w:rPr>
        <w:footnoteRef/>
      </w:r>
      <w:r w:rsidRPr="003B0F66">
        <w:rPr>
          <w:sz w:val="16"/>
          <w:szCs w:val="16"/>
        </w:rPr>
        <w:t xml:space="preserve"> I tak zůstalo v úhrnu za tři čtvrtletí tempo výběru pojistného nepatrně nad úrovní </w:t>
      </w:r>
      <w:r>
        <w:rPr>
          <w:sz w:val="16"/>
          <w:szCs w:val="16"/>
        </w:rPr>
        <w:t>plánovaného celoročního tempa.</w:t>
      </w:r>
    </w:p>
  </w:footnote>
  <w:footnote w:id="6">
    <w:p w14:paraId="2E26A720" w14:textId="77777777" w:rsidR="000D7C6F" w:rsidRPr="00E558C6" w:rsidRDefault="000D7C6F" w:rsidP="001E1AF1">
      <w:pPr>
        <w:pStyle w:val="Textpoznpodarou"/>
        <w:rPr>
          <w:sz w:val="16"/>
          <w:szCs w:val="16"/>
        </w:rPr>
      </w:pPr>
      <w:r w:rsidRPr="00E558C6">
        <w:rPr>
          <w:rStyle w:val="Znakapoznpodarou"/>
          <w:sz w:val="16"/>
          <w:szCs w:val="16"/>
        </w:rPr>
        <w:footnoteRef/>
      </w:r>
      <w:r w:rsidRPr="00E558C6">
        <w:rPr>
          <w:sz w:val="16"/>
          <w:szCs w:val="16"/>
        </w:rPr>
        <w:t xml:space="preserve"> Celostátní daňové inkaso (bez mimořádných firemních daní) vzrostlo v 1. čtvrtletí 2023 meziročně o 12,2 %, ve 2. kvartálu o 8,8 % </w:t>
      </w:r>
      <w:r>
        <w:rPr>
          <w:sz w:val="16"/>
          <w:szCs w:val="16"/>
        </w:rPr>
        <w:br/>
      </w:r>
      <w:r w:rsidRPr="00E558C6">
        <w:rPr>
          <w:sz w:val="16"/>
          <w:szCs w:val="16"/>
        </w:rPr>
        <w:t>a v následujícím období o 16,2 %.</w:t>
      </w:r>
    </w:p>
  </w:footnote>
  <w:footnote w:id="7">
    <w:p w14:paraId="1BE633C5" w14:textId="77777777" w:rsidR="000D7C6F" w:rsidRPr="00563E75" w:rsidRDefault="000D7C6F" w:rsidP="001E1AF1">
      <w:pPr>
        <w:pStyle w:val="Textpoznpodarou"/>
        <w:rPr>
          <w:spacing w:val="-2"/>
        </w:rPr>
      </w:pPr>
      <w:r w:rsidRPr="00563E75">
        <w:rPr>
          <w:rStyle w:val="Znakapoznpodarou"/>
          <w:spacing w:val="-2"/>
          <w:sz w:val="16"/>
          <w:szCs w:val="16"/>
        </w:rPr>
        <w:footnoteRef/>
      </w:r>
      <w:r w:rsidRPr="00563E75">
        <w:rPr>
          <w:spacing w:val="-2"/>
        </w:rPr>
        <w:t xml:space="preserve"> </w:t>
      </w:r>
      <w:r>
        <w:rPr>
          <w:spacing w:val="-2"/>
          <w:sz w:val="16"/>
          <w:szCs w:val="16"/>
        </w:rPr>
        <w:t>Celoroční výnos těchto dočasně zavedených „sektorových“ daní</w:t>
      </w:r>
      <w:r w:rsidRPr="00563E75">
        <w:rPr>
          <w:spacing w:val="-2"/>
          <w:sz w:val="16"/>
          <w:szCs w:val="16"/>
        </w:rPr>
        <w:t xml:space="preserve"> u podniků z neočekávaných zisků a odvod</w:t>
      </w:r>
      <w:r>
        <w:rPr>
          <w:spacing w:val="-2"/>
          <w:sz w:val="16"/>
          <w:szCs w:val="16"/>
        </w:rPr>
        <w:t>ů z nadměrných příjmů se prvotně odhadoval</w:t>
      </w:r>
      <w:r w:rsidRPr="00563E75">
        <w:rPr>
          <w:spacing w:val="-2"/>
          <w:sz w:val="16"/>
          <w:szCs w:val="16"/>
        </w:rPr>
        <w:t xml:space="preserve"> na 100 mld. korun</w:t>
      </w:r>
      <w:r>
        <w:rPr>
          <w:spacing w:val="-2"/>
          <w:sz w:val="16"/>
          <w:szCs w:val="16"/>
        </w:rPr>
        <w:t xml:space="preserve">. U jeho klíčové složky </w:t>
      </w:r>
      <w:r w:rsidRPr="00BC1FC8">
        <w:rPr>
          <w:spacing w:val="-2"/>
          <w:sz w:val="16"/>
          <w:szCs w:val="16"/>
        </w:rPr>
        <w:t>–</w:t>
      </w:r>
      <w:r>
        <w:rPr>
          <w:spacing w:val="-2"/>
          <w:sz w:val="16"/>
          <w:szCs w:val="16"/>
        </w:rPr>
        <w:t xml:space="preserve"> </w:t>
      </w:r>
      <w:r w:rsidRPr="00BC1FC8">
        <w:rPr>
          <w:spacing w:val="-2"/>
          <w:sz w:val="16"/>
          <w:szCs w:val="16"/>
        </w:rPr>
        <w:t>daně z neočekávaných zisků –</w:t>
      </w:r>
      <w:r>
        <w:rPr>
          <w:spacing w:val="-2"/>
          <w:sz w:val="16"/>
          <w:szCs w:val="16"/>
        </w:rPr>
        <w:t xml:space="preserve"> byl </w:t>
      </w:r>
      <w:r w:rsidRPr="00BC1FC8">
        <w:rPr>
          <w:spacing w:val="-2"/>
          <w:sz w:val="16"/>
          <w:szCs w:val="16"/>
        </w:rPr>
        <w:t>původní rozpočtový odhad celoročního in</w:t>
      </w:r>
      <w:r>
        <w:rPr>
          <w:spacing w:val="-2"/>
          <w:sz w:val="16"/>
          <w:szCs w:val="16"/>
        </w:rPr>
        <w:t xml:space="preserve">kasa již letos v dubnu </w:t>
      </w:r>
      <w:r w:rsidRPr="00BC1FC8">
        <w:rPr>
          <w:spacing w:val="-2"/>
          <w:sz w:val="16"/>
          <w:szCs w:val="16"/>
        </w:rPr>
        <w:t>revidován (</w:t>
      </w:r>
      <w:r>
        <w:rPr>
          <w:spacing w:val="-2"/>
          <w:sz w:val="16"/>
          <w:szCs w:val="16"/>
        </w:rPr>
        <w:t>z 85 mld. korun na 28 mld.), v srpnu</w:t>
      </w:r>
      <w:r w:rsidRPr="00BC1FC8">
        <w:rPr>
          <w:spacing w:val="-2"/>
          <w:sz w:val="16"/>
          <w:szCs w:val="16"/>
        </w:rPr>
        <w:t xml:space="preserve"> došlo k dílčí korekci </w:t>
      </w:r>
      <w:r>
        <w:rPr>
          <w:spacing w:val="-2"/>
          <w:sz w:val="16"/>
          <w:szCs w:val="16"/>
        </w:rPr>
        <w:t>očekávaného výnosu</w:t>
      </w:r>
      <w:r w:rsidRPr="00BC1FC8">
        <w:rPr>
          <w:spacing w:val="-2"/>
          <w:sz w:val="16"/>
          <w:szCs w:val="16"/>
        </w:rPr>
        <w:t xml:space="preserve"> (na 46 mld. korun).</w:t>
      </w:r>
    </w:p>
  </w:footnote>
  <w:footnote w:id="8">
    <w:p w14:paraId="695CDF6F" w14:textId="77777777" w:rsidR="000D7C6F" w:rsidRPr="00CA30CB" w:rsidRDefault="000D7C6F" w:rsidP="001E1AF1">
      <w:pPr>
        <w:pStyle w:val="Textpoznpodarou"/>
        <w:rPr>
          <w:sz w:val="16"/>
          <w:szCs w:val="16"/>
        </w:rPr>
      </w:pPr>
      <w:r w:rsidRPr="00CA30CB">
        <w:rPr>
          <w:rStyle w:val="Znakapoznpodarou"/>
          <w:sz w:val="16"/>
          <w:szCs w:val="16"/>
        </w:rPr>
        <w:footnoteRef/>
      </w:r>
      <w:r w:rsidRPr="00CA30CB">
        <w:rPr>
          <w:sz w:val="16"/>
          <w:szCs w:val="16"/>
        </w:rPr>
        <w:t xml:space="preserve"> Ta se týká energetických, petrochemických a těžebních firem a zahrnuje rovněž velké banky.</w:t>
      </w:r>
    </w:p>
  </w:footnote>
  <w:footnote w:id="9">
    <w:p w14:paraId="2AF4A17B" w14:textId="77777777" w:rsidR="000D7C6F" w:rsidRPr="008B3D4E" w:rsidRDefault="000D7C6F" w:rsidP="001E1AF1">
      <w:pPr>
        <w:pStyle w:val="Textpoznpodarou"/>
        <w:rPr>
          <w:sz w:val="16"/>
          <w:szCs w:val="16"/>
        </w:rPr>
      </w:pPr>
      <w:r w:rsidRPr="008B3D4E">
        <w:rPr>
          <w:rStyle w:val="Znakapoznpodarou"/>
          <w:sz w:val="16"/>
          <w:szCs w:val="16"/>
        </w:rPr>
        <w:footnoteRef/>
      </w:r>
      <w:r w:rsidRPr="008B3D4E">
        <w:rPr>
          <w:sz w:val="16"/>
          <w:szCs w:val="16"/>
        </w:rPr>
        <w:t xml:space="preserve"> Tento odvod (zdaněný 90% sazbou) představuje rozdíl mezi sku</w:t>
      </w:r>
      <w:r>
        <w:rPr>
          <w:sz w:val="16"/>
          <w:szCs w:val="16"/>
        </w:rPr>
        <w:t>tečným příjmem a stropem tržního</w:t>
      </w:r>
      <w:r w:rsidRPr="008B3D4E">
        <w:rPr>
          <w:sz w:val="16"/>
          <w:szCs w:val="16"/>
        </w:rPr>
        <w:t xml:space="preserve"> příjmu z prodeje elektřiny nad stanovenou hranici (za období od 1. prosince 2022 do konce roku 2023).</w:t>
      </w:r>
    </w:p>
  </w:footnote>
  <w:footnote w:id="10">
    <w:p w14:paraId="05E3C4B4" w14:textId="77777777" w:rsidR="000D7C6F" w:rsidRPr="00D223A1" w:rsidRDefault="000D7C6F" w:rsidP="001E1AF1">
      <w:pPr>
        <w:pStyle w:val="Textpoznpodarou"/>
        <w:rPr>
          <w:sz w:val="16"/>
          <w:szCs w:val="16"/>
        </w:rPr>
      </w:pPr>
      <w:r w:rsidRPr="00D223A1">
        <w:rPr>
          <w:rStyle w:val="Znakapoznpodarou"/>
          <w:sz w:val="16"/>
          <w:szCs w:val="16"/>
        </w:rPr>
        <w:footnoteRef/>
      </w:r>
      <w:r w:rsidRPr="00D223A1">
        <w:rPr>
          <w:sz w:val="16"/>
          <w:szCs w:val="16"/>
        </w:rPr>
        <w:t xml:space="preserve"> </w:t>
      </w:r>
      <w:r w:rsidRPr="00D223A1">
        <w:rPr>
          <w:spacing w:val="-4"/>
          <w:sz w:val="16"/>
          <w:szCs w:val="16"/>
        </w:rPr>
        <w:t xml:space="preserve">Celostátní inkaso DPFO </w:t>
      </w:r>
      <w:r>
        <w:rPr>
          <w:spacing w:val="-4"/>
          <w:sz w:val="16"/>
          <w:szCs w:val="16"/>
        </w:rPr>
        <w:t xml:space="preserve">ze závislé činnosti </w:t>
      </w:r>
      <w:r w:rsidRPr="00D223A1">
        <w:rPr>
          <w:spacing w:val="-4"/>
          <w:sz w:val="16"/>
          <w:szCs w:val="16"/>
        </w:rPr>
        <w:t>(na úrovni všech veřejn</w:t>
      </w:r>
      <w:r>
        <w:rPr>
          <w:spacing w:val="-4"/>
          <w:sz w:val="16"/>
          <w:szCs w:val="16"/>
        </w:rPr>
        <w:t>ých rozpočtů) se však letos za tři čtvrtletí nacházelo jen na úrovni shodného období roku 2017 a za rekordní výší z roku 2019 zaostávalo o</w:t>
      </w:r>
      <w:r>
        <w:rPr>
          <w:sz w:val="16"/>
          <w:szCs w:val="16"/>
        </w:rPr>
        <w:t> </w:t>
      </w:r>
      <w:r>
        <w:rPr>
          <w:spacing w:val="-4"/>
          <w:sz w:val="16"/>
          <w:szCs w:val="16"/>
        </w:rPr>
        <w:t xml:space="preserve">pětinu. </w:t>
      </w:r>
      <w:r w:rsidRPr="00D223A1">
        <w:rPr>
          <w:spacing w:val="-4"/>
          <w:sz w:val="16"/>
          <w:szCs w:val="16"/>
        </w:rPr>
        <w:t>Klíčovou roli zde sehrálo snížení daňového zatížení práce od roku 2021 (v souvislosti se zrušením tzv. superhrubé mzdy).</w:t>
      </w:r>
    </w:p>
  </w:footnote>
  <w:footnote w:id="11">
    <w:p w14:paraId="0DFDD8C7" w14:textId="77777777" w:rsidR="000D7C6F" w:rsidRPr="00694B41" w:rsidRDefault="000D7C6F" w:rsidP="001E1AF1">
      <w:pPr>
        <w:pStyle w:val="Textpoznpodarou"/>
        <w:rPr>
          <w:sz w:val="16"/>
          <w:szCs w:val="16"/>
        </w:rPr>
      </w:pPr>
      <w:r w:rsidRPr="00694B41">
        <w:rPr>
          <w:rStyle w:val="Znakapoznpodarou"/>
          <w:sz w:val="16"/>
          <w:szCs w:val="16"/>
        </w:rPr>
        <w:footnoteRef/>
      </w:r>
      <w:r w:rsidRPr="00694B41">
        <w:rPr>
          <w:sz w:val="16"/>
          <w:szCs w:val="16"/>
        </w:rPr>
        <w:t xml:space="preserve"> Jde o zvýšení </w:t>
      </w:r>
      <w:r>
        <w:rPr>
          <w:sz w:val="16"/>
          <w:szCs w:val="16"/>
        </w:rPr>
        <w:t>z</w:t>
      </w:r>
      <w:r w:rsidRPr="00694B41">
        <w:rPr>
          <w:sz w:val="16"/>
          <w:szCs w:val="16"/>
        </w:rPr>
        <w:t> 1 na 2 mil. korun, které vstoupilo v platnost od ledna 2023.</w:t>
      </w:r>
      <w:r>
        <w:rPr>
          <w:sz w:val="16"/>
          <w:szCs w:val="16"/>
        </w:rPr>
        <w:t xml:space="preserve"> To se spolu s rozšířením paušálního režimu odrazilo v meziročním poklesu počtu plátců DPH.</w:t>
      </w:r>
    </w:p>
  </w:footnote>
  <w:footnote w:id="12">
    <w:p w14:paraId="5E720449" w14:textId="77777777" w:rsidR="000D7C6F" w:rsidRPr="002F5A4D" w:rsidRDefault="000D7C6F" w:rsidP="001E1AF1">
      <w:pPr>
        <w:pStyle w:val="Textpoznpodarou"/>
        <w:rPr>
          <w:sz w:val="16"/>
          <w:szCs w:val="16"/>
        </w:rPr>
      </w:pPr>
      <w:r w:rsidRPr="002F5A4D">
        <w:rPr>
          <w:rStyle w:val="Znakapoznpodarou"/>
          <w:sz w:val="16"/>
          <w:szCs w:val="16"/>
        </w:rPr>
        <w:footnoteRef/>
      </w:r>
      <w:r w:rsidRPr="002F5A4D">
        <w:rPr>
          <w:sz w:val="16"/>
          <w:szCs w:val="16"/>
        </w:rPr>
        <w:t xml:space="preserve"> Ta zahrnuje i </w:t>
      </w:r>
      <w:r w:rsidRPr="002F5A4D">
        <w:rPr>
          <w:color w:val="0D0D0D" w:themeColor="text1" w:themeTint="F2"/>
          <w:spacing w:val="-4"/>
          <w:sz w:val="16"/>
          <w:szCs w:val="16"/>
        </w:rPr>
        <w:t>energetické daně a daň z digitálních služeb.</w:t>
      </w:r>
    </w:p>
  </w:footnote>
  <w:footnote w:id="13">
    <w:p w14:paraId="571B54FC" w14:textId="77777777" w:rsidR="000D7C6F" w:rsidRDefault="000D7C6F" w:rsidP="001E1AF1">
      <w:pPr>
        <w:pStyle w:val="Textpoznpodarou"/>
      </w:pPr>
      <w:r w:rsidRPr="00441D45">
        <w:rPr>
          <w:rStyle w:val="Znakapoznpodarou"/>
          <w:sz w:val="16"/>
          <w:szCs w:val="16"/>
        </w:rPr>
        <w:footnoteRef/>
      </w:r>
      <w:r w:rsidRPr="00441D45">
        <w:rPr>
          <w:sz w:val="16"/>
          <w:szCs w:val="16"/>
        </w:rPr>
        <w:t xml:space="preserve"> K tomuto zvýšení došlo od letošního srpna (o 1,5 korun na litr). Sazba spotřební daně z motorové nafty se tak vrátila na původní výši (9,95 korun/l) platnou do května 2022.</w:t>
      </w:r>
    </w:p>
  </w:footnote>
  <w:footnote w:id="14">
    <w:p w14:paraId="4E983A09" w14:textId="77777777" w:rsidR="000D7C6F" w:rsidRPr="00586349" w:rsidRDefault="000D7C6F" w:rsidP="001E1AF1">
      <w:pPr>
        <w:pStyle w:val="Textpoznpodarou"/>
        <w:rPr>
          <w:sz w:val="16"/>
          <w:szCs w:val="16"/>
        </w:rPr>
      </w:pPr>
      <w:r w:rsidRPr="00586349">
        <w:rPr>
          <w:rStyle w:val="Znakapoznpodarou"/>
          <w:sz w:val="16"/>
          <w:szCs w:val="16"/>
        </w:rPr>
        <w:footnoteRef/>
      </w:r>
      <w:r w:rsidRPr="00586349">
        <w:rPr>
          <w:sz w:val="16"/>
          <w:szCs w:val="16"/>
        </w:rPr>
        <w:t xml:space="preserve"> Výběr spotřební daně ze zahřívaných tabákových výrobků letos za tři čtvrtletí meziročně stoupl o 8,3 %.</w:t>
      </w:r>
    </w:p>
  </w:footnote>
  <w:footnote w:id="15">
    <w:p w14:paraId="40F75A17" w14:textId="77777777" w:rsidR="000D7C6F" w:rsidRPr="008D661B" w:rsidRDefault="000D7C6F" w:rsidP="001E1AF1">
      <w:pPr>
        <w:pStyle w:val="Textpoznpodarou"/>
        <w:rPr>
          <w:sz w:val="16"/>
          <w:szCs w:val="16"/>
        </w:rPr>
      </w:pPr>
      <w:r w:rsidRPr="008D661B">
        <w:rPr>
          <w:rStyle w:val="Znakapoznpodarou"/>
          <w:sz w:val="16"/>
          <w:szCs w:val="16"/>
        </w:rPr>
        <w:footnoteRef/>
      </w:r>
      <w:r w:rsidRPr="008D661B">
        <w:rPr>
          <w:sz w:val="16"/>
          <w:szCs w:val="16"/>
        </w:rPr>
        <w:t xml:space="preserve"> Letos v lednu se průměrný starobní důchod při řádné valorizaci zvýšil o 4,7 %, v červnu při mimořádném zvýšení </w:t>
      </w:r>
      <w:r w:rsidRPr="008D661B">
        <w:rPr>
          <w:color w:val="0D0D0D" w:themeColor="text1" w:themeTint="F2"/>
          <w:spacing w:val="-4"/>
          <w:sz w:val="16"/>
          <w:szCs w:val="16"/>
        </w:rPr>
        <w:t>(za již upravených legislativních podmínek</w:t>
      </w:r>
      <w:r>
        <w:rPr>
          <w:color w:val="0D0D0D" w:themeColor="text1" w:themeTint="F2"/>
          <w:spacing w:val="-4"/>
          <w:sz w:val="16"/>
          <w:szCs w:val="16"/>
        </w:rPr>
        <w:t xml:space="preserve"> zmírňujících tempo valorizace</w:t>
      </w:r>
      <w:r w:rsidRPr="008D661B">
        <w:rPr>
          <w:color w:val="0D0D0D" w:themeColor="text1" w:themeTint="F2"/>
          <w:spacing w:val="-4"/>
          <w:sz w:val="16"/>
          <w:szCs w:val="16"/>
        </w:rPr>
        <w:t>) o</w:t>
      </w:r>
      <w:r w:rsidRPr="008D661B">
        <w:rPr>
          <w:color w:val="0D0D0D" w:themeColor="text1" w:themeTint="F2"/>
          <w:spacing w:val="-5"/>
          <w:sz w:val="16"/>
          <w:szCs w:val="16"/>
        </w:rPr>
        <w:t> </w:t>
      </w:r>
      <w:r w:rsidRPr="008D661B">
        <w:rPr>
          <w:color w:val="0D0D0D" w:themeColor="text1" w:themeTint="F2"/>
          <w:spacing w:val="-4"/>
          <w:sz w:val="16"/>
          <w:szCs w:val="16"/>
        </w:rPr>
        <w:t>3,9</w:t>
      </w:r>
      <w:r w:rsidRPr="008D661B">
        <w:rPr>
          <w:color w:val="0D0D0D" w:themeColor="text1" w:themeTint="F2"/>
          <w:spacing w:val="-5"/>
          <w:sz w:val="16"/>
          <w:szCs w:val="16"/>
        </w:rPr>
        <w:t> </w:t>
      </w:r>
      <w:r>
        <w:rPr>
          <w:color w:val="0D0D0D" w:themeColor="text1" w:themeTint="F2"/>
          <w:spacing w:val="-4"/>
          <w:sz w:val="16"/>
          <w:szCs w:val="16"/>
        </w:rPr>
        <w:t>%. Úroveň</w:t>
      </w:r>
      <w:r w:rsidRPr="008D661B">
        <w:rPr>
          <w:color w:val="0D0D0D" w:themeColor="text1" w:themeTint="F2"/>
          <w:spacing w:val="-4"/>
          <w:sz w:val="16"/>
          <w:szCs w:val="16"/>
        </w:rPr>
        <w:t xml:space="preserve"> důchodů (zejména žen) navýšil také nově zavedený pravidelný příspěvek za každé vychované dítě (500 korun).</w:t>
      </w:r>
      <w:r w:rsidRPr="00EA726B">
        <w:rPr>
          <w:sz w:val="16"/>
          <w:szCs w:val="16"/>
        </w:rPr>
        <w:t xml:space="preserve"> </w:t>
      </w:r>
      <w:r>
        <w:rPr>
          <w:sz w:val="16"/>
          <w:szCs w:val="16"/>
        </w:rPr>
        <w:t>Průměrný měsíční starobní důchod (bez souběhu s ostatními důchody) letos v červnu poprvé překonal hranici 20 tis. korun. Následně v září u mužů dosáhl 21 539 korun, u žen 19 054 korun. Díky zavedení „výchovného“ se významně snížil rozdíl v úrovni důchodů mezi muži a ženami.</w:t>
      </w:r>
    </w:p>
  </w:footnote>
  <w:footnote w:id="16">
    <w:p w14:paraId="6C47F0A1" w14:textId="77777777" w:rsidR="000D7C6F" w:rsidRPr="004A6934" w:rsidRDefault="000D7C6F" w:rsidP="001E1AF1">
      <w:pPr>
        <w:pStyle w:val="Textpoznpodarou"/>
        <w:rPr>
          <w:sz w:val="16"/>
          <w:szCs w:val="16"/>
        </w:rPr>
      </w:pPr>
      <w:r w:rsidRPr="004A6934">
        <w:rPr>
          <w:rStyle w:val="Znakapoznpodarou"/>
          <w:sz w:val="16"/>
          <w:szCs w:val="16"/>
        </w:rPr>
        <w:footnoteRef/>
      </w:r>
      <w:r w:rsidRPr="004A6934">
        <w:rPr>
          <w:sz w:val="16"/>
          <w:szCs w:val="16"/>
        </w:rPr>
        <w:t xml:space="preserve"> Růst počtu všech příjemců trvale krácených starobníc</w:t>
      </w:r>
      <w:r>
        <w:rPr>
          <w:sz w:val="16"/>
          <w:szCs w:val="16"/>
        </w:rPr>
        <w:t>h důchodů (KSD) letos zrychloval (ve 3</w:t>
      </w:r>
      <w:r w:rsidRPr="004A6934">
        <w:rPr>
          <w:sz w:val="16"/>
          <w:szCs w:val="16"/>
        </w:rPr>
        <w:t>. čtvrtlet</w:t>
      </w:r>
      <w:r>
        <w:rPr>
          <w:sz w:val="16"/>
          <w:szCs w:val="16"/>
        </w:rPr>
        <w:t>í na 5,9</w:t>
      </w:r>
      <w:r w:rsidRPr="004A6934">
        <w:rPr>
          <w:sz w:val="16"/>
          <w:szCs w:val="16"/>
        </w:rPr>
        <w:t xml:space="preserve"> % meziročně</w:t>
      </w:r>
      <w:r>
        <w:rPr>
          <w:sz w:val="16"/>
          <w:szCs w:val="16"/>
        </w:rPr>
        <w:t xml:space="preserve">, nejvíce od roku 2012) a jejich podíl na všech příjemcích starobních důchodů poprvé překročil hranici 30 %. Do </w:t>
      </w:r>
      <w:r w:rsidRPr="004A6934">
        <w:rPr>
          <w:sz w:val="16"/>
          <w:szCs w:val="16"/>
        </w:rPr>
        <w:t xml:space="preserve">počtu </w:t>
      </w:r>
      <w:r>
        <w:rPr>
          <w:sz w:val="16"/>
          <w:szCs w:val="16"/>
        </w:rPr>
        <w:t xml:space="preserve">KSD </w:t>
      </w:r>
      <w:r w:rsidRPr="004A6934">
        <w:rPr>
          <w:sz w:val="16"/>
          <w:szCs w:val="16"/>
        </w:rPr>
        <w:t>nejsou zahrnuty osoby, které podaly žádost o předčasný důchod, ale zahájení jeho výplaty si odložily. Zvýšený zájem o předčasné penze pramenil primárně z výhodnosti valorizačního mechanismu, naopak vliv</w:t>
      </w:r>
      <w:r>
        <w:rPr>
          <w:sz w:val="16"/>
          <w:szCs w:val="16"/>
        </w:rPr>
        <w:t xml:space="preserve"> možného</w:t>
      </w:r>
      <w:r w:rsidRPr="004A6934">
        <w:rPr>
          <w:sz w:val="16"/>
          <w:szCs w:val="16"/>
        </w:rPr>
        <w:t xml:space="preserve"> zhoršeného postavení osob v předdůchodovém věku na pracovním trhu hrál patrně spíše jen doplňkovou roli.</w:t>
      </w:r>
    </w:p>
  </w:footnote>
  <w:footnote w:id="17">
    <w:p w14:paraId="1EE74D3F" w14:textId="77777777" w:rsidR="000D7C6F" w:rsidRPr="00F7046D" w:rsidRDefault="000D7C6F" w:rsidP="001E1AF1">
      <w:pPr>
        <w:pStyle w:val="Textpoznpodarou"/>
        <w:rPr>
          <w:sz w:val="16"/>
          <w:szCs w:val="16"/>
        </w:rPr>
      </w:pPr>
      <w:r w:rsidRPr="00F7046D">
        <w:rPr>
          <w:rStyle w:val="Znakapoznpodarou"/>
          <w:sz w:val="16"/>
          <w:szCs w:val="16"/>
        </w:rPr>
        <w:footnoteRef/>
      </w:r>
      <w:r w:rsidRPr="00F7046D">
        <w:rPr>
          <w:sz w:val="16"/>
          <w:szCs w:val="16"/>
        </w:rPr>
        <w:t xml:space="preserve"> Jen okrajový negativní vliv na výši inkasa pojistného mělo letošní zavedení slevy na odvodech pro zaměstnavatele poskytující kratší úvazky rodičům menších dětí, osobám pečujícím o své blízké či lidem nad 55 let. Od února do července uplatnily firmy tyto slevy pro </w:t>
      </w:r>
      <w:r>
        <w:rPr>
          <w:sz w:val="16"/>
          <w:szCs w:val="16"/>
        </w:rPr>
        <w:br/>
      </w:r>
      <w:r w:rsidRPr="00F7046D">
        <w:rPr>
          <w:sz w:val="16"/>
          <w:szCs w:val="16"/>
        </w:rPr>
        <w:t xml:space="preserve">86 tis. zaměstnanců, a to </w:t>
      </w:r>
      <w:r>
        <w:rPr>
          <w:sz w:val="16"/>
          <w:szCs w:val="16"/>
        </w:rPr>
        <w:t>v celkové</w:t>
      </w:r>
      <w:r w:rsidRPr="00F7046D">
        <w:rPr>
          <w:sz w:val="16"/>
          <w:szCs w:val="16"/>
        </w:rPr>
        <w:t xml:space="preserve"> výši 416 mil. korun.</w:t>
      </w:r>
    </w:p>
  </w:footnote>
  <w:footnote w:id="18">
    <w:p w14:paraId="2A8B2E00" w14:textId="77777777" w:rsidR="000D7C6F" w:rsidRPr="00682B37" w:rsidRDefault="000D7C6F" w:rsidP="001E1AF1">
      <w:pPr>
        <w:pStyle w:val="Textpoznpodarou"/>
        <w:jc w:val="both"/>
        <w:rPr>
          <w:rFonts w:cs="Arial"/>
          <w:color w:val="000000" w:themeColor="text1"/>
          <w:spacing w:val="-4"/>
          <w:sz w:val="16"/>
          <w:szCs w:val="16"/>
        </w:rPr>
      </w:pPr>
      <w:r w:rsidRPr="00682B37">
        <w:rPr>
          <w:rStyle w:val="Znakapoznpodarou"/>
          <w:spacing w:val="-4"/>
          <w:sz w:val="16"/>
          <w:szCs w:val="16"/>
        </w:rPr>
        <w:footnoteRef/>
      </w:r>
      <w:r w:rsidRPr="00682B37">
        <w:rPr>
          <w:spacing w:val="-4"/>
          <w:sz w:val="16"/>
          <w:szCs w:val="16"/>
        </w:rPr>
        <w:t xml:space="preserve"> To vyjadřuje r</w:t>
      </w:r>
      <w:r w:rsidRPr="00682B37">
        <w:rPr>
          <w:rFonts w:cs="Arial"/>
          <w:color w:val="000000" w:themeColor="text1"/>
          <w:spacing w:val="-4"/>
          <w:sz w:val="16"/>
          <w:szCs w:val="16"/>
        </w:rPr>
        <w:t>ozdíl mezi příjmy z pojistného na důchodové pojištění</w:t>
      </w:r>
      <w:r w:rsidRPr="00682B37">
        <w:rPr>
          <w:rFonts w:ascii="Segoe UI" w:eastAsia="Times New Roman" w:hAnsi="Segoe UI" w:cs="Segoe UI"/>
          <w:b/>
          <w:bCs/>
          <w:color w:val="000000"/>
          <w:sz w:val="16"/>
          <w:szCs w:val="16"/>
        </w:rPr>
        <w:t xml:space="preserve"> </w:t>
      </w:r>
      <w:r w:rsidRPr="00682B37">
        <w:rPr>
          <w:rFonts w:cs="Arial"/>
          <w:color w:val="000000" w:themeColor="text1"/>
          <w:spacing w:val="-4"/>
          <w:sz w:val="16"/>
          <w:szCs w:val="16"/>
        </w:rPr>
        <w:t xml:space="preserve">a výdaji na dávky důchodového </w:t>
      </w:r>
      <w:r w:rsidRPr="00682B37">
        <w:rPr>
          <w:rFonts w:cs="Arial"/>
          <w:color w:val="0D0D0D" w:themeColor="text1" w:themeTint="F2"/>
          <w:spacing w:val="-4"/>
          <w:sz w:val="16"/>
          <w:szCs w:val="16"/>
        </w:rPr>
        <w:t>pojištění</w:t>
      </w:r>
      <w:r w:rsidRPr="00682B37">
        <w:rPr>
          <w:rFonts w:cs="Arial"/>
          <w:color w:val="000000" w:themeColor="text1"/>
          <w:spacing w:val="-4"/>
          <w:sz w:val="16"/>
          <w:szCs w:val="16"/>
        </w:rPr>
        <w:t xml:space="preserve"> (včetně nákladů na jeho správu).</w:t>
      </w:r>
    </w:p>
  </w:footnote>
  <w:footnote w:id="19">
    <w:p w14:paraId="38706DBF" w14:textId="77777777" w:rsidR="000D7C6F" w:rsidRDefault="000D7C6F" w:rsidP="001E1AF1">
      <w:pPr>
        <w:pStyle w:val="Textpoznpodarou"/>
      </w:pPr>
      <w:r w:rsidRPr="00682B37">
        <w:rPr>
          <w:rStyle w:val="Znakapoznpodarou"/>
          <w:sz w:val="16"/>
          <w:szCs w:val="16"/>
        </w:rPr>
        <w:footnoteRef/>
      </w:r>
      <w:r w:rsidRPr="00682B37">
        <w:rPr>
          <w:sz w:val="16"/>
          <w:szCs w:val="16"/>
        </w:rPr>
        <w:t xml:space="preserve"> Jsou zde zahrnuty i dávky pěstounské péče a náhradní výživné.</w:t>
      </w:r>
    </w:p>
  </w:footnote>
  <w:footnote w:id="20">
    <w:p w14:paraId="4C2F179F" w14:textId="77777777" w:rsidR="000D7C6F" w:rsidRPr="00A01FE0" w:rsidRDefault="000D7C6F" w:rsidP="001E1AF1">
      <w:pPr>
        <w:pStyle w:val="Textpoznpodarou"/>
        <w:rPr>
          <w:sz w:val="16"/>
          <w:szCs w:val="16"/>
        </w:rPr>
      </w:pPr>
      <w:r w:rsidRPr="00A01FE0">
        <w:rPr>
          <w:rStyle w:val="Znakapoznpodarou"/>
          <w:sz w:val="16"/>
          <w:szCs w:val="16"/>
        </w:rPr>
        <w:footnoteRef/>
      </w:r>
      <w:r w:rsidRPr="00A01FE0">
        <w:rPr>
          <w:sz w:val="16"/>
          <w:szCs w:val="16"/>
        </w:rPr>
        <w:t xml:space="preserve"> Na tomto příspěvku </w:t>
      </w:r>
      <w:r>
        <w:rPr>
          <w:sz w:val="16"/>
          <w:szCs w:val="16"/>
        </w:rPr>
        <w:t>bylo letos od ledna do září vyplaceno 13</w:t>
      </w:r>
      <w:r w:rsidRPr="00A01FE0">
        <w:rPr>
          <w:sz w:val="16"/>
          <w:szCs w:val="16"/>
        </w:rPr>
        <w:t>,2 mld. korun</w:t>
      </w:r>
      <w:r>
        <w:rPr>
          <w:sz w:val="16"/>
          <w:szCs w:val="16"/>
        </w:rPr>
        <w:t xml:space="preserve"> (meziročně o 7,3 mld. více), </w:t>
      </w:r>
      <w:r w:rsidRPr="00A01FE0">
        <w:rPr>
          <w:sz w:val="16"/>
          <w:szCs w:val="16"/>
        </w:rPr>
        <w:t>rekordní byl i počet jeho příjemců (</w:t>
      </w:r>
      <w:r>
        <w:rPr>
          <w:sz w:val="16"/>
          <w:szCs w:val="16"/>
        </w:rPr>
        <w:t>jen za letošní září</w:t>
      </w:r>
      <w:r w:rsidRPr="00A01FE0">
        <w:rPr>
          <w:sz w:val="16"/>
          <w:szCs w:val="16"/>
        </w:rPr>
        <w:t xml:space="preserve"> </w:t>
      </w:r>
      <w:r>
        <w:rPr>
          <w:sz w:val="16"/>
          <w:szCs w:val="16"/>
        </w:rPr>
        <w:t>šlo o 272</w:t>
      </w:r>
      <w:r w:rsidRPr="00A01FE0">
        <w:rPr>
          <w:sz w:val="16"/>
          <w:szCs w:val="16"/>
        </w:rPr>
        <w:t xml:space="preserve"> tis. domácnost</w:t>
      </w:r>
      <w:r>
        <w:rPr>
          <w:sz w:val="16"/>
          <w:szCs w:val="16"/>
        </w:rPr>
        <w:t>í, při průměrné výši dávky 6 275</w:t>
      </w:r>
      <w:r w:rsidRPr="00A01FE0">
        <w:rPr>
          <w:sz w:val="16"/>
          <w:szCs w:val="16"/>
        </w:rPr>
        <w:t xml:space="preserve"> korun). </w:t>
      </w:r>
    </w:p>
  </w:footnote>
  <w:footnote w:id="21">
    <w:p w14:paraId="45AA036E" w14:textId="77777777" w:rsidR="000D7C6F" w:rsidRPr="004861BB" w:rsidRDefault="000D7C6F" w:rsidP="001E1AF1">
      <w:pPr>
        <w:pStyle w:val="Textpoznpodarou"/>
        <w:rPr>
          <w:sz w:val="16"/>
          <w:szCs w:val="16"/>
        </w:rPr>
      </w:pPr>
      <w:r w:rsidRPr="004861BB">
        <w:rPr>
          <w:rStyle w:val="Znakapoznpodarou"/>
          <w:sz w:val="16"/>
          <w:szCs w:val="16"/>
        </w:rPr>
        <w:footnoteRef/>
      </w:r>
      <w:r w:rsidRPr="004861BB">
        <w:rPr>
          <w:sz w:val="16"/>
          <w:szCs w:val="16"/>
        </w:rPr>
        <w:t xml:space="preserve"> </w:t>
      </w:r>
      <w:r>
        <w:rPr>
          <w:sz w:val="16"/>
          <w:szCs w:val="16"/>
        </w:rPr>
        <w:t>To souvisí i s legislativními změnami. Od ledna 2023</w:t>
      </w:r>
      <w:r w:rsidRPr="004861BB">
        <w:rPr>
          <w:sz w:val="16"/>
          <w:szCs w:val="16"/>
        </w:rPr>
        <w:t xml:space="preserve"> došlo ke zvýšení </w:t>
      </w:r>
      <w:r>
        <w:rPr>
          <w:sz w:val="16"/>
          <w:szCs w:val="16"/>
        </w:rPr>
        <w:t xml:space="preserve">životního minima (5,2 %) a také navýšení </w:t>
      </w:r>
      <w:r w:rsidRPr="004861BB">
        <w:rPr>
          <w:sz w:val="16"/>
          <w:szCs w:val="16"/>
        </w:rPr>
        <w:t>přídavk</w:t>
      </w:r>
      <w:r>
        <w:rPr>
          <w:sz w:val="16"/>
          <w:szCs w:val="16"/>
        </w:rPr>
        <w:t>ů</w:t>
      </w:r>
      <w:r w:rsidRPr="004861BB">
        <w:rPr>
          <w:sz w:val="16"/>
          <w:szCs w:val="16"/>
        </w:rPr>
        <w:t xml:space="preserve"> </w:t>
      </w:r>
      <w:r>
        <w:rPr>
          <w:sz w:val="16"/>
          <w:szCs w:val="16"/>
        </w:rPr>
        <w:t>(</w:t>
      </w:r>
      <w:r w:rsidRPr="004861BB">
        <w:rPr>
          <w:sz w:val="16"/>
          <w:szCs w:val="16"/>
        </w:rPr>
        <w:t>o 200 korun</w:t>
      </w:r>
      <w:r>
        <w:rPr>
          <w:sz w:val="16"/>
          <w:szCs w:val="16"/>
        </w:rPr>
        <w:t>)</w:t>
      </w:r>
      <w:r w:rsidRPr="004861BB">
        <w:rPr>
          <w:sz w:val="16"/>
          <w:szCs w:val="16"/>
        </w:rPr>
        <w:t xml:space="preserve"> ve všech věkových kategoriích dítěte </w:t>
      </w:r>
      <w:r>
        <w:rPr>
          <w:sz w:val="16"/>
          <w:szCs w:val="16"/>
        </w:rPr>
        <w:t>(</w:t>
      </w:r>
      <w:r w:rsidRPr="004861BB">
        <w:rPr>
          <w:sz w:val="16"/>
          <w:szCs w:val="16"/>
        </w:rPr>
        <w:t>s cílem posílení finanční podpory rodin s dětmi s příjmem do 3,4násobku životního minima</w:t>
      </w:r>
      <w:r>
        <w:rPr>
          <w:sz w:val="16"/>
          <w:szCs w:val="16"/>
        </w:rPr>
        <w:t>)</w:t>
      </w:r>
      <w:r w:rsidRPr="004861BB">
        <w:rPr>
          <w:sz w:val="16"/>
          <w:szCs w:val="16"/>
        </w:rPr>
        <w:t>.</w:t>
      </w:r>
    </w:p>
  </w:footnote>
  <w:footnote w:id="22">
    <w:p w14:paraId="2652768B" w14:textId="77777777" w:rsidR="000D7C6F" w:rsidRPr="008671F8" w:rsidRDefault="000D7C6F" w:rsidP="001E1AF1">
      <w:pPr>
        <w:pStyle w:val="Textpoznpodarou"/>
        <w:rPr>
          <w:sz w:val="16"/>
          <w:szCs w:val="16"/>
        </w:rPr>
      </w:pPr>
      <w:r w:rsidRPr="008671F8">
        <w:rPr>
          <w:rStyle w:val="Znakapoznpodarou"/>
          <w:sz w:val="16"/>
          <w:szCs w:val="16"/>
        </w:rPr>
        <w:footnoteRef/>
      </w:r>
      <w:r w:rsidRPr="008671F8">
        <w:rPr>
          <w:sz w:val="16"/>
          <w:szCs w:val="16"/>
        </w:rPr>
        <w:t xml:space="preserve"> U příspěvku na živobytí (základní dávky pomoci v hmotné nouzi pomáhající osobám či rodinám při nedostatečném příjmu) však došlo v 1. až 3. čtvrtletí meziročně </w:t>
      </w:r>
      <w:r>
        <w:rPr>
          <w:sz w:val="16"/>
          <w:szCs w:val="16"/>
        </w:rPr>
        <w:t xml:space="preserve">k </w:t>
      </w:r>
      <w:r w:rsidRPr="008671F8">
        <w:rPr>
          <w:sz w:val="16"/>
          <w:szCs w:val="16"/>
        </w:rPr>
        <w:t>růstu čerpání o 21 %.</w:t>
      </w:r>
    </w:p>
  </w:footnote>
  <w:footnote w:id="23">
    <w:p w14:paraId="449A7555" w14:textId="77777777" w:rsidR="000D7C6F" w:rsidRPr="003B3184" w:rsidRDefault="000D7C6F" w:rsidP="001E1AF1">
      <w:pPr>
        <w:pStyle w:val="Textpoznpodarou"/>
        <w:rPr>
          <w:sz w:val="16"/>
          <w:szCs w:val="16"/>
        </w:rPr>
      </w:pPr>
      <w:r w:rsidRPr="003B3184">
        <w:rPr>
          <w:rStyle w:val="Znakapoznpodarou"/>
          <w:sz w:val="16"/>
          <w:szCs w:val="16"/>
        </w:rPr>
        <w:footnoteRef/>
      </w:r>
      <w:r w:rsidRPr="003B3184">
        <w:rPr>
          <w:sz w:val="16"/>
          <w:szCs w:val="16"/>
        </w:rPr>
        <w:t xml:space="preserve"> Nárok na podporu v nez</w:t>
      </w:r>
      <w:r>
        <w:rPr>
          <w:sz w:val="16"/>
          <w:szCs w:val="16"/>
        </w:rPr>
        <w:t>aměstnanosti mělo letos v září 73 tis. registrovaných uchazečů o práci (28 % z jejich celkového počtu).</w:t>
      </w:r>
    </w:p>
  </w:footnote>
  <w:footnote w:id="24">
    <w:p w14:paraId="7494189D" w14:textId="77777777" w:rsidR="000D7C6F" w:rsidRPr="00C24A66" w:rsidRDefault="000D7C6F" w:rsidP="001E1AF1">
      <w:pPr>
        <w:pStyle w:val="Textpoznpodarou"/>
        <w:rPr>
          <w:spacing w:val="-4"/>
          <w:sz w:val="16"/>
          <w:szCs w:val="16"/>
        </w:rPr>
      </w:pPr>
      <w:r w:rsidRPr="00C24A66">
        <w:rPr>
          <w:rStyle w:val="Znakapoznpodarou"/>
          <w:spacing w:val="-4"/>
          <w:sz w:val="16"/>
          <w:szCs w:val="16"/>
        </w:rPr>
        <w:footnoteRef/>
      </w:r>
      <w:r w:rsidRPr="00C24A66">
        <w:rPr>
          <w:spacing w:val="-4"/>
          <w:sz w:val="16"/>
          <w:szCs w:val="16"/>
        </w:rPr>
        <w:t xml:space="preserve"> Úroveň z 1. až 3. čtvrtletí 2019 stále téměř o pětinu převyšoval</w:t>
      </w:r>
      <w:r>
        <w:rPr>
          <w:spacing w:val="-4"/>
          <w:sz w:val="16"/>
          <w:szCs w:val="16"/>
        </w:rPr>
        <w:t>a</w:t>
      </w:r>
      <w:r w:rsidRPr="00C24A66">
        <w:rPr>
          <w:spacing w:val="-4"/>
          <w:sz w:val="16"/>
          <w:szCs w:val="16"/>
        </w:rPr>
        <w:t xml:space="preserve"> a představoval</w:t>
      </w:r>
      <w:r>
        <w:rPr>
          <w:spacing w:val="-4"/>
          <w:sz w:val="16"/>
          <w:szCs w:val="16"/>
        </w:rPr>
        <w:t>a</w:t>
      </w:r>
      <w:r w:rsidRPr="00C24A66">
        <w:rPr>
          <w:spacing w:val="-4"/>
          <w:sz w:val="16"/>
          <w:szCs w:val="16"/>
        </w:rPr>
        <w:t xml:space="preserve"> tak letos pro SR nezanedbatelný výdaj (34,8</w:t>
      </w:r>
      <w:r w:rsidRPr="00C24A66">
        <w:rPr>
          <w:rFonts w:cs="Arial"/>
          <w:color w:val="0D0D0D" w:themeColor="text1" w:themeTint="F2"/>
          <w:spacing w:val="-4"/>
          <w:sz w:val="16"/>
          <w:szCs w:val="16"/>
        </w:rPr>
        <w:t> </w:t>
      </w:r>
      <w:r w:rsidRPr="00C24A66">
        <w:rPr>
          <w:spacing w:val="-4"/>
          <w:sz w:val="16"/>
          <w:szCs w:val="16"/>
        </w:rPr>
        <w:t>mld. korun).</w:t>
      </w:r>
    </w:p>
  </w:footnote>
  <w:footnote w:id="25">
    <w:p w14:paraId="70813DF6" w14:textId="77777777" w:rsidR="000D7C6F" w:rsidRDefault="000D7C6F" w:rsidP="001E1AF1">
      <w:pPr>
        <w:pStyle w:val="Textpoznpodarou"/>
      </w:pPr>
      <w:r w:rsidRPr="00781816">
        <w:rPr>
          <w:rStyle w:val="Znakapoznpodarou"/>
          <w:sz w:val="16"/>
          <w:szCs w:val="16"/>
        </w:rPr>
        <w:footnoteRef/>
      </w:r>
      <w:r w:rsidRPr="00781816">
        <w:rPr>
          <w:sz w:val="16"/>
          <w:szCs w:val="16"/>
        </w:rPr>
        <w:t xml:space="preserve"> </w:t>
      </w:r>
      <w:r>
        <w:rPr>
          <w:sz w:val="16"/>
          <w:szCs w:val="16"/>
        </w:rPr>
        <w:t>Rovněž říjnové</w:t>
      </w:r>
      <w:r w:rsidRPr="00652F08">
        <w:rPr>
          <w:sz w:val="16"/>
          <w:szCs w:val="16"/>
        </w:rPr>
        <w:t xml:space="preserve"> údaje dokládají, že potřeba této mimořádné po</w:t>
      </w:r>
      <w:r>
        <w:rPr>
          <w:sz w:val="16"/>
          <w:szCs w:val="16"/>
        </w:rPr>
        <w:t>moci je stále aktuální</w:t>
      </w:r>
      <w:r w:rsidRPr="00652F08">
        <w:rPr>
          <w:sz w:val="16"/>
          <w:szCs w:val="16"/>
        </w:rPr>
        <w:t xml:space="preserve">. Od počátku roku </w:t>
      </w:r>
      <w:r>
        <w:rPr>
          <w:sz w:val="16"/>
          <w:szCs w:val="16"/>
        </w:rPr>
        <w:t xml:space="preserve">tak </w:t>
      </w:r>
      <w:r w:rsidRPr="00652F08">
        <w:rPr>
          <w:sz w:val="16"/>
          <w:szCs w:val="16"/>
        </w:rPr>
        <w:t>bylo na kompenzacích firmám vlivem zastropování</w:t>
      </w:r>
      <w:r>
        <w:rPr>
          <w:sz w:val="16"/>
          <w:szCs w:val="16"/>
        </w:rPr>
        <w:t xml:space="preserve"> cen ze SR vydáno již 68,2 mld. korun. V</w:t>
      </w:r>
      <w:r w:rsidRPr="00652F08">
        <w:rPr>
          <w:sz w:val="16"/>
          <w:szCs w:val="16"/>
        </w:rPr>
        <w:t>ýplata pomoci podnikům v energeticky náročných odvětvích se ve 2</w:t>
      </w:r>
      <w:r>
        <w:rPr>
          <w:sz w:val="16"/>
          <w:szCs w:val="16"/>
        </w:rPr>
        <w:t>.</w:t>
      </w:r>
      <w:r w:rsidRPr="004861BB">
        <w:rPr>
          <w:sz w:val="16"/>
          <w:szCs w:val="16"/>
        </w:rPr>
        <w:t> </w:t>
      </w:r>
      <w:r>
        <w:rPr>
          <w:sz w:val="16"/>
          <w:szCs w:val="16"/>
        </w:rPr>
        <w:t xml:space="preserve">čtvrtletí fakticky zastavila, zrychlovalo ale čerpání ostatních podpůrných transferů (např. </w:t>
      </w:r>
      <w:r w:rsidRPr="00652F08">
        <w:rPr>
          <w:sz w:val="16"/>
          <w:szCs w:val="16"/>
        </w:rPr>
        <w:t>dotace provozova</w:t>
      </w:r>
      <w:r>
        <w:rPr>
          <w:sz w:val="16"/>
          <w:szCs w:val="16"/>
        </w:rPr>
        <w:t>teli přenosové soustavy).</w:t>
      </w:r>
    </w:p>
  </w:footnote>
  <w:footnote w:id="26">
    <w:p w14:paraId="2932FB2F" w14:textId="77777777" w:rsidR="000D7C6F" w:rsidRPr="00E865AB" w:rsidRDefault="000D7C6F" w:rsidP="001E1AF1">
      <w:pPr>
        <w:pStyle w:val="Textpoznpodarou"/>
        <w:rPr>
          <w:sz w:val="16"/>
          <w:szCs w:val="16"/>
        </w:rPr>
      </w:pPr>
      <w:r w:rsidRPr="00E865AB">
        <w:rPr>
          <w:rStyle w:val="Znakapoznpodarou"/>
          <w:sz w:val="16"/>
          <w:szCs w:val="16"/>
        </w:rPr>
        <w:footnoteRef/>
      </w:r>
      <w:r w:rsidRPr="00E865AB">
        <w:rPr>
          <w:sz w:val="16"/>
          <w:szCs w:val="16"/>
        </w:rPr>
        <w:t xml:space="preserve"> Od ledna 2023 vzrostl objem prostředků na platy pedagogů o 4 %, u nepedagogických pracovníků došlo k navýšení již od loňského září (8 %). </w:t>
      </w:r>
    </w:p>
  </w:footnote>
  <w:footnote w:id="27">
    <w:p w14:paraId="23DAF472" w14:textId="77777777" w:rsidR="000D7C6F" w:rsidRPr="00E865AB" w:rsidRDefault="000D7C6F" w:rsidP="001E1AF1">
      <w:pPr>
        <w:pStyle w:val="Textpoznpodarou"/>
        <w:rPr>
          <w:spacing w:val="-2"/>
          <w:sz w:val="16"/>
          <w:szCs w:val="16"/>
        </w:rPr>
      </w:pPr>
      <w:r w:rsidRPr="00E865AB">
        <w:rPr>
          <w:rStyle w:val="Znakapoznpodarou"/>
          <w:spacing w:val="-2"/>
          <w:sz w:val="16"/>
          <w:szCs w:val="16"/>
        </w:rPr>
        <w:footnoteRef/>
      </w:r>
      <w:r w:rsidRPr="00E865AB">
        <w:rPr>
          <w:spacing w:val="-2"/>
          <w:sz w:val="16"/>
          <w:szCs w:val="16"/>
        </w:rPr>
        <w:t xml:space="preserve"> Čisté výdaje odpovídají saldu rozpočtové kapitoly Státní dluh (č. 396). </w:t>
      </w:r>
      <w:r w:rsidRPr="00E865AB">
        <w:rPr>
          <w:color w:val="0D0D0D" w:themeColor="text1" w:themeTint="F2"/>
          <w:spacing w:val="-4"/>
          <w:sz w:val="16"/>
          <w:szCs w:val="16"/>
        </w:rPr>
        <w:t>Zásadní vliv na růst výdajů zde měly výplaty protiinflačních státních dluhopisů občanům, dílčí roli pak rostoucí úrokové sazby u dalších in</w:t>
      </w:r>
      <w:r>
        <w:rPr>
          <w:color w:val="0D0D0D" w:themeColor="text1" w:themeTint="F2"/>
          <w:spacing w:val="-4"/>
          <w:sz w:val="16"/>
          <w:szCs w:val="16"/>
        </w:rPr>
        <w:t>strumentů dluhového financování a celkový trend růstu zadlužení z předchozích let.</w:t>
      </w:r>
    </w:p>
  </w:footnote>
  <w:footnote w:id="28">
    <w:p w14:paraId="21E08000" w14:textId="77777777" w:rsidR="000D7C6F" w:rsidRPr="002E12B5" w:rsidRDefault="000D7C6F" w:rsidP="001E1AF1">
      <w:pPr>
        <w:pStyle w:val="Textpoznpodarou"/>
        <w:rPr>
          <w:sz w:val="16"/>
          <w:szCs w:val="16"/>
        </w:rPr>
      </w:pPr>
      <w:r w:rsidRPr="002E12B5">
        <w:rPr>
          <w:rStyle w:val="Znakapoznpodarou"/>
          <w:sz w:val="16"/>
          <w:szCs w:val="16"/>
        </w:rPr>
        <w:footnoteRef/>
      </w:r>
      <w:r w:rsidRPr="002E12B5">
        <w:rPr>
          <w:sz w:val="16"/>
          <w:szCs w:val="16"/>
        </w:rPr>
        <w:t xml:space="preserve"> </w:t>
      </w:r>
      <w:r>
        <w:rPr>
          <w:sz w:val="16"/>
          <w:szCs w:val="16"/>
        </w:rPr>
        <w:t>V období let 2020 až 2022 bylo na konci září čerpání</w:t>
      </w:r>
      <w:r w:rsidRPr="002E12B5">
        <w:rPr>
          <w:sz w:val="16"/>
          <w:szCs w:val="16"/>
        </w:rPr>
        <w:t xml:space="preserve"> investic </w:t>
      </w:r>
      <w:r>
        <w:rPr>
          <w:sz w:val="16"/>
          <w:szCs w:val="16"/>
        </w:rPr>
        <w:t>ze SR výrazněji podalikvotní (</w:t>
      </w:r>
      <w:r w:rsidRPr="002E12B5">
        <w:rPr>
          <w:sz w:val="16"/>
          <w:szCs w:val="16"/>
        </w:rPr>
        <w:t>mezi 53 % a 62 %</w:t>
      </w:r>
      <w:r>
        <w:rPr>
          <w:sz w:val="16"/>
          <w:szCs w:val="16"/>
        </w:rPr>
        <w:t xml:space="preserve"> celoročního plánu)</w:t>
      </w:r>
      <w:r w:rsidRPr="002E12B5">
        <w:rPr>
          <w:sz w:val="16"/>
          <w:szCs w:val="16"/>
        </w:rPr>
        <w:t>.</w:t>
      </w:r>
      <w:r>
        <w:rPr>
          <w:sz w:val="16"/>
          <w:szCs w:val="16"/>
        </w:rPr>
        <w:t xml:space="preserve"> Vyšší letošní plnění je spojeno s oblastmi, u nichž se předpokládá následné spolufinancování z EU. Naopak u projektů financovaných výhradně z národních zdrojů byla míra čerpání do konce září nižší.</w:t>
      </w:r>
    </w:p>
  </w:footnote>
  <w:footnote w:id="29">
    <w:p w14:paraId="3C9B3786" w14:textId="77777777" w:rsidR="000D7C6F" w:rsidRPr="00CA2DF7" w:rsidRDefault="000D7C6F" w:rsidP="001E1AF1">
      <w:pPr>
        <w:pStyle w:val="Textpoznpodarou"/>
        <w:rPr>
          <w:sz w:val="16"/>
          <w:szCs w:val="16"/>
        </w:rPr>
      </w:pPr>
      <w:r w:rsidRPr="00CA2DF7">
        <w:rPr>
          <w:rStyle w:val="Znakapoznpodarou"/>
          <w:sz w:val="16"/>
          <w:szCs w:val="16"/>
        </w:rPr>
        <w:footnoteRef/>
      </w:r>
      <w:r w:rsidRPr="00CA2DF7">
        <w:rPr>
          <w:sz w:val="16"/>
          <w:szCs w:val="16"/>
        </w:rPr>
        <w:t xml:space="preserve"> </w:t>
      </w:r>
      <w:r>
        <w:rPr>
          <w:sz w:val="16"/>
          <w:szCs w:val="16"/>
        </w:rPr>
        <w:t xml:space="preserve">Za tři letošní čtvrtletí </w:t>
      </w:r>
      <w:r w:rsidRPr="00CA2DF7">
        <w:rPr>
          <w:sz w:val="16"/>
          <w:szCs w:val="16"/>
        </w:rPr>
        <w:t xml:space="preserve">byly vydány </w:t>
      </w:r>
      <w:r>
        <w:rPr>
          <w:sz w:val="16"/>
          <w:szCs w:val="16"/>
        </w:rPr>
        <w:t>středně- a dlouhodobé korunové státní dluhopisy ve výši 408</w:t>
      </w:r>
      <w:r w:rsidRPr="00CA2DF7">
        <w:rPr>
          <w:sz w:val="16"/>
          <w:szCs w:val="16"/>
        </w:rPr>
        <w:t xml:space="preserve"> mld. korun (meziročně zhruba </w:t>
      </w:r>
      <w:r>
        <w:rPr>
          <w:sz w:val="16"/>
          <w:szCs w:val="16"/>
        </w:rPr>
        <w:br/>
      </w:r>
      <w:r w:rsidRPr="00CA2DF7">
        <w:rPr>
          <w:sz w:val="16"/>
          <w:szCs w:val="16"/>
        </w:rPr>
        <w:t>o desetinu více, ale o</w:t>
      </w:r>
      <w:r>
        <w:rPr>
          <w:sz w:val="16"/>
          <w:szCs w:val="16"/>
        </w:rPr>
        <w:t>proti shodnému období let 2020 i 2021 jde o pokles o více než 15 %</w:t>
      </w:r>
      <w:r w:rsidRPr="00CA2DF7">
        <w:rPr>
          <w:sz w:val="16"/>
          <w:szCs w:val="16"/>
        </w:rPr>
        <w:t xml:space="preserve">). </w:t>
      </w:r>
      <w:r>
        <w:rPr>
          <w:sz w:val="16"/>
          <w:szCs w:val="16"/>
        </w:rPr>
        <w:t>Tyto dluhopisy pokryly veškeré letošní splátky dluhu a předfinancování významné části plánovaného schodku SR za celý rok 2023. F</w:t>
      </w:r>
      <w:r w:rsidRPr="00CA2DF7">
        <w:rPr>
          <w:sz w:val="16"/>
          <w:szCs w:val="16"/>
        </w:rPr>
        <w:t xml:space="preserve">ixně úročené </w:t>
      </w:r>
      <w:r>
        <w:rPr>
          <w:sz w:val="16"/>
          <w:szCs w:val="16"/>
        </w:rPr>
        <w:t xml:space="preserve">státní </w:t>
      </w:r>
      <w:r w:rsidRPr="00CA2DF7">
        <w:rPr>
          <w:sz w:val="16"/>
          <w:szCs w:val="16"/>
        </w:rPr>
        <w:t xml:space="preserve">dluhopisy </w:t>
      </w:r>
      <w:r>
        <w:rPr>
          <w:sz w:val="16"/>
          <w:szCs w:val="16"/>
        </w:rPr>
        <w:t xml:space="preserve">(téměř </w:t>
      </w:r>
      <w:r>
        <w:rPr>
          <w:sz w:val="16"/>
          <w:szCs w:val="16"/>
        </w:rPr>
        <w:br/>
        <w:t>90 % celkové emise) byly prodány s</w:t>
      </w:r>
      <w:r w:rsidRPr="00CA2DF7">
        <w:rPr>
          <w:sz w:val="16"/>
          <w:szCs w:val="16"/>
        </w:rPr>
        <w:t xml:space="preserve"> průměrnou zbytkovou dobou splatnosti 8,</w:t>
      </w:r>
      <w:r>
        <w:rPr>
          <w:sz w:val="16"/>
          <w:szCs w:val="16"/>
        </w:rPr>
        <w:t>5 let a průměrným výnosem 4,5 % p. a.</w:t>
      </w:r>
      <w:r w:rsidRPr="00CA2DF7">
        <w:rPr>
          <w:sz w:val="16"/>
          <w:szCs w:val="16"/>
        </w:rPr>
        <w:t xml:space="preserve"> </w:t>
      </w:r>
      <w:r>
        <w:rPr>
          <w:sz w:val="16"/>
          <w:szCs w:val="16"/>
        </w:rPr>
        <w:t xml:space="preserve">Čistá emise středně- a dlouhodobých dluhopisů (po odečtení uskutečněných splátek) činila dosud letos 262 mld. korun. </w:t>
      </w:r>
      <w:r>
        <w:rPr>
          <w:spacing w:val="-4"/>
          <w:sz w:val="16"/>
          <w:szCs w:val="16"/>
        </w:rPr>
        <w:t>Hodnota veškerých domácích</w:t>
      </w:r>
      <w:r w:rsidRPr="00790DFB">
        <w:rPr>
          <w:spacing w:val="-4"/>
          <w:sz w:val="16"/>
          <w:szCs w:val="16"/>
        </w:rPr>
        <w:t xml:space="preserve"> státních dluhopisů v oběhu </w:t>
      </w:r>
      <w:r>
        <w:rPr>
          <w:spacing w:val="-4"/>
          <w:sz w:val="16"/>
          <w:szCs w:val="16"/>
        </w:rPr>
        <w:t>(zahrnujících i státní pokladniční poukázky) vystoupala letos na konci září na 2 938 mld. korun. Z nich 28,8 % bylo v držbě nerezidentů, 64,6 % připadalo na tuzemské finanční instituce (především banky a penzijní fondy), významnější podíl vlastnily dále ještě domácnosti (3,8 %). Mezi držiteli dluhopisů meziročně mírně vzrostl podíl nerezidentů (0,7 p. b.) i domácností (+0,4 p. b.).</w:t>
      </w:r>
    </w:p>
  </w:footnote>
  <w:footnote w:id="30">
    <w:p w14:paraId="29ADDA03" w14:textId="77777777" w:rsidR="000D7C6F" w:rsidRDefault="000D7C6F" w:rsidP="001E1AF1">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sektoru vládních institucí za 3. čtvrtletí 2023 zveřejní ČSÚ 5. ledna 2024, Eurostat následně na konci ledna. Detailnější zhodnocení tuzemského vývoje za 2. čtvrtletí 2023 je obsaženo v publikaci </w:t>
      </w:r>
      <w:r w:rsidRPr="00C20941">
        <w:rPr>
          <w:i/>
          <w:sz w:val="16"/>
          <w:szCs w:val="16"/>
        </w:rPr>
        <w:t>Analýza sektorových účtů</w:t>
      </w:r>
      <w:r>
        <w:rPr>
          <w:sz w:val="16"/>
          <w:szCs w:val="16"/>
        </w:rPr>
        <w:t>:</w:t>
      </w:r>
    </w:p>
    <w:p w14:paraId="0D915FC3" w14:textId="77777777" w:rsidR="000D7C6F" w:rsidRPr="009831FA" w:rsidRDefault="008503B8" w:rsidP="001E1AF1">
      <w:pPr>
        <w:pStyle w:val="Textpoznpodarou"/>
        <w:rPr>
          <w:sz w:val="16"/>
          <w:szCs w:val="16"/>
        </w:rPr>
      </w:pPr>
      <w:hyperlink r:id="rId1" w:history="1">
        <w:r w:rsidR="000D7C6F" w:rsidRPr="00EE753F">
          <w:rPr>
            <w:rStyle w:val="Hypertextovodkaz"/>
            <w:sz w:val="16"/>
            <w:szCs w:val="16"/>
          </w:rPr>
          <w:t>https://www.czso.cz/csu/czso/cri/analyza-ctvrtletnich-sektorovych-uctu-2-ctvrtleti-2023</w:t>
        </w:r>
      </w:hyperlink>
    </w:p>
  </w:footnote>
  <w:footnote w:id="31">
    <w:p w14:paraId="1D1377EF" w14:textId="77777777" w:rsidR="000D7C6F" w:rsidRPr="00654E54" w:rsidRDefault="000D7C6F" w:rsidP="001E1AF1">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 w:id="32">
    <w:p w14:paraId="0EECD93A" w14:textId="77777777" w:rsidR="000D7C6F" w:rsidRPr="00BB7B8B" w:rsidRDefault="000D7C6F" w:rsidP="001E1AF1">
      <w:pPr>
        <w:pStyle w:val="Textpoznpodarou"/>
        <w:rPr>
          <w:sz w:val="16"/>
          <w:szCs w:val="16"/>
        </w:rPr>
      </w:pPr>
      <w:r w:rsidRPr="00BB7B8B">
        <w:rPr>
          <w:rStyle w:val="Znakapoznpodarou"/>
          <w:sz w:val="16"/>
          <w:szCs w:val="16"/>
        </w:rPr>
        <w:footnoteRef/>
      </w:r>
      <w:r w:rsidRPr="00BB7B8B">
        <w:rPr>
          <w:sz w:val="16"/>
          <w:szCs w:val="16"/>
        </w:rPr>
        <w:t xml:space="preserve"> Dle sezónně očištěných údajů byl však ve 2. čtvrtletí 2023 vykázán schodek 59,8 mld. korun. Tento deficit významně nevybočil z řady výsledků hospodaření zaznamenaných od poloviny loňského roku.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0D7C6F" w:rsidRDefault="000D7C6F" w:rsidP="00937AE2">
    <w:pPr>
      <w:pStyle w:val="Zhlav"/>
    </w:pPr>
    <w:r>
      <w:t>Vývoj ekonomiky České republiky</w:t>
    </w:r>
  </w:p>
  <w:p w14:paraId="3E881AB3" w14:textId="77777777" w:rsidR="000D7C6F" w:rsidRPr="006F5416" w:rsidRDefault="000D7C6F"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0D7C6F" w:rsidRDefault="000D7C6F" w:rsidP="00937AE2">
    <w:pPr>
      <w:pStyle w:val="Zhlav"/>
    </w:pPr>
    <w:r>
      <w:t>Vývoj ekonomiky České republiky</w:t>
    </w:r>
  </w:p>
  <w:p w14:paraId="57266714" w14:textId="77777777" w:rsidR="000D7C6F" w:rsidRPr="006F5416" w:rsidRDefault="000D7C6F"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8"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33"/>
  </w:num>
  <w:num w:numId="14">
    <w:abstractNumId w:val="14"/>
  </w:num>
  <w:num w:numId="15">
    <w:abstractNumId w:val="21"/>
  </w:num>
  <w:num w:numId="16">
    <w:abstractNumId w:val="17"/>
  </w:num>
  <w:num w:numId="17">
    <w:abstractNumId w:val="34"/>
  </w:num>
  <w:num w:numId="18">
    <w:abstractNumId w:val="26"/>
  </w:num>
  <w:num w:numId="19">
    <w:abstractNumId w:val="36"/>
  </w:num>
  <w:num w:numId="20">
    <w:abstractNumId w:val="37"/>
  </w:num>
  <w:num w:numId="21">
    <w:abstractNumId w:val="32"/>
  </w:num>
  <w:num w:numId="22">
    <w:abstractNumId w:val="20"/>
  </w:num>
  <w:num w:numId="23">
    <w:abstractNumId w:val="18"/>
  </w:num>
  <w:num w:numId="24">
    <w:abstractNumId w:val="19"/>
  </w:num>
  <w:num w:numId="25">
    <w:abstractNumId w:val="13"/>
  </w:num>
  <w:num w:numId="26">
    <w:abstractNumId w:val="28"/>
  </w:num>
  <w:num w:numId="27">
    <w:abstractNumId w:val="27"/>
  </w:num>
  <w:num w:numId="28">
    <w:abstractNumId w:val="10"/>
  </w:num>
  <w:num w:numId="29">
    <w:abstractNumId w:val="37"/>
  </w:num>
  <w:num w:numId="30">
    <w:abstractNumId w:val="29"/>
  </w:num>
  <w:num w:numId="31">
    <w:abstractNumId w:val="12"/>
  </w:num>
  <w:num w:numId="32">
    <w:abstractNumId w:val="38"/>
  </w:num>
  <w:num w:numId="33">
    <w:abstractNumId w:val="37"/>
  </w:num>
  <w:num w:numId="34">
    <w:abstractNumId w:val="11"/>
  </w:num>
  <w:num w:numId="35">
    <w:abstractNumId w:val="35"/>
  </w:num>
  <w:num w:numId="36">
    <w:abstractNumId w:val="30"/>
  </w:num>
  <w:num w:numId="37">
    <w:abstractNumId w:val="22"/>
  </w:num>
  <w:num w:numId="38">
    <w:abstractNumId w:val="25"/>
  </w:num>
  <w:num w:numId="39">
    <w:abstractNumId w:val="15"/>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2C3C"/>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D7C6F"/>
    <w:rsid w:val="000E04FD"/>
    <w:rsid w:val="000E0E96"/>
    <w:rsid w:val="000E298B"/>
    <w:rsid w:val="000E2C7D"/>
    <w:rsid w:val="000E3E56"/>
    <w:rsid w:val="000E440D"/>
    <w:rsid w:val="000E4AC5"/>
    <w:rsid w:val="000E6253"/>
    <w:rsid w:val="000E6AC4"/>
    <w:rsid w:val="000E6E4D"/>
    <w:rsid w:val="000E6FBD"/>
    <w:rsid w:val="000E6FCB"/>
    <w:rsid w:val="000F090B"/>
    <w:rsid w:val="000F0E42"/>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405FA"/>
    <w:rsid w:val="00140D1A"/>
    <w:rsid w:val="00141184"/>
    <w:rsid w:val="00141315"/>
    <w:rsid w:val="0014152B"/>
    <w:rsid w:val="00141AA0"/>
    <w:rsid w:val="001425C3"/>
    <w:rsid w:val="0014262D"/>
    <w:rsid w:val="00142B29"/>
    <w:rsid w:val="00143EED"/>
    <w:rsid w:val="00144108"/>
    <w:rsid w:val="00144588"/>
    <w:rsid w:val="001447DD"/>
    <w:rsid w:val="00145358"/>
    <w:rsid w:val="001459BC"/>
    <w:rsid w:val="0014779E"/>
    <w:rsid w:val="00147B13"/>
    <w:rsid w:val="00150ECA"/>
    <w:rsid w:val="0015108F"/>
    <w:rsid w:val="00151707"/>
    <w:rsid w:val="00152C86"/>
    <w:rsid w:val="00152EBC"/>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23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1AF1"/>
    <w:rsid w:val="001E3306"/>
    <w:rsid w:val="001E504C"/>
    <w:rsid w:val="001E56AC"/>
    <w:rsid w:val="001E5A17"/>
    <w:rsid w:val="001E6441"/>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3A7"/>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A8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D6982"/>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07B"/>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17A6"/>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684D"/>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1B24"/>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53DC"/>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5F7B79"/>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0FFC"/>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748"/>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4A6"/>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23"/>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551"/>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1E3F"/>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D7F4F"/>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3E08"/>
    <w:rsid w:val="00804155"/>
    <w:rsid w:val="00804C9F"/>
    <w:rsid w:val="0080559E"/>
    <w:rsid w:val="00805AF3"/>
    <w:rsid w:val="00806C9C"/>
    <w:rsid w:val="008071B1"/>
    <w:rsid w:val="0080734C"/>
    <w:rsid w:val="00807C82"/>
    <w:rsid w:val="008107EE"/>
    <w:rsid w:val="008117CC"/>
    <w:rsid w:val="00811FF8"/>
    <w:rsid w:val="0081249F"/>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3B8"/>
    <w:rsid w:val="00850E83"/>
    <w:rsid w:val="0085114D"/>
    <w:rsid w:val="00851163"/>
    <w:rsid w:val="008520A8"/>
    <w:rsid w:val="00852217"/>
    <w:rsid w:val="00853282"/>
    <w:rsid w:val="0085334C"/>
    <w:rsid w:val="00854291"/>
    <w:rsid w:val="00855408"/>
    <w:rsid w:val="00855D03"/>
    <w:rsid w:val="00856AA1"/>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2E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3D21"/>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418F"/>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66F8"/>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3063"/>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3A"/>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257"/>
    <w:rsid w:val="00C54697"/>
    <w:rsid w:val="00C550CE"/>
    <w:rsid w:val="00C553A5"/>
    <w:rsid w:val="00C55402"/>
    <w:rsid w:val="00C5603B"/>
    <w:rsid w:val="00C6020C"/>
    <w:rsid w:val="00C60AE3"/>
    <w:rsid w:val="00C61F47"/>
    <w:rsid w:val="00C62828"/>
    <w:rsid w:val="00C63132"/>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04C"/>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649"/>
    <w:rsid w:val="00CA0BD5"/>
    <w:rsid w:val="00CA0DA1"/>
    <w:rsid w:val="00CA1BD6"/>
    <w:rsid w:val="00CA2D95"/>
    <w:rsid w:val="00CA37FF"/>
    <w:rsid w:val="00CA423A"/>
    <w:rsid w:val="00CA47BC"/>
    <w:rsid w:val="00CA5EAD"/>
    <w:rsid w:val="00CA6AB4"/>
    <w:rsid w:val="00CA7255"/>
    <w:rsid w:val="00CA79E2"/>
    <w:rsid w:val="00CA7E12"/>
    <w:rsid w:val="00CB111E"/>
    <w:rsid w:val="00CB1BEE"/>
    <w:rsid w:val="00CB2351"/>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5EE0"/>
    <w:rsid w:val="00CD6331"/>
    <w:rsid w:val="00CD7E9E"/>
    <w:rsid w:val="00CE12FB"/>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6E6B"/>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209"/>
    <w:rsid w:val="00DE63AE"/>
    <w:rsid w:val="00DE7156"/>
    <w:rsid w:val="00DE7AC8"/>
    <w:rsid w:val="00DF0830"/>
    <w:rsid w:val="00DF1D57"/>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C5D"/>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B1A"/>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189D"/>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967"/>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2E7"/>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6667"/>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2-ctvrtleti-2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Grafy-st&#225;tn&#237;%20rozpo&#269;et-3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Grafy-st&#225;tn&#237;%20rozpo&#269;et-3q-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Grafy-st&#225;tn&#237;%20rozpo&#269;et-3q-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7E-2"/>
          <c:y val="1.7107238390107422E-2"/>
          <c:w val="0.83962774835667464"/>
          <c:h val="0.75194595942834008"/>
        </c:manualLayout>
      </c:layout>
      <c:barChart>
        <c:barDir val="col"/>
        <c:grouping val="stacked"/>
        <c:varyColors val="0"/>
        <c:ser>
          <c:idx val="1"/>
          <c:order val="1"/>
          <c:tx>
            <c:strRef>
              <c:f>'G1-SR-příjmy-příspěvky'!$A$30</c:f>
              <c:strCache>
                <c:ptCount val="1"/>
                <c:pt idx="0">
                  <c:v>Ostatní daně a poplatky</c:v>
                </c:pt>
              </c:strCache>
            </c:strRef>
          </c:tx>
          <c:spPr>
            <a:solidFill>
              <a:schemeClr val="bg1">
                <a:lumMod val="75000"/>
              </a:schemeClr>
            </a:solidFill>
            <a:ln w="12700">
              <a:noFill/>
              <a:prstDash val="solid"/>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'G1-SR-příjmy-příspěvky'!$E$30:$T$30</c:f>
              <c:numCache>
                <c:formatCode>0.0</c:formatCode>
                <c:ptCount val="16"/>
                <c:pt idx="0">
                  <c:v>0.39922458302144492</c:v>
                </c:pt>
                <c:pt idx="1">
                  <c:v>-0.52138580751874442</c:v>
                </c:pt>
                <c:pt idx="2">
                  <c:v>0.38494174134398523</c:v>
                </c:pt>
                <c:pt idx="3">
                  <c:v>0.75782132576051064</c:v>
                </c:pt>
                <c:pt idx="4">
                  <c:v>0.20431008938392781</c:v>
                </c:pt>
                <c:pt idx="5">
                  <c:v>-0.31949620849206295</c:v>
                </c:pt>
                <c:pt idx="6">
                  <c:v>3.5798749491447214E-2</c:v>
                </c:pt>
                <c:pt idx="7">
                  <c:v>0.40823718281484206</c:v>
                </c:pt>
                <c:pt idx="8">
                  <c:v>0.44161079131733499</c:v>
                </c:pt>
                <c:pt idx="9">
                  <c:v>0.24214568841864642</c:v>
                </c:pt>
                <c:pt idx="10">
                  <c:v>0.18312368925754777</c:v>
                </c:pt>
                <c:pt idx="11">
                  <c:v>0.47861875769007417</c:v>
                </c:pt>
                <c:pt idx="12">
                  <c:v>-1.6740814890995943E-2</c:v>
                </c:pt>
                <c:pt idx="13">
                  <c:v>0.16236667714832509</c:v>
                </c:pt>
                <c:pt idx="14">
                  <c:v>0.62493574418475661</c:v>
                </c:pt>
                <c:pt idx="15">
                  <c:v>4.80075357686533</c:v>
                </c:pt>
              </c:numCache>
            </c:numRef>
          </c:val>
          <c:extLst>
            <c:ext xmlns:c16="http://schemas.microsoft.com/office/drawing/2014/chart" uri="{C3380CC4-5D6E-409C-BE32-E72D297353CC}">
              <c16:uniqueId val="{00000000-B3CC-469D-A4ED-7A1805BD04B7}"/>
            </c:ext>
          </c:extLst>
        </c:ser>
        <c:ser>
          <c:idx val="3"/>
          <c:order val="2"/>
          <c:tx>
            <c:strRef>
              <c:f>'G1-SR-příjmy-příspěvky'!$A$31</c:f>
              <c:strCache>
                <c:ptCount val="1"/>
                <c:pt idx="0">
                  <c:v>Daně z příjmů FO, placená plátci</c:v>
                </c:pt>
              </c:strCache>
            </c:strRef>
          </c:tx>
          <c:spPr>
            <a:solidFill>
              <a:srgbClr val="EA6C75"/>
            </a:solidFill>
            <a:ln w="19050">
              <a:noFill/>
              <a:prstDash val="sysDot"/>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'G1-SR-příjmy-příspěvky'!$E$31:$T$31</c:f>
              <c:numCache>
                <c:formatCode>0.0</c:formatCode>
                <c:ptCount val="16"/>
                <c:pt idx="0">
                  <c:v>-1.3185927333448506</c:v>
                </c:pt>
                <c:pt idx="1">
                  <c:v>-0.68319519605904266</c:v>
                </c:pt>
                <c:pt idx="2">
                  <c:v>7.6574432417890484E-2</c:v>
                </c:pt>
                <c:pt idx="3">
                  <c:v>1.071734225472657</c:v>
                </c:pt>
                <c:pt idx="4">
                  <c:v>0.15294141391213345</c:v>
                </c:pt>
                <c:pt idx="5">
                  <c:v>0.91307934029997762</c:v>
                </c:pt>
                <c:pt idx="6">
                  <c:v>0.69459138201652215</c:v>
                </c:pt>
                <c:pt idx="7">
                  <c:v>0.42746917494716152</c:v>
                </c:pt>
                <c:pt idx="8">
                  <c:v>1.667004053346564</c:v>
                </c:pt>
                <c:pt idx="9">
                  <c:v>2.1330413189999535</c:v>
                </c:pt>
                <c:pt idx="10">
                  <c:v>2.6405684717277622</c:v>
                </c:pt>
                <c:pt idx="11">
                  <c:v>2.3517629294290758</c:v>
                </c:pt>
                <c:pt idx="12">
                  <c:v>-1.7215845900551048</c:v>
                </c:pt>
                <c:pt idx="13">
                  <c:v>-6.3858163065537834</c:v>
                </c:pt>
                <c:pt idx="14">
                  <c:v>1.0956944710211212</c:v>
                </c:pt>
                <c:pt idx="15">
                  <c:v>2.5094032821549859</c:v>
                </c:pt>
              </c:numCache>
            </c:numRef>
          </c:val>
          <c:extLst>
            <c:ext xmlns:c16="http://schemas.microsoft.com/office/drawing/2014/chart" uri="{C3380CC4-5D6E-409C-BE32-E72D297353CC}">
              <c16:uniqueId val="{00000001-B3CC-469D-A4ED-7A1805BD04B7}"/>
            </c:ext>
          </c:extLst>
        </c:ser>
        <c:ser>
          <c:idx val="4"/>
          <c:order val="3"/>
          <c:tx>
            <c:strRef>
              <c:f>'G1-SR-příjmy-příspěvky'!$A$32</c:f>
              <c:strCache>
                <c:ptCount val="1"/>
                <c:pt idx="0">
                  <c:v>Daně z příjmů FO, ostatní</c:v>
                </c:pt>
              </c:strCache>
            </c:strRef>
          </c:tx>
          <c:spPr>
            <a:solidFill>
              <a:srgbClr val="FFD757"/>
            </a:solidFill>
            <a:ln w="19050">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'G1-SR-příjmy-příspěvky'!$E$32:$T$32</c:f>
              <c:numCache>
                <c:formatCode>0.0</c:formatCode>
                <c:ptCount val="16"/>
                <c:pt idx="0">
                  <c:v>0.4280148173739482</c:v>
                </c:pt>
                <c:pt idx="1">
                  <c:v>-1.707987990147606</c:v>
                </c:pt>
                <c:pt idx="2">
                  <c:v>0.38287216208944713</c:v>
                </c:pt>
                <c:pt idx="3">
                  <c:v>-0.7974791877382762</c:v>
                </c:pt>
                <c:pt idx="4">
                  <c:v>0.41294181756276077</c:v>
                </c:pt>
                <c:pt idx="5">
                  <c:v>-0.14654359782591991</c:v>
                </c:pt>
                <c:pt idx="6">
                  <c:v>0.47341886300599922</c:v>
                </c:pt>
                <c:pt idx="7">
                  <c:v>-0.17898099601446263</c:v>
                </c:pt>
                <c:pt idx="8">
                  <c:v>0.73529483924047812</c:v>
                </c:pt>
                <c:pt idx="9">
                  <c:v>3.8558230639912372E-2</c:v>
                </c:pt>
                <c:pt idx="10">
                  <c:v>0.20611424206171841</c:v>
                </c:pt>
                <c:pt idx="11">
                  <c:v>0.49062640424296267</c:v>
                </c:pt>
                <c:pt idx="12">
                  <c:v>-0.45179074828909926</c:v>
                </c:pt>
                <c:pt idx="13">
                  <c:v>0.7925110951814025</c:v>
                </c:pt>
                <c:pt idx="14">
                  <c:v>1.1435578174620293</c:v>
                </c:pt>
                <c:pt idx="15">
                  <c:v>1.1361613440504157</c:v>
                </c:pt>
              </c:numCache>
            </c:numRef>
          </c:val>
          <c:extLst>
            <c:ext xmlns:c16="http://schemas.microsoft.com/office/drawing/2014/chart" uri="{C3380CC4-5D6E-409C-BE32-E72D297353CC}">
              <c16:uniqueId val="{00000002-B3CC-469D-A4ED-7A1805BD04B7}"/>
            </c:ext>
          </c:extLst>
        </c:ser>
        <c:ser>
          <c:idx val="2"/>
          <c:order val="4"/>
          <c:tx>
            <c:strRef>
              <c:f>'G1-SR-příjmy-příspěvky'!$A$33</c:f>
              <c:strCache>
                <c:ptCount val="1"/>
                <c:pt idx="0">
                  <c:v>Daně z příjmů PO</c:v>
                </c:pt>
              </c:strCache>
            </c:strRef>
          </c:tx>
          <c:spPr>
            <a:solidFill>
              <a:srgbClr val="F9B073"/>
            </a:solidFill>
            <a:ln>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'G1-SR-příjmy-příspěvky'!$E$33:$T$33</c:f>
              <c:numCache>
                <c:formatCode>0.0</c:formatCode>
                <c:ptCount val="16"/>
                <c:pt idx="0">
                  <c:v>4.0018425749985633</c:v>
                </c:pt>
                <c:pt idx="1">
                  <c:v>-9.4748386400819857</c:v>
                </c:pt>
                <c:pt idx="2">
                  <c:v>1.069972474595916</c:v>
                </c:pt>
                <c:pt idx="3">
                  <c:v>-1.1806582120905686</c:v>
                </c:pt>
                <c:pt idx="4">
                  <c:v>1.5944142400339956</c:v>
                </c:pt>
                <c:pt idx="5">
                  <c:v>-1.1178646244413311</c:v>
                </c:pt>
                <c:pt idx="6">
                  <c:v>1.5408961448419181</c:v>
                </c:pt>
                <c:pt idx="7">
                  <c:v>2.0070199067641155</c:v>
                </c:pt>
                <c:pt idx="8">
                  <c:v>2.4996667023494781</c:v>
                </c:pt>
                <c:pt idx="9">
                  <c:v>4.1642889091102545E-2</c:v>
                </c:pt>
                <c:pt idx="10">
                  <c:v>0.43384885916488108</c:v>
                </c:pt>
                <c:pt idx="11">
                  <c:v>1.5935221228717715</c:v>
                </c:pt>
                <c:pt idx="12">
                  <c:v>-3.6005022371045392</c:v>
                </c:pt>
                <c:pt idx="13">
                  <c:v>5.8351210797303867</c:v>
                </c:pt>
                <c:pt idx="14">
                  <c:v>3.5016495282490565</c:v>
                </c:pt>
                <c:pt idx="15">
                  <c:v>6.9319945761518396</c:v>
                </c:pt>
              </c:numCache>
            </c:numRef>
          </c:val>
          <c:extLst>
            <c:ext xmlns:c16="http://schemas.microsoft.com/office/drawing/2014/chart" uri="{C3380CC4-5D6E-409C-BE32-E72D297353CC}">
              <c16:uniqueId val="{00000003-B3CC-469D-A4ED-7A1805BD04B7}"/>
            </c:ext>
          </c:extLst>
        </c:ser>
        <c:ser>
          <c:idx val="5"/>
          <c:order val="5"/>
          <c:tx>
            <c:strRef>
              <c:f>'G1-SR-příjmy-příspěvky'!$A$34</c:f>
              <c:strCache>
                <c:ptCount val="1"/>
                <c:pt idx="0">
                  <c:v>Spotřební daň</c:v>
                </c:pt>
              </c:strCache>
            </c:strRef>
          </c:tx>
          <c:spPr>
            <a:solidFill>
              <a:srgbClr val="00B050"/>
            </a:solidFill>
            <a:ln>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0.59883687453215728</c:v>
                </c:pt>
                <c:pt idx="1">
                  <c:v>-0.61307779435824561</c:v>
                </c:pt>
                <c:pt idx="2">
                  <c:v>1.3452265154494092</c:v>
                </c:pt>
                <c:pt idx="3">
                  <c:v>1.240955418968342</c:v>
                </c:pt>
                <c:pt idx="4">
                  <c:v>-0.30205929247646662</c:v>
                </c:pt>
                <c:pt idx="5">
                  <c:v>-0.71956664060677211</c:v>
                </c:pt>
                <c:pt idx="6">
                  <c:v>0.39847610863053273</c:v>
                </c:pt>
                <c:pt idx="7">
                  <c:v>0.80107028313269024</c:v>
                </c:pt>
                <c:pt idx="8">
                  <c:v>1.2070250899860806</c:v>
                </c:pt>
                <c:pt idx="9">
                  <c:v>0.53056125360519424</c:v>
                </c:pt>
                <c:pt idx="10">
                  <c:v>0.2623272171694625</c:v>
                </c:pt>
                <c:pt idx="11">
                  <c:v>-3.9196048823818816E-2</c:v>
                </c:pt>
                <c:pt idx="12">
                  <c:v>-0.40403836868730231</c:v>
                </c:pt>
                <c:pt idx="13">
                  <c:v>-0.90340003396451163</c:v>
                </c:pt>
                <c:pt idx="14">
                  <c:v>1.2017788865854611</c:v>
                </c:pt>
                <c:pt idx="15">
                  <c:v>-0.63224507912749772</c:v>
                </c:pt>
              </c:numCache>
            </c:numRef>
          </c:val>
          <c:extLst>
            <c:ext xmlns:c16="http://schemas.microsoft.com/office/drawing/2014/chart" uri="{C3380CC4-5D6E-409C-BE32-E72D297353CC}">
              <c16:uniqueId val="{00000004-B3CC-469D-A4ED-7A1805BD04B7}"/>
            </c:ext>
          </c:extLst>
        </c:ser>
        <c:ser>
          <c:idx val="6"/>
          <c:order val="6"/>
          <c:tx>
            <c:strRef>
              <c:f>'G1-SR-příjmy-příspěvky'!$A$35</c:f>
              <c:strCache>
                <c:ptCount val="1"/>
                <c:pt idx="0">
                  <c:v>DPH</c:v>
                </c:pt>
              </c:strCache>
            </c:strRef>
          </c:tx>
          <c:spPr>
            <a:solidFill>
              <a:schemeClr val="accent5">
                <a:lumMod val="60000"/>
                <a:lumOff val="40000"/>
              </a:schemeClr>
            </a:solidFill>
            <a:ln w="19050">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2.6467822114738673</c:v>
                </c:pt>
                <c:pt idx="1">
                  <c:v>-0.12764962873734884</c:v>
                </c:pt>
                <c:pt idx="2">
                  <c:v>3.1416213083880091</c:v>
                </c:pt>
                <c:pt idx="3">
                  <c:v>0.64965377732825402</c:v>
                </c:pt>
                <c:pt idx="4">
                  <c:v>-0.30588282782426718</c:v>
                </c:pt>
                <c:pt idx="5">
                  <c:v>4.1746137739640954</c:v>
                </c:pt>
                <c:pt idx="6">
                  <c:v>2.047216704890801</c:v>
                </c:pt>
                <c:pt idx="7">
                  <c:v>4.5179668896857879E-2</c:v>
                </c:pt>
                <c:pt idx="8">
                  <c:v>2.2948585507802108</c:v>
                </c:pt>
                <c:pt idx="9">
                  <c:v>4.0193099619044688</c:v>
                </c:pt>
                <c:pt idx="10">
                  <c:v>2.915867913922086</c:v>
                </c:pt>
                <c:pt idx="11">
                  <c:v>1.9070905134623093</c:v>
                </c:pt>
                <c:pt idx="12">
                  <c:v>-0.75630542506162945</c:v>
                </c:pt>
                <c:pt idx="13">
                  <c:v>3.0448827044485789</c:v>
                </c:pt>
                <c:pt idx="14">
                  <c:v>7.9526056162271859</c:v>
                </c:pt>
                <c:pt idx="15">
                  <c:v>2.4123384484940424</c:v>
                </c:pt>
              </c:numCache>
            </c:numRef>
          </c:val>
          <c:extLst>
            <c:ext xmlns:c16="http://schemas.microsoft.com/office/drawing/2014/chart" uri="{C3380CC4-5D6E-409C-BE32-E72D297353CC}">
              <c16:uniqueId val="{00000005-B3CC-469D-A4ED-7A1805BD04B7}"/>
            </c:ext>
          </c:extLst>
        </c:ser>
        <c:dLbls>
          <c:showLegendKey val="0"/>
          <c:showVal val="0"/>
          <c:showCatName val="0"/>
          <c:showSerName val="0"/>
          <c:showPercent val="0"/>
          <c:showBubbleSize val="0"/>
        </c:dLbls>
        <c:gapWidth val="109"/>
        <c:overlap val="100"/>
        <c:axId val="117664384"/>
        <c:axId val="117678464"/>
      </c:barChart>
      <c:lineChart>
        <c:grouping val="standard"/>
        <c:varyColors val="0"/>
        <c:ser>
          <c:idx val="0"/>
          <c:order val="0"/>
          <c:tx>
            <c:strRef>
              <c:f>'G1-SR-příjmy-příspěvky'!$A$29</c:f>
              <c:strCache>
                <c:ptCount val="1"/>
                <c:pt idx="0">
                  <c:v>Celk. daňové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'G1-SR-příjmy-příspěvky'!$E$29:$T$29</c:f>
              <c:numCache>
                <c:formatCode>0.0</c:formatCode>
                <c:ptCount val="16"/>
                <c:pt idx="0">
                  <c:v>6.7561083280551344</c:v>
                </c:pt>
                <c:pt idx="1">
                  <c:v>-13.128135056902977</c:v>
                </c:pt>
                <c:pt idx="2">
                  <c:v>6.4012086342846661</c:v>
                </c:pt>
                <c:pt idx="3">
                  <c:v>1.7420273477009258</c:v>
                </c:pt>
                <c:pt idx="4">
                  <c:v>1.7566654405920734</c:v>
                </c:pt>
                <c:pt idx="5">
                  <c:v>2.7842220428979987</c:v>
                </c:pt>
                <c:pt idx="6">
                  <c:v>5.1903979528772162</c:v>
                </c:pt>
                <c:pt idx="7">
                  <c:v>3.5099952205412142</c:v>
                </c:pt>
                <c:pt idx="8">
                  <c:v>8.8454600270201453</c:v>
                </c:pt>
                <c:pt idx="9">
                  <c:v>7.0052593426592722</c:v>
                </c:pt>
                <c:pt idx="10">
                  <c:v>6.6418503933034572</c:v>
                </c:pt>
                <c:pt idx="11">
                  <c:v>6.7824246788723741</c:v>
                </c:pt>
                <c:pt idx="12">
                  <c:v>-6.9509621840886746</c:v>
                </c:pt>
                <c:pt idx="13">
                  <c:v>2.5456652159903972</c:v>
                </c:pt>
                <c:pt idx="14">
                  <c:v>15.520222063729605</c:v>
                </c:pt>
                <c:pt idx="15">
                  <c:v>17.158406148589123</c:v>
                </c:pt>
              </c:numCache>
            </c:numRef>
          </c:val>
          <c:smooth val="0"/>
          <c:extLst>
            <c:ext xmlns:c16="http://schemas.microsoft.com/office/drawing/2014/chart" uri="{C3380CC4-5D6E-409C-BE32-E72D297353CC}">
              <c16:uniqueId val="{00000006-B3CC-469D-A4ED-7A1805BD04B7}"/>
            </c:ext>
          </c:extLst>
        </c:ser>
        <c:ser>
          <c:idx val="7"/>
          <c:order val="7"/>
          <c:tx>
            <c:strRef>
              <c:f>'G1-SR-příjmy-příspěvky'!$A$36</c:f>
              <c:strCache>
                <c:ptCount val="1"/>
              </c:strCache>
            </c:strRef>
          </c:tx>
          <c:spPr>
            <a:ln w="19050">
              <a:noFill/>
              <a:prstDash val="sysDash"/>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General</c:formatCode>
                <c:ptCount val="16"/>
              </c:numCache>
            </c:numRef>
          </c:val>
          <c:smooth val="0"/>
          <c:extLst>
            <c:ext xmlns:c16="http://schemas.microsoft.com/office/drawing/2014/chart" uri="{C3380CC4-5D6E-409C-BE32-E72D297353CC}">
              <c16:uniqueId val="{00000007-B3CC-469D-A4ED-7A1805BD04B7}"/>
            </c:ext>
          </c:extLst>
        </c:ser>
        <c:dLbls>
          <c:showLegendKey val="0"/>
          <c:showVal val="0"/>
          <c:showCatName val="0"/>
          <c:showSerName val="0"/>
          <c:showPercent val="0"/>
          <c:showBubbleSize val="0"/>
        </c:dLbls>
        <c:marker val="1"/>
        <c:smooth val="0"/>
        <c:axId val="117664384"/>
        <c:axId val="117678464"/>
      </c:lineChart>
      <c:lineChart>
        <c:grouping val="standard"/>
        <c:varyColors val="0"/>
        <c:ser>
          <c:idx val="8"/>
          <c:order val="8"/>
          <c:tx>
            <c:strRef>
              <c:f>'G1-SR-příjmy-příspěvky'!$A$37</c:f>
              <c:strCache>
                <c:ptCount val="1"/>
                <c:pt idx="0">
                  <c:v>Saldo státního rozpočtu (pravá osa)</c:v>
                </c:pt>
              </c:strCache>
            </c:strRef>
          </c:tx>
          <c:spPr>
            <a:ln w="19050">
              <a:solidFill>
                <a:schemeClr val="bg2">
                  <a:lumMod val="50000"/>
                </a:schemeClr>
              </a:solidFill>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 ##0.0</c:formatCode>
                <c:ptCount val="16"/>
                <c:pt idx="0">
                  <c:v>10.473000000000004</c:v>
                </c:pt>
                <c:pt idx="1">
                  <c:v>-87.296000000000006</c:v>
                </c:pt>
                <c:pt idx="2">
                  <c:v>-99.554999999999993</c:v>
                </c:pt>
                <c:pt idx="3">
                  <c:v>-105.13800000000001</c:v>
                </c:pt>
                <c:pt idx="4">
                  <c:v>-71.412000000000006</c:v>
                </c:pt>
                <c:pt idx="5">
                  <c:v>-38.241</c:v>
                </c:pt>
                <c:pt idx="6">
                  <c:v>-34.39</c:v>
                </c:pt>
                <c:pt idx="7">
                  <c:v>-2.77</c:v>
                </c:pt>
                <c:pt idx="8">
                  <c:v>82.27</c:v>
                </c:pt>
                <c:pt idx="9">
                  <c:v>17.399999999999999</c:v>
                </c:pt>
                <c:pt idx="10">
                  <c:v>16.77</c:v>
                </c:pt>
                <c:pt idx="11">
                  <c:v>-20.99</c:v>
                </c:pt>
                <c:pt idx="12">
                  <c:v>-252.66738666548997</c:v>
                </c:pt>
                <c:pt idx="13">
                  <c:v>-326.27150374008011</c:v>
                </c:pt>
                <c:pt idx="14">
                  <c:v>-270.87650309327927</c:v>
                </c:pt>
                <c:pt idx="15">
                  <c:v>-180.67727687644003</c:v>
                </c:pt>
              </c:numCache>
            </c:numRef>
          </c:val>
          <c:smooth val="0"/>
          <c:extLst>
            <c:ext xmlns:c16="http://schemas.microsoft.com/office/drawing/2014/chart" uri="{C3380CC4-5D6E-409C-BE32-E72D297353CC}">
              <c16:uniqueId val="{00000008-B3CC-469D-A4ED-7A1805BD04B7}"/>
            </c:ext>
          </c:extLst>
        </c:ser>
        <c:ser>
          <c:idx val="9"/>
          <c:order val="9"/>
          <c:tx>
            <c:strRef>
              <c:f>'G1-SR-příjmy-příspěvky'!$A$38</c:f>
              <c:strCache>
                <c:ptCount val="1"/>
                <c:pt idx="0">
                  <c:v>Saldo SR očišťěné o vliv EU a FM (pr. osa)</c:v>
                </c:pt>
              </c:strCache>
            </c:strRef>
          </c:tx>
          <c:spPr>
            <a:ln w="19050">
              <a:solidFill>
                <a:schemeClr val="bg2">
                  <a:lumMod val="50000"/>
                </a:schemeClr>
              </a:solidFill>
              <a:prstDash val="sysDash"/>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'G1-SR-příjmy-příspěvky'!$E$38:$T$38</c:f>
              <c:numCache>
                <c:formatCode>General</c:formatCode>
                <c:ptCount val="16"/>
                <c:pt idx="5" formatCode="#\ ##0.0">
                  <c:v>-65.2</c:v>
                </c:pt>
                <c:pt idx="6" formatCode="#\ ##0.0">
                  <c:v>-52.7</c:v>
                </c:pt>
                <c:pt idx="7" formatCode="#\ ##0.0">
                  <c:v>-40.5</c:v>
                </c:pt>
                <c:pt idx="8" formatCode="#\ ##0.0">
                  <c:v>-7.2</c:v>
                </c:pt>
                <c:pt idx="9" formatCode="#\ ##0.0">
                  <c:v>0.9</c:v>
                </c:pt>
                <c:pt idx="10" formatCode="#\ ##0.0">
                  <c:v>-4.8</c:v>
                </c:pt>
                <c:pt idx="11" formatCode="#\ ##0.0">
                  <c:v>-19</c:v>
                </c:pt>
                <c:pt idx="12" formatCode="#\ ##0.0">
                  <c:v>-256.58390719528029</c:v>
                </c:pt>
                <c:pt idx="13" formatCode="#\ ##0.0">
                  <c:v>-325.0604759008105</c:v>
                </c:pt>
                <c:pt idx="14" formatCode="#\ ##0.0">
                  <c:v>-255.36323320623961</c:v>
                </c:pt>
                <c:pt idx="15" formatCode="#\ ##0.0">
                  <c:v>-214.57060691952984</c:v>
                </c:pt>
              </c:numCache>
            </c:numRef>
          </c:val>
          <c:smooth val="0"/>
          <c:extLst>
            <c:ext xmlns:c16="http://schemas.microsoft.com/office/drawing/2014/chart" uri="{C3380CC4-5D6E-409C-BE32-E72D297353CC}">
              <c16:uniqueId val="{00000009-B3CC-469D-A4ED-7A1805BD04B7}"/>
            </c:ext>
          </c:extLst>
        </c:ser>
        <c:dLbls>
          <c:showLegendKey val="0"/>
          <c:showVal val="0"/>
          <c:showCatName val="0"/>
          <c:showSerName val="0"/>
          <c:showPercent val="0"/>
          <c:showBubbleSize val="0"/>
        </c:dLbls>
        <c:marker val="1"/>
        <c:smooth val="0"/>
        <c:axId val="117716096"/>
        <c:axId val="117680384"/>
      </c:lineChart>
      <c:catAx>
        <c:axId val="117664384"/>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17678464"/>
        <c:crosses val="autoZero"/>
        <c:auto val="1"/>
        <c:lblAlgn val="ctr"/>
        <c:lblOffset val="0"/>
        <c:noMultiLvlLbl val="0"/>
      </c:catAx>
      <c:valAx>
        <c:axId val="117678464"/>
        <c:scaling>
          <c:orientation val="minMax"/>
          <c:max val="20"/>
          <c:min val="-35"/>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17664384"/>
        <c:crosses val="autoZero"/>
        <c:crossBetween val="between"/>
        <c:majorUnit val="5"/>
      </c:valAx>
      <c:valAx>
        <c:axId val="117680384"/>
        <c:scaling>
          <c:orientation val="minMax"/>
          <c:max val="200"/>
          <c:min val="-350"/>
        </c:scaling>
        <c:delete val="0"/>
        <c:axPos val="r"/>
        <c:title>
          <c:tx>
            <c:rich>
              <a:bodyPr/>
              <a:lstStyle/>
              <a:p>
                <a:pPr>
                  <a:defRPr b="0"/>
                </a:pPr>
                <a:r>
                  <a:rPr lang="cs-CZ" b="0"/>
                  <a:t>Saldo státního rozpočtu</a:t>
                </a:r>
              </a:p>
            </c:rich>
          </c:tx>
          <c:layout>
            <c:manualLayout>
              <c:xMode val="edge"/>
              <c:yMode val="edge"/>
              <c:x val="0.97036646544776517"/>
              <c:y val="0.20963215506367219"/>
            </c:manualLayout>
          </c:layout>
          <c:overlay val="0"/>
        </c:title>
        <c:numFmt formatCode="#,##0" sourceLinked="0"/>
        <c:majorTickMark val="out"/>
        <c:minorTickMark val="none"/>
        <c:tickLblPos val="nextTo"/>
        <c:txPr>
          <a:bodyPr/>
          <a:lstStyle/>
          <a:p>
            <a:pPr>
              <a:defRPr sz="800" b="0" i="0"/>
            </a:pPr>
            <a:endParaRPr lang="cs-CZ"/>
          </a:p>
        </c:txPr>
        <c:crossAx val="117716096"/>
        <c:crosses val="max"/>
        <c:crossBetween val="between"/>
        <c:majorUnit val="50"/>
      </c:valAx>
      <c:catAx>
        <c:axId val="117716096"/>
        <c:scaling>
          <c:orientation val="minMax"/>
        </c:scaling>
        <c:delete val="1"/>
        <c:axPos val="b"/>
        <c:numFmt formatCode="General" sourceLinked="1"/>
        <c:majorTickMark val="out"/>
        <c:minorTickMark val="none"/>
        <c:tickLblPos val="none"/>
        <c:crossAx val="117680384"/>
        <c:crosses val="autoZero"/>
        <c:auto val="1"/>
        <c:lblAlgn val="ctr"/>
        <c:lblOffset val="100"/>
        <c:noMultiLvlLbl val="0"/>
      </c:catAx>
      <c:spPr>
        <a:ln w="6350">
          <a:solidFill>
            <a:schemeClr val="tx1"/>
          </a:solidFill>
        </a:ln>
      </c:spPr>
    </c:plotArea>
    <c:legend>
      <c:legendPos val="b"/>
      <c:layout>
        <c:manualLayout>
          <c:xMode val="edge"/>
          <c:yMode val="edge"/>
          <c:x val="2.1425283226006599E-2"/>
          <c:y val="0.84262983201463793"/>
          <c:w val="0.95453769995788751"/>
          <c:h val="0.1536825215139327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575647382449E-2"/>
          <c:y val="2.1433051007174374E-2"/>
          <c:w val="0.8431399757009802"/>
          <c:h val="0.70569386992454641"/>
        </c:manualLayout>
      </c:layout>
      <c:barChart>
        <c:barDir val="col"/>
        <c:grouping val="clustered"/>
        <c:varyColors val="0"/>
        <c:ser>
          <c:idx val="0"/>
          <c:order val="0"/>
          <c:tx>
            <c:strRef>
              <c:f>'G2-St.rozpočet-výdaje'!$B$32</c:f>
              <c:strCache>
                <c:ptCount val="1"/>
                <c:pt idx="0">
                  <c:v>Běžné výdaje celkem (pravá osa)</c:v>
                </c:pt>
              </c:strCache>
            </c:strRef>
          </c:tx>
          <c:spPr>
            <a:solidFill>
              <a:schemeClr val="bg1">
                <a:lumMod val="95000"/>
              </a:schemeClr>
            </a:solidFill>
            <a:ln w="6350">
              <a:solidFill>
                <a:schemeClr val="bg1">
                  <a:lumMod val="75000"/>
                </a:schemeClr>
              </a:solidFill>
            </a:ln>
          </c:spPr>
          <c:invertIfNegative val="0"/>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'G2-St.rozpočet-výdaje'!$B$36:$B$51</c:f>
              <c:numCache>
                <c:formatCode>0.0</c:formatCode>
                <c:ptCount val="16"/>
                <c:pt idx="0">
                  <c:v>707.04</c:v>
                </c:pt>
                <c:pt idx="1">
                  <c:v>734.05</c:v>
                </c:pt>
                <c:pt idx="2">
                  <c:v>754.15</c:v>
                </c:pt>
                <c:pt idx="3">
                  <c:v>764.93</c:v>
                </c:pt>
                <c:pt idx="4">
                  <c:v>755.57</c:v>
                </c:pt>
                <c:pt idx="5">
                  <c:v>786.27000000000044</c:v>
                </c:pt>
                <c:pt idx="6">
                  <c:v>801.1</c:v>
                </c:pt>
                <c:pt idx="7">
                  <c:v>822.78000000000043</c:v>
                </c:pt>
                <c:pt idx="8">
                  <c:v>831.32999999999959</c:v>
                </c:pt>
                <c:pt idx="9">
                  <c:v>881.38</c:v>
                </c:pt>
                <c:pt idx="10">
                  <c:v>946.49</c:v>
                </c:pt>
                <c:pt idx="11">
                  <c:v>1039.0999999999999</c:v>
                </c:pt>
                <c:pt idx="12">
                  <c:v>1205.0999999999999</c:v>
                </c:pt>
                <c:pt idx="13">
                  <c:v>1305.6640510130499</c:v>
                </c:pt>
                <c:pt idx="14">
                  <c:v>1325.9629190346895</c:v>
                </c:pt>
                <c:pt idx="15">
                  <c:v>1483.253440900819</c:v>
                </c:pt>
              </c:numCache>
            </c:numRef>
          </c:val>
          <c:extLst>
            <c:ext xmlns:c16="http://schemas.microsoft.com/office/drawing/2014/chart" uri="{C3380CC4-5D6E-409C-BE32-E72D297353CC}">
              <c16:uniqueId val="{00000000-9C76-42B0-8460-AFCB792BADBF}"/>
            </c:ext>
          </c:extLst>
        </c:ser>
        <c:ser>
          <c:idx val="1"/>
          <c:order val="1"/>
          <c:tx>
            <c:strRef>
              <c:f>'G2-St.rozpočet-výdaje'!$C$32</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'G2-St.rozpočet-výdaje'!$C$36:$C$51</c:f>
              <c:numCache>
                <c:formatCode>0.0</c:formatCode>
                <c:ptCount val="16"/>
                <c:pt idx="0">
                  <c:v>231.07</c:v>
                </c:pt>
                <c:pt idx="1">
                  <c:v>252.57</c:v>
                </c:pt>
                <c:pt idx="2">
                  <c:v>259.05</c:v>
                </c:pt>
                <c:pt idx="3">
                  <c:v>275.47000000000003</c:v>
                </c:pt>
                <c:pt idx="4">
                  <c:v>280.8</c:v>
                </c:pt>
                <c:pt idx="5">
                  <c:v>279.36</c:v>
                </c:pt>
                <c:pt idx="6">
                  <c:v>281.19</c:v>
                </c:pt>
                <c:pt idx="7">
                  <c:v>288.64999999999998</c:v>
                </c:pt>
                <c:pt idx="8">
                  <c:v>297.27</c:v>
                </c:pt>
                <c:pt idx="9">
                  <c:v>309.5</c:v>
                </c:pt>
                <c:pt idx="10">
                  <c:v>323.53122860163978</c:v>
                </c:pt>
                <c:pt idx="11">
                  <c:v>351.63529293473022</c:v>
                </c:pt>
                <c:pt idx="12">
                  <c:v>378.3</c:v>
                </c:pt>
                <c:pt idx="13">
                  <c:v>399.18146849605995</c:v>
                </c:pt>
                <c:pt idx="14">
                  <c:v>435.85393680989</c:v>
                </c:pt>
                <c:pt idx="15">
                  <c:v>512.61056201408996</c:v>
                </c:pt>
              </c:numCache>
            </c:numRef>
          </c:val>
          <c:extLst>
            <c:ext xmlns:c16="http://schemas.microsoft.com/office/drawing/2014/chart" uri="{C3380CC4-5D6E-409C-BE32-E72D297353CC}">
              <c16:uniqueId val="{00000001-9C76-42B0-8460-AFCB792BADBF}"/>
            </c:ext>
          </c:extLst>
        </c:ser>
        <c:dLbls>
          <c:showLegendKey val="0"/>
          <c:showVal val="0"/>
          <c:showCatName val="0"/>
          <c:showSerName val="0"/>
          <c:showPercent val="0"/>
          <c:showBubbleSize val="0"/>
        </c:dLbls>
        <c:gapWidth val="82"/>
        <c:overlap val="100"/>
        <c:axId val="122283904"/>
        <c:axId val="121215232"/>
      </c:barChart>
      <c:lineChart>
        <c:grouping val="standard"/>
        <c:varyColors val="0"/>
        <c:ser>
          <c:idx val="6"/>
          <c:order val="2"/>
          <c:tx>
            <c:strRef>
              <c:f>'G2-St.rozpočet-výdaje'!$D$32</c:f>
              <c:strCache>
                <c:ptCount val="1"/>
                <c:pt idx="0">
                  <c:v>Platy státních zaměstnanců*</c:v>
                </c:pt>
              </c:strCache>
            </c:strRef>
          </c:tx>
          <c:spPr>
            <a:ln w="15875">
              <a:solidFill>
                <a:srgbClr val="D5D000"/>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'G2-St.rozpočet-výdaje'!$D$36:$D$51</c:f>
              <c:numCache>
                <c:formatCode>0.0</c:formatCode>
                <c:ptCount val="16"/>
                <c:pt idx="0">
                  <c:v>61.44</c:v>
                </c:pt>
                <c:pt idx="1">
                  <c:v>63.790000000000013</c:v>
                </c:pt>
                <c:pt idx="2">
                  <c:v>63.5</c:v>
                </c:pt>
                <c:pt idx="3">
                  <c:v>57.88</c:v>
                </c:pt>
                <c:pt idx="4">
                  <c:v>58.77</c:v>
                </c:pt>
                <c:pt idx="5">
                  <c:v>60.04</c:v>
                </c:pt>
                <c:pt idx="6">
                  <c:v>61.89</c:v>
                </c:pt>
                <c:pt idx="7">
                  <c:v>67.66</c:v>
                </c:pt>
                <c:pt idx="8">
                  <c:v>70.25</c:v>
                </c:pt>
                <c:pt idx="9">
                  <c:v>76.149999999999991</c:v>
                </c:pt>
                <c:pt idx="10">
                  <c:v>86.54</c:v>
                </c:pt>
                <c:pt idx="11">
                  <c:v>93.2</c:v>
                </c:pt>
                <c:pt idx="12">
                  <c:v>97.9</c:v>
                </c:pt>
                <c:pt idx="13">
                  <c:v>99.897257290169975</c:v>
                </c:pt>
                <c:pt idx="14">
                  <c:v>99.259486878659871</c:v>
                </c:pt>
                <c:pt idx="15">
                  <c:v>108.29052414505006</c:v>
                </c:pt>
              </c:numCache>
            </c:numRef>
          </c:val>
          <c:smooth val="0"/>
          <c:extLst>
            <c:ext xmlns:c16="http://schemas.microsoft.com/office/drawing/2014/chart" uri="{C3380CC4-5D6E-409C-BE32-E72D297353CC}">
              <c16:uniqueId val="{00000002-9C76-42B0-8460-AFCB792BADBF}"/>
            </c:ext>
          </c:extLst>
        </c:ser>
        <c:ser>
          <c:idx val="7"/>
          <c:order val="3"/>
          <c:tx>
            <c:strRef>
              <c:f>'G2-St.rozpočet-výdaje'!$E$32</c:f>
              <c:strCache>
                <c:ptCount val="1"/>
                <c:pt idx="0">
                  <c:v>Podpora v nezaměstnanosti</c:v>
                </c:pt>
              </c:strCache>
            </c:strRef>
          </c:tx>
          <c:spPr>
            <a:ln w="15875">
              <a:solidFill>
                <a:srgbClr val="996633"/>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'G2-St.rozpočet-výdaje'!$E$36:$E$51</c:f>
              <c:numCache>
                <c:formatCode>0.0</c:formatCode>
                <c:ptCount val="16"/>
                <c:pt idx="0">
                  <c:v>5.29</c:v>
                </c:pt>
                <c:pt idx="1">
                  <c:v>11.41</c:v>
                </c:pt>
                <c:pt idx="2">
                  <c:v>10.65</c:v>
                </c:pt>
                <c:pt idx="3">
                  <c:v>8.3600000000000048</c:v>
                </c:pt>
                <c:pt idx="4">
                  <c:v>6.78</c:v>
                </c:pt>
                <c:pt idx="5">
                  <c:v>7.53</c:v>
                </c:pt>
                <c:pt idx="6">
                  <c:v>7.33</c:v>
                </c:pt>
                <c:pt idx="7">
                  <c:v>6.46</c:v>
                </c:pt>
                <c:pt idx="8">
                  <c:v>6.39</c:v>
                </c:pt>
                <c:pt idx="9">
                  <c:v>6.1099999999999985</c:v>
                </c:pt>
                <c:pt idx="10">
                  <c:v>5.7700000000000014</c:v>
                </c:pt>
                <c:pt idx="11">
                  <c:v>6.1899999999999995</c:v>
                </c:pt>
                <c:pt idx="12">
                  <c:v>7.9929069491999947</c:v>
                </c:pt>
                <c:pt idx="13">
                  <c:v>7.7627423478799962</c:v>
                </c:pt>
                <c:pt idx="14">
                  <c:v>7.4629720642899962</c:v>
                </c:pt>
                <c:pt idx="15">
                  <c:v>7.9185739659299985</c:v>
                </c:pt>
              </c:numCache>
            </c:numRef>
          </c:val>
          <c:smooth val="0"/>
          <c:extLst>
            <c:ext xmlns:c16="http://schemas.microsoft.com/office/drawing/2014/chart" uri="{C3380CC4-5D6E-409C-BE32-E72D297353CC}">
              <c16:uniqueId val="{00000003-9C76-42B0-8460-AFCB792BADBF}"/>
            </c:ext>
          </c:extLst>
        </c:ser>
        <c:ser>
          <c:idx val="2"/>
          <c:order val="4"/>
          <c:tx>
            <c:strRef>
              <c:f>'G2-St.rozpočet-výdaje'!$F$32</c:f>
              <c:strCache>
                <c:ptCount val="1"/>
                <c:pt idx="0">
                  <c:v>Státní sociální podpora**</c:v>
                </c:pt>
              </c:strCache>
            </c:strRef>
          </c:tx>
          <c:spPr>
            <a:ln w="15875">
              <a:solidFill>
                <a:srgbClr val="FFC000"/>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'G2-St.rozpočet-výdaje'!$F$36:$F$51</c:f>
              <c:numCache>
                <c:formatCode>0.0</c:formatCode>
                <c:ptCount val="16"/>
                <c:pt idx="0">
                  <c:v>31.979999999999986</c:v>
                </c:pt>
                <c:pt idx="1">
                  <c:v>30.95</c:v>
                </c:pt>
                <c:pt idx="2">
                  <c:v>30.85</c:v>
                </c:pt>
                <c:pt idx="3">
                  <c:v>27.32</c:v>
                </c:pt>
                <c:pt idx="4">
                  <c:v>26.77</c:v>
                </c:pt>
                <c:pt idx="5">
                  <c:v>28.04</c:v>
                </c:pt>
                <c:pt idx="6">
                  <c:v>28.22</c:v>
                </c:pt>
                <c:pt idx="7">
                  <c:v>28.27</c:v>
                </c:pt>
                <c:pt idx="8">
                  <c:v>28.38</c:v>
                </c:pt>
                <c:pt idx="9">
                  <c:v>28.02</c:v>
                </c:pt>
                <c:pt idx="10">
                  <c:v>29.32</c:v>
                </c:pt>
                <c:pt idx="11">
                  <c:v>28.279999999999987</c:v>
                </c:pt>
                <c:pt idx="12">
                  <c:v>38.692716178420063</c:v>
                </c:pt>
                <c:pt idx="13">
                  <c:v>36.585763589110002</c:v>
                </c:pt>
                <c:pt idx="14">
                  <c:v>42.228307252230003</c:v>
                </c:pt>
                <c:pt idx="15">
                  <c:v>44.922079480490005</c:v>
                </c:pt>
              </c:numCache>
            </c:numRef>
          </c:val>
          <c:smooth val="0"/>
          <c:extLst>
            <c:ext xmlns:c16="http://schemas.microsoft.com/office/drawing/2014/chart" uri="{C3380CC4-5D6E-409C-BE32-E72D297353CC}">
              <c16:uniqueId val="{00000004-9C76-42B0-8460-AFCB792BADBF}"/>
            </c:ext>
          </c:extLst>
        </c:ser>
        <c:ser>
          <c:idx val="3"/>
          <c:order val="5"/>
          <c:tx>
            <c:strRef>
              <c:f>'G2-St.rozpočet-výdaje'!$G$32</c:f>
              <c:strCache>
                <c:ptCount val="1"/>
                <c:pt idx="0">
                  <c:v>Dávky nemocenského pojištění</c:v>
                </c:pt>
              </c:strCache>
            </c:strRef>
          </c:tx>
          <c:spPr>
            <a:ln w="15875">
              <a:solidFill>
                <a:srgbClr val="00B0F0"/>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'G2-St.rozpočet-výdaje'!$G$36:$G$51</c:f>
              <c:numCache>
                <c:formatCode>0.0</c:formatCode>
                <c:ptCount val="16"/>
                <c:pt idx="0">
                  <c:v>24.12</c:v>
                </c:pt>
                <c:pt idx="1">
                  <c:v>20.07</c:v>
                </c:pt>
                <c:pt idx="2">
                  <c:v>16.8</c:v>
                </c:pt>
                <c:pt idx="3">
                  <c:v>16.82</c:v>
                </c:pt>
                <c:pt idx="4">
                  <c:v>14.84</c:v>
                </c:pt>
                <c:pt idx="5">
                  <c:v>15.44</c:v>
                </c:pt>
                <c:pt idx="6">
                  <c:v>16.649999999999999</c:v>
                </c:pt>
                <c:pt idx="7">
                  <c:v>18.23</c:v>
                </c:pt>
                <c:pt idx="8">
                  <c:v>19.88</c:v>
                </c:pt>
                <c:pt idx="9">
                  <c:v>21.43</c:v>
                </c:pt>
                <c:pt idx="10">
                  <c:v>25.479999999999986</c:v>
                </c:pt>
                <c:pt idx="11">
                  <c:v>29.3</c:v>
                </c:pt>
                <c:pt idx="12">
                  <c:v>43.2</c:v>
                </c:pt>
                <c:pt idx="13">
                  <c:v>39.6</c:v>
                </c:pt>
                <c:pt idx="14">
                  <c:v>36.6</c:v>
                </c:pt>
                <c:pt idx="15" formatCode="#,##0.00">
                  <c:v>34.916400000000003</c:v>
                </c:pt>
              </c:numCache>
            </c:numRef>
          </c:val>
          <c:smooth val="0"/>
          <c:extLst>
            <c:ext xmlns:c16="http://schemas.microsoft.com/office/drawing/2014/chart" uri="{C3380CC4-5D6E-409C-BE32-E72D297353CC}">
              <c16:uniqueId val="{00000005-9C76-42B0-8460-AFCB792BADBF}"/>
            </c:ext>
          </c:extLst>
        </c:ser>
        <c:ser>
          <c:idx val="4"/>
          <c:order val="6"/>
          <c:tx>
            <c:strRef>
              <c:f>'G2-St.rozpočet-výdaje'!$H$32</c:f>
              <c:strCache>
                <c:ptCount val="1"/>
                <c:pt idx="0">
                  <c:v>Dávky sociální péče***</c:v>
                </c:pt>
              </c:strCache>
            </c:strRef>
          </c:tx>
          <c:spPr>
            <a:ln w="15875">
              <a:solidFill>
                <a:srgbClr val="00B050"/>
              </a:solidFill>
              <a:prstDash val="solid"/>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'G2-St.rozpočet-výdaje'!$H$36:$H$51</c:f>
              <c:numCache>
                <c:formatCode>0.0</c:formatCode>
                <c:ptCount val="16"/>
                <c:pt idx="0">
                  <c:v>18.600000000000001</c:v>
                </c:pt>
                <c:pt idx="1">
                  <c:v>18.899999999999999</c:v>
                </c:pt>
                <c:pt idx="2">
                  <c:v>19.600000000000001</c:v>
                </c:pt>
                <c:pt idx="3">
                  <c:v>19.100000000000001</c:v>
                </c:pt>
                <c:pt idx="4">
                  <c:v>20.309999999999999</c:v>
                </c:pt>
                <c:pt idx="5">
                  <c:v>23.73</c:v>
                </c:pt>
                <c:pt idx="6">
                  <c:v>25.18</c:v>
                </c:pt>
                <c:pt idx="7">
                  <c:v>25.259999999999987</c:v>
                </c:pt>
                <c:pt idx="8">
                  <c:v>25.4</c:v>
                </c:pt>
                <c:pt idx="9">
                  <c:v>25.959999999999987</c:v>
                </c:pt>
                <c:pt idx="10">
                  <c:v>25.547999999999988</c:v>
                </c:pt>
                <c:pt idx="11">
                  <c:v>27.04</c:v>
                </c:pt>
                <c:pt idx="12">
                  <c:v>30.3</c:v>
                </c:pt>
                <c:pt idx="13">
                  <c:v>30.5</c:v>
                </c:pt>
                <c:pt idx="14">
                  <c:v>40</c:v>
                </c:pt>
                <c:pt idx="15" formatCode="#,##0.00">
                  <c:v>40.565244210172153</c:v>
                </c:pt>
              </c:numCache>
            </c:numRef>
          </c:val>
          <c:smooth val="0"/>
          <c:extLst>
            <c:ext xmlns:c16="http://schemas.microsoft.com/office/drawing/2014/chart" uri="{C3380CC4-5D6E-409C-BE32-E72D297353CC}">
              <c16:uniqueId val="{00000006-9C76-42B0-8460-AFCB792BADBF}"/>
            </c:ext>
          </c:extLst>
        </c:ser>
        <c:ser>
          <c:idx val="5"/>
          <c:order val="7"/>
          <c:tx>
            <c:strRef>
              <c:f>'G2-St.rozpočet-výdaje'!$I$32</c:f>
              <c:strCache>
                <c:ptCount val="1"/>
                <c:pt idx="0">
                  <c:v>Neinvestič. nákupy a souvis. výdaje****</c:v>
                </c:pt>
              </c:strCache>
            </c:strRef>
          </c:tx>
          <c:spPr>
            <a:ln w="15875">
              <a:solidFill>
                <a:srgbClr val="EA6C75"/>
              </a:solidFill>
              <a:prstDash val="solid"/>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'G2-St.rozpočet-výdaje'!$I$36:$I$51</c:f>
              <c:numCache>
                <c:formatCode>0.0</c:formatCode>
                <c:ptCount val="16"/>
                <c:pt idx="0">
                  <c:v>46.384999999999998</c:v>
                </c:pt>
                <c:pt idx="1">
                  <c:v>46.423000000000002</c:v>
                </c:pt>
                <c:pt idx="2">
                  <c:v>43.067</c:v>
                </c:pt>
                <c:pt idx="3">
                  <c:v>38.64</c:v>
                </c:pt>
                <c:pt idx="4">
                  <c:v>34.99</c:v>
                </c:pt>
                <c:pt idx="5">
                  <c:v>33.93</c:v>
                </c:pt>
                <c:pt idx="6">
                  <c:v>33.94</c:v>
                </c:pt>
                <c:pt idx="7">
                  <c:v>38.31</c:v>
                </c:pt>
                <c:pt idx="8">
                  <c:v>36.660000000000011</c:v>
                </c:pt>
                <c:pt idx="9">
                  <c:v>41.17</c:v>
                </c:pt>
                <c:pt idx="10">
                  <c:v>42.379999999999995</c:v>
                </c:pt>
                <c:pt idx="11">
                  <c:v>43.46</c:v>
                </c:pt>
                <c:pt idx="12">
                  <c:v>50.548159175920013</c:v>
                </c:pt>
                <c:pt idx="13">
                  <c:v>49.815340486699995</c:v>
                </c:pt>
                <c:pt idx="14">
                  <c:v>63.430957576870021</c:v>
                </c:pt>
                <c:pt idx="15">
                  <c:v>51.989205345160009</c:v>
                </c:pt>
              </c:numCache>
            </c:numRef>
          </c:val>
          <c:smooth val="0"/>
          <c:extLst>
            <c:ext xmlns:c16="http://schemas.microsoft.com/office/drawing/2014/chart" uri="{C3380CC4-5D6E-409C-BE32-E72D297353CC}">
              <c16:uniqueId val="{00000007-9C76-42B0-8460-AFCB792BADBF}"/>
            </c:ext>
          </c:extLst>
        </c:ser>
        <c:ser>
          <c:idx val="9"/>
          <c:order val="8"/>
          <c:tx>
            <c:strRef>
              <c:f>'G2-St.rozpočet-výdaje'!$J$32</c:f>
              <c:strCache>
                <c:ptCount val="1"/>
                <c:pt idx="0">
                  <c:v>Státní dluh (čisté výdaje)*****</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'G2-St.rozpočet-výdaje'!$J$36:$J$51</c:f>
              <c:numCache>
                <c:formatCode>0.0</c:formatCode>
                <c:ptCount val="16"/>
                <c:pt idx="0">
                  <c:v>24.459999999999987</c:v>
                </c:pt>
                <c:pt idx="1">
                  <c:v>33.33</c:v>
                </c:pt>
                <c:pt idx="2">
                  <c:v>24.919999999999987</c:v>
                </c:pt>
                <c:pt idx="3">
                  <c:v>35.89</c:v>
                </c:pt>
                <c:pt idx="4">
                  <c:v>35.86</c:v>
                </c:pt>
                <c:pt idx="5">
                  <c:v>44.55</c:v>
                </c:pt>
                <c:pt idx="6">
                  <c:v>43.160000000000011</c:v>
                </c:pt>
                <c:pt idx="7">
                  <c:v>41.03</c:v>
                </c:pt>
                <c:pt idx="8">
                  <c:v>38.1</c:v>
                </c:pt>
                <c:pt idx="9">
                  <c:v>33.849999999999994</c:v>
                </c:pt>
                <c:pt idx="10">
                  <c:v>32.617000000000004</c:v>
                </c:pt>
                <c:pt idx="11">
                  <c:v>33.350999999999999</c:v>
                </c:pt>
                <c:pt idx="12">
                  <c:v>32.136847667729974</c:v>
                </c:pt>
                <c:pt idx="13">
                  <c:v>34.590381461649955</c:v>
                </c:pt>
                <c:pt idx="14">
                  <c:v>32.168013688010035</c:v>
                </c:pt>
                <c:pt idx="15">
                  <c:v>40.345882075609964</c:v>
                </c:pt>
              </c:numCache>
            </c:numRef>
          </c:val>
          <c:smooth val="0"/>
          <c:extLst>
            <c:ext xmlns:c16="http://schemas.microsoft.com/office/drawing/2014/chart" uri="{C3380CC4-5D6E-409C-BE32-E72D297353CC}">
              <c16:uniqueId val="{00000008-9C76-42B0-8460-AFCB792BADBF}"/>
            </c:ext>
          </c:extLst>
        </c:ser>
        <c:ser>
          <c:idx val="8"/>
          <c:order val="9"/>
          <c:tx>
            <c:strRef>
              <c:f>'G2-St.rozpočet-výdaje'!$K$32</c:f>
              <c:strCache>
                <c:ptCount val="1"/>
                <c:pt idx="0">
                  <c:v>Neinvestič. transfery podnikatelům</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'G2-St.rozpočet-výdaje'!$K$36:$K$51</c:f>
              <c:numCache>
                <c:formatCode>0.0</c:formatCode>
                <c:ptCount val="16"/>
                <c:pt idx="0" formatCode="General">
                  <c:v>11.3</c:v>
                </c:pt>
                <c:pt idx="1">
                  <c:v>11.452000000000007</c:v>
                </c:pt>
                <c:pt idx="2">
                  <c:v>11.497</c:v>
                </c:pt>
                <c:pt idx="3">
                  <c:v>15.079000000000002</c:v>
                </c:pt>
                <c:pt idx="4">
                  <c:v>25.56</c:v>
                </c:pt>
                <c:pt idx="5">
                  <c:v>24.34</c:v>
                </c:pt>
                <c:pt idx="6">
                  <c:v>27.89</c:v>
                </c:pt>
                <c:pt idx="7">
                  <c:v>27.62</c:v>
                </c:pt>
                <c:pt idx="8">
                  <c:v>26.25</c:v>
                </c:pt>
                <c:pt idx="9">
                  <c:v>33.24</c:v>
                </c:pt>
                <c:pt idx="10">
                  <c:v>40.24</c:v>
                </c:pt>
                <c:pt idx="11">
                  <c:v>40.870000000000005</c:v>
                </c:pt>
                <c:pt idx="12">
                  <c:v>73.104724736179989</c:v>
                </c:pt>
                <c:pt idx="13">
                  <c:v>106.18042459115</c:v>
                </c:pt>
                <c:pt idx="14">
                  <c:v>64.917558656219995</c:v>
                </c:pt>
                <c:pt idx="15">
                  <c:v>100.53284432674992</c:v>
                </c:pt>
              </c:numCache>
            </c:numRef>
          </c:val>
          <c:smooth val="0"/>
          <c:extLst>
            <c:ext xmlns:c16="http://schemas.microsoft.com/office/drawing/2014/chart" uri="{C3380CC4-5D6E-409C-BE32-E72D297353CC}">
              <c16:uniqueId val="{00000009-9C76-42B0-8460-AFCB792BADBF}"/>
            </c:ext>
          </c:extLst>
        </c:ser>
        <c:ser>
          <c:idx val="10"/>
          <c:order val="10"/>
          <c:tx>
            <c:strRef>
              <c:f>'G2-St.rozpočet-výdaje'!$L$32</c:f>
              <c:strCache>
                <c:ptCount val="1"/>
                <c:pt idx="0">
                  <c:v>Kapitálové výdaje</c:v>
                </c:pt>
              </c:strCache>
            </c:strRef>
          </c:tx>
          <c:spPr>
            <a:ln w="15875">
              <a:solidFill>
                <a:srgbClr val="706840"/>
              </a:solidFill>
              <a:prstDash val="sysDash"/>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'G2-St.rozpočet-výdaje'!$L$36:$L$51</c:f>
              <c:numCache>
                <c:formatCode>0.0</c:formatCode>
                <c:ptCount val="16"/>
                <c:pt idx="0">
                  <c:v>76.95</c:v>
                </c:pt>
                <c:pt idx="1">
                  <c:v>80.024000000000001</c:v>
                </c:pt>
                <c:pt idx="2">
                  <c:v>91.36</c:v>
                </c:pt>
                <c:pt idx="3">
                  <c:v>82.07</c:v>
                </c:pt>
                <c:pt idx="4">
                  <c:v>72.98</c:v>
                </c:pt>
                <c:pt idx="5">
                  <c:v>58.39</c:v>
                </c:pt>
                <c:pt idx="6">
                  <c:v>59.67</c:v>
                </c:pt>
                <c:pt idx="7">
                  <c:v>88.53</c:v>
                </c:pt>
                <c:pt idx="8">
                  <c:v>51.6</c:v>
                </c:pt>
                <c:pt idx="9">
                  <c:v>41.37</c:v>
                </c:pt>
                <c:pt idx="10">
                  <c:v>60.93</c:v>
                </c:pt>
                <c:pt idx="11">
                  <c:v>85.1</c:v>
                </c:pt>
                <c:pt idx="12">
                  <c:v>105.9</c:v>
                </c:pt>
                <c:pt idx="13">
                  <c:v>99.658233900700012</c:v>
                </c:pt>
                <c:pt idx="14">
                  <c:v>112.84501467701006</c:v>
                </c:pt>
                <c:pt idx="15">
                  <c:v>134.13392106134984</c:v>
                </c:pt>
              </c:numCache>
            </c:numRef>
          </c:val>
          <c:smooth val="0"/>
          <c:extLst>
            <c:ext xmlns:c16="http://schemas.microsoft.com/office/drawing/2014/chart" uri="{C3380CC4-5D6E-409C-BE32-E72D297353CC}">
              <c16:uniqueId val="{0000000A-9C76-42B0-8460-AFCB792BADBF}"/>
            </c:ext>
          </c:extLst>
        </c:ser>
        <c:dLbls>
          <c:showLegendKey val="0"/>
          <c:showVal val="0"/>
          <c:showCatName val="0"/>
          <c:showSerName val="0"/>
          <c:showPercent val="0"/>
          <c:showBubbleSize val="0"/>
        </c:dLbls>
        <c:marker val="1"/>
        <c:smooth val="0"/>
        <c:axId val="121166464"/>
        <c:axId val="121213312"/>
      </c:lineChart>
      <c:catAx>
        <c:axId val="121166464"/>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121213312"/>
        <c:crosses val="autoZero"/>
        <c:auto val="1"/>
        <c:lblAlgn val="ctr"/>
        <c:lblOffset val="0"/>
        <c:noMultiLvlLbl val="0"/>
      </c:catAx>
      <c:valAx>
        <c:axId val="121213312"/>
        <c:scaling>
          <c:orientation val="minMax"/>
          <c:max val="150"/>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121166464"/>
        <c:crosses val="autoZero"/>
        <c:crossBetween val="between"/>
        <c:majorUnit val="10"/>
      </c:valAx>
      <c:valAx>
        <c:axId val="121215232"/>
        <c:scaling>
          <c:orientation val="minMax"/>
          <c:max val="1500"/>
          <c:min val="0"/>
        </c:scaling>
        <c:delete val="0"/>
        <c:axPos val="r"/>
        <c:title>
          <c:tx>
            <c:rich>
              <a:bodyPr/>
              <a:lstStyle/>
              <a:p>
                <a:pPr>
                  <a:defRPr sz="700" b="0" i="1"/>
                </a:pPr>
                <a:r>
                  <a:rPr lang="cs-CZ" sz="700" b="0" i="1"/>
                  <a:t>Běžné výdaje celkem, důchody</a:t>
                </a:r>
              </a:p>
            </c:rich>
          </c:tx>
          <c:layout>
            <c:manualLayout>
              <c:xMode val="edge"/>
              <c:yMode val="edge"/>
              <c:x val="0.96904913646362589"/>
              <c:y val="0.2501861006715474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122283904"/>
        <c:crosses val="max"/>
        <c:crossBetween val="between"/>
        <c:majorUnit val="100"/>
        <c:minorUnit val="10"/>
      </c:valAx>
      <c:catAx>
        <c:axId val="122283904"/>
        <c:scaling>
          <c:orientation val="minMax"/>
        </c:scaling>
        <c:delete val="1"/>
        <c:axPos val="b"/>
        <c:numFmt formatCode="General" sourceLinked="1"/>
        <c:majorTickMark val="out"/>
        <c:minorTickMark val="none"/>
        <c:tickLblPos val="none"/>
        <c:crossAx val="121215232"/>
        <c:crosses val="autoZero"/>
        <c:auto val="1"/>
        <c:lblAlgn val="ctr"/>
        <c:lblOffset val="100"/>
        <c:noMultiLvlLbl val="0"/>
      </c:catAx>
      <c:spPr>
        <a:ln w="6350">
          <a:solidFill>
            <a:schemeClr val="tx1"/>
          </a:solidFill>
        </a:ln>
      </c:spPr>
    </c:plotArea>
    <c:legend>
      <c:legendPos val="b"/>
      <c:layout>
        <c:manualLayout>
          <c:xMode val="edge"/>
          <c:yMode val="edge"/>
          <c:x val="2.8258891545233381E-2"/>
          <c:y val="0.80081760605019114"/>
          <c:w val="0.93171212758362454"/>
          <c:h val="0.1954483617154087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11681567156092E-2"/>
          <c:y val="1.6748499743327646E-2"/>
          <c:w val="0.83821331748300665"/>
          <c:h val="0.70835041064478366"/>
        </c:manualLayout>
      </c:layout>
      <c:barChart>
        <c:barDir val="col"/>
        <c:grouping val="clustered"/>
        <c:varyColors val="0"/>
        <c:ser>
          <c:idx val="0"/>
          <c:order val="0"/>
          <c:tx>
            <c:strRef>
              <c:f>'G3-EU-sektor 13'!$A$235</c:f>
              <c:strCache>
                <c:ptCount val="1"/>
                <c:pt idx="0">
                  <c:v>Saldo hospodaření (Česko)</c:v>
                </c:pt>
              </c:strCache>
            </c:strRef>
          </c:tx>
          <c:spPr>
            <a:solidFill>
              <a:schemeClr val="accent6">
                <a:lumMod val="75000"/>
              </a:schemeClr>
            </a:solidFill>
            <a:ln w="19050">
              <a:noFill/>
              <a:prstDash val="solid"/>
            </a:ln>
            <a:effectLst/>
          </c:spPr>
          <c:invertIfNegative val="0"/>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13'!$B$235:$AI$235</c:f>
              <c:numCache>
                <c:formatCode>#\ ##0.##########</c:formatCode>
                <c:ptCount val="34"/>
                <c:pt idx="0">
                  <c:v>0.2</c:v>
                </c:pt>
                <c:pt idx="1">
                  <c:v>-0.4</c:v>
                </c:pt>
                <c:pt idx="2">
                  <c:v>-0.5</c:v>
                </c:pt>
                <c:pt idx="3">
                  <c:v>-1.9000000000000001</c:v>
                </c:pt>
                <c:pt idx="4">
                  <c:v>0.7000000000000004</c:v>
                </c:pt>
                <c:pt idx="5">
                  <c:v>0.8</c:v>
                </c:pt>
                <c:pt idx="6" formatCode="#\ ##0.0">
                  <c:v>1</c:v>
                </c:pt>
                <c:pt idx="7">
                  <c:v>0.4</c:v>
                </c:pt>
                <c:pt idx="8">
                  <c:v>0.9</c:v>
                </c:pt>
                <c:pt idx="9">
                  <c:v>1.6</c:v>
                </c:pt>
                <c:pt idx="10">
                  <c:v>1.7</c:v>
                </c:pt>
                <c:pt idx="11">
                  <c:v>1.7</c:v>
                </c:pt>
                <c:pt idx="12">
                  <c:v>1.1000000000000001</c:v>
                </c:pt>
                <c:pt idx="13">
                  <c:v>1.6</c:v>
                </c:pt>
                <c:pt idx="14">
                  <c:v>0.30000000000000021</c:v>
                </c:pt>
                <c:pt idx="15">
                  <c:v>0.60000000000000042</c:v>
                </c:pt>
                <c:pt idx="16">
                  <c:v>0.9</c:v>
                </c:pt>
                <c:pt idx="17">
                  <c:v>1.1000000000000001</c:v>
                </c:pt>
                <c:pt idx="18">
                  <c:v>-0.1</c:v>
                </c:pt>
                <c:pt idx="19">
                  <c:v>-0.7000000000000004</c:v>
                </c:pt>
                <c:pt idx="20">
                  <c:v>-2.6</c:v>
                </c:pt>
                <c:pt idx="21">
                  <c:v>-8.6</c:v>
                </c:pt>
                <c:pt idx="22">
                  <c:v>-4.9000000000000004</c:v>
                </c:pt>
                <c:pt idx="23">
                  <c:v>-7.1</c:v>
                </c:pt>
                <c:pt idx="24">
                  <c:v>-7.4</c:v>
                </c:pt>
                <c:pt idx="25">
                  <c:v>-5.0999999999999996</c:v>
                </c:pt>
                <c:pt idx="26" formatCode="#\ ##0.0">
                  <c:v>-4</c:v>
                </c:pt>
                <c:pt idx="27">
                  <c:v>-3.9</c:v>
                </c:pt>
                <c:pt idx="28">
                  <c:v>-2.5</c:v>
                </c:pt>
                <c:pt idx="29">
                  <c:v>-2.9</c:v>
                </c:pt>
                <c:pt idx="30">
                  <c:v>-3.9</c:v>
                </c:pt>
                <c:pt idx="31">
                  <c:v>-3.5</c:v>
                </c:pt>
                <c:pt idx="32">
                  <c:v>-3.7</c:v>
                </c:pt>
                <c:pt idx="33">
                  <c:v>-3.3</c:v>
                </c:pt>
              </c:numCache>
            </c:numRef>
          </c:val>
          <c:extLst>
            <c:ext xmlns:c16="http://schemas.microsoft.com/office/drawing/2014/chart" uri="{C3380CC4-5D6E-409C-BE32-E72D297353CC}">
              <c16:uniqueId val="{00000000-DB24-41DF-8B38-630DF586F12B}"/>
            </c:ext>
          </c:extLst>
        </c:ser>
        <c:ser>
          <c:idx val="1"/>
          <c:order val="1"/>
          <c:tx>
            <c:strRef>
              <c:f>'G3-EU-sektor 13'!$A$236</c:f>
              <c:strCache>
                <c:ptCount val="1"/>
                <c:pt idx="0">
                  <c:v>Saldo hospodaření (Německo)</c:v>
                </c:pt>
              </c:strCache>
            </c:strRef>
          </c:tx>
          <c:spPr>
            <a:solidFill>
              <a:srgbClr val="92D050"/>
            </a:solidFill>
            <a:ln w="19050">
              <a:noFill/>
            </a:ln>
            <a:effectLst/>
          </c:spPr>
          <c:invertIfNegative val="0"/>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13'!$B$236:$AI$236</c:f>
              <c:numCache>
                <c:formatCode>#\ ##0.##########</c:formatCode>
                <c:ptCount val="34"/>
                <c:pt idx="0">
                  <c:v>0.8</c:v>
                </c:pt>
                <c:pt idx="1">
                  <c:v>0.7000000000000004</c:v>
                </c:pt>
                <c:pt idx="2">
                  <c:v>1.7</c:v>
                </c:pt>
                <c:pt idx="3">
                  <c:v>0.60000000000000042</c:v>
                </c:pt>
                <c:pt idx="4" formatCode="#\ ##0.0">
                  <c:v>1</c:v>
                </c:pt>
                <c:pt idx="5" formatCode="#\ ##0.0">
                  <c:v>1</c:v>
                </c:pt>
                <c:pt idx="6">
                  <c:v>0.8</c:v>
                </c:pt>
                <c:pt idx="7">
                  <c:v>1.9000000000000001</c:v>
                </c:pt>
                <c:pt idx="8">
                  <c:v>1.6</c:v>
                </c:pt>
                <c:pt idx="9">
                  <c:v>0.4</c:v>
                </c:pt>
                <c:pt idx="10">
                  <c:v>1.9000000000000001</c:v>
                </c:pt>
                <c:pt idx="11">
                  <c:v>1.5</c:v>
                </c:pt>
                <c:pt idx="12">
                  <c:v>2.5</c:v>
                </c:pt>
                <c:pt idx="13">
                  <c:v>2.6</c:v>
                </c:pt>
                <c:pt idx="14">
                  <c:v>2.1</c:v>
                </c:pt>
                <c:pt idx="15">
                  <c:v>0.60000000000000042</c:v>
                </c:pt>
                <c:pt idx="16">
                  <c:v>2.4</c:v>
                </c:pt>
                <c:pt idx="17" formatCode="#\ ##0.0">
                  <c:v>2</c:v>
                </c:pt>
                <c:pt idx="18">
                  <c:v>1.3</c:v>
                </c:pt>
                <c:pt idx="19">
                  <c:v>0.4</c:v>
                </c:pt>
                <c:pt idx="20">
                  <c:v>0.8</c:v>
                </c:pt>
                <c:pt idx="21">
                  <c:v>-8.5</c:v>
                </c:pt>
                <c:pt idx="22" formatCode="#\ ##0.0">
                  <c:v>-5</c:v>
                </c:pt>
                <c:pt idx="23">
                  <c:v>-5.0999999999999996</c:v>
                </c:pt>
                <c:pt idx="24">
                  <c:v>-4.4000000000000004</c:v>
                </c:pt>
                <c:pt idx="25">
                  <c:v>-5.6</c:v>
                </c:pt>
                <c:pt idx="26">
                  <c:v>-1.4</c:v>
                </c:pt>
                <c:pt idx="27">
                  <c:v>-3.1</c:v>
                </c:pt>
                <c:pt idx="28">
                  <c:v>-0.4</c:v>
                </c:pt>
                <c:pt idx="29">
                  <c:v>-1.4</c:v>
                </c:pt>
                <c:pt idx="30">
                  <c:v>-2.2000000000000002</c:v>
                </c:pt>
                <c:pt idx="31">
                  <c:v>-5.8</c:v>
                </c:pt>
                <c:pt idx="32">
                  <c:v>-2.9</c:v>
                </c:pt>
                <c:pt idx="33">
                  <c:v>-2.6</c:v>
                </c:pt>
              </c:numCache>
            </c:numRef>
          </c:val>
          <c:extLst>
            <c:ext xmlns:c16="http://schemas.microsoft.com/office/drawing/2014/chart" uri="{C3380CC4-5D6E-409C-BE32-E72D297353CC}">
              <c16:uniqueId val="{00000001-DB24-41DF-8B38-630DF586F12B}"/>
            </c:ext>
          </c:extLst>
        </c:ser>
        <c:ser>
          <c:idx val="2"/>
          <c:order val="2"/>
          <c:tx>
            <c:strRef>
              <c:f>'G3-EU-sektor 13'!$A$237</c:f>
              <c:strCache>
                <c:ptCount val="1"/>
                <c:pt idx="0">
                  <c:v>Saldo hospodaření (EU27)</c:v>
                </c:pt>
              </c:strCache>
            </c:strRef>
          </c:tx>
          <c:spPr>
            <a:solidFill>
              <a:schemeClr val="accent1">
                <a:lumMod val="60000"/>
                <a:lumOff val="40000"/>
              </a:schemeClr>
            </a:solidFill>
            <a:ln w="19050">
              <a:noFill/>
              <a:prstDash val="solid"/>
            </a:ln>
            <a:effectLst/>
          </c:spPr>
          <c:invertIfNegative val="0"/>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13'!$B$237:$AI$237</c:f>
              <c:numCache>
                <c:formatCode>#\ ##0.0</c:formatCode>
                <c:ptCount val="34"/>
                <c:pt idx="0" formatCode="#\ ##0.##########">
                  <c:v>-2.2000000000000002</c:v>
                </c:pt>
                <c:pt idx="1">
                  <c:v>-2</c:v>
                </c:pt>
                <c:pt idx="2" formatCode="#\ ##0.##########">
                  <c:v>-1.6</c:v>
                </c:pt>
                <c:pt idx="3" formatCode="#\ ##0.##########">
                  <c:v>-1.8</c:v>
                </c:pt>
                <c:pt idx="4" formatCode="#\ ##0.##########">
                  <c:v>-1.6</c:v>
                </c:pt>
                <c:pt idx="5" formatCode="#\ ##0.##########">
                  <c:v>-1.4</c:v>
                </c:pt>
                <c:pt idx="6" formatCode="#\ ##0.##########">
                  <c:v>-1.5</c:v>
                </c:pt>
                <c:pt idx="7" formatCode="#\ ##0.##########">
                  <c:v>-0.9</c:v>
                </c:pt>
                <c:pt idx="8" formatCode="#\ ##0.##########">
                  <c:v>-0.9</c:v>
                </c:pt>
                <c:pt idx="9" formatCode="#\ ##0.##########">
                  <c:v>-1.2</c:v>
                </c:pt>
                <c:pt idx="10" formatCode="#\ ##0.##########">
                  <c:v>-0.60000000000000042</c:v>
                </c:pt>
                <c:pt idx="11" formatCode="#\ ##0.##########">
                  <c:v>-0.4</c:v>
                </c:pt>
                <c:pt idx="12" formatCode="#\ ##0.##########">
                  <c:v>-0.2</c:v>
                </c:pt>
                <c:pt idx="13" formatCode="#\ ##0.##########">
                  <c:v>-0.1</c:v>
                </c:pt>
                <c:pt idx="14" formatCode="#\ ##0.##########">
                  <c:v>-0.4</c:v>
                </c:pt>
                <c:pt idx="15" formatCode="#\ ##0.##########">
                  <c:v>-0.8</c:v>
                </c:pt>
                <c:pt idx="16" formatCode="#\ ##0.##########">
                  <c:v>-0.2</c:v>
                </c:pt>
                <c:pt idx="17" formatCode="#\ ##0.##########">
                  <c:v>-0.30000000000000021</c:v>
                </c:pt>
                <c:pt idx="18" formatCode="#\ ##0.##########">
                  <c:v>-0.8</c:v>
                </c:pt>
                <c:pt idx="19" formatCode="#\ ##0.##########">
                  <c:v>-0.9</c:v>
                </c:pt>
                <c:pt idx="20" formatCode="#\ ##0.##########">
                  <c:v>-2.7</c:v>
                </c:pt>
                <c:pt idx="21" formatCode="#\ ##0.##########">
                  <c:v>-11.7</c:v>
                </c:pt>
                <c:pt idx="22">
                  <c:v>-6</c:v>
                </c:pt>
                <c:pt idx="23" formatCode="#\ ##0.##########">
                  <c:v>-6.9</c:v>
                </c:pt>
                <c:pt idx="24" formatCode="#\ ##0.##########">
                  <c:v>-6.3</c:v>
                </c:pt>
                <c:pt idx="25">
                  <c:v>-6</c:v>
                </c:pt>
                <c:pt idx="26" formatCode="#\ ##0.##########">
                  <c:v>-3.4</c:v>
                </c:pt>
                <c:pt idx="27" formatCode="#\ ##0.##########">
                  <c:v>-3.3</c:v>
                </c:pt>
                <c:pt idx="28" formatCode="#\ ##0.##########">
                  <c:v>-2.4</c:v>
                </c:pt>
                <c:pt idx="29" formatCode="#\ ##0.##########">
                  <c:v>-2.2999999999999998</c:v>
                </c:pt>
                <c:pt idx="30" formatCode="#\ ##0.##########">
                  <c:v>-3.7</c:v>
                </c:pt>
                <c:pt idx="31" formatCode="#\ ##0.##########">
                  <c:v>-4.8</c:v>
                </c:pt>
                <c:pt idx="32" formatCode="#\ ##0.##########">
                  <c:v>-3.1</c:v>
                </c:pt>
                <c:pt idx="33" formatCode="#\ ##0.##########">
                  <c:v>-3.2</c:v>
                </c:pt>
              </c:numCache>
            </c:numRef>
          </c:val>
          <c:extLst>
            <c:ext xmlns:c16="http://schemas.microsoft.com/office/drawing/2014/chart" uri="{C3380CC4-5D6E-409C-BE32-E72D297353CC}">
              <c16:uniqueId val="{00000002-DB24-41DF-8B38-630DF586F12B}"/>
            </c:ext>
          </c:extLst>
        </c:ser>
        <c:dLbls>
          <c:showLegendKey val="0"/>
          <c:showVal val="0"/>
          <c:showCatName val="0"/>
          <c:showSerName val="0"/>
          <c:showPercent val="0"/>
          <c:showBubbleSize val="0"/>
        </c:dLbls>
        <c:gapWidth val="150"/>
        <c:axId val="77947648"/>
        <c:axId val="77949184"/>
      </c:barChart>
      <c:lineChart>
        <c:grouping val="standard"/>
        <c:varyColors val="0"/>
        <c:ser>
          <c:idx val="3"/>
          <c:order val="3"/>
          <c:tx>
            <c:strRef>
              <c:f>'G3-EU-sektor 13'!$A$238</c:f>
              <c:strCache>
                <c:ptCount val="1"/>
                <c:pt idx="0">
                  <c:v>Míra zadlužení (Česko)</c:v>
                </c:pt>
              </c:strCache>
            </c:strRef>
          </c:tx>
          <c:spPr>
            <a:ln w="19050" cap="rnd">
              <a:solidFill>
                <a:schemeClr val="bg2">
                  <a:lumMod val="25000"/>
                </a:schemeClr>
              </a:solidFill>
              <a:prstDash val="solid"/>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13'!$B$238:$AI$238</c:f>
              <c:numCache>
                <c:formatCode>#\ ##0.##########</c:formatCode>
                <c:ptCount val="34"/>
                <c:pt idx="0">
                  <c:v>41.6</c:v>
                </c:pt>
                <c:pt idx="1">
                  <c:v>40.700000000000003</c:v>
                </c:pt>
                <c:pt idx="2">
                  <c:v>40.1</c:v>
                </c:pt>
                <c:pt idx="3">
                  <c:v>39.700000000000003</c:v>
                </c:pt>
                <c:pt idx="4">
                  <c:v>39.700000000000003</c:v>
                </c:pt>
                <c:pt idx="5">
                  <c:v>39.200000000000003</c:v>
                </c:pt>
                <c:pt idx="6">
                  <c:v>38.1</c:v>
                </c:pt>
                <c:pt idx="7">
                  <c:v>36.6</c:v>
                </c:pt>
                <c:pt idx="8">
                  <c:v>39.700000000000003</c:v>
                </c:pt>
                <c:pt idx="9">
                  <c:v>39.1</c:v>
                </c:pt>
                <c:pt idx="10">
                  <c:v>34.700000000000003</c:v>
                </c:pt>
                <c:pt idx="11">
                  <c:v>34.200000000000003</c:v>
                </c:pt>
                <c:pt idx="12">
                  <c:v>35.300000000000004</c:v>
                </c:pt>
                <c:pt idx="13">
                  <c:v>34.800000000000004</c:v>
                </c:pt>
                <c:pt idx="14">
                  <c:v>33.4</c:v>
                </c:pt>
                <c:pt idx="15">
                  <c:v>32.1</c:v>
                </c:pt>
                <c:pt idx="16">
                  <c:v>33.4</c:v>
                </c:pt>
                <c:pt idx="17">
                  <c:v>32.5</c:v>
                </c:pt>
                <c:pt idx="18">
                  <c:v>31.3</c:v>
                </c:pt>
                <c:pt idx="19" formatCode="#\ ##0.0">
                  <c:v>30</c:v>
                </c:pt>
                <c:pt idx="20">
                  <c:v>32.4</c:v>
                </c:pt>
                <c:pt idx="21">
                  <c:v>39.6</c:v>
                </c:pt>
                <c:pt idx="22">
                  <c:v>38.1</c:v>
                </c:pt>
                <c:pt idx="23">
                  <c:v>37.700000000000003</c:v>
                </c:pt>
                <c:pt idx="24">
                  <c:v>43.9</c:v>
                </c:pt>
                <c:pt idx="25">
                  <c:v>42.6</c:v>
                </c:pt>
                <c:pt idx="26">
                  <c:v>40.4</c:v>
                </c:pt>
                <c:pt idx="27" formatCode="#\ ##0.0">
                  <c:v>42</c:v>
                </c:pt>
                <c:pt idx="28">
                  <c:v>42.8</c:v>
                </c:pt>
                <c:pt idx="29">
                  <c:v>43.5</c:v>
                </c:pt>
                <c:pt idx="30">
                  <c:v>45.2</c:v>
                </c:pt>
                <c:pt idx="31">
                  <c:v>44.2</c:v>
                </c:pt>
                <c:pt idx="32">
                  <c:v>44.5</c:v>
                </c:pt>
                <c:pt idx="33">
                  <c:v>44.3</c:v>
                </c:pt>
              </c:numCache>
            </c:numRef>
          </c:val>
          <c:smooth val="0"/>
          <c:extLst>
            <c:ext xmlns:c16="http://schemas.microsoft.com/office/drawing/2014/chart" uri="{C3380CC4-5D6E-409C-BE32-E72D297353CC}">
              <c16:uniqueId val="{00000003-DB24-41DF-8B38-630DF586F12B}"/>
            </c:ext>
          </c:extLst>
        </c:ser>
        <c:ser>
          <c:idx val="4"/>
          <c:order val="4"/>
          <c:tx>
            <c:strRef>
              <c:f>'G3-EU-sektor 13'!$A$239</c:f>
              <c:strCache>
                <c:ptCount val="1"/>
                <c:pt idx="0">
                  <c:v>Míra zadlužení (Německo)</c:v>
                </c:pt>
              </c:strCache>
            </c:strRef>
          </c:tx>
          <c:spPr>
            <a:ln w="15875" cap="rnd">
              <a:solidFill>
                <a:srgbClr val="00B05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13'!$B$239:$AI$239</c:f>
              <c:numCache>
                <c:formatCode>#\ ##0.##########</c:formatCode>
                <c:ptCount val="34"/>
                <c:pt idx="0" formatCode="#\ ##0.0">
                  <c:v>75</c:v>
                </c:pt>
                <c:pt idx="1">
                  <c:v>73.2</c:v>
                </c:pt>
                <c:pt idx="2">
                  <c:v>72.599999999999994</c:v>
                </c:pt>
                <c:pt idx="3">
                  <c:v>71.900000000000006</c:v>
                </c:pt>
                <c:pt idx="4">
                  <c:v>71.599999999999994</c:v>
                </c:pt>
                <c:pt idx="5">
                  <c:v>70.900000000000006</c:v>
                </c:pt>
                <c:pt idx="6">
                  <c:v>70.2</c:v>
                </c:pt>
                <c:pt idx="7" formatCode="#\ ##0.0">
                  <c:v>69</c:v>
                </c:pt>
                <c:pt idx="8">
                  <c:v>67.400000000000006</c:v>
                </c:pt>
                <c:pt idx="9">
                  <c:v>66.8</c:v>
                </c:pt>
                <c:pt idx="10">
                  <c:v>65.900000000000006</c:v>
                </c:pt>
                <c:pt idx="11">
                  <c:v>65.2</c:v>
                </c:pt>
                <c:pt idx="12">
                  <c:v>64.099999999999994</c:v>
                </c:pt>
                <c:pt idx="13" formatCode="#\ ##0.0">
                  <c:v>63</c:v>
                </c:pt>
                <c:pt idx="14">
                  <c:v>62.7</c:v>
                </c:pt>
                <c:pt idx="15">
                  <c:v>61.9</c:v>
                </c:pt>
                <c:pt idx="16">
                  <c:v>61.7</c:v>
                </c:pt>
                <c:pt idx="17">
                  <c:v>61.1</c:v>
                </c:pt>
                <c:pt idx="18" formatCode="#\ ##0.0">
                  <c:v>61</c:v>
                </c:pt>
                <c:pt idx="19">
                  <c:v>59.6</c:v>
                </c:pt>
                <c:pt idx="20">
                  <c:v>60.6</c:v>
                </c:pt>
                <c:pt idx="21">
                  <c:v>66.8</c:v>
                </c:pt>
                <c:pt idx="22">
                  <c:v>69.3</c:v>
                </c:pt>
                <c:pt idx="23">
                  <c:v>68.8</c:v>
                </c:pt>
                <c:pt idx="24">
                  <c:v>69.599999999999994</c:v>
                </c:pt>
                <c:pt idx="25">
                  <c:v>69.099999999999994</c:v>
                </c:pt>
                <c:pt idx="26">
                  <c:v>68.900000000000006</c:v>
                </c:pt>
                <c:pt idx="27" formatCode="#\ ##0.0">
                  <c:v>69</c:v>
                </c:pt>
                <c:pt idx="28">
                  <c:v>67.599999999999994</c:v>
                </c:pt>
                <c:pt idx="29">
                  <c:v>67.400000000000006</c:v>
                </c:pt>
                <c:pt idx="30">
                  <c:v>66.8</c:v>
                </c:pt>
                <c:pt idx="31">
                  <c:v>66.099999999999994</c:v>
                </c:pt>
                <c:pt idx="32">
                  <c:v>65.7</c:v>
                </c:pt>
                <c:pt idx="33">
                  <c:v>64.599999999999994</c:v>
                </c:pt>
              </c:numCache>
            </c:numRef>
          </c:val>
          <c:smooth val="0"/>
          <c:extLst>
            <c:ext xmlns:c16="http://schemas.microsoft.com/office/drawing/2014/chart" uri="{C3380CC4-5D6E-409C-BE32-E72D297353CC}">
              <c16:uniqueId val="{00000004-DB24-41DF-8B38-630DF586F12B}"/>
            </c:ext>
          </c:extLst>
        </c:ser>
        <c:ser>
          <c:idx val="5"/>
          <c:order val="5"/>
          <c:tx>
            <c:strRef>
              <c:f>'G3-EU-sektor 13'!$A$240</c:f>
              <c:strCache>
                <c:ptCount val="1"/>
                <c:pt idx="0">
                  <c:v>Míra zadlužení (EU27)</c:v>
                </c:pt>
              </c:strCache>
            </c:strRef>
          </c:tx>
          <c:spPr>
            <a:ln w="15875" cap="rnd">
              <a:solidFill>
                <a:srgbClr val="00B0F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13'!$B$240:$AI$240</c:f>
              <c:numCache>
                <c:formatCode>#\ ##0.##########</c:formatCode>
                <c:ptCount val="34"/>
                <c:pt idx="0">
                  <c:v>87.7</c:v>
                </c:pt>
                <c:pt idx="1">
                  <c:v>86.9</c:v>
                </c:pt>
                <c:pt idx="2">
                  <c:v>86.2</c:v>
                </c:pt>
                <c:pt idx="3">
                  <c:v>85.1</c:v>
                </c:pt>
                <c:pt idx="4">
                  <c:v>86.1</c:v>
                </c:pt>
                <c:pt idx="5" formatCode="#\ ##0.0">
                  <c:v>86</c:v>
                </c:pt>
                <c:pt idx="6" formatCode="#\ ##0.0">
                  <c:v>85</c:v>
                </c:pt>
                <c:pt idx="7">
                  <c:v>84.3</c:v>
                </c:pt>
                <c:pt idx="8">
                  <c:v>84.6</c:v>
                </c:pt>
                <c:pt idx="9">
                  <c:v>84.3</c:v>
                </c:pt>
                <c:pt idx="10">
                  <c:v>83.2</c:v>
                </c:pt>
                <c:pt idx="11">
                  <c:v>81.900000000000006</c:v>
                </c:pt>
                <c:pt idx="12">
                  <c:v>81.7</c:v>
                </c:pt>
                <c:pt idx="13">
                  <c:v>81.099999999999994</c:v>
                </c:pt>
                <c:pt idx="14" formatCode="#\ ##0.0">
                  <c:v>81</c:v>
                </c:pt>
                <c:pt idx="15">
                  <c:v>79.8</c:v>
                </c:pt>
                <c:pt idx="16">
                  <c:v>80.099999999999994</c:v>
                </c:pt>
                <c:pt idx="17">
                  <c:v>79.900000000000006</c:v>
                </c:pt>
                <c:pt idx="18">
                  <c:v>79.3</c:v>
                </c:pt>
                <c:pt idx="19">
                  <c:v>77.7</c:v>
                </c:pt>
                <c:pt idx="20">
                  <c:v>79.400000000000006</c:v>
                </c:pt>
                <c:pt idx="21">
                  <c:v>87.5</c:v>
                </c:pt>
                <c:pt idx="22">
                  <c:v>89.4</c:v>
                </c:pt>
                <c:pt idx="23" formatCode="#\ ##0.0">
                  <c:v>90</c:v>
                </c:pt>
                <c:pt idx="24" formatCode="#\ ##0.0">
                  <c:v>92</c:v>
                </c:pt>
                <c:pt idx="25">
                  <c:v>90.3</c:v>
                </c:pt>
                <c:pt idx="26">
                  <c:v>89.3</c:v>
                </c:pt>
                <c:pt idx="27">
                  <c:v>87.4</c:v>
                </c:pt>
                <c:pt idx="28" formatCode="#\ ##0.0">
                  <c:v>87</c:v>
                </c:pt>
                <c:pt idx="29">
                  <c:v>85.9</c:v>
                </c:pt>
                <c:pt idx="30">
                  <c:v>84.6</c:v>
                </c:pt>
                <c:pt idx="31">
                  <c:v>83.5</c:v>
                </c:pt>
                <c:pt idx="32">
                  <c:v>83.4</c:v>
                </c:pt>
                <c:pt idx="33">
                  <c:v>83.1</c:v>
                </c:pt>
              </c:numCache>
            </c:numRef>
          </c:val>
          <c:smooth val="0"/>
          <c:extLst>
            <c:ext xmlns:c16="http://schemas.microsoft.com/office/drawing/2014/chart" uri="{C3380CC4-5D6E-409C-BE32-E72D297353CC}">
              <c16:uniqueId val="{00000005-DB24-41DF-8B38-630DF586F12B}"/>
            </c:ext>
          </c:extLst>
        </c:ser>
        <c:ser>
          <c:idx val="6"/>
          <c:order val="6"/>
          <c:tx>
            <c:strRef>
              <c:f>'G3-EU-sektor 13'!$A$241</c:f>
              <c:strCache>
                <c:ptCount val="1"/>
                <c:pt idx="0">
                  <c:v>Míra zadlužení (Polsko)</c:v>
                </c:pt>
              </c:strCache>
            </c:strRef>
          </c:tx>
          <c:spPr>
            <a:ln w="15875" cap="rnd">
              <a:solidFill>
                <a:schemeClr val="accent6">
                  <a:lumMod val="75000"/>
                </a:schemeClr>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13'!$B$241:$AI$241</c:f>
              <c:numCache>
                <c:formatCode>#\ ##0.##########</c:formatCode>
                <c:ptCount val="34"/>
                <c:pt idx="0" formatCode="#\ ##0.0">
                  <c:v>52</c:v>
                </c:pt>
                <c:pt idx="1">
                  <c:v>51.7</c:v>
                </c:pt>
                <c:pt idx="2" formatCode="#\ ##0.0">
                  <c:v>52</c:v>
                </c:pt>
                <c:pt idx="3">
                  <c:v>51.3</c:v>
                </c:pt>
                <c:pt idx="4" formatCode="#\ ##0.0">
                  <c:v>52</c:v>
                </c:pt>
                <c:pt idx="5">
                  <c:v>53.7</c:v>
                </c:pt>
                <c:pt idx="6">
                  <c:v>53.4</c:v>
                </c:pt>
                <c:pt idx="7">
                  <c:v>54.5</c:v>
                </c:pt>
                <c:pt idx="8" formatCode="#\ ##0.0">
                  <c:v>54</c:v>
                </c:pt>
                <c:pt idx="9">
                  <c:v>53.3</c:v>
                </c:pt>
                <c:pt idx="10">
                  <c:v>52.1</c:v>
                </c:pt>
                <c:pt idx="11">
                  <c:v>50.8</c:v>
                </c:pt>
                <c:pt idx="12">
                  <c:v>51.3</c:v>
                </c:pt>
                <c:pt idx="13">
                  <c:v>50.5</c:v>
                </c:pt>
                <c:pt idx="14">
                  <c:v>49.4</c:v>
                </c:pt>
                <c:pt idx="15">
                  <c:v>48.7</c:v>
                </c:pt>
                <c:pt idx="16">
                  <c:v>48.8</c:v>
                </c:pt>
                <c:pt idx="17">
                  <c:v>47.7</c:v>
                </c:pt>
                <c:pt idx="18" formatCode="#\ ##0.0">
                  <c:v>47</c:v>
                </c:pt>
                <c:pt idx="19">
                  <c:v>45.7</c:v>
                </c:pt>
                <c:pt idx="20">
                  <c:v>47.6</c:v>
                </c:pt>
                <c:pt idx="21">
                  <c:v>54.7</c:v>
                </c:pt>
                <c:pt idx="22">
                  <c:v>56.4</c:v>
                </c:pt>
                <c:pt idx="23">
                  <c:v>57.2</c:v>
                </c:pt>
                <c:pt idx="24">
                  <c:v>58.6</c:v>
                </c:pt>
                <c:pt idx="25">
                  <c:v>56.9</c:v>
                </c:pt>
                <c:pt idx="26">
                  <c:v>55.8</c:v>
                </c:pt>
                <c:pt idx="27">
                  <c:v>53.6</c:v>
                </c:pt>
                <c:pt idx="28">
                  <c:v>51.9</c:v>
                </c:pt>
                <c:pt idx="29">
                  <c:v>51.3</c:v>
                </c:pt>
                <c:pt idx="30">
                  <c:v>50.1</c:v>
                </c:pt>
                <c:pt idx="31">
                  <c:v>49.1</c:v>
                </c:pt>
                <c:pt idx="32">
                  <c:v>48.1</c:v>
                </c:pt>
                <c:pt idx="33">
                  <c:v>48.4</c:v>
                </c:pt>
              </c:numCache>
            </c:numRef>
          </c:val>
          <c:smooth val="0"/>
          <c:extLst>
            <c:ext xmlns:c16="http://schemas.microsoft.com/office/drawing/2014/chart" uri="{C3380CC4-5D6E-409C-BE32-E72D297353CC}">
              <c16:uniqueId val="{00000006-DB24-41DF-8B38-630DF586F12B}"/>
            </c:ext>
          </c:extLst>
        </c:ser>
        <c:ser>
          <c:idx val="7"/>
          <c:order val="7"/>
          <c:tx>
            <c:strRef>
              <c:f>'G3-EU-sektor 13'!$A$242</c:f>
              <c:strCache>
                <c:ptCount val="1"/>
                <c:pt idx="0">
                  <c:v>Míra zadlužení (Slovensko)</c:v>
                </c:pt>
              </c:strCache>
            </c:strRef>
          </c:tx>
          <c:spPr>
            <a:ln w="15875" cap="rnd">
              <a:solidFill>
                <a:srgbClr val="C0000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13'!$B$242:$AI$242</c:f>
              <c:numCache>
                <c:formatCode>#\ ##0.##########</c:formatCode>
                <c:ptCount val="34"/>
                <c:pt idx="0">
                  <c:v>53.8</c:v>
                </c:pt>
                <c:pt idx="1">
                  <c:v>53.9</c:v>
                </c:pt>
                <c:pt idx="2">
                  <c:v>52.9</c:v>
                </c:pt>
                <c:pt idx="3">
                  <c:v>51.7</c:v>
                </c:pt>
                <c:pt idx="4">
                  <c:v>51.4</c:v>
                </c:pt>
                <c:pt idx="5">
                  <c:v>52.7</c:v>
                </c:pt>
                <c:pt idx="6">
                  <c:v>52.8</c:v>
                </c:pt>
                <c:pt idx="7">
                  <c:v>52.3</c:v>
                </c:pt>
                <c:pt idx="8">
                  <c:v>53.9</c:v>
                </c:pt>
                <c:pt idx="9">
                  <c:v>52.2</c:v>
                </c:pt>
                <c:pt idx="10">
                  <c:v>51.8</c:v>
                </c:pt>
                <c:pt idx="11">
                  <c:v>51.5</c:v>
                </c:pt>
                <c:pt idx="12">
                  <c:v>51.4</c:v>
                </c:pt>
                <c:pt idx="13">
                  <c:v>52.4</c:v>
                </c:pt>
                <c:pt idx="14" formatCode="#\ ##0.0">
                  <c:v>52</c:v>
                </c:pt>
                <c:pt idx="15">
                  <c:v>49.4</c:v>
                </c:pt>
                <c:pt idx="16">
                  <c:v>49.3</c:v>
                </c:pt>
                <c:pt idx="17">
                  <c:v>48.7</c:v>
                </c:pt>
                <c:pt idx="18">
                  <c:v>48.4</c:v>
                </c:pt>
                <c:pt idx="19" formatCode="#\ ##0.0">
                  <c:v>48</c:v>
                </c:pt>
                <c:pt idx="20" formatCode="#\ ##0.0">
                  <c:v>49</c:v>
                </c:pt>
                <c:pt idx="21">
                  <c:v>59.1</c:v>
                </c:pt>
                <c:pt idx="22">
                  <c:v>59.2</c:v>
                </c:pt>
                <c:pt idx="23">
                  <c:v>58.9</c:v>
                </c:pt>
                <c:pt idx="24">
                  <c:v>58.7</c:v>
                </c:pt>
                <c:pt idx="25">
                  <c:v>59.7</c:v>
                </c:pt>
                <c:pt idx="26">
                  <c:v>59.6</c:v>
                </c:pt>
                <c:pt idx="27">
                  <c:v>61.1</c:v>
                </c:pt>
                <c:pt idx="28">
                  <c:v>60.4</c:v>
                </c:pt>
                <c:pt idx="29">
                  <c:v>59.2</c:v>
                </c:pt>
                <c:pt idx="30">
                  <c:v>57.5</c:v>
                </c:pt>
                <c:pt idx="31">
                  <c:v>57.8</c:v>
                </c:pt>
                <c:pt idx="32" formatCode="#\ ##0.0">
                  <c:v>58</c:v>
                </c:pt>
                <c:pt idx="33">
                  <c:v>59.6</c:v>
                </c:pt>
              </c:numCache>
            </c:numRef>
          </c:val>
          <c:smooth val="0"/>
          <c:extLst>
            <c:ext xmlns:c16="http://schemas.microsoft.com/office/drawing/2014/chart" uri="{C3380CC4-5D6E-409C-BE32-E72D297353CC}">
              <c16:uniqueId val="{00000007-DB24-41DF-8B38-630DF586F12B}"/>
            </c:ext>
          </c:extLst>
        </c:ser>
        <c:ser>
          <c:idx val="8"/>
          <c:order val="8"/>
          <c:tx>
            <c:strRef>
              <c:f>'G3-EU-sektor 13'!$A$243</c:f>
              <c:strCache>
                <c:ptCount val="1"/>
                <c:pt idx="0">
                  <c:v>Míra zadlužení (Maďarsko)</c:v>
                </c:pt>
              </c:strCache>
            </c:strRef>
          </c:tx>
          <c:spPr>
            <a:ln w="15875" cap="rnd">
              <a:solidFill>
                <a:srgbClr val="7030A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13'!$B$243:$AI$243</c:f>
              <c:numCache>
                <c:formatCode>#\ ##0.##########</c:formatCode>
                <c:ptCount val="34"/>
                <c:pt idx="0">
                  <c:v>77.5</c:v>
                </c:pt>
                <c:pt idx="1">
                  <c:v>79.2</c:v>
                </c:pt>
                <c:pt idx="2">
                  <c:v>78.5</c:v>
                </c:pt>
                <c:pt idx="3">
                  <c:v>75.8</c:v>
                </c:pt>
                <c:pt idx="4">
                  <c:v>77.3</c:v>
                </c:pt>
                <c:pt idx="5">
                  <c:v>75.8</c:v>
                </c:pt>
                <c:pt idx="6" formatCode="#\ ##0.0">
                  <c:v>75</c:v>
                </c:pt>
                <c:pt idx="7">
                  <c:v>74.900000000000006</c:v>
                </c:pt>
                <c:pt idx="8">
                  <c:v>75.099999999999994</c:v>
                </c:pt>
                <c:pt idx="9">
                  <c:v>74.400000000000006</c:v>
                </c:pt>
                <c:pt idx="10">
                  <c:v>73.099999999999994</c:v>
                </c:pt>
                <c:pt idx="11">
                  <c:v>72.099999999999994</c:v>
                </c:pt>
                <c:pt idx="12">
                  <c:v>72.3</c:v>
                </c:pt>
                <c:pt idx="13">
                  <c:v>72.5</c:v>
                </c:pt>
                <c:pt idx="14">
                  <c:v>70.900000000000006</c:v>
                </c:pt>
                <c:pt idx="15">
                  <c:v>69.099999999999994</c:v>
                </c:pt>
                <c:pt idx="16">
                  <c:v>68.400000000000006</c:v>
                </c:pt>
                <c:pt idx="17">
                  <c:v>67.099999999999994</c:v>
                </c:pt>
                <c:pt idx="18" formatCode="#\ ##0.0">
                  <c:v>67</c:v>
                </c:pt>
                <c:pt idx="19">
                  <c:v>65.3</c:v>
                </c:pt>
                <c:pt idx="20">
                  <c:v>65.5</c:v>
                </c:pt>
                <c:pt idx="21">
                  <c:v>69.900000000000006</c:v>
                </c:pt>
                <c:pt idx="22">
                  <c:v>73.3</c:v>
                </c:pt>
                <c:pt idx="23">
                  <c:v>79.3</c:v>
                </c:pt>
                <c:pt idx="24">
                  <c:v>80.2</c:v>
                </c:pt>
                <c:pt idx="25">
                  <c:v>76.8</c:v>
                </c:pt>
                <c:pt idx="26">
                  <c:v>79.5</c:v>
                </c:pt>
                <c:pt idx="27">
                  <c:v>76.7</c:v>
                </c:pt>
                <c:pt idx="28" formatCode="#\ ##0.0">
                  <c:v>77</c:v>
                </c:pt>
                <c:pt idx="29">
                  <c:v>76.7</c:v>
                </c:pt>
                <c:pt idx="30">
                  <c:v>75.5</c:v>
                </c:pt>
                <c:pt idx="31">
                  <c:v>73.900000000000006</c:v>
                </c:pt>
                <c:pt idx="32">
                  <c:v>75.400000000000006</c:v>
                </c:pt>
                <c:pt idx="33">
                  <c:v>75.2</c:v>
                </c:pt>
              </c:numCache>
            </c:numRef>
          </c:val>
          <c:smooth val="0"/>
          <c:extLst>
            <c:ext xmlns:c16="http://schemas.microsoft.com/office/drawing/2014/chart" uri="{C3380CC4-5D6E-409C-BE32-E72D297353CC}">
              <c16:uniqueId val="{00000008-DB24-41DF-8B38-630DF586F12B}"/>
            </c:ext>
          </c:extLst>
        </c:ser>
        <c:dLbls>
          <c:showLegendKey val="0"/>
          <c:showVal val="0"/>
          <c:showCatName val="0"/>
          <c:showSerName val="0"/>
          <c:showPercent val="0"/>
          <c:showBubbleSize val="0"/>
        </c:dLbls>
        <c:marker val="1"/>
        <c:smooth val="0"/>
        <c:axId val="77957376"/>
        <c:axId val="77955456"/>
      </c:lineChart>
      <c:catAx>
        <c:axId val="77947648"/>
        <c:scaling>
          <c:orientation val="minMax"/>
        </c:scaling>
        <c:delete val="0"/>
        <c:axPos val="b"/>
        <c:numFmt formatCode="General" sourceLinked="1"/>
        <c:majorTickMark val="none"/>
        <c:minorTickMark val="none"/>
        <c:tickLblPos val="low"/>
        <c:spPr>
          <a:noFill/>
          <a:ln w="6350"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949184"/>
        <c:crosses val="autoZero"/>
        <c:auto val="1"/>
        <c:lblAlgn val="ctr"/>
        <c:lblOffset val="0"/>
        <c:noMultiLvlLbl val="0"/>
      </c:catAx>
      <c:valAx>
        <c:axId val="77949184"/>
        <c:scaling>
          <c:orientation val="minMax"/>
          <c:max val="16"/>
          <c:min val="-12"/>
        </c:scaling>
        <c:delete val="0"/>
        <c:axPos val="l"/>
        <c:majorGridlines>
          <c:spPr>
            <a:ln w="6350" cap="flat" cmpd="sng" algn="ctr">
              <a:solidFill>
                <a:schemeClr val="bg1">
                  <a:lumMod val="75000"/>
                </a:schemeClr>
              </a:solidFill>
              <a:round/>
            </a:ln>
            <a:effectLst/>
          </c:spPr>
        </c:majorGridlines>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Saldo</a:t>
                </a:r>
                <a:r>
                  <a:rPr lang="cs-CZ" sz="700" i="1" baseline="0">
                    <a:latin typeface="Arial" panose="020B0604020202020204" pitchFamily="34" charset="0"/>
                    <a:cs typeface="Arial" panose="020B0604020202020204" pitchFamily="34" charset="0"/>
                  </a:rPr>
                  <a:t> hospodaření</a:t>
                </a:r>
                <a:endParaRPr lang="cs-CZ" sz="700" i="1">
                  <a:latin typeface="Arial" panose="020B0604020202020204" pitchFamily="34" charset="0"/>
                  <a:cs typeface="Arial" panose="020B0604020202020204" pitchFamily="34" charset="0"/>
                </a:endParaRP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947648"/>
        <c:crosses val="autoZero"/>
        <c:crossBetween val="between"/>
        <c:majorUnit val="2"/>
      </c:valAx>
      <c:valAx>
        <c:axId val="77955456"/>
        <c:scaling>
          <c:orientation val="minMax"/>
          <c:max val="98"/>
          <c:min val="0"/>
        </c:scaling>
        <c:delete val="0"/>
        <c:axPos val="r"/>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Míra</a:t>
                </a:r>
                <a:r>
                  <a:rPr lang="cs-CZ" sz="700" i="1" baseline="0">
                    <a:latin typeface="Arial" panose="020B0604020202020204" pitchFamily="34" charset="0"/>
                    <a:cs typeface="Arial" panose="020B0604020202020204" pitchFamily="34" charset="0"/>
                  </a:rPr>
                  <a:t> zadlužení</a:t>
                </a:r>
                <a:endParaRPr lang="cs-CZ" sz="700" i="1">
                  <a:latin typeface="Arial" panose="020B0604020202020204" pitchFamily="34" charset="0"/>
                  <a:cs typeface="Arial" panose="020B0604020202020204" pitchFamily="34" charset="0"/>
                </a:endParaRP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957376"/>
        <c:crosses val="max"/>
        <c:crossBetween val="between"/>
        <c:majorUnit val="7"/>
      </c:valAx>
      <c:catAx>
        <c:axId val="77957376"/>
        <c:scaling>
          <c:orientation val="minMax"/>
        </c:scaling>
        <c:delete val="1"/>
        <c:axPos val="b"/>
        <c:numFmt formatCode="General" sourceLinked="1"/>
        <c:majorTickMark val="out"/>
        <c:minorTickMark val="none"/>
        <c:tickLblPos val="none"/>
        <c:crossAx val="77955456"/>
        <c:crosses val="autoZero"/>
        <c:auto val="1"/>
        <c:lblAlgn val="ctr"/>
        <c:lblOffset val="100"/>
        <c:noMultiLvlLbl val="0"/>
      </c:catAx>
      <c:spPr>
        <a:noFill/>
        <a:ln w="6350">
          <a:solidFill>
            <a:schemeClr val="tx1"/>
          </a:solidFill>
        </a:ln>
        <a:effectLst/>
      </c:spPr>
    </c:plotArea>
    <c:legend>
      <c:legendPos val="b"/>
      <c:layout>
        <c:manualLayout>
          <c:xMode val="edge"/>
          <c:yMode val="edge"/>
          <c:x val="6.8597693541019952E-2"/>
          <c:y val="0.8252723551020571"/>
          <c:w val="0.84451496226400768"/>
          <c:h val="0.17101503561236595"/>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5" ma:contentTypeDescription="Vytvoří nový dokument" ma:contentTypeScope="" ma:versionID="ba9ac22ffeb23664e7e881489bfb3a01">
  <xsd:schema xmlns:xsd="http://www.w3.org/2001/XMLSchema" xmlns:xs="http://www.w3.org/2001/XMLSchema" xmlns:p="http://schemas.microsoft.com/office/2006/metadata/properties" xmlns:ns2="eabc42bd-08fe-4a27-9645-04f6ad96d74a" xmlns:ns3="ea86e659-3cf4-4ff9-8d76-72c2490bfb13" targetNamespace="http://schemas.microsoft.com/office/2006/metadata/properties" ma:root="true" ma:fieldsID="452515690196c05a9ccc85c20d106231" ns2:_="" ns3:_="">
    <xsd:import namespace="eabc42bd-08fe-4a27-9645-04f6ad96d74a"/>
    <xsd:import namespace="ea86e659-3cf4-4ff9-8d76-72c2490bfb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6e659-3cf4-4ff9-8d76-72c2490bfb13"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7845-9EC0-4146-9549-15917829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ea86e659-3cf4-4ff9-8d76-72c2490bf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A3B24-FB6B-4444-942A-72BF63981C5C}">
  <ds:schemaRefs>
    <ds:schemaRef ds:uri="http://schemas.openxmlformats.org/officeDocument/2006/bibliography"/>
  </ds:schemaRefs>
</ds:datastoreItem>
</file>

<file path=customXml/itemProps5.xml><?xml version="1.0" encoding="utf-8"?>
<ds:datastoreItem xmlns:ds="http://schemas.openxmlformats.org/officeDocument/2006/customXml" ds:itemID="{81AE12A1-B56E-4602-87AA-5D7C5C8D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TotalTime>
  <Pages>7</Pages>
  <Words>3270</Words>
  <Characters>19294</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5</cp:revision>
  <cp:lastPrinted>2023-06-09T17:23:00Z</cp:lastPrinted>
  <dcterms:created xsi:type="dcterms:W3CDTF">2023-12-15T10:09:00Z</dcterms:created>
  <dcterms:modified xsi:type="dcterms:W3CDTF">2023-12-15T10:28:00Z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