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503F9" w14:textId="03484EB7" w:rsidR="00CE12FB" w:rsidRDefault="00CE12FB" w:rsidP="00CE12FB">
      <w:pPr>
        <w:pStyle w:val="Nadpis11"/>
        <w:spacing w:after="120"/>
      </w:pPr>
      <w:bookmarkStart w:id="0" w:name="_Toc153531178"/>
      <w:bookmarkStart w:id="1" w:name="_Toc145318536"/>
      <w:bookmarkStart w:id="2" w:name="_Toc137233031"/>
      <w:r>
        <w:t>6. Trh práce</w:t>
      </w:r>
      <w:bookmarkEnd w:id="0"/>
    </w:p>
    <w:tbl>
      <w:tblPr>
        <w:tblW w:w="9674" w:type="dxa"/>
        <w:tblInd w:w="-35" w:type="dxa"/>
        <w:tblCellMar>
          <w:left w:w="0" w:type="dxa"/>
          <w:right w:w="0" w:type="dxa"/>
        </w:tblCellMar>
        <w:tblLook w:val="00A0" w:firstRow="1" w:lastRow="0" w:firstColumn="1" w:lastColumn="0" w:noHBand="0" w:noVBand="0"/>
      </w:tblPr>
      <w:tblGrid>
        <w:gridCol w:w="1754"/>
        <w:gridCol w:w="220"/>
        <w:gridCol w:w="7700"/>
      </w:tblGrid>
      <w:tr w:rsidR="00763B23" w:rsidRPr="00FE39EE" w14:paraId="08CEB46F" w14:textId="77777777" w:rsidTr="000D7C6F">
        <w:trPr>
          <w:trHeight w:val="155"/>
        </w:trPr>
        <w:tc>
          <w:tcPr>
            <w:tcW w:w="1754" w:type="dxa"/>
            <w:shd w:val="clear" w:color="auto" w:fill="auto"/>
            <w:tcMar>
              <w:left w:w="0" w:type="dxa"/>
            </w:tcMar>
          </w:tcPr>
          <w:p w14:paraId="151330F5" w14:textId="77777777" w:rsidR="00763B23" w:rsidRDefault="00763B23" w:rsidP="000D7C6F">
            <w:pPr>
              <w:pStyle w:val="Marginlie"/>
              <w:spacing w:after="120"/>
              <w:rPr>
                <w:color w:val="0D0D0D" w:themeColor="text1" w:themeTint="F2"/>
                <w:spacing w:val="-4"/>
              </w:rPr>
            </w:pPr>
            <w:r>
              <w:rPr>
                <w:color w:val="0D0D0D" w:themeColor="text1" w:themeTint="F2"/>
                <w:spacing w:val="-4"/>
              </w:rPr>
              <w:t>Na trhu práce docházelo k částečnému ochlazení, nerovnováha mezi nabídkou a poptávkou se zmírnila. Situace v jednotlivých odvětvích se ale lišila.</w:t>
            </w:r>
          </w:p>
        </w:tc>
        <w:tc>
          <w:tcPr>
            <w:tcW w:w="220" w:type="dxa"/>
            <w:shd w:val="clear" w:color="auto" w:fill="auto"/>
            <w:tcMar>
              <w:left w:w="0" w:type="dxa"/>
            </w:tcMar>
          </w:tcPr>
          <w:p w14:paraId="1C49D503"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577D9BCC" w14:textId="77777777" w:rsidR="00763B23" w:rsidRPr="00FE39EE" w:rsidRDefault="00763B23" w:rsidP="000D7C6F">
            <w:pPr>
              <w:spacing w:after="200"/>
              <w:rPr>
                <w:color w:val="0D0D0D" w:themeColor="text1" w:themeTint="F2"/>
                <w:spacing w:val="-4"/>
              </w:rPr>
            </w:pPr>
            <w:r>
              <w:rPr>
                <w:color w:val="0D0D0D" w:themeColor="text1" w:themeTint="F2"/>
                <w:spacing w:val="-4"/>
              </w:rPr>
              <w:t xml:space="preserve">Již více než rok trvající stagnace výkonu tuzemské ekonomiky se s odstupem začíná projevovat i na pracovním trhu. Jeho částečné zchlazení se ve 3. čtvrtletí demonstrovalo mezikvartálním poklesem zaměstnanosti a mírným růstem nezaměstnanosti či lehkým úbytkem volných pracovních míst. Napříč hlavními odvětvími se snižoval i počet firem uvádějících nedostatek zaměstnanců jako bariéru svého růstu. Vzrostla velikost potenciální pracovní rezervy (z řad neaktivních osob), ta ovšem stále zůstávala omezená. Pozitivní impuls pro pracovní trh představovala postupná integrace ukrajinských uprchlíků. Podniky ve snaze optimalizovat výrobní náklady stále intenzivně poptávaly zahraniční pracovníky i z dalších mimoevropských zemí. Řada odvětví (zejména ve službách) se stále rozvíjela </w:t>
            </w:r>
            <w:r>
              <w:rPr>
                <w:color w:val="0D0D0D" w:themeColor="text1" w:themeTint="F2"/>
                <w:spacing w:val="-4"/>
              </w:rPr>
              <w:br/>
              <w:t>a vytvářela nová pracovní místa také pro pracovníky s vyšší kvalifikací. Relativně p</w:t>
            </w:r>
            <w:r w:rsidRPr="00825316">
              <w:rPr>
                <w:color w:val="0D0D0D" w:themeColor="text1" w:themeTint="F2"/>
                <w:spacing w:val="-4"/>
              </w:rPr>
              <w:t>říznivé po</w:t>
            </w:r>
            <w:r>
              <w:rPr>
                <w:color w:val="0D0D0D" w:themeColor="text1" w:themeTint="F2"/>
                <w:spacing w:val="-4"/>
              </w:rPr>
              <w:t>stavení zaměstnanců na trhu práce doprovázené přetrvávajícím</w:t>
            </w:r>
            <w:r w:rsidRPr="00825316">
              <w:rPr>
                <w:color w:val="0D0D0D" w:themeColor="text1" w:themeTint="F2"/>
                <w:spacing w:val="-4"/>
              </w:rPr>
              <w:t xml:space="preserve"> silným růstem </w:t>
            </w:r>
            <w:r>
              <w:rPr>
                <w:color w:val="0D0D0D" w:themeColor="text1" w:themeTint="F2"/>
                <w:spacing w:val="-4"/>
              </w:rPr>
              <w:t xml:space="preserve">nákladů </w:t>
            </w:r>
            <w:r w:rsidRPr="00825316">
              <w:rPr>
                <w:color w:val="0D0D0D" w:themeColor="text1" w:themeTint="F2"/>
                <w:spacing w:val="-4"/>
              </w:rPr>
              <w:t xml:space="preserve">domácností </w:t>
            </w:r>
            <w:r>
              <w:rPr>
                <w:color w:val="0D0D0D" w:themeColor="text1" w:themeTint="F2"/>
                <w:spacing w:val="-4"/>
              </w:rPr>
              <w:t>(např. v oblasti bydlení)</w:t>
            </w:r>
            <w:r w:rsidRPr="00825316">
              <w:rPr>
                <w:color w:val="0D0D0D" w:themeColor="text1" w:themeTint="F2"/>
                <w:spacing w:val="-4"/>
              </w:rPr>
              <w:t xml:space="preserve"> zvyšovalo tlak na </w:t>
            </w:r>
            <w:r>
              <w:rPr>
                <w:color w:val="0D0D0D" w:themeColor="text1" w:themeTint="F2"/>
                <w:spacing w:val="-4"/>
              </w:rPr>
              <w:t xml:space="preserve">mzdový </w:t>
            </w:r>
            <w:r w:rsidRPr="00825316">
              <w:rPr>
                <w:color w:val="0D0D0D" w:themeColor="text1" w:themeTint="F2"/>
                <w:spacing w:val="-4"/>
              </w:rPr>
              <w:t>růst.</w:t>
            </w:r>
            <w:r>
              <w:rPr>
                <w:color w:val="0D0D0D" w:themeColor="text1" w:themeTint="F2"/>
                <w:spacing w:val="-4"/>
              </w:rPr>
              <w:t xml:space="preserve"> Nominální tempo průměrných mezd ale během </w:t>
            </w:r>
            <w:r w:rsidRPr="006E26E5">
              <w:rPr>
                <w:color w:val="0D0D0D" w:themeColor="text1" w:themeTint="F2"/>
                <w:spacing w:val="-4"/>
              </w:rPr>
              <w:t xml:space="preserve">roku spíše lehce sláblo. Díky znatelné dezinflační tendenci v ekonomice se ovšem meziroční pokles kupní síly mezd výrazně zmírnil a </w:t>
            </w:r>
            <w:r>
              <w:rPr>
                <w:color w:val="0D0D0D" w:themeColor="text1" w:themeTint="F2"/>
                <w:spacing w:val="-4"/>
              </w:rPr>
              <w:t xml:space="preserve">v </w:t>
            </w:r>
            <w:r w:rsidRPr="006E26E5">
              <w:rPr>
                <w:color w:val="0D0D0D" w:themeColor="text1" w:themeTint="F2"/>
                <w:spacing w:val="-4"/>
              </w:rPr>
              <w:t>několika významných odvětví</w:t>
            </w:r>
            <w:r>
              <w:rPr>
                <w:color w:val="0D0D0D" w:themeColor="text1" w:themeTint="F2"/>
                <w:spacing w:val="-4"/>
              </w:rPr>
              <w:t>ch</w:t>
            </w:r>
            <w:r w:rsidRPr="006E26E5">
              <w:rPr>
                <w:color w:val="0D0D0D" w:themeColor="text1" w:themeTint="F2"/>
                <w:spacing w:val="-4"/>
              </w:rPr>
              <w:t xml:space="preserve"> byl již registrován růst reálných výdělků.</w:t>
            </w:r>
          </w:p>
        </w:tc>
      </w:tr>
      <w:tr w:rsidR="00763B23" w14:paraId="1A80CCBA" w14:textId="77777777" w:rsidTr="000D7C6F">
        <w:trPr>
          <w:trHeight w:val="155"/>
        </w:trPr>
        <w:tc>
          <w:tcPr>
            <w:tcW w:w="1754" w:type="dxa"/>
            <w:shd w:val="clear" w:color="auto" w:fill="auto"/>
            <w:tcMar>
              <w:left w:w="0" w:type="dxa"/>
            </w:tcMar>
          </w:tcPr>
          <w:p w14:paraId="7CECB932" w14:textId="77777777" w:rsidR="00763B23" w:rsidRDefault="00763B23" w:rsidP="000D7C6F">
            <w:pPr>
              <w:pStyle w:val="Marginlie"/>
              <w:spacing w:after="120"/>
              <w:rPr>
                <w:color w:val="0D0D0D" w:themeColor="text1" w:themeTint="F2"/>
                <w:spacing w:val="-4"/>
              </w:rPr>
            </w:pPr>
            <w:r>
              <w:rPr>
                <w:color w:val="0D0D0D" w:themeColor="text1" w:themeTint="F2"/>
                <w:spacing w:val="-4"/>
              </w:rPr>
              <w:t xml:space="preserve">Mezikvartální růst zaměstnanosti se ve 3. čtvrtletí zastavil. </w:t>
            </w:r>
          </w:p>
          <w:p w14:paraId="2089C02E" w14:textId="77777777" w:rsidR="00763B23" w:rsidRDefault="00763B23" w:rsidP="000D7C6F">
            <w:pPr>
              <w:pStyle w:val="Marginlie"/>
              <w:spacing w:after="120"/>
              <w:rPr>
                <w:color w:val="0D0D0D" w:themeColor="text1" w:themeTint="F2"/>
                <w:spacing w:val="-4"/>
              </w:rPr>
            </w:pPr>
          </w:p>
          <w:p w14:paraId="5F9E78DB" w14:textId="77777777" w:rsidR="00763B23" w:rsidRDefault="00763B23" w:rsidP="000D7C6F">
            <w:pPr>
              <w:pStyle w:val="Marginlie"/>
              <w:spacing w:after="120"/>
              <w:rPr>
                <w:color w:val="0D0D0D" w:themeColor="text1" w:themeTint="F2"/>
                <w:spacing w:val="-4"/>
              </w:rPr>
            </w:pPr>
          </w:p>
          <w:p w14:paraId="5D8F42B9" w14:textId="77777777" w:rsidR="00763B23" w:rsidRDefault="00763B23" w:rsidP="000D7C6F">
            <w:pPr>
              <w:pStyle w:val="Marginlie"/>
              <w:spacing w:after="120"/>
              <w:rPr>
                <w:color w:val="0D0D0D" w:themeColor="text1" w:themeTint="F2"/>
                <w:spacing w:val="-4"/>
              </w:rPr>
            </w:pPr>
          </w:p>
          <w:p w14:paraId="5BFF92E4" w14:textId="77777777" w:rsidR="00763B23" w:rsidRDefault="00763B23" w:rsidP="000D7C6F">
            <w:pPr>
              <w:pStyle w:val="Marginlie"/>
              <w:spacing w:after="120"/>
              <w:rPr>
                <w:color w:val="0D0D0D" w:themeColor="text1" w:themeTint="F2"/>
                <w:spacing w:val="-4"/>
              </w:rPr>
            </w:pPr>
            <w:r>
              <w:rPr>
                <w:color w:val="0D0D0D" w:themeColor="text1" w:themeTint="F2"/>
                <w:spacing w:val="-4"/>
              </w:rPr>
              <w:t>Meziročně zatím stále přibývali pracovníci i díky významnému oživení drobného podnikání, jež nastalo napříč hlavními odvětvími.</w:t>
            </w:r>
          </w:p>
        </w:tc>
        <w:tc>
          <w:tcPr>
            <w:tcW w:w="220" w:type="dxa"/>
            <w:shd w:val="clear" w:color="auto" w:fill="auto"/>
            <w:tcMar>
              <w:left w:w="0" w:type="dxa"/>
            </w:tcMar>
          </w:tcPr>
          <w:p w14:paraId="76B30CF1"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4E046AC4" w14:textId="77777777" w:rsidR="00763B23" w:rsidRDefault="00763B23" w:rsidP="000D7C6F">
            <w:r>
              <w:t>Zatímco letos v 1. čtvrtletí celková zaměstnanost</w:t>
            </w:r>
            <w:r w:rsidRPr="00FE39EE">
              <w:rPr>
                <w:color w:val="0D0D0D" w:themeColor="text1" w:themeTint="F2"/>
                <w:spacing w:val="-4"/>
                <w:vertAlign w:val="superscript"/>
              </w:rPr>
              <w:footnoteReference w:id="1"/>
            </w:r>
            <w:r>
              <w:t xml:space="preserve"> v tuzemské ekonomice mezikvartálně stagnovala, v následujícím období vzrostla o celé 1 % (především zásluhou oživení ve zpracovatelském průmyslu i v uskupení o</w:t>
            </w:r>
            <w:r w:rsidRPr="006C6438">
              <w:t>bchod, doprava, ubytování a pohostinství</w:t>
            </w:r>
            <w:r>
              <w:t>) a fyzický počet pracovníků současně vystoupal na rekordní úroveň (5,51 mil.). Během 3. čtvrtletí ale nastala určitá korekce, neboť zaměstnanost klesla o 0,7 %</w:t>
            </w:r>
            <w:r>
              <w:rPr>
                <w:rStyle w:val="Znakapoznpodarou"/>
              </w:rPr>
              <w:footnoteReference w:id="2"/>
            </w:r>
            <w:r>
              <w:t xml:space="preserve"> (v absolutním vyjádření se snížila i pod úroveň roku 2019) a ochlazení pracovního trhu signalizovala prakticky všechna hlavní odvětví. V meziročním srovnání ovšem růst zaměstnanosti zatím přetrvával, byť jeho tempo během dosavadní části roku postupně sláblo. V úhrnu za tři čtvrtletí přibylo proti loňsku 0,9 % (47 tis.) pracovníků</w:t>
            </w:r>
            <w:r>
              <w:rPr>
                <w:rStyle w:val="Znakapoznpodarou"/>
              </w:rPr>
              <w:footnoteReference w:id="3"/>
            </w:r>
            <w:r>
              <w:t>. Na vyšší zaměstnanosti se celou třetinou podílelo oživení podnikatelské činnosti. Stavy s</w:t>
            </w:r>
            <w:r>
              <w:rPr>
                <w:color w:val="0D0D0D" w:themeColor="text1" w:themeTint="F2"/>
                <w:spacing w:val="-4"/>
              </w:rPr>
              <w:t>ebezaměstnaných</w:t>
            </w:r>
            <w:r>
              <w:rPr>
                <w:rStyle w:val="Znakapoznpodarou"/>
                <w:spacing w:val="-5"/>
              </w:rPr>
              <w:footnoteReference w:id="4"/>
            </w:r>
            <w:r>
              <w:rPr>
                <w:color w:val="0D0D0D" w:themeColor="text1" w:themeTint="F2"/>
                <w:spacing w:val="-4"/>
              </w:rPr>
              <w:t xml:space="preserve"> se rozšířily o</w:t>
            </w:r>
            <w:r>
              <w:t> </w:t>
            </w:r>
            <w:r>
              <w:rPr>
                <w:color w:val="0D0D0D" w:themeColor="text1" w:themeTint="F2"/>
                <w:spacing w:val="-4"/>
              </w:rPr>
              <w:t>2,2 % (nejvíce po roce 2010), a to zejména díky stavebnictví (+7 tis.), relativně nejvíce jich pak přibylo i vlivem nižší loňské základny v informačních a komunikačních činnostech (+9</w:t>
            </w:r>
            <w:r>
              <w:t> </w:t>
            </w:r>
            <w:r>
              <w:rPr>
                <w:color w:val="0D0D0D" w:themeColor="text1" w:themeTint="F2"/>
                <w:spacing w:val="-4"/>
              </w:rPr>
              <w:t>%) a finančnictví (+6 %). Alespoň mírný růst počtu drobných podnikatelů nastal takřka ve všech hlavních odvětvích. Navzdory tomu setrvával jejich počet v letošním 3. čtvrtletí stále významně pod úrovní z roku 2019 (−5 %, 38 tis. osob)</w:t>
            </w:r>
            <w:r>
              <w:rPr>
                <w:rStyle w:val="Znakapoznpodarou"/>
                <w:color w:val="0D0D0D" w:themeColor="text1" w:themeTint="F2"/>
                <w:spacing w:val="-4"/>
              </w:rPr>
              <w:footnoteReference w:id="5"/>
            </w:r>
            <w:r>
              <w:rPr>
                <w:color w:val="0D0D0D" w:themeColor="text1" w:themeTint="F2"/>
                <w:spacing w:val="-4"/>
              </w:rPr>
              <w:t>.</w:t>
            </w:r>
          </w:p>
        </w:tc>
      </w:tr>
      <w:tr w:rsidR="00763B23" w:rsidRPr="00045F54" w14:paraId="19D4FAC4" w14:textId="77777777" w:rsidTr="000D7C6F">
        <w:trPr>
          <w:trHeight w:val="155"/>
        </w:trPr>
        <w:tc>
          <w:tcPr>
            <w:tcW w:w="1754" w:type="dxa"/>
            <w:shd w:val="clear" w:color="auto" w:fill="auto"/>
            <w:tcMar>
              <w:left w:w="0" w:type="dxa"/>
            </w:tcMar>
          </w:tcPr>
          <w:p w14:paraId="5A3AC825" w14:textId="77777777" w:rsidR="00763B23" w:rsidRDefault="00763B23" w:rsidP="000D7C6F">
            <w:pPr>
              <w:pStyle w:val="Marginlie"/>
              <w:spacing w:after="120"/>
              <w:rPr>
                <w:color w:val="0D0D0D" w:themeColor="text1" w:themeTint="F2"/>
                <w:spacing w:val="-4"/>
              </w:rPr>
            </w:pPr>
            <w:r>
              <w:rPr>
                <w:color w:val="0D0D0D" w:themeColor="text1" w:themeTint="F2"/>
                <w:spacing w:val="-4"/>
              </w:rPr>
              <w:t>Počet zaměstnanců se zvýšil téměř výhradně jen v terciárním sektoru. V rámci něj pokračoval dlouhodobě svižný růst zaměstnanosti ve veřejných službách a také v oblasti IT.</w:t>
            </w:r>
          </w:p>
        </w:tc>
        <w:tc>
          <w:tcPr>
            <w:tcW w:w="220" w:type="dxa"/>
            <w:shd w:val="clear" w:color="auto" w:fill="auto"/>
            <w:tcMar>
              <w:left w:w="0" w:type="dxa"/>
            </w:tcMar>
          </w:tcPr>
          <w:p w14:paraId="1C1D25B6"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253C6AAB" w14:textId="77777777" w:rsidR="00763B23" w:rsidRPr="00045F54" w:rsidRDefault="00763B23" w:rsidP="000D7C6F">
            <w:pPr>
              <w:rPr>
                <w:color w:val="0D0D0D" w:themeColor="text1" w:themeTint="F2"/>
                <w:spacing w:val="-4"/>
              </w:rPr>
            </w:pPr>
            <w:r w:rsidRPr="00045F54">
              <w:rPr>
                <w:color w:val="0D0D0D" w:themeColor="text1" w:themeTint="F2"/>
                <w:spacing w:val="-4"/>
              </w:rPr>
              <w:t>Samotných zaměstnanců přibylo v 1. až 3. čtvrtletí meziročně 0,7 % (z toho ve 3. čtvrtletí se jejich přírůstek z</w:t>
            </w:r>
            <w:r>
              <w:rPr>
                <w:color w:val="0D0D0D" w:themeColor="text1" w:themeTint="F2"/>
                <w:spacing w:val="-4"/>
              </w:rPr>
              <w:t>tenčil pod 10 tis., tedy na nejnižší hodnotu</w:t>
            </w:r>
            <w:r w:rsidRPr="00045F54">
              <w:rPr>
                <w:color w:val="0D0D0D" w:themeColor="text1" w:themeTint="F2"/>
                <w:spacing w:val="-4"/>
              </w:rPr>
              <w:t xml:space="preserve"> od vrcholu pandemie na počátku roku 2021). Ve zpracovatelském průmyslu se vlivem si</w:t>
            </w:r>
            <w:r>
              <w:rPr>
                <w:color w:val="0D0D0D" w:themeColor="text1" w:themeTint="F2"/>
                <w:spacing w:val="-4"/>
              </w:rPr>
              <w:t>lného růstu výrobních nákladů i</w:t>
            </w:r>
            <w:r w:rsidRPr="00045F54">
              <w:rPr>
                <w:color w:val="0D0D0D" w:themeColor="text1" w:themeTint="F2"/>
                <w:spacing w:val="-4"/>
              </w:rPr>
              <w:t> váznoucí zahraniční poptávky projevilo postupné zhoršování situace zaměstnanců a zejména energeticky náročné obory stále častěji přistupovaly k rušení pracovních míst</w:t>
            </w:r>
            <w:r w:rsidRPr="00045F54">
              <w:rPr>
                <w:rStyle w:val="Znakapoznpodarou"/>
                <w:color w:val="0D0D0D" w:themeColor="text1" w:themeTint="F2"/>
                <w:spacing w:val="-4"/>
              </w:rPr>
              <w:footnoteReference w:id="6"/>
            </w:r>
            <w:r>
              <w:rPr>
                <w:color w:val="0D0D0D" w:themeColor="text1" w:themeTint="F2"/>
                <w:spacing w:val="-4"/>
              </w:rPr>
              <w:t xml:space="preserve"> (v</w:t>
            </w:r>
            <w:r w:rsidRPr="00045F54">
              <w:rPr>
                <w:color w:val="0D0D0D" w:themeColor="text1" w:themeTint="F2"/>
                <w:spacing w:val="-4"/>
              </w:rPr>
              <w:t xml:space="preserve"> celém odvětví jich tak ubylo o 0,9 %). Rozvíjely se naopak služby, kde se počet zaměstnanců zvýšil o 1,3 % (37 tis.), byť i zde růstové tempo v průběhu roku sláblo. Ačkoli navyšování počtu pracovních míst mělo v terciárním sektoru z drtivé části plošný charakter, </w:t>
            </w:r>
            <w:r w:rsidRPr="00E2089B">
              <w:rPr>
                <w:color w:val="0D0D0D" w:themeColor="text1" w:themeTint="F2"/>
                <w:spacing w:val="-4"/>
              </w:rPr>
              <w:lastRenderedPageBreak/>
              <w:t>výrazně se v něm projevilo více než 2% posílení zaměstnanosti ve váhově významném segmentu veřejných služeb, kde vznikaly nové pozice v oblastech tradičně spojených s vysokým zastoupením žen (vzdělávání, zdravotní a sociální péče). Zaměstnanecká místa rostla svižným tempem i v dynamickém odvětví informačních a komunikačních činností obdobně jako v profesních, vědeckých, technických a administrativních činnostech, jež poskytují zejména náročnější služby pro podniky. Třetím rokem v řadě rostly počty zaměstnanců ve stavebnictví, letos bylo ale pro vývoj celkové zaměstnanosti v tomto odvětví významnější navýšení počtu podnikatelů. Výše uvedené odvětvové posuny se promítly do změny profesní skladby pracujících</w:t>
            </w:r>
            <w:r w:rsidRPr="00E2089B">
              <w:rPr>
                <w:rStyle w:val="Znakapoznpodarou"/>
                <w:color w:val="0D0D0D" w:themeColor="text1" w:themeTint="F2"/>
                <w:spacing w:val="-4"/>
              </w:rPr>
              <w:footnoteReference w:id="7"/>
            </w:r>
            <w:r w:rsidRPr="00E2089B">
              <w:rPr>
                <w:color w:val="0D0D0D" w:themeColor="text1" w:themeTint="F2"/>
                <w:spacing w:val="-4"/>
              </w:rPr>
              <w:t>.</w:t>
            </w:r>
          </w:p>
        </w:tc>
      </w:tr>
      <w:tr w:rsidR="00763B23" w:rsidRPr="00045F54" w14:paraId="084886A2" w14:textId="77777777" w:rsidTr="000D7C6F">
        <w:trPr>
          <w:trHeight w:val="155"/>
        </w:trPr>
        <w:tc>
          <w:tcPr>
            <w:tcW w:w="1754" w:type="dxa"/>
            <w:shd w:val="clear" w:color="auto" w:fill="auto"/>
            <w:tcMar>
              <w:left w:w="0" w:type="dxa"/>
            </w:tcMar>
          </w:tcPr>
          <w:p w14:paraId="1AA4E01C" w14:textId="77777777" w:rsidR="00763B23" w:rsidRDefault="00763B23" w:rsidP="000D7C6F">
            <w:pPr>
              <w:pStyle w:val="Marginlie"/>
              <w:spacing w:after="120"/>
              <w:rPr>
                <w:color w:val="0D0D0D" w:themeColor="text1" w:themeTint="F2"/>
                <w:spacing w:val="-4"/>
              </w:rPr>
            </w:pPr>
            <w:r>
              <w:rPr>
                <w:color w:val="0D0D0D" w:themeColor="text1" w:themeTint="F2"/>
                <w:spacing w:val="-4"/>
              </w:rPr>
              <w:lastRenderedPageBreak/>
              <w:t>Proti rychlejšímu růstu odpracovaných hodin působilo častější využívání zkrácených pracovních úvazků, zejména ve službách.</w:t>
            </w:r>
          </w:p>
        </w:tc>
        <w:tc>
          <w:tcPr>
            <w:tcW w:w="220" w:type="dxa"/>
            <w:shd w:val="clear" w:color="auto" w:fill="auto"/>
            <w:tcMar>
              <w:left w:w="0" w:type="dxa"/>
            </w:tcMar>
          </w:tcPr>
          <w:p w14:paraId="423660C6"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3B2B5429" w14:textId="77777777" w:rsidR="00763B23" w:rsidRPr="00045F54" w:rsidRDefault="00763B23" w:rsidP="000D7C6F">
            <w:pPr>
              <w:rPr>
                <w:color w:val="0D0D0D" w:themeColor="text1" w:themeTint="F2"/>
                <w:spacing w:val="-4"/>
              </w:rPr>
            </w:pPr>
            <w:r w:rsidRPr="00045F54">
              <w:rPr>
                <w:color w:val="0D0D0D" w:themeColor="text1" w:themeTint="F2"/>
                <w:spacing w:val="-4"/>
              </w:rPr>
              <w:t xml:space="preserve">Celkový počet odpracovaných hodin v ekonomice se letos v 1. až 3. čtvrtletí téměř vrátil na úroveň z roku 2019. Meziročně </w:t>
            </w:r>
            <w:r>
              <w:rPr>
                <w:color w:val="0D0D0D" w:themeColor="text1" w:themeTint="F2"/>
                <w:spacing w:val="-4"/>
              </w:rPr>
              <w:t xml:space="preserve">se </w:t>
            </w:r>
            <w:r w:rsidRPr="00045F54">
              <w:rPr>
                <w:color w:val="0D0D0D" w:themeColor="text1" w:themeTint="F2"/>
                <w:spacing w:val="-4"/>
              </w:rPr>
              <w:t>zvýšil o 0,6 %, když rostl srovnatelně jako celková zaměstnanost (po celý loňský rok přitom odpracovaná doba výrazně předbíhala tempo růstu zaměstnanosti). Proti svižnějšímu růstu odpracované doby letos působilo rozšiřování zkrácených pracovních úvazků (související s rostoucí zaměstnaností žen podpořenou uprchlickou vlnou i nově zavedeným daňovým zvýhodněním zkrácených úvazků)</w:t>
            </w:r>
            <w:r w:rsidRPr="00045F54">
              <w:rPr>
                <w:rStyle w:val="Znakapoznpodarou"/>
                <w:color w:val="0D0D0D" w:themeColor="text1" w:themeTint="F2"/>
                <w:spacing w:val="-4"/>
              </w:rPr>
              <w:footnoteReference w:id="8"/>
            </w:r>
            <w:r w:rsidRPr="00045F54">
              <w:rPr>
                <w:color w:val="0D0D0D" w:themeColor="text1" w:themeTint="F2"/>
                <w:spacing w:val="-4"/>
              </w:rPr>
              <w:t>. Růst odpracované doby významněji předbí</w:t>
            </w:r>
            <w:r>
              <w:rPr>
                <w:color w:val="0D0D0D" w:themeColor="text1" w:themeTint="F2"/>
                <w:spacing w:val="-4"/>
              </w:rPr>
              <w:t>hal dynamiku zaměstnanosti jen</w:t>
            </w:r>
            <w:r w:rsidRPr="00045F54">
              <w:rPr>
                <w:color w:val="0D0D0D" w:themeColor="text1" w:themeTint="F2"/>
                <w:spacing w:val="-4"/>
              </w:rPr>
              <w:t xml:space="preserve"> v průmyslu. V řadě </w:t>
            </w:r>
            <w:r w:rsidRPr="00045F54">
              <w:rPr>
                <w:color w:val="0D0D0D" w:themeColor="text1" w:themeTint="F2"/>
                <w:spacing w:val="-7"/>
              </w:rPr>
              <w:t>odvětví služeb, hlavně těch s vyššími nároky na kvalifikovanou pracovní sílu, tomu bylo naopak.</w:t>
            </w:r>
          </w:p>
        </w:tc>
      </w:tr>
      <w:tr w:rsidR="00763B23" w:rsidRPr="00FE39EE" w14:paraId="3E4C6D5F" w14:textId="77777777" w:rsidTr="000D7C6F">
        <w:trPr>
          <w:trHeight w:val="155"/>
        </w:trPr>
        <w:tc>
          <w:tcPr>
            <w:tcW w:w="1754" w:type="dxa"/>
            <w:shd w:val="clear" w:color="auto" w:fill="auto"/>
            <w:tcMar>
              <w:left w:w="0" w:type="dxa"/>
            </w:tcMar>
          </w:tcPr>
          <w:p w14:paraId="6161B13E" w14:textId="77777777" w:rsidR="00763B23" w:rsidRDefault="00763B23" w:rsidP="000D7C6F">
            <w:pPr>
              <w:pStyle w:val="Marginlie"/>
              <w:spacing w:after="120"/>
              <w:rPr>
                <w:color w:val="0D0D0D" w:themeColor="text1" w:themeTint="F2"/>
                <w:spacing w:val="-4"/>
              </w:rPr>
            </w:pPr>
            <w:r>
              <w:rPr>
                <w:color w:val="0D0D0D" w:themeColor="text1" w:themeTint="F2"/>
                <w:spacing w:val="-4"/>
              </w:rPr>
              <w:t>Počet cizinců v zaměstnaneckém postavení činil v říjnu 826 tis. O jeho meziroční přírůstek se skoro ze dvou třetin zasloužili Ukrajinci.</w:t>
            </w:r>
          </w:p>
        </w:tc>
        <w:tc>
          <w:tcPr>
            <w:tcW w:w="220" w:type="dxa"/>
            <w:shd w:val="clear" w:color="auto" w:fill="auto"/>
            <w:tcMar>
              <w:left w:w="0" w:type="dxa"/>
            </w:tcMar>
          </w:tcPr>
          <w:p w14:paraId="7BD980CB"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622EF3D0" w14:textId="77777777" w:rsidR="00763B23" w:rsidRPr="00FE39EE" w:rsidRDefault="00763B23" w:rsidP="000D7C6F">
            <w:pPr>
              <w:rPr>
                <w:color w:val="0D0D0D" w:themeColor="text1" w:themeTint="F2"/>
                <w:spacing w:val="-4"/>
              </w:rPr>
            </w:pPr>
            <w:r>
              <w:rPr>
                <w:color w:val="0D0D0D" w:themeColor="text1" w:themeTint="F2"/>
                <w:spacing w:val="-6"/>
              </w:rPr>
              <w:t>S ohledem na dlouhodobě značně omezený rezervoár</w:t>
            </w:r>
            <w:r w:rsidRPr="00031007">
              <w:rPr>
                <w:color w:val="0D0D0D" w:themeColor="text1" w:themeTint="F2"/>
                <w:spacing w:val="-6"/>
              </w:rPr>
              <w:t xml:space="preserve"> volných </w:t>
            </w:r>
            <w:r>
              <w:rPr>
                <w:color w:val="0D0D0D" w:themeColor="text1" w:themeTint="F2"/>
                <w:spacing w:val="-6"/>
              </w:rPr>
              <w:t>pracovních sil v Česku i sílící tlak firem</w:t>
            </w:r>
            <w:r w:rsidRPr="00031007">
              <w:rPr>
                <w:color w:val="0D0D0D" w:themeColor="text1" w:themeTint="F2"/>
                <w:spacing w:val="-6"/>
              </w:rPr>
              <w:t xml:space="preserve"> na </w:t>
            </w:r>
            <w:r w:rsidRPr="00EC70E1">
              <w:rPr>
                <w:color w:val="0D0D0D" w:themeColor="text1" w:themeTint="F2"/>
                <w:spacing w:val="-6"/>
              </w:rPr>
              <w:t xml:space="preserve">optimalizaci výrobních nákladů </w:t>
            </w:r>
            <w:r>
              <w:rPr>
                <w:color w:val="0D0D0D" w:themeColor="text1" w:themeTint="F2"/>
                <w:spacing w:val="-6"/>
              </w:rPr>
              <w:t xml:space="preserve">poptávali </w:t>
            </w:r>
            <w:r w:rsidRPr="00EC70E1">
              <w:rPr>
                <w:color w:val="0D0D0D" w:themeColor="text1" w:themeTint="F2"/>
                <w:spacing w:val="-6"/>
              </w:rPr>
              <w:t xml:space="preserve">tuzemští zaměstnavatelé </w:t>
            </w:r>
            <w:r>
              <w:rPr>
                <w:color w:val="0D0D0D" w:themeColor="text1" w:themeTint="F2"/>
                <w:spacing w:val="-6"/>
              </w:rPr>
              <w:t>nadále</w:t>
            </w:r>
            <w:r w:rsidRPr="00EC70E1">
              <w:rPr>
                <w:color w:val="0D0D0D" w:themeColor="text1" w:themeTint="F2"/>
                <w:spacing w:val="-6"/>
              </w:rPr>
              <w:t xml:space="preserve"> </w:t>
            </w:r>
            <w:r>
              <w:rPr>
                <w:color w:val="0D0D0D" w:themeColor="text1" w:themeTint="F2"/>
                <w:spacing w:val="-6"/>
              </w:rPr>
              <w:t xml:space="preserve">intenzivně </w:t>
            </w:r>
            <w:r w:rsidRPr="00EC70E1">
              <w:rPr>
                <w:color w:val="0D0D0D" w:themeColor="text1" w:themeTint="F2"/>
                <w:spacing w:val="-6"/>
              </w:rPr>
              <w:t>nové pracovníky ze zahraničí.</w:t>
            </w:r>
            <w:r>
              <w:rPr>
                <w:color w:val="0D0D0D" w:themeColor="text1" w:themeTint="F2"/>
                <w:spacing w:val="-6"/>
              </w:rPr>
              <w:t xml:space="preserve"> Snadnějšímu zaměstnávání cizinců pomáhají legislativní změny snižující administrativní náročnost v této oblasti. Po dočasném zpomalení přílivu zahraničních pracovníků do ČR na počátku letošního roku došlo ve 2. i 3. čtvrtletí opět k výraznějšímu nárůstu registrací. </w:t>
            </w:r>
            <w:r>
              <w:t>Letos na konci října pracovalo (</w:t>
            </w:r>
            <w:r w:rsidRPr="00031007">
              <w:rPr>
                <w:color w:val="0D0D0D" w:themeColor="text1" w:themeTint="F2"/>
                <w:spacing w:val="-6"/>
              </w:rPr>
              <w:t xml:space="preserve">dle evidence úřadů práce) </w:t>
            </w:r>
            <w:r>
              <w:t xml:space="preserve">v zaměstnaneckém postavení v ČR rekordních </w:t>
            </w:r>
            <w:r>
              <w:rPr>
                <w:rStyle w:val="normaltextrun"/>
                <w:rFonts w:eastAsia="MS Gothic" w:cs="Arial"/>
                <w:szCs w:val="20"/>
              </w:rPr>
              <w:t>826 tis. cizinců v zaměstnaneckém postavení</w:t>
            </w:r>
            <w:r>
              <w:rPr>
                <w:rStyle w:val="Znakapoznpodarou"/>
                <w:rFonts w:eastAsia="MS Gothic"/>
                <w:szCs w:val="20"/>
              </w:rPr>
              <w:footnoteReference w:id="9"/>
            </w:r>
            <w:r>
              <w:rPr>
                <w:rStyle w:val="normaltextrun"/>
                <w:rFonts w:eastAsia="MS Gothic" w:cs="Arial"/>
                <w:szCs w:val="20"/>
              </w:rPr>
              <w:t xml:space="preserve"> (z toho 287 tis. z Ukrajiny, z nich 151 tis. žen), meziročně stoupl počet všech cizinců o 32 tis. (za dva roky bezmála o 100 tis.), z toho z Ukrajiny o 19 tis., z nich žen o 11 tis</w:t>
            </w:r>
            <w:r>
              <w:rPr>
                <w:rStyle w:val="Znakapoznpodarou"/>
              </w:rPr>
              <w:footnoteReference w:id="10"/>
            </w:r>
            <w:r>
              <w:rPr>
                <w:rStyle w:val="normaltextrun"/>
                <w:rFonts w:eastAsia="MS Gothic" w:cs="Arial"/>
                <w:szCs w:val="20"/>
              </w:rPr>
              <w:t xml:space="preserve">. </w:t>
            </w:r>
            <w:r>
              <w:t>Přírůstek ostatních skupin cizinců byl za stejné období řádově nižší</w:t>
            </w:r>
            <w:r>
              <w:rPr>
                <w:rStyle w:val="Znakapoznpodarou"/>
              </w:rPr>
              <w:footnoteReference w:id="11"/>
            </w:r>
            <w:r>
              <w:t>. Plynule a konstantním tempem v posledních letech roste počet cizinců, kteří jsou držiteli živnostenského oprávnění</w:t>
            </w:r>
            <w:r>
              <w:rPr>
                <w:rStyle w:val="Znakapoznpodarou"/>
              </w:rPr>
              <w:footnoteReference w:id="12"/>
            </w:r>
            <w:r>
              <w:t>. Mezi nimi se (ve srovnání s cizinci v zaměstnaneckém postavení) častěji vyskytují lidé dlouhodobě usazeni v České republice.</w:t>
            </w:r>
          </w:p>
        </w:tc>
      </w:tr>
      <w:tr w:rsidR="00763B23" w:rsidRPr="00031007" w14:paraId="16DF5332" w14:textId="77777777" w:rsidTr="000D7C6F">
        <w:trPr>
          <w:trHeight w:val="155"/>
        </w:trPr>
        <w:tc>
          <w:tcPr>
            <w:tcW w:w="1754" w:type="dxa"/>
            <w:shd w:val="clear" w:color="auto" w:fill="auto"/>
            <w:tcMar>
              <w:left w:w="0" w:type="dxa"/>
            </w:tcMar>
          </w:tcPr>
          <w:p w14:paraId="150CA430" w14:textId="77777777" w:rsidR="00763B23" w:rsidRDefault="00763B23" w:rsidP="000D7C6F">
            <w:pPr>
              <w:pStyle w:val="Marginlie"/>
              <w:rPr>
                <w:color w:val="0D0D0D" w:themeColor="text1" w:themeTint="F2"/>
                <w:spacing w:val="-4"/>
              </w:rPr>
            </w:pPr>
            <w:r>
              <w:rPr>
                <w:color w:val="0D0D0D" w:themeColor="text1" w:themeTint="F2"/>
                <w:spacing w:val="-4"/>
              </w:rPr>
              <w:t>Očekávání podniků v oblasti zaměstnanosti se stabilizovala. Mírný optimismus si udržovali obchodníci, opačně na tom byl průmysl i služby.</w:t>
            </w:r>
          </w:p>
          <w:p w14:paraId="210394A4" w14:textId="77777777" w:rsidR="00763B23" w:rsidRDefault="00763B23" w:rsidP="000D7C6F">
            <w:pPr>
              <w:pStyle w:val="Marginlie"/>
              <w:spacing w:after="120"/>
              <w:rPr>
                <w:color w:val="0D0D0D" w:themeColor="text1" w:themeTint="F2"/>
                <w:spacing w:val="-4"/>
              </w:rPr>
            </w:pPr>
          </w:p>
        </w:tc>
        <w:tc>
          <w:tcPr>
            <w:tcW w:w="220" w:type="dxa"/>
            <w:shd w:val="clear" w:color="auto" w:fill="auto"/>
            <w:tcMar>
              <w:left w:w="0" w:type="dxa"/>
            </w:tcMar>
          </w:tcPr>
          <w:p w14:paraId="216A0AD5"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7C2E4A24" w14:textId="2AFFFB2F" w:rsidR="00763B23" w:rsidRPr="00031007" w:rsidRDefault="00763B23" w:rsidP="000D7C6F">
            <w:pPr>
              <w:rPr>
                <w:color w:val="0D0D0D" w:themeColor="text1" w:themeTint="F2"/>
                <w:spacing w:val="-6"/>
              </w:rPr>
            </w:pPr>
            <w:r w:rsidRPr="00637595">
              <w:rPr>
                <w:color w:val="0D0D0D" w:themeColor="text1" w:themeTint="F2"/>
                <w:spacing w:val="-4"/>
              </w:rPr>
              <w:t>Krátkodobá očekávání podniků v </w:t>
            </w:r>
            <w:r w:rsidRPr="00A60C4D">
              <w:rPr>
                <w:color w:val="0D0D0D" w:themeColor="text1" w:themeTint="F2"/>
                <w:spacing w:val="-4"/>
              </w:rPr>
              <w:t>celé ekonomice v oblasti zaměstnanosti</w:t>
            </w:r>
            <w:r>
              <w:rPr>
                <w:color w:val="0D0D0D" w:themeColor="text1" w:themeTint="F2"/>
                <w:spacing w:val="-4"/>
              </w:rPr>
              <w:t xml:space="preserve"> se od letošního února (kdy klesla na dvouleté minimum) stabilizovala. Pesimismus podnikatelů se v žádném z hlavních odvětví již významně neprohluboval. Dle údajů z listopadu 2023 </w:t>
            </w:r>
            <w:r>
              <w:rPr>
                <w:rStyle w:val="eop"/>
                <w:rFonts w:eastAsia="MS Gothic" w:cs="Arial"/>
                <w:szCs w:val="20"/>
              </w:rPr>
              <w:t>uvažovala o</w:t>
            </w:r>
            <w:r>
              <w:t> </w:t>
            </w:r>
            <w:r>
              <w:rPr>
                <w:rStyle w:val="eop"/>
                <w:rFonts w:eastAsia="MS Gothic" w:cs="Arial"/>
                <w:szCs w:val="20"/>
              </w:rPr>
              <w:t>propuštění pracovníků šestina podniků v průmyslu, ale i ve stavebnictví a</w:t>
            </w:r>
            <w:r w:rsidRPr="00637595">
              <w:rPr>
                <w:color w:val="0D0D0D" w:themeColor="text1" w:themeTint="F2"/>
                <w:spacing w:val="-4"/>
              </w:rPr>
              <w:t> </w:t>
            </w:r>
            <w:r>
              <w:rPr>
                <w:rStyle w:val="eop"/>
                <w:rFonts w:eastAsia="MS Gothic" w:cs="Arial"/>
                <w:szCs w:val="20"/>
              </w:rPr>
              <w:t>čtvrtina firem ve službách. V obchodě šlo ovšem jen o 10 % firem, naopak nabírání zaměstnanců zde plánovalo 23 %</w:t>
            </w:r>
            <w:r>
              <w:rPr>
                <w:color w:val="0D0D0D" w:themeColor="text1" w:themeTint="F2"/>
                <w:spacing w:val="-4"/>
              </w:rPr>
              <w:t xml:space="preserve"> (obchodní podniky si udržovaly pozitivní výhled i přes přetrvávající slabou spotřebu domácností). Situace na úrovni dílčích odvětví v rámci průmyslu i služeb se </w:t>
            </w:r>
            <w:r w:rsidRPr="007B5F31">
              <w:rPr>
                <w:color w:val="0D0D0D" w:themeColor="text1" w:themeTint="F2"/>
                <w:spacing w:val="-4"/>
              </w:rPr>
              <w:lastRenderedPageBreak/>
              <w:t>odlišovala</w:t>
            </w:r>
            <w:r w:rsidRPr="007B5F31">
              <w:rPr>
                <w:rStyle w:val="Znakapoznpodarou"/>
                <w:color w:val="0D0D0D" w:themeColor="text1" w:themeTint="F2"/>
                <w:spacing w:val="-4"/>
              </w:rPr>
              <w:footnoteReference w:id="13"/>
            </w:r>
            <w:r w:rsidRPr="007B5F31">
              <w:rPr>
                <w:color w:val="0D0D0D" w:themeColor="text1" w:themeTint="F2"/>
                <w:spacing w:val="-4"/>
              </w:rPr>
              <w:t xml:space="preserve">. Vlivem </w:t>
            </w:r>
            <w:r>
              <w:rPr>
                <w:color w:val="0D0D0D" w:themeColor="text1" w:themeTint="F2"/>
                <w:spacing w:val="-4"/>
              </w:rPr>
              <w:t>zhoršování</w:t>
            </w:r>
            <w:r w:rsidRPr="00A60C4D">
              <w:rPr>
                <w:color w:val="0D0D0D" w:themeColor="text1" w:themeTint="F2"/>
                <w:spacing w:val="-4"/>
              </w:rPr>
              <w:t xml:space="preserve"> celkových ekonomických výhledů</w:t>
            </w:r>
            <w:r>
              <w:rPr>
                <w:color w:val="0D0D0D" w:themeColor="text1" w:themeTint="F2"/>
                <w:spacing w:val="-4"/>
              </w:rPr>
              <w:t xml:space="preserve"> i silného přílivu osob z Ukrajiny na tuzemský pracovní trh klesal ve většině</w:t>
            </w:r>
            <w:r w:rsidRPr="00A60C4D">
              <w:rPr>
                <w:color w:val="0D0D0D" w:themeColor="text1" w:themeTint="F2"/>
                <w:spacing w:val="-4"/>
              </w:rPr>
              <w:t xml:space="preserve"> </w:t>
            </w:r>
            <w:r>
              <w:rPr>
                <w:color w:val="0D0D0D" w:themeColor="text1" w:themeTint="F2"/>
                <w:spacing w:val="-4"/>
              </w:rPr>
              <w:t>hlavních odvětví</w:t>
            </w:r>
            <w:r w:rsidRPr="00A60C4D">
              <w:rPr>
                <w:color w:val="0D0D0D" w:themeColor="text1" w:themeTint="F2"/>
                <w:spacing w:val="-4"/>
              </w:rPr>
              <w:t xml:space="preserve"> </w:t>
            </w:r>
            <w:r>
              <w:rPr>
                <w:color w:val="0D0D0D" w:themeColor="text1" w:themeTint="F2"/>
                <w:spacing w:val="-4"/>
              </w:rPr>
              <w:t>podíl</w:t>
            </w:r>
            <w:r w:rsidRPr="00A60C4D">
              <w:rPr>
                <w:color w:val="0D0D0D" w:themeColor="text1" w:themeTint="F2"/>
                <w:spacing w:val="-4"/>
              </w:rPr>
              <w:t xml:space="preserve"> podniků, pro něž představuje nedostatek pracovní síly jednu z </w:t>
            </w:r>
            <w:r>
              <w:rPr>
                <w:color w:val="0D0D0D" w:themeColor="text1" w:themeTint="F2"/>
                <w:spacing w:val="-4"/>
              </w:rPr>
              <w:t>významných růstových bariér – nejvíce ve stavebnictví.</w:t>
            </w:r>
          </w:p>
        </w:tc>
      </w:tr>
      <w:tr w:rsidR="00763B23" w:rsidRPr="00CA5850" w14:paraId="13C9DC8F" w14:textId="77777777" w:rsidTr="000D7C6F">
        <w:trPr>
          <w:trHeight w:val="155"/>
        </w:trPr>
        <w:tc>
          <w:tcPr>
            <w:tcW w:w="1754" w:type="dxa"/>
            <w:vMerge w:val="restart"/>
            <w:shd w:val="clear" w:color="auto" w:fill="auto"/>
            <w:tcMar>
              <w:left w:w="0" w:type="dxa"/>
            </w:tcMar>
          </w:tcPr>
          <w:p w14:paraId="1087726B" w14:textId="77777777" w:rsidR="00763B23" w:rsidRPr="00B43216" w:rsidRDefault="00763B23" w:rsidP="000D7C6F">
            <w:pPr>
              <w:pStyle w:val="Marginlie"/>
              <w:spacing w:after="120"/>
              <w:rPr>
                <w:spacing w:val="-4"/>
              </w:rPr>
            </w:pPr>
          </w:p>
        </w:tc>
        <w:tc>
          <w:tcPr>
            <w:tcW w:w="220" w:type="dxa"/>
            <w:vMerge w:val="restart"/>
            <w:shd w:val="clear" w:color="auto" w:fill="auto"/>
            <w:tcMar>
              <w:left w:w="0" w:type="dxa"/>
            </w:tcMar>
          </w:tcPr>
          <w:p w14:paraId="373D30C3" w14:textId="77777777" w:rsidR="00763B23" w:rsidRPr="00B43216" w:rsidRDefault="00763B23" w:rsidP="000D7C6F">
            <w:pPr>
              <w:pStyle w:val="Textpoznpodarou"/>
              <w:spacing w:after="120"/>
              <w:jc w:val="both"/>
              <w:rPr>
                <w:spacing w:val="-4"/>
              </w:rPr>
            </w:pPr>
          </w:p>
        </w:tc>
        <w:tc>
          <w:tcPr>
            <w:tcW w:w="7700" w:type="dxa"/>
            <w:shd w:val="clear" w:color="auto" w:fill="auto"/>
            <w:tcMar>
              <w:left w:w="0" w:type="dxa"/>
            </w:tcMar>
          </w:tcPr>
          <w:p w14:paraId="41848407" w14:textId="77777777" w:rsidR="00763B23" w:rsidRPr="00CA5850" w:rsidRDefault="00763B23" w:rsidP="000D7C6F">
            <w:pPr>
              <w:spacing w:after="0"/>
              <w:rPr>
                <w:spacing w:val="-2"/>
              </w:rPr>
            </w:pPr>
            <w:r>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763B23" w:rsidRPr="00B43216" w14:paraId="6C756C67" w14:textId="77777777" w:rsidTr="000D7C6F">
        <w:tblPrEx>
          <w:tblCellMar>
            <w:left w:w="70" w:type="dxa"/>
            <w:right w:w="70" w:type="dxa"/>
          </w:tblCellMar>
        </w:tblPrEx>
        <w:trPr>
          <w:trHeight w:val="155"/>
        </w:trPr>
        <w:tc>
          <w:tcPr>
            <w:tcW w:w="1754" w:type="dxa"/>
            <w:vMerge/>
            <w:shd w:val="clear" w:color="auto" w:fill="auto"/>
          </w:tcPr>
          <w:p w14:paraId="421F0F86" w14:textId="77777777" w:rsidR="00763B23" w:rsidRPr="00B43216" w:rsidRDefault="00763B23" w:rsidP="000D7C6F">
            <w:pPr>
              <w:pStyle w:val="Marginlie"/>
              <w:spacing w:after="120"/>
              <w:rPr>
                <w:spacing w:val="-4"/>
              </w:rPr>
            </w:pPr>
          </w:p>
        </w:tc>
        <w:tc>
          <w:tcPr>
            <w:tcW w:w="220" w:type="dxa"/>
            <w:vMerge/>
            <w:shd w:val="clear" w:color="auto" w:fill="auto"/>
          </w:tcPr>
          <w:p w14:paraId="3CA35CA6" w14:textId="77777777" w:rsidR="00763B23" w:rsidRPr="00B43216" w:rsidRDefault="00763B23" w:rsidP="000D7C6F">
            <w:pPr>
              <w:pStyle w:val="Textpoznpodarou"/>
              <w:spacing w:after="120"/>
              <w:jc w:val="both"/>
              <w:rPr>
                <w:spacing w:val="-4"/>
              </w:rPr>
            </w:pPr>
          </w:p>
        </w:tc>
        <w:tc>
          <w:tcPr>
            <w:tcW w:w="7700" w:type="dxa"/>
            <w:shd w:val="clear" w:color="auto" w:fill="auto"/>
          </w:tcPr>
          <w:p w14:paraId="62262565" w14:textId="77777777" w:rsidR="00763B23" w:rsidRPr="00B43216" w:rsidRDefault="00763B23" w:rsidP="000D7C6F">
            <w:pPr>
              <w:spacing w:after="0"/>
              <w:rPr>
                <w:spacing w:val="-4"/>
              </w:rPr>
            </w:pPr>
            <w:r>
              <w:rPr>
                <w:noProof/>
              </w:rPr>
              <w:drawing>
                <wp:inline distT="0" distB="0" distL="0" distR="0" wp14:anchorId="66FDC298" wp14:editId="301F3369">
                  <wp:extent cx="4678844" cy="3812048"/>
                  <wp:effectExtent l="0" t="0" r="762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63B23" w:rsidRPr="00485ED5" w14:paraId="47A71FC8" w14:textId="77777777" w:rsidTr="000D7C6F">
        <w:trPr>
          <w:trHeight w:val="671"/>
        </w:trPr>
        <w:tc>
          <w:tcPr>
            <w:tcW w:w="1754" w:type="dxa"/>
            <w:vMerge/>
            <w:shd w:val="clear" w:color="auto" w:fill="auto"/>
            <w:tcMar>
              <w:left w:w="0" w:type="dxa"/>
            </w:tcMar>
          </w:tcPr>
          <w:p w14:paraId="6FCCAE04" w14:textId="77777777" w:rsidR="00763B23" w:rsidRPr="00B43216" w:rsidRDefault="00763B23" w:rsidP="000D7C6F">
            <w:pPr>
              <w:pStyle w:val="Marginlie"/>
              <w:spacing w:after="120"/>
              <w:rPr>
                <w:spacing w:val="-4"/>
              </w:rPr>
            </w:pPr>
          </w:p>
        </w:tc>
        <w:tc>
          <w:tcPr>
            <w:tcW w:w="220" w:type="dxa"/>
            <w:vMerge/>
            <w:shd w:val="clear" w:color="auto" w:fill="auto"/>
            <w:tcMar>
              <w:left w:w="0" w:type="dxa"/>
            </w:tcMar>
          </w:tcPr>
          <w:p w14:paraId="1A3CC05F" w14:textId="77777777" w:rsidR="00763B23" w:rsidRPr="00B43216" w:rsidRDefault="00763B23" w:rsidP="000D7C6F">
            <w:pPr>
              <w:pStyle w:val="Textpoznpodarou"/>
              <w:spacing w:after="120"/>
              <w:jc w:val="both"/>
              <w:rPr>
                <w:spacing w:val="-4"/>
              </w:rPr>
            </w:pPr>
          </w:p>
        </w:tc>
        <w:tc>
          <w:tcPr>
            <w:tcW w:w="7700" w:type="dxa"/>
            <w:shd w:val="clear" w:color="auto" w:fill="auto"/>
            <w:tcMar>
              <w:left w:w="0" w:type="dxa"/>
            </w:tcMar>
          </w:tcPr>
          <w:p w14:paraId="27ACCC2A" w14:textId="77777777" w:rsidR="00763B23" w:rsidRDefault="00763B23" w:rsidP="000D7C6F">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2B211DF5" w14:textId="77777777" w:rsidR="00763B23" w:rsidRDefault="00763B23" w:rsidP="000D7C6F">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30870A69" w14:textId="77777777" w:rsidR="00763B23" w:rsidRPr="00485ED5" w:rsidRDefault="00763B23" w:rsidP="000D7C6F">
            <w:pPr>
              <w:spacing w:after="200" w:line="240" w:lineRule="auto"/>
              <w:rPr>
                <w:rFonts w:cs="Arial"/>
                <w:color w:val="0D0D0D" w:themeColor="text1" w:themeTint="F2"/>
                <w:spacing w:val="-2"/>
                <w:sz w:val="14"/>
                <w:szCs w:val="14"/>
              </w:rPr>
            </w:pPr>
            <w:r>
              <w:rPr>
                <w:rFonts w:cs="Arial"/>
                <w:sz w:val="14"/>
                <w:szCs w:val="14"/>
              </w:rPr>
              <w:t>Zdroj: ČSÚ (národní účty), Eurostat (konjunkturální průzkumy).</w:t>
            </w:r>
          </w:p>
        </w:tc>
      </w:tr>
      <w:tr w:rsidR="00763B23" w:rsidRPr="00514822" w14:paraId="01133841" w14:textId="77777777" w:rsidTr="000D7C6F">
        <w:trPr>
          <w:trHeight w:val="145"/>
        </w:trPr>
        <w:tc>
          <w:tcPr>
            <w:tcW w:w="1754" w:type="dxa"/>
            <w:shd w:val="clear" w:color="auto" w:fill="auto"/>
            <w:tcMar>
              <w:left w:w="0" w:type="dxa"/>
            </w:tcMar>
          </w:tcPr>
          <w:p w14:paraId="717B19FD" w14:textId="77777777" w:rsidR="00763B23" w:rsidRDefault="00763B23" w:rsidP="000D7C6F">
            <w:pPr>
              <w:pStyle w:val="Marginlie"/>
              <w:rPr>
                <w:color w:val="0D0D0D" w:themeColor="text1" w:themeTint="F2"/>
                <w:spacing w:val="-5"/>
              </w:rPr>
            </w:pPr>
            <w:r>
              <w:rPr>
                <w:color w:val="0D0D0D" w:themeColor="text1" w:themeTint="F2"/>
                <w:spacing w:val="-5"/>
              </w:rPr>
              <w:t>Obecná míra nezaměstnanosti se letos zvyšovala jen mírně. I tak dosáhla v říjnu nejvýše za posledních dva a půl roku.</w:t>
            </w:r>
          </w:p>
          <w:p w14:paraId="1AA0F30D" w14:textId="77777777" w:rsidR="00763B23" w:rsidRDefault="00763B23" w:rsidP="000D7C6F">
            <w:pPr>
              <w:pStyle w:val="Marginlie"/>
              <w:rPr>
                <w:color w:val="0D0D0D" w:themeColor="text1" w:themeTint="F2"/>
                <w:spacing w:val="-5"/>
              </w:rPr>
            </w:pPr>
            <w:r>
              <w:rPr>
                <w:color w:val="0D0D0D" w:themeColor="text1" w:themeTint="F2"/>
                <w:spacing w:val="-5"/>
              </w:rPr>
              <w:lastRenderedPageBreak/>
              <w:t xml:space="preserve">Počet volných pracovních míst v ekonomice se začal meziročně snižovat. Rostla velikost potenciální pracovní mezery. </w:t>
            </w:r>
          </w:p>
          <w:p w14:paraId="2B99022E" w14:textId="77777777" w:rsidR="00763B23" w:rsidRDefault="00763B23" w:rsidP="000D7C6F">
            <w:pPr>
              <w:pStyle w:val="Marginlie"/>
              <w:rPr>
                <w:color w:val="0D0D0D" w:themeColor="text1" w:themeTint="F2"/>
                <w:spacing w:val="-5"/>
              </w:rPr>
            </w:pPr>
          </w:p>
          <w:p w14:paraId="27F56AFD" w14:textId="77777777" w:rsidR="00763B23" w:rsidRDefault="00763B23" w:rsidP="000D7C6F">
            <w:pPr>
              <w:pStyle w:val="Marginlie"/>
              <w:rPr>
                <w:color w:val="0D0D0D" w:themeColor="text1" w:themeTint="F2"/>
                <w:spacing w:val="-5"/>
              </w:rPr>
            </w:pPr>
          </w:p>
          <w:p w14:paraId="0D16424E" w14:textId="77777777" w:rsidR="00763B23" w:rsidRDefault="00763B23" w:rsidP="000D7C6F">
            <w:pPr>
              <w:pStyle w:val="Marginlie"/>
              <w:rPr>
                <w:color w:val="0D0D0D" w:themeColor="text1" w:themeTint="F2"/>
                <w:spacing w:val="-5"/>
              </w:rPr>
            </w:pPr>
          </w:p>
          <w:p w14:paraId="29FA6E5F" w14:textId="77777777" w:rsidR="00763B23" w:rsidRDefault="00763B23" w:rsidP="000D7C6F">
            <w:pPr>
              <w:pStyle w:val="Marginlie"/>
              <w:rPr>
                <w:color w:val="0D0D0D" w:themeColor="text1" w:themeTint="F2"/>
                <w:spacing w:val="-5"/>
              </w:rPr>
            </w:pPr>
          </w:p>
          <w:p w14:paraId="076909A8" w14:textId="77777777" w:rsidR="00763B23" w:rsidRDefault="00763B23" w:rsidP="000D7C6F">
            <w:pPr>
              <w:pStyle w:val="Marginlie"/>
              <w:rPr>
                <w:color w:val="0D0D0D" w:themeColor="text1" w:themeTint="F2"/>
                <w:spacing w:val="-5"/>
              </w:rPr>
            </w:pPr>
          </w:p>
          <w:p w14:paraId="63A42F05" w14:textId="77777777" w:rsidR="00763B23" w:rsidRDefault="00763B23" w:rsidP="000D7C6F">
            <w:pPr>
              <w:pStyle w:val="Marginlie"/>
              <w:rPr>
                <w:color w:val="0D0D0D" w:themeColor="text1" w:themeTint="F2"/>
                <w:spacing w:val="-5"/>
              </w:rPr>
            </w:pPr>
          </w:p>
          <w:p w14:paraId="2CACCD7A" w14:textId="77777777" w:rsidR="00763B23" w:rsidRDefault="00763B23" w:rsidP="000D7C6F">
            <w:pPr>
              <w:pStyle w:val="Marginlie"/>
              <w:rPr>
                <w:color w:val="0D0D0D" w:themeColor="text1" w:themeTint="F2"/>
                <w:spacing w:val="-5"/>
              </w:rPr>
            </w:pPr>
          </w:p>
          <w:p w14:paraId="7C53820E" w14:textId="77777777" w:rsidR="00763B23" w:rsidRDefault="00763B23" w:rsidP="000D7C6F">
            <w:pPr>
              <w:pStyle w:val="Marginlie"/>
              <w:rPr>
                <w:color w:val="0D0D0D" w:themeColor="text1" w:themeTint="F2"/>
                <w:spacing w:val="-5"/>
              </w:rPr>
            </w:pPr>
          </w:p>
          <w:p w14:paraId="2AB150E4" w14:textId="77777777" w:rsidR="00763B23" w:rsidRDefault="00763B23" w:rsidP="000D7C6F">
            <w:pPr>
              <w:pStyle w:val="Marginlie"/>
              <w:rPr>
                <w:color w:val="0D0D0D" w:themeColor="text1" w:themeTint="F2"/>
                <w:spacing w:val="-5"/>
              </w:rPr>
            </w:pPr>
          </w:p>
          <w:p w14:paraId="6F7913C4" w14:textId="77777777" w:rsidR="00763B23" w:rsidRDefault="00763B23" w:rsidP="000D7C6F">
            <w:pPr>
              <w:pStyle w:val="Marginlie"/>
              <w:rPr>
                <w:color w:val="0D0D0D" w:themeColor="text1" w:themeTint="F2"/>
                <w:spacing w:val="-5"/>
              </w:rPr>
            </w:pPr>
            <w:r>
              <w:rPr>
                <w:color w:val="0D0D0D" w:themeColor="text1" w:themeTint="F2"/>
                <w:spacing w:val="-5"/>
              </w:rPr>
              <w:t>Obavy lidí z vývoje nezaměstnanosti slábly.</w:t>
            </w:r>
          </w:p>
        </w:tc>
        <w:tc>
          <w:tcPr>
            <w:tcW w:w="220" w:type="dxa"/>
            <w:shd w:val="clear" w:color="auto" w:fill="auto"/>
            <w:tcMar>
              <w:left w:w="0" w:type="dxa"/>
            </w:tcMar>
          </w:tcPr>
          <w:p w14:paraId="12F83759" w14:textId="77777777" w:rsidR="00763B23" w:rsidRPr="00EC1398"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57700F99" w14:textId="77777777" w:rsidR="00763B23" w:rsidRPr="00514822" w:rsidRDefault="00763B23" w:rsidP="000D7C6F">
            <w:pPr>
              <w:spacing w:after="200"/>
              <w:rPr>
                <w:color w:val="0D0D0D" w:themeColor="text1" w:themeTint="F2"/>
                <w:spacing w:val="-4"/>
              </w:rPr>
            </w:pPr>
            <w:r w:rsidRPr="00CA570D">
              <w:rPr>
                <w:color w:val="0D0D0D" w:themeColor="text1" w:themeTint="F2"/>
                <w:spacing w:val="-6"/>
              </w:rPr>
              <w:t>Obecná míra nezaměstnanosti</w:t>
            </w:r>
            <w:r w:rsidRPr="00CA570D">
              <w:rPr>
                <w:rStyle w:val="Znakapoznpodarou"/>
                <w:color w:val="0D0D0D" w:themeColor="text1" w:themeTint="F2"/>
                <w:spacing w:val="-6"/>
              </w:rPr>
              <w:footnoteReference w:id="14"/>
            </w:r>
            <w:r w:rsidRPr="00CA570D">
              <w:rPr>
                <w:color w:val="0D0D0D" w:themeColor="text1" w:themeTint="F2"/>
                <w:spacing w:val="-6"/>
              </w:rPr>
              <w:t>, jež po většinu loňského roku stagnovala blízko historického minima, se letos začala lehce zvyšovat. V říjnu</w:t>
            </w:r>
            <w:r w:rsidRPr="00CA570D">
              <w:rPr>
                <w:rStyle w:val="normaltextrun"/>
                <w:rFonts w:eastAsia="MS Gothic" w:cs="Arial"/>
                <w:spacing w:val="-6"/>
                <w:szCs w:val="20"/>
              </w:rPr>
              <w:t xml:space="preserve"> činila rovná 3 %</w:t>
            </w:r>
            <w:r w:rsidRPr="00CA570D">
              <w:rPr>
                <w:rStyle w:val="Znakapoznpodarou"/>
                <w:color w:val="0D0D0D" w:themeColor="text1" w:themeTint="F2"/>
                <w:spacing w:val="-6"/>
              </w:rPr>
              <w:footnoteReference w:id="15"/>
            </w:r>
            <w:r>
              <w:rPr>
                <w:rStyle w:val="normaltextrun"/>
                <w:rFonts w:eastAsia="MS Gothic" w:cs="Arial"/>
                <w:spacing w:val="-6"/>
                <w:szCs w:val="20"/>
              </w:rPr>
              <w:t xml:space="preserve">, vzrostla meziměsíčně </w:t>
            </w:r>
            <w:r w:rsidRPr="00CA570D">
              <w:rPr>
                <w:rStyle w:val="normaltextrun"/>
                <w:rFonts w:eastAsia="MS Gothic" w:cs="Arial"/>
                <w:spacing w:val="-6"/>
                <w:szCs w:val="20"/>
              </w:rPr>
              <w:t>o</w:t>
            </w:r>
            <w:r w:rsidRPr="00CA570D">
              <w:rPr>
                <w:color w:val="0D0D0D" w:themeColor="text1" w:themeTint="F2"/>
                <w:spacing w:val="-6"/>
              </w:rPr>
              <w:t> </w:t>
            </w:r>
            <w:r w:rsidRPr="00CA570D">
              <w:rPr>
                <w:rStyle w:val="normaltextrun"/>
                <w:rFonts w:eastAsia="MS Gothic" w:cs="Arial"/>
                <w:spacing w:val="-6"/>
                <w:szCs w:val="20"/>
              </w:rPr>
              <w:t>0,3</w:t>
            </w:r>
            <w:r w:rsidRPr="00CA570D">
              <w:rPr>
                <w:color w:val="0D0D0D" w:themeColor="text1" w:themeTint="F2"/>
                <w:spacing w:val="-6"/>
              </w:rPr>
              <w:t> </w:t>
            </w:r>
            <w:r w:rsidRPr="00CA570D">
              <w:rPr>
                <w:rStyle w:val="normaltextrun"/>
                <w:rFonts w:eastAsia="MS Gothic" w:cs="Arial"/>
                <w:spacing w:val="-6"/>
                <w:szCs w:val="20"/>
              </w:rPr>
              <w:t>p. b. a meziročně o 0,7 p. b. Nezaměstnanost mužů (2,5</w:t>
            </w:r>
            <w:r w:rsidRPr="00CA570D">
              <w:rPr>
                <w:color w:val="0D0D0D" w:themeColor="text1" w:themeTint="F2"/>
                <w:spacing w:val="-6"/>
              </w:rPr>
              <w:t> </w:t>
            </w:r>
            <w:r w:rsidRPr="00CA570D">
              <w:rPr>
                <w:rStyle w:val="normaltextrun"/>
                <w:rFonts w:eastAsia="MS Gothic" w:cs="Arial"/>
                <w:spacing w:val="-6"/>
                <w:szCs w:val="20"/>
              </w:rPr>
              <w:t>%) i žen (3,6 %) byla nejvyšší od května 2021, kdy se ekonomika poprvé naplno začala zbavovat protipandemických otěží.</w:t>
            </w:r>
            <w:r>
              <w:rPr>
                <w:rStyle w:val="normaltextrun"/>
                <w:rFonts w:eastAsia="MS Gothic" w:cs="Arial"/>
                <w:szCs w:val="20"/>
              </w:rPr>
              <w:t xml:space="preserve"> </w:t>
            </w:r>
            <w:r>
              <w:rPr>
                <w:rStyle w:val="normaltextrun"/>
                <w:rFonts w:eastAsia="MS Gothic" w:cs="Arial"/>
                <w:szCs w:val="20"/>
              </w:rPr>
              <w:lastRenderedPageBreak/>
              <w:t xml:space="preserve">Tempo meziročního růstu nezaměstnanosti žen bylo oproti mužům dvojnásobné. Mírně přibylo i osob, které byly bez práce již déle </w:t>
            </w:r>
            <w:r w:rsidRPr="0080765E">
              <w:rPr>
                <w:rStyle w:val="normaltextrun"/>
                <w:rFonts w:eastAsia="MS Gothic" w:cs="Arial"/>
                <w:spacing w:val="-4"/>
                <w:szCs w:val="20"/>
              </w:rPr>
              <w:t xml:space="preserve">než rok, ti i tak stále tvořili méně než 30 % všech nezaměstnaných. Také údaje o </w:t>
            </w:r>
            <w:r w:rsidRPr="0080765E">
              <w:rPr>
                <w:color w:val="0D0D0D" w:themeColor="text1" w:themeTint="F2"/>
                <w:spacing w:val="-4"/>
              </w:rPr>
              <w:t>uchazečích</w:t>
            </w:r>
            <w:r>
              <w:rPr>
                <w:color w:val="0D0D0D" w:themeColor="text1" w:themeTint="F2"/>
                <w:spacing w:val="-4"/>
              </w:rPr>
              <w:t xml:space="preserve"> o zaměstnání registrovaných na úřadech práce (ÚP) naznačují mírné ochlazení na pracovním trhu</w:t>
            </w:r>
            <w:r>
              <w:rPr>
                <w:rStyle w:val="Znakapoznpodarou"/>
                <w:color w:val="0D0D0D" w:themeColor="text1" w:themeTint="F2"/>
                <w:spacing w:val="-4"/>
              </w:rPr>
              <w:footnoteReference w:id="16"/>
            </w:r>
            <w:r>
              <w:rPr>
                <w:color w:val="0D0D0D" w:themeColor="text1" w:themeTint="F2"/>
                <w:spacing w:val="-4"/>
              </w:rPr>
              <w:t>. Zároveň se od počátku letošního roku ve srovnání s loňskou úrovní navyšuje velikost potenciální pracovní</w:t>
            </w:r>
            <w:r w:rsidRPr="004B20D0">
              <w:rPr>
                <w:color w:val="0D0D0D" w:themeColor="text1" w:themeTint="F2"/>
                <w:spacing w:val="-4"/>
              </w:rPr>
              <w:t xml:space="preserve"> rezerv</w:t>
            </w:r>
            <w:r>
              <w:rPr>
                <w:color w:val="0D0D0D" w:themeColor="text1" w:themeTint="F2"/>
                <w:spacing w:val="-4"/>
              </w:rPr>
              <w:t>y</w:t>
            </w:r>
            <w:r w:rsidRPr="004B20D0">
              <w:rPr>
                <w:color w:val="0D0D0D" w:themeColor="text1" w:themeTint="F2"/>
                <w:spacing w:val="-4"/>
              </w:rPr>
              <w:t xml:space="preserve"> – počet ekonomicky neaktivních</w:t>
            </w:r>
            <w:r>
              <w:rPr>
                <w:color w:val="0D0D0D" w:themeColor="text1" w:themeTint="F2"/>
                <w:spacing w:val="-4"/>
              </w:rPr>
              <w:t>,</w:t>
            </w:r>
            <w:r w:rsidRPr="004B20D0">
              <w:rPr>
                <w:color w:val="0D0D0D" w:themeColor="text1" w:themeTint="F2"/>
                <w:spacing w:val="-4"/>
              </w:rPr>
              <w:t xml:space="preserve"> práci nehledaj</w:t>
            </w:r>
            <w:r>
              <w:rPr>
                <w:color w:val="0D0D0D" w:themeColor="text1" w:themeTint="F2"/>
                <w:spacing w:val="-4"/>
              </w:rPr>
              <w:t>ících, ale chtějících pracovat dosáhl ve 3. čtvrtletí skoro 80 tis</w:t>
            </w:r>
            <w:r>
              <w:rPr>
                <w:rStyle w:val="Znakapoznpodarou"/>
                <w:color w:val="0D0D0D" w:themeColor="text1" w:themeTint="F2"/>
                <w:spacing w:val="-4"/>
              </w:rPr>
              <w:footnoteReference w:id="17"/>
            </w:r>
            <w:r>
              <w:rPr>
                <w:color w:val="0D0D0D" w:themeColor="text1" w:themeTint="F2"/>
                <w:spacing w:val="-4"/>
              </w:rPr>
              <w:t xml:space="preserve">. </w:t>
            </w:r>
            <w:r w:rsidRPr="004B20D0">
              <w:rPr>
                <w:color w:val="0D0D0D" w:themeColor="text1" w:themeTint="F2"/>
                <w:spacing w:val="-4"/>
              </w:rPr>
              <w:t xml:space="preserve">Počet volných pracovních míst v nabídce ÚP byl sice </w:t>
            </w:r>
            <w:r>
              <w:rPr>
                <w:color w:val="0D0D0D" w:themeColor="text1" w:themeTint="F2"/>
                <w:spacing w:val="-4"/>
              </w:rPr>
              <w:t xml:space="preserve">dosud </w:t>
            </w:r>
            <w:r w:rsidRPr="004B20D0">
              <w:rPr>
                <w:color w:val="0D0D0D" w:themeColor="text1" w:themeTint="F2"/>
                <w:spacing w:val="-4"/>
              </w:rPr>
              <w:t xml:space="preserve">letos ve všech </w:t>
            </w:r>
            <w:r>
              <w:rPr>
                <w:color w:val="0D0D0D" w:themeColor="text1" w:themeTint="F2"/>
                <w:spacing w:val="-4"/>
              </w:rPr>
              <w:t xml:space="preserve">11 </w:t>
            </w:r>
            <w:r w:rsidRPr="004B20D0">
              <w:rPr>
                <w:color w:val="0D0D0D" w:themeColor="text1" w:themeTint="F2"/>
                <w:spacing w:val="-4"/>
              </w:rPr>
              <w:t>měsících m</w:t>
            </w:r>
            <w:r>
              <w:rPr>
                <w:color w:val="0D0D0D" w:themeColor="text1" w:themeTint="F2"/>
                <w:spacing w:val="-4"/>
              </w:rPr>
              <w:t>eziročně mírně nižší, v listopadu</w:t>
            </w:r>
            <w:r w:rsidRPr="004B20D0">
              <w:rPr>
                <w:color w:val="0D0D0D" w:themeColor="text1" w:themeTint="F2"/>
                <w:spacing w:val="-4"/>
              </w:rPr>
              <w:t xml:space="preserve"> ale již jen o </w:t>
            </w:r>
            <w:r>
              <w:rPr>
                <w:color w:val="0D0D0D" w:themeColor="text1" w:themeTint="F2"/>
                <w:spacing w:val="-4"/>
              </w:rPr>
              <w:t>5 % (13 tis. míst</w:t>
            </w:r>
            <w:r w:rsidRPr="004B20D0">
              <w:rPr>
                <w:color w:val="0D0D0D" w:themeColor="text1" w:themeTint="F2"/>
                <w:spacing w:val="-4"/>
              </w:rPr>
              <w:t xml:space="preserve">). </w:t>
            </w:r>
            <w:r>
              <w:rPr>
                <w:color w:val="0D0D0D" w:themeColor="text1" w:themeTint="F2"/>
                <w:spacing w:val="-4"/>
              </w:rPr>
              <w:t>Za poklesem stály hlavně nízkokvalifikované pozice, relativně nejvíce ovšem na konci 3. čtvrtletí ubylo míst pro středoškoláky bez maturity (15 %). Evidovaných</w:t>
            </w:r>
            <w:r w:rsidRPr="004B20D0">
              <w:rPr>
                <w:color w:val="0D0D0D" w:themeColor="text1" w:themeTint="F2"/>
                <w:spacing w:val="-4"/>
              </w:rPr>
              <w:t xml:space="preserve"> míst</w:t>
            </w:r>
            <w:r>
              <w:rPr>
                <w:rStyle w:val="Znakapoznpodarou"/>
                <w:color w:val="0D0D0D" w:themeColor="text1" w:themeTint="F2"/>
                <w:spacing w:val="-4"/>
              </w:rPr>
              <w:footnoteReference w:id="18"/>
            </w:r>
            <w:r w:rsidRPr="004B20D0">
              <w:rPr>
                <w:color w:val="0D0D0D" w:themeColor="text1" w:themeTint="F2"/>
                <w:spacing w:val="-4"/>
              </w:rPr>
              <w:t xml:space="preserve"> </w:t>
            </w:r>
            <w:r>
              <w:rPr>
                <w:color w:val="0D0D0D" w:themeColor="text1" w:themeTint="F2"/>
                <w:spacing w:val="-4"/>
              </w:rPr>
              <w:t>na ÚP je v Česku</w:t>
            </w:r>
            <w:r w:rsidRPr="004B20D0">
              <w:rPr>
                <w:color w:val="0D0D0D" w:themeColor="text1" w:themeTint="F2"/>
                <w:spacing w:val="-4"/>
              </w:rPr>
              <w:t xml:space="preserve"> stále </w:t>
            </w:r>
            <w:r>
              <w:rPr>
                <w:color w:val="0D0D0D" w:themeColor="text1" w:themeTint="F2"/>
                <w:spacing w:val="-4"/>
              </w:rPr>
              <w:t xml:space="preserve">nepatrně </w:t>
            </w:r>
            <w:r w:rsidRPr="004B20D0">
              <w:rPr>
                <w:color w:val="0D0D0D" w:themeColor="text1" w:themeTint="F2"/>
                <w:spacing w:val="-4"/>
              </w:rPr>
              <w:t>více než registrovaných uchazečů (zř</w:t>
            </w:r>
            <w:r>
              <w:rPr>
                <w:color w:val="0D0D0D" w:themeColor="text1" w:themeTint="F2"/>
                <w:spacing w:val="-4"/>
              </w:rPr>
              <w:t>etelnější převis uchazečů nad místy</w:t>
            </w:r>
            <w:r w:rsidRPr="004B20D0">
              <w:rPr>
                <w:color w:val="0D0D0D" w:themeColor="text1" w:themeTint="F2"/>
                <w:spacing w:val="-4"/>
              </w:rPr>
              <w:t xml:space="preserve"> přetrvává jen ve struk</w:t>
            </w:r>
            <w:r>
              <w:rPr>
                <w:color w:val="0D0D0D" w:themeColor="text1" w:themeTint="F2"/>
                <w:spacing w:val="-4"/>
              </w:rPr>
              <w:t>turálně postižených regionech –</w:t>
            </w:r>
            <w:r w:rsidRPr="004B20D0">
              <w:rPr>
                <w:color w:val="0D0D0D" w:themeColor="text1" w:themeTint="F2"/>
                <w:spacing w:val="-4"/>
              </w:rPr>
              <w:t xml:space="preserve"> Ústeckém a Moravskoslezském kraji).</w:t>
            </w:r>
            <w:r>
              <w:rPr>
                <w:color w:val="0D0D0D" w:themeColor="text1" w:themeTint="F2"/>
                <w:spacing w:val="-4"/>
              </w:rPr>
              <w:t xml:space="preserve"> </w:t>
            </w:r>
            <w:r w:rsidRPr="00C0432E">
              <w:rPr>
                <w:color w:val="1D1B11" w:themeColor="background2" w:themeShade="1A"/>
                <w:spacing w:val="-4"/>
              </w:rPr>
              <w:t>Obavy lidí z růstu nezaměstnanosti</w:t>
            </w:r>
            <w:r>
              <w:rPr>
                <w:color w:val="1D1B11" w:themeColor="background2" w:themeShade="1A"/>
                <w:spacing w:val="-4"/>
              </w:rPr>
              <w:t xml:space="preserve"> (vyjádřené v rámci konjunkturálních šetření) se od počátku letošního roku postupně snižovaly. V listopadu dosáhly nejnižší úrovně za poslední rok a půl. Navzdory tomu byl počet lidí očekávajících v nejbližších dvanácti měsících růst nezaměstnanosti stále vyšší než v celém konjunkturním období na konci minulé dekády.</w:t>
            </w:r>
          </w:p>
        </w:tc>
      </w:tr>
      <w:tr w:rsidR="00763B23" w:rsidRPr="00926D74" w14:paraId="2287DB62" w14:textId="77777777" w:rsidTr="000D7C6F">
        <w:trPr>
          <w:trHeight w:val="155"/>
        </w:trPr>
        <w:tc>
          <w:tcPr>
            <w:tcW w:w="1754" w:type="dxa"/>
            <w:vMerge w:val="restart"/>
            <w:shd w:val="clear" w:color="auto" w:fill="auto"/>
            <w:tcMar>
              <w:left w:w="0" w:type="dxa"/>
            </w:tcMar>
          </w:tcPr>
          <w:p w14:paraId="5961B6A8" w14:textId="77777777" w:rsidR="00763B23" w:rsidRPr="00B43216" w:rsidRDefault="00763B23" w:rsidP="000D7C6F">
            <w:pPr>
              <w:pStyle w:val="Marginlie"/>
              <w:spacing w:after="120"/>
              <w:rPr>
                <w:spacing w:val="-4"/>
              </w:rPr>
            </w:pPr>
          </w:p>
        </w:tc>
        <w:tc>
          <w:tcPr>
            <w:tcW w:w="220" w:type="dxa"/>
            <w:vMerge w:val="restart"/>
            <w:shd w:val="clear" w:color="auto" w:fill="auto"/>
            <w:tcMar>
              <w:left w:w="0" w:type="dxa"/>
            </w:tcMar>
          </w:tcPr>
          <w:p w14:paraId="14A928D8" w14:textId="77777777" w:rsidR="00763B23" w:rsidRPr="00B43216" w:rsidRDefault="00763B23" w:rsidP="000D7C6F">
            <w:pPr>
              <w:pStyle w:val="Textpoznpodarou"/>
              <w:spacing w:after="120"/>
              <w:jc w:val="both"/>
              <w:rPr>
                <w:spacing w:val="-4"/>
              </w:rPr>
            </w:pPr>
          </w:p>
        </w:tc>
        <w:tc>
          <w:tcPr>
            <w:tcW w:w="7700" w:type="dxa"/>
            <w:shd w:val="clear" w:color="auto" w:fill="auto"/>
            <w:tcMar>
              <w:left w:w="0" w:type="dxa"/>
            </w:tcMar>
          </w:tcPr>
          <w:p w14:paraId="3890B54B" w14:textId="77777777" w:rsidR="00763B23" w:rsidRPr="00926D74" w:rsidRDefault="00763B23" w:rsidP="000D7C6F">
            <w:pPr>
              <w:spacing w:after="0"/>
              <w:rPr>
                <w:b/>
                <w:spacing w:val="-2"/>
              </w:rPr>
            </w:pPr>
            <w:r w:rsidRPr="00926D74">
              <w:rPr>
                <w:b/>
                <w:spacing w:val="-2"/>
              </w:rPr>
              <w:t xml:space="preserve">Graf č. 14 </w:t>
            </w:r>
            <w:r w:rsidRPr="00926D74">
              <w:rPr>
                <w:rFonts w:cs="Arial"/>
                <w:b/>
                <w:spacing w:val="-2"/>
              </w:rPr>
              <w:t xml:space="preserve">Obecná míra nezaměstnanosti </w:t>
            </w:r>
            <w:r w:rsidRPr="00926D74">
              <w:rPr>
                <w:rFonts w:cs="Arial"/>
                <w:bCs/>
                <w:spacing w:val="-2"/>
              </w:rPr>
              <w:t>(v %, věk 15 až 64 let)</w:t>
            </w:r>
            <w:r w:rsidRPr="00926D74">
              <w:rPr>
                <w:rFonts w:cs="Arial"/>
                <w:b/>
                <w:spacing w:val="-2"/>
              </w:rPr>
              <w:t xml:space="preserve">, ekonomicky neaktivní </w:t>
            </w:r>
            <w:r>
              <w:rPr>
                <w:rFonts w:cs="Arial"/>
                <w:b/>
                <w:spacing w:val="-2"/>
              </w:rPr>
              <w:t xml:space="preserve">osoby </w:t>
            </w:r>
            <w:r w:rsidRPr="00926D74">
              <w:rPr>
                <w:rFonts w:cs="Arial"/>
                <w:b/>
                <w:spacing w:val="-2"/>
              </w:rPr>
              <w:t>chtějící pracovat</w:t>
            </w:r>
            <w:r>
              <w:rPr>
                <w:rFonts w:cs="Arial"/>
                <w:b/>
                <w:spacing w:val="-2"/>
              </w:rPr>
              <w:t>*</w:t>
            </w:r>
            <w:r w:rsidRPr="00926D74">
              <w:rPr>
                <w:rFonts w:cs="Arial"/>
                <w:b/>
                <w:spacing w:val="-2"/>
              </w:rPr>
              <w:t xml:space="preserve"> </w:t>
            </w:r>
            <w:r>
              <w:rPr>
                <w:rFonts w:cs="Arial"/>
                <w:bCs/>
                <w:spacing w:val="-2"/>
              </w:rPr>
              <w:t>(v tis.)</w:t>
            </w:r>
            <w:r w:rsidRPr="00926D74">
              <w:rPr>
                <w:rFonts w:cs="Arial"/>
                <w:b/>
                <w:bCs/>
                <w:spacing w:val="-2"/>
              </w:rPr>
              <w:t xml:space="preserve">, volná pracovní místa </w:t>
            </w:r>
            <w:r>
              <w:rPr>
                <w:rFonts w:cs="Arial"/>
                <w:bCs/>
                <w:spacing w:val="-2"/>
              </w:rPr>
              <w:t>(v</w:t>
            </w:r>
            <w:r w:rsidRPr="00926D74">
              <w:rPr>
                <w:rFonts w:cs="Arial"/>
                <w:bCs/>
                <w:spacing w:val="-2"/>
              </w:rPr>
              <w:t xml:space="preserve"> tis.) </w:t>
            </w:r>
            <w:r w:rsidRPr="00926D74">
              <w:rPr>
                <w:rFonts w:cs="Arial"/>
                <w:b/>
                <w:bCs/>
                <w:spacing w:val="-2"/>
              </w:rPr>
              <w:t>a</w:t>
            </w:r>
            <w:r w:rsidRPr="00926D74">
              <w:rPr>
                <w:rFonts w:cs="Arial"/>
                <w:bCs/>
                <w:spacing w:val="-2"/>
              </w:rPr>
              <w:t xml:space="preserve"> </w:t>
            </w:r>
            <w:r w:rsidRPr="00926D74">
              <w:rPr>
                <w:rFonts w:cs="Arial"/>
                <w:b/>
                <w:bCs/>
                <w:spacing w:val="-2"/>
              </w:rPr>
              <w:t xml:space="preserve">očekávání </w:t>
            </w:r>
            <w:r>
              <w:rPr>
                <w:rFonts w:cs="Arial"/>
                <w:b/>
                <w:bCs/>
                <w:spacing w:val="-2"/>
              </w:rPr>
              <w:t xml:space="preserve">vývoje </w:t>
            </w:r>
            <w:r w:rsidRPr="00926D74">
              <w:rPr>
                <w:rFonts w:cs="Arial"/>
                <w:b/>
                <w:bCs/>
                <w:spacing w:val="-2"/>
              </w:rPr>
              <w:t>nezaměstnanosti od domácností</w:t>
            </w:r>
            <w:r w:rsidRPr="00926D74">
              <w:rPr>
                <w:rFonts w:cs="Arial"/>
                <w:bCs/>
                <w:spacing w:val="-2"/>
              </w:rPr>
              <w:t xml:space="preserve"> (v p. b.)**</w:t>
            </w:r>
          </w:p>
        </w:tc>
      </w:tr>
      <w:tr w:rsidR="00763B23" w:rsidRPr="00B43216" w14:paraId="3A9196E5" w14:textId="77777777" w:rsidTr="000D7C6F">
        <w:tblPrEx>
          <w:tblCellMar>
            <w:left w:w="70" w:type="dxa"/>
            <w:right w:w="70" w:type="dxa"/>
          </w:tblCellMar>
        </w:tblPrEx>
        <w:trPr>
          <w:trHeight w:val="155"/>
        </w:trPr>
        <w:tc>
          <w:tcPr>
            <w:tcW w:w="1754" w:type="dxa"/>
            <w:vMerge/>
            <w:shd w:val="clear" w:color="auto" w:fill="auto"/>
          </w:tcPr>
          <w:p w14:paraId="50F80FF9" w14:textId="77777777" w:rsidR="00763B23" w:rsidRPr="00B43216" w:rsidRDefault="00763B23" w:rsidP="000D7C6F">
            <w:pPr>
              <w:pStyle w:val="Marginlie"/>
              <w:spacing w:after="120"/>
              <w:rPr>
                <w:spacing w:val="-4"/>
              </w:rPr>
            </w:pPr>
          </w:p>
        </w:tc>
        <w:tc>
          <w:tcPr>
            <w:tcW w:w="220" w:type="dxa"/>
            <w:vMerge/>
            <w:shd w:val="clear" w:color="auto" w:fill="auto"/>
          </w:tcPr>
          <w:p w14:paraId="5789A756" w14:textId="77777777" w:rsidR="00763B23" w:rsidRPr="00B43216" w:rsidRDefault="00763B23" w:rsidP="000D7C6F">
            <w:pPr>
              <w:pStyle w:val="Textpoznpodarou"/>
              <w:spacing w:after="120"/>
              <w:jc w:val="both"/>
              <w:rPr>
                <w:spacing w:val="-4"/>
              </w:rPr>
            </w:pPr>
          </w:p>
        </w:tc>
        <w:tc>
          <w:tcPr>
            <w:tcW w:w="7700" w:type="dxa"/>
            <w:shd w:val="clear" w:color="auto" w:fill="auto"/>
          </w:tcPr>
          <w:p w14:paraId="56E56CF3" w14:textId="77777777" w:rsidR="00763B23" w:rsidRPr="00B43216" w:rsidRDefault="00763B23" w:rsidP="000D7C6F">
            <w:pPr>
              <w:spacing w:after="0"/>
              <w:rPr>
                <w:spacing w:val="-4"/>
              </w:rPr>
            </w:pPr>
            <w:r>
              <w:rPr>
                <w:noProof/>
              </w:rPr>
              <w:drawing>
                <wp:inline distT="0" distB="0" distL="0" distR="0" wp14:anchorId="38041617" wp14:editId="0FD04D1F">
                  <wp:extent cx="4691636" cy="3343833"/>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763B23" w:rsidRPr="00485ED5" w14:paraId="14A721DD" w14:textId="77777777" w:rsidTr="000D7C6F">
        <w:trPr>
          <w:trHeight w:val="132"/>
        </w:trPr>
        <w:tc>
          <w:tcPr>
            <w:tcW w:w="1754" w:type="dxa"/>
            <w:vMerge/>
            <w:shd w:val="clear" w:color="auto" w:fill="auto"/>
            <w:tcMar>
              <w:left w:w="0" w:type="dxa"/>
            </w:tcMar>
          </w:tcPr>
          <w:p w14:paraId="7E56A940" w14:textId="77777777" w:rsidR="00763B23" w:rsidRPr="00B43216" w:rsidRDefault="00763B23" w:rsidP="000D7C6F">
            <w:pPr>
              <w:pStyle w:val="Marginlie"/>
              <w:rPr>
                <w:spacing w:val="-4"/>
              </w:rPr>
            </w:pPr>
          </w:p>
        </w:tc>
        <w:tc>
          <w:tcPr>
            <w:tcW w:w="220" w:type="dxa"/>
            <w:vMerge/>
            <w:shd w:val="clear" w:color="auto" w:fill="auto"/>
            <w:tcMar>
              <w:left w:w="0" w:type="dxa"/>
            </w:tcMar>
          </w:tcPr>
          <w:p w14:paraId="5DA80930"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127569E8" w14:textId="77777777" w:rsidR="00763B23" w:rsidRPr="00D94F3D" w:rsidRDefault="00763B23" w:rsidP="000D7C6F">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Pozn.: Míry nezaměstnanosti jsou sezónně očištěny</w:t>
            </w:r>
            <w:r w:rsidRPr="00D94F3D">
              <w:rPr>
                <w:rFonts w:cs="Arial"/>
                <w:color w:val="0D0D0D" w:themeColor="text1" w:themeTint="F2"/>
                <w:spacing w:val="-4"/>
                <w:sz w:val="14"/>
                <w:szCs w:val="14"/>
              </w:rPr>
              <w:t>. VPM = volná pracovní místa (stav na konci čtvrtletí)</w:t>
            </w:r>
          </w:p>
          <w:p w14:paraId="3D6C993C" w14:textId="77777777" w:rsidR="00763B23" w:rsidRDefault="00763B23" w:rsidP="000D7C6F">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0A3F763B" w14:textId="77777777" w:rsidR="00763B23" w:rsidRDefault="00763B23" w:rsidP="000D7C6F">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3FA76A55" w14:textId="77777777" w:rsidR="00763B23" w:rsidRPr="00485ED5" w:rsidRDefault="00763B23" w:rsidP="000D7C6F">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 MPSV (volná pracovní místa registrovaná na úřadech práce v ČR)</w:t>
            </w:r>
          </w:p>
        </w:tc>
      </w:tr>
      <w:tr w:rsidR="00763B23" w14:paraId="135B07CF" w14:textId="77777777" w:rsidTr="000D7C6F">
        <w:trPr>
          <w:trHeight w:val="132"/>
        </w:trPr>
        <w:tc>
          <w:tcPr>
            <w:tcW w:w="1754" w:type="dxa"/>
            <w:shd w:val="clear" w:color="auto" w:fill="auto"/>
            <w:tcMar>
              <w:left w:w="0" w:type="dxa"/>
            </w:tcMar>
          </w:tcPr>
          <w:p w14:paraId="6ACACCBC" w14:textId="77777777" w:rsidR="00763B23" w:rsidRDefault="00763B23" w:rsidP="000D7C6F">
            <w:pPr>
              <w:pStyle w:val="Marginlie"/>
              <w:rPr>
                <w:color w:val="0D0D0D" w:themeColor="text1" w:themeTint="F2"/>
                <w:spacing w:val="-4"/>
              </w:rPr>
            </w:pPr>
            <w:r>
              <w:rPr>
                <w:color w:val="0D0D0D" w:themeColor="text1" w:themeTint="F2"/>
                <w:spacing w:val="-4"/>
              </w:rPr>
              <w:t xml:space="preserve">Růst průměrných mezd během roku zvolnil. </w:t>
            </w:r>
          </w:p>
        </w:tc>
        <w:tc>
          <w:tcPr>
            <w:tcW w:w="220" w:type="dxa"/>
            <w:shd w:val="clear" w:color="auto" w:fill="auto"/>
            <w:tcMar>
              <w:left w:w="0" w:type="dxa"/>
            </w:tcMar>
          </w:tcPr>
          <w:p w14:paraId="011D4402" w14:textId="77777777" w:rsidR="00763B23" w:rsidRPr="001E4B77" w:rsidRDefault="00763B23" w:rsidP="000D7C6F">
            <w:pPr>
              <w:pStyle w:val="Textpoznpodarou"/>
              <w:jc w:val="both"/>
              <w:rPr>
                <w:color w:val="0D0D0D" w:themeColor="text1" w:themeTint="F2"/>
                <w:spacing w:val="-4"/>
              </w:rPr>
            </w:pPr>
          </w:p>
        </w:tc>
        <w:tc>
          <w:tcPr>
            <w:tcW w:w="7700" w:type="dxa"/>
            <w:shd w:val="clear" w:color="auto" w:fill="auto"/>
            <w:tcMar>
              <w:left w:w="0" w:type="dxa"/>
            </w:tcMar>
          </w:tcPr>
          <w:p w14:paraId="5AC6B001" w14:textId="43820FC0" w:rsidR="00763B23" w:rsidRDefault="00763B23" w:rsidP="000D7C6F">
            <w:pPr>
              <w:spacing w:after="200"/>
            </w:pPr>
            <w:r w:rsidRPr="00653C1D">
              <w:rPr>
                <w:color w:val="0D0D0D" w:themeColor="text1" w:themeTint="F2"/>
                <w:spacing w:val="-4"/>
              </w:rPr>
              <w:t xml:space="preserve">Průměrná hrubá mzda (na zaměstnance, při zohlednění délky úvazku) </w:t>
            </w:r>
            <w:r>
              <w:rPr>
                <w:color w:val="0D0D0D" w:themeColor="text1" w:themeTint="F2"/>
                <w:spacing w:val="-4"/>
              </w:rPr>
              <w:t>posílila letos ve 3. </w:t>
            </w:r>
            <w:r w:rsidRPr="00653C1D">
              <w:rPr>
                <w:color w:val="0D0D0D" w:themeColor="text1" w:themeTint="F2"/>
                <w:spacing w:val="-4"/>
              </w:rPr>
              <w:t>čtvrt</w:t>
            </w:r>
            <w:r>
              <w:rPr>
                <w:color w:val="0D0D0D" w:themeColor="text1" w:themeTint="F2"/>
                <w:spacing w:val="-4"/>
              </w:rPr>
              <w:t xml:space="preserve">letí meziročně o nominálních 7,1 % (v 1. pololetí 8,4 %). Ani z mezikvartálních temp není patrné, že by mzdový růst letos zrychloval – sezónně očištěná průměrná mzda se </w:t>
            </w:r>
            <w:r>
              <w:rPr>
                <w:color w:val="0D0D0D" w:themeColor="text1" w:themeTint="F2"/>
                <w:spacing w:val="-4"/>
              </w:rPr>
              <w:lastRenderedPageBreak/>
              <w:t>během 1. čtvrtletí zvýšila o 2,2 %, ve dvou následujících obdobích pak shodně o 1,5 %</w:t>
            </w:r>
            <w:r w:rsidRPr="00653C1D">
              <w:rPr>
                <w:color w:val="0D0D0D" w:themeColor="text1" w:themeTint="F2"/>
                <w:spacing w:val="-4"/>
              </w:rPr>
              <w:t xml:space="preserve">. </w:t>
            </w:r>
            <w:r>
              <w:rPr>
                <w:color w:val="0D0D0D" w:themeColor="text1" w:themeTint="F2"/>
                <w:spacing w:val="-4"/>
              </w:rPr>
              <w:t>S ohledem na</w:t>
            </w:r>
            <w:r w:rsidRPr="00825316">
              <w:rPr>
                <w:color w:val="0D0D0D" w:themeColor="text1" w:themeTint="F2"/>
                <w:spacing w:val="-4"/>
              </w:rPr>
              <w:t xml:space="preserve"> dezinflační tendence </w:t>
            </w:r>
            <w:r>
              <w:rPr>
                <w:color w:val="0D0D0D" w:themeColor="text1" w:themeTint="F2"/>
                <w:spacing w:val="-4"/>
              </w:rPr>
              <w:t>v ekonomice se meziroční pokles</w:t>
            </w:r>
            <w:r w:rsidRPr="00825316">
              <w:rPr>
                <w:color w:val="0D0D0D" w:themeColor="text1" w:themeTint="F2"/>
                <w:spacing w:val="-4"/>
              </w:rPr>
              <w:t xml:space="preserve"> kupní síly </w:t>
            </w:r>
            <w:r>
              <w:rPr>
                <w:color w:val="0D0D0D" w:themeColor="text1" w:themeTint="F2"/>
                <w:spacing w:val="-4"/>
              </w:rPr>
              <w:t>průměrné mzdy dále mírnil, když ve 3. čtvrtletí činil pouze 0,8 %</w:t>
            </w:r>
            <w:r>
              <w:rPr>
                <w:rStyle w:val="Znakapoznpodarou"/>
                <w:color w:val="0D0D0D" w:themeColor="text1" w:themeTint="F2"/>
                <w:spacing w:val="-4"/>
              </w:rPr>
              <w:footnoteReference w:id="19"/>
            </w:r>
            <w:r>
              <w:rPr>
                <w:color w:val="0D0D0D" w:themeColor="text1" w:themeTint="F2"/>
                <w:spacing w:val="-4"/>
              </w:rPr>
              <w:t>.</w:t>
            </w:r>
          </w:p>
        </w:tc>
      </w:tr>
      <w:tr w:rsidR="00763B23" w14:paraId="253C4569" w14:textId="77777777" w:rsidTr="000D7C6F">
        <w:trPr>
          <w:trHeight w:val="132"/>
        </w:trPr>
        <w:tc>
          <w:tcPr>
            <w:tcW w:w="1754" w:type="dxa"/>
            <w:shd w:val="clear" w:color="auto" w:fill="auto"/>
            <w:tcMar>
              <w:left w:w="0" w:type="dxa"/>
            </w:tcMar>
          </w:tcPr>
          <w:p w14:paraId="26474F4A" w14:textId="77777777" w:rsidR="00763B23" w:rsidRDefault="00763B23" w:rsidP="000D7C6F">
            <w:pPr>
              <w:pStyle w:val="Marginlie"/>
              <w:rPr>
                <w:color w:val="0D0D0D" w:themeColor="text1" w:themeTint="F2"/>
                <w:spacing w:val="-4"/>
              </w:rPr>
            </w:pPr>
            <w:r>
              <w:rPr>
                <w:color w:val="0D0D0D" w:themeColor="text1" w:themeTint="F2"/>
                <w:spacing w:val="-4"/>
              </w:rPr>
              <w:lastRenderedPageBreak/>
              <w:t>Pokles reálné mzdy byl svou hloubkou i délkou unikátní. Aktuální výše mzdy odpovídala reálně úrovni z 3. čtvrtletí 2017.</w:t>
            </w:r>
          </w:p>
        </w:tc>
        <w:tc>
          <w:tcPr>
            <w:tcW w:w="220" w:type="dxa"/>
            <w:shd w:val="clear" w:color="auto" w:fill="auto"/>
            <w:tcMar>
              <w:left w:w="0" w:type="dxa"/>
            </w:tcMar>
          </w:tcPr>
          <w:p w14:paraId="18B9A17A" w14:textId="77777777" w:rsidR="00763B23" w:rsidRPr="001E4B77" w:rsidRDefault="00763B23" w:rsidP="000D7C6F">
            <w:pPr>
              <w:pStyle w:val="Textpoznpodarou"/>
              <w:jc w:val="both"/>
              <w:rPr>
                <w:color w:val="0D0D0D" w:themeColor="text1" w:themeTint="F2"/>
                <w:spacing w:val="-4"/>
              </w:rPr>
            </w:pPr>
          </w:p>
        </w:tc>
        <w:tc>
          <w:tcPr>
            <w:tcW w:w="7700" w:type="dxa"/>
            <w:shd w:val="clear" w:color="auto" w:fill="auto"/>
            <w:tcMar>
              <w:left w:w="0" w:type="dxa"/>
            </w:tcMar>
          </w:tcPr>
          <w:p w14:paraId="247485C3" w14:textId="77777777" w:rsidR="00763B23" w:rsidRDefault="00763B23" w:rsidP="000D7C6F">
            <w:pPr>
              <w:spacing w:after="200"/>
            </w:pPr>
            <w:r>
              <w:rPr>
                <w:color w:val="0D0D0D" w:themeColor="text1" w:themeTint="F2"/>
                <w:spacing w:val="-4"/>
              </w:rPr>
              <w:t>S</w:t>
            </w:r>
            <w:r w:rsidRPr="00653C1D">
              <w:rPr>
                <w:color w:val="0D0D0D" w:themeColor="text1" w:themeTint="F2"/>
                <w:spacing w:val="-4"/>
              </w:rPr>
              <w:t>nižování kupní síly zaměstnaneckýc</w:t>
            </w:r>
            <w:r>
              <w:rPr>
                <w:color w:val="0D0D0D" w:themeColor="text1" w:themeTint="F2"/>
                <w:spacing w:val="-4"/>
              </w:rPr>
              <w:t xml:space="preserve">h výdělků současně probíhalo již osmý kvartál v řadě, což bylo nejdéle v historii samostatné ČR, a rovněž souhrnná hloubka poklesu za celé toto období byla bezprecedentní (11 %). </w:t>
            </w:r>
            <w:r w:rsidRPr="006E315B">
              <w:rPr>
                <w:color w:val="0D0D0D" w:themeColor="text1" w:themeTint="F2"/>
                <w:spacing w:val="-4"/>
              </w:rPr>
              <w:t>Výše reálné mzdy (po</w:t>
            </w:r>
            <w:r>
              <w:rPr>
                <w:color w:val="0D0D0D" w:themeColor="text1" w:themeTint="F2"/>
                <w:spacing w:val="-4"/>
              </w:rPr>
              <w:t xml:space="preserve"> sezónním očištění) v letošním 3. </w:t>
            </w:r>
            <w:r w:rsidRPr="006E315B">
              <w:rPr>
                <w:color w:val="0D0D0D" w:themeColor="text1" w:themeTint="F2"/>
                <w:spacing w:val="-4"/>
              </w:rPr>
              <w:t xml:space="preserve">čtvrtletí tak odpovídala </w:t>
            </w:r>
            <w:r>
              <w:rPr>
                <w:color w:val="0D0D0D" w:themeColor="text1" w:themeTint="F2"/>
                <w:spacing w:val="-4"/>
              </w:rPr>
              <w:t xml:space="preserve">pouze </w:t>
            </w:r>
            <w:r w:rsidRPr="006E315B">
              <w:rPr>
                <w:color w:val="0D0D0D" w:themeColor="text1" w:themeTint="F2"/>
                <w:spacing w:val="-4"/>
              </w:rPr>
              <w:t xml:space="preserve">úrovni z roku 2017, podobné </w:t>
            </w:r>
            <w:r>
              <w:rPr>
                <w:color w:val="0D0D0D" w:themeColor="text1" w:themeTint="F2"/>
                <w:spacing w:val="-4"/>
              </w:rPr>
              <w:t xml:space="preserve">lze ovšem říct také u analogického srovnání reálné produktivity práce (při vyjádření na zaměstnanou osobu). </w:t>
            </w:r>
            <w:r w:rsidRPr="006E315B">
              <w:rPr>
                <w:color w:val="0D0D0D" w:themeColor="text1" w:themeTint="F2"/>
                <w:spacing w:val="-4"/>
              </w:rPr>
              <w:t>Jestliže meziroční pokles reálné mzdy postihl letos v úhrnu za 1. až 3. čtvrtletí téměř všechny odvětvové sekce (vyjma energetiky) i hlavní průmyslové obory (výrobu motorových vozidel nevyjímaje), v s</w:t>
            </w:r>
            <w:r>
              <w:rPr>
                <w:color w:val="0D0D0D" w:themeColor="text1" w:themeTint="F2"/>
                <w:spacing w:val="-4"/>
              </w:rPr>
              <w:t>amotném 3. čtvrtletí se</w:t>
            </w:r>
            <w:r w:rsidRPr="006E315B">
              <w:rPr>
                <w:color w:val="0D0D0D" w:themeColor="text1" w:themeTint="F2"/>
                <w:spacing w:val="-4"/>
              </w:rPr>
              <w:t xml:space="preserve"> růst reálných mezd rozšířil do většího počtu hl</w:t>
            </w:r>
            <w:r>
              <w:rPr>
                <w:color w:val="0D0D0D" w:themeColor="text1" w:themeTint="F2"/>
                <w:spacing w:val="-4"/>
              </w:rPr>
              <w:t>avních odvětvových sekcí (5/19). P</w:t>
            </w:r>
            <w:r w:rsidRPr="006E315B">
              <w:rPr>
                <w:color w:val="0D0D0D" w:themeColor="text1" w:themeTint="F2"/>
                <w:spacing w:val="-4"/>
              </w:rPr>
              <w:t xml:space="preserve">racovníci v těchto odvětvích tvořili zhruba třetinu z celkového evidenčního počtu zaměstnanců. Stejně jako loni ani letos dosud </w:t>
            </w:r>
            <w:r>
              <w:rPr>
                <w:color w:val="0D0D0D" w:themeColor="text1" w:themeTint="F2"/>
                <w:spacing w:val="-4"/>
              </w:rPr>
              <w:t xml:space="preserve">nepatřilo </w:t>
            </w:r>
            <w:r w:rsidRPr="006E315B">
              <w:rPr>
                <w:color w:val="0D0D0D" w:themeColor="text1" w:themeTint="F2"/>
                <w:spacing w:val="-4"/>
              </w:rPr>
              <w:t>mezi kategorie</w:t>
            </w:r>
            <w:r>
              <w:rPr>
                <w:color w:val="0D0D0D" w:themeColor="text1" w:themeTint="F2"/>
                <w:spacing w:val="-4"/>
              </w:rPr>
              <w:t xml:space="preserve"> </w:t>
            </w:r>
            <w:r w:rsidRPr="006E315B">
              <w:rPr>
                <w:color w:val="0D0D0D" w:themeColor="text1" w:themeTint="F2"/>
                <w:spacing w:val="-4"/>
              </w:rPr>
              <w:t xml:space="preserve">s růstem reálné mzdy žádné odvětví veřejných služeb. </w:t>
            </w:r>
            <w:r>
              <w:rPr>
                <w:color w:val="0D0D0D" w:themeColor="text1" w:themeTint="F2"/>
                <w:spacing w:val="-4"/>
              </w:rPr>
              <w:t xml:space="preserve">K poklesu kupní síly mezd stále docházelo </w:t>
            </w:r>
            <w:r>
              <w:rPr>
                <w:spacing w:val="-4"/>
              </w:rPr>
              <w:t>také</w:t>
            </w:r>
            <w:r w:rsidRPr="00FA68D2">
              <w:rPr>
                <w:spacing w:val="-4"/>
              </w:rPr>
              <w:t xml:space="preserve"> napříč </w:t>
            </w:r>
            <w:r>
              <w:rPr>
                <w:spacing w:val="-4"/>
              </w:rPr>
              <w:t xml:space="preserve">všemi </w:t>
            </w:r>
            <w:r w:rsidRPr="00FA68D2">
              <w:rPr>
                <w:spacing w:val="-4"/>
              </w:rPr>
              <w:t>kraji ČR</w:t>
            </w:r>
            <w:r>
              <w:rPr>
                <w:spacing w:val="-4"/>
              </w:rPr>
              <w:t xml:space="preserve">. </w:t>
            </w:r>
            <w:r w:rsidRPr="00FA68D2">
              <w:rPr>
                <w:spacing w:val="-4"/>
              </w:rPr>
              <w:t xml:space="preserve">Mzdový vývoj </w:t>
            </w:r>
            <w:r>
              <w:rPr>
                <w:spacing w:val="-4"/>
              </w:rPr>
              <w:t>v 1. polol</w:t>
            </w:r>
            <w:r w:rsidRPr="00FA68D2">
              <w:rPr>
                <w:spacing w:val="-4"/>
              </w:rPr>
              <w:t xml:space="preserve">etí </w:t>
            </w:r>
            <w:r>
              <w:rPr>
                <w:spacing w:val="-4"/>
              </w:rPr>
              <w:t>2023 nadále představoval rozhodující faktor</w:t>
            </w:r>
            <w:r w:rsidRPr="00FA68D2">
              <w:rPr>
                <w:spacing w:val="-4"/>
              </w:rPr>
              <w:t xml:space="preserve"> snížení celkové kupní síly tuzemských domácností</w:t>
            </w:r>
            <w:r w:rsidRPr="00FA68D2">
              <w:rPr>
                <w:rStyle w:val="Znakapoznpodarou"/>
                <w:spacing w:val="-4"/>
              </w:rPr>
              <w:footnoteReference w:id="20"/>
            </w:r>
            <w:r w:rsidRPr="00FA68D2">
              <w:rPr>
                <w:spacing w:val="-4"/>
              </w:rPr>
              <w:t>.</w:t>
            </w:r>
          </w:p>
        </w:tc>
      </w:tr>
      <w:tr w:rsidR="00763B23" w:rsidRPr="0060296E" w14:paraId="79A8D0AD" w14:textId="77777777" w:rsidTr="000D7C6F">
        <w:trPr>
          <w:trHeight w:val="132"/>
        </w:trPr>
        <w:tc>
          <w:tcPr>
            <w:tcW w:w="1754" w:type="dxa"/>
            <w:shd w:val="clear" w:color="auto" w:fill="auto"/>
            <w:tcMar>
              <w:left w:w="0" w:type="dxa"/>
            </w:tcMar>
          </w:tcPr>
          <w:p w14:paraId="143F9022" w14:textId="77777777" w:rsidR="00763B23" w:rsidRPr="001E4B77" w:rsidRDefault="00763B23" w:rsidP="000D7C6F">
            <w:pPr>
              <w:pStyle w:val="Marginlie"/>
              <w:rPr>
                <w:color w:val="0D0D0D" w:themeColor="text1" w:themeTint="F2"/>
                <w:spacing w:val="-4"/>
              </w:rPr>
            </w:pPr>
            <w:r>
              <w:rPr>
                <w:color w:val="0D0D0D" w:themeColor="text1" w:themeTint="F2"/>
                <w:spacing w:val="-4"/>
              </w:rPr>
              <w:t>Tlaky na mzdový růst v tržní sféře zůstávaly relativně silné.</w:t>
            </w:r>
          </w:p>
        </w:tc>
        <w:tc>
          <w:tcPr>
            <w:tcW w:w="220" w:type="dxa"/>
            <w:shd w:val="clear" w:color="auto" w:fill="auto"/>
            <w:tcMar>
              <w:left w:w="0" w:type="dxa"/>
            </w:tcMar>
          </w:tcPr>
          <w:p w14:paraId="65892AA9" w14:textId="77777777" w:rsidR="00763B23" w:rsidRPr="001E4B77" w:rsidRDefault="00763B23" w:rsidP="000D7C6F">
            <w:pPr>
              <w:pStyle w:val="Textpoznpodarou"/>
              <w:jc w:val="both"/>
              <w:rPr>
                <w:color w:val="0D0D0D" w:themeColor="text1" w:themeTint="F2"/>
                <w:spacing w:val="-4"/>
              </w:rPr>
            </w:pPr>
          </w:p>
        </w:tc>
        <w:tc>
          <w:tcPr>
            <w:tcW w:w="7700" w:type="dxa"/>
            <w:shd w:val="clear" w:color="auto" w:fill="auto"/>
            <w:tcMar>
              <w:left w:w="0" w:type="dxa"/>
            </w:tcMar>
          </w:tcPr>
          <w:p w14:paraId="5A368C14" w14:textId="77777777" w:rsidR="00763B23" w:rsidRPr="0060296E" w:rsidRDefault="00763B23" w:rsidP="000D7C6F">
            <w:pPr>
              <w:spacing w:after="200"/>
            </w:pPr>
            <w:r>
              <w:t>Ve směru růstu nominální mzdy působí dosud relativně vysoká poptávka podniků po pracovní síle i zvýšený tlak zaměstnanců (pramenící často z napjatých rodinných rozpočtů vlivem stále vysokého růstu cen některých základních položek spotřebního koše – např. bydlení). Prostor pro další svižné zvyšování mezd v tržní sféře existuje i</w:t>
            </w:r>
            <w:r w:rsidRPr="006E315B">
              <w:rPr>
                <w:color w:val="0D0D0D" w:themeColor="text1" w:themeTint="F2"/>
                <w:spacing w:val="-4"/>
              </w:rPr>
              <w:t> </w:t>
            </w:r>
            <w:r>
              <w:t>díky vysoké a stále rostoucí míře zisku nefinančních podniků. Mzdový růst v ekonomice naproti tomu tlumila sílící potřeba úspor v rozpočtové sféře</w:t>
            </w:r>
            <w:r>
              <w:rPr>
                <w:rStyle w:val="Znakapoznpodarou"/>
                <w:spacing w:val="-5"/>
              </w:rPr>
              <w:footnoteReference w:id="21"/>
            </w:r>
            <w:r>
              <w:t>, střídmější navyšování minimálních mezd</w:t>
            </w:r>
            <w:r>
              <w:rPr>
                <w:rStyle w:val="Znakapoznpodarou"/>
                <w:spacing w:val="-5"/>
              </w:rPr>
              <w:footnoteReference w:id="22"/>
            </w:r>
            <w:r>
              <w:t xml:space="preserve"> i rostoucí počet zahraničních pracovníků ze „třetích zemí</w:t>
            </w:r>
            <w:r>
              <w:rPr>
                <w:rStyle w:val="Znakapoznpodarou"/>
              </w:rPr>
              <w:footnoteReference w:id="23"/>
            </w:r>
            <w:r>
              <w:t>“.</w:t>
            </w:r>
          </w:p>
        </w:tc>
      </w:tr>
      <w:tr w:rsidR="00763B23" w:rsidRPr="0078064B" w14:paraId="368F8F76" w14:textId="77777777" w:rsidTr="000D7C6F">
        <w:trPr>
          <w:trHeight w:val="132"/>
        </w:trPr>
        <w:tc>
          <w:tcPr>
            <w:tcW w:w="1754" w:type="dxa"/>
            <w:shd w:val="clear" w:color="auto" w:fill="auto"/>
            <w:tcMar>
              <w:left w:w="0" w:type="dxa"/>
            </w:tcMar>
          </w:tcPr>
          <w:p w14:paraId="5C5A6EE3" w14:textId="77777777" w:rsidR="00763B23" w:rsidRDefault="00763B23" w:rsidP="000D7C6F">
            <w:pPr>
              <w:pStyle w:val="Marginlie"/>
              <w:rPr>
                <w:rFonts w:cs="Arial"/>
                <w:color w:val="0D0D0D" w:themeColor="text1" w:themeTint="F2"/>
                <w:spacing w:val="-4"/>
                <w:szCs w:val="20"/>
              </w:rPr>
            </w:pPr>
            <w:r>
              <w:rPr>
                <w:rFonts w:cs="Arial"/>
                <w:color w:val="0D0D0D" w:themeColor="text1" w:themeTint="F2"/>
                <w:spacing w:val="-4"/>
                <w:szCs w:val="20"/>
              </w:rPr>
              <w:t>Nejvyšší mzdový růst přetrvával od počátku roku v energetice. Výdělky rostly svižně také v oblasti IT.</w:t>
            </w:r>
          </w:p>
          <w:p w14:paraId="145CE5FD" w14:textId="77777777" w:rsidR="00763B23" w:rsidRDefault="00763B23" w:rsidP="000D7C6F">
            <w:pPr>
              <w:pStyle w:val="Marginlie"/>
              <w:rPr>
                <w:color w:val="0D0D0D" w:themeColor="text1" w:themeTint="F2"/>
                <w:spacing w:val="-4"/>
              </w:rPr>
            </w:pPr>
            <w:r>
              <w:rPr>
                <w:rFonts w:cs="Arial"/>
                <w:color w:val="0D0D0D" w:themeColor="text1" w:themeTint="F2"/>
                <w:spacing w:val="-4"/>
                <w:szCs w:val="20"/>
              </w:rPr>
              <w:t xml:space="preserve"> </w:t>
            </w:r>
          </w:p>
        </w:tc>
        <w:tc>
          <w:tcPr>
            <w:tcW w:w="220" w:type="dxa"/>
            <w:shd w:val="clear" w:color="auto" w:fill="auto"/>
            <w:tcMar>
              <w:left w:w="0" w:type="dxa"/>
            </w:tcMar>
          </w:tcPr>
          <w:p w14:paraId="4AEFE77D"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7090724F" w14:textId="2250506C" w:rsidR="00763B23" w:rsidRDefault="00763B23" w:rsidP="000D7C6F">
            <w:pPr>
              <w:spacing w:after="0"/>
              <w:rPr>
                <w:spacing w:val="-5"/>
              </w:rPr>
            </w:pPr>
            <w:r>
              <w:rPr>
                <w:spacing w:val="-5"/>
              </w:rPr>
              <w:t>Obdobně jako v 1. pololetí</w:t>
            </w:r>
            <w:r>
              <w:rPr>
                <w:rStyle w:val="Znakapoznpodarou"/>
                <w:spacing w:val="-5"/>
              </w:rPr>
              <w:footnoteReference w:id="24"/>
            </w:r>
            <w:r>
              <w:rPr>
                <w:spacing w:val="-5"/>
              </w:rPr>
              <w:t xml:space="preserve"> i v samotném </w:t>
            </w:r>
            <w:r w:rsidRPr="002C7666">
              <w:rPr>
                <w:spacing w:val="-5"/>
              </w:rPr>
              <w:t>3. čtvrtletí 2023 rostla</w:t>
            </w:r>
            <w:r>
              <w:rPr>
                <w:spacing w:val="-5"/>
              </w:rPr>
              <w:t xml:space="preserve"> průměrná mzda nejvíce v</w:t>
            </w:r>
            <w:r w:rsidR="00CA2D95">
              <w:t xml:space="preserve"> relativně </w:t>
            </w:r>
            <w:r>
              <w:rPr>
                <w:rFonts w:cs="Arial"/>
                <w:color w:val="0D0D0D" w:themeColor="text1" w:themeTint="F2"/>
                <w:spacing w:val="-4"/>
                <w:szCs w:val="20"/>
              </w:rPr>
              <w:t>malém a na kvalifikační požadavky náročném odvětví energetiky</w:t>
            </w:r>
            <w:r>
              <w:rPr>
                <w:rStyle w:val="Znakapoznpodarou"/>
                <w:color w:val="0D0D0D" w:themeColor="text1" w:themeTint="F2"/>
                <w:spacing w:val="-4"/>
                <w:szCs w:val="20"/>
              </w:rPr>
              <w:footnoteReference w:id="25"/>
            </w:r>
            <w:r>
              <w:rPr>
                <w:rFonts w:cs="Arial"/>
                <w:color w:val="0D0D0D" w:themeColor="text1" w:themeTint="F2"/>
                <w:spacing w:val="-4"/>
                <w:szCs w:val="20"/>
              </w:rPr>
              <w:t xml:space="preserve"> </w:t>
            </w:r>
            <w:r w:rsidRPr="002C7666">
              <w:rPr>
                <w:spacing w:val="-5"/>
              </w:rPr>
              <w:t>(+13,7 % meziročně).</w:t>
            </w:r>
            <w:r>
              <w:rPr>
                <w:rFonts w:cs="Arial"/>
                <w:color w:val="0D0D0D" w:themeColor="text1" w:themeTint="F2"/>
                <w:spacing w:val="-4"/>
                <w:szCs w:val="20"/>
              </w:rPr>
              <w:t xml:space="preserve"> </w:t>
            </w:r>
            <w:r w:rsidRPr="002C7666">
              <w:rPr>
                <w:spacing w:val="-5"/>
              </w:rPr>
              <w:t>S odstupem následovaly informačn</w:t>
            </w:r>
            <w:r>
              <w:rPr>
                <w:spacing w:val="-5"/>
              </w:rPr>
              <w:t>í a komunikační činnosti (IT) s růstem o</w:t>
            </w:r>
            <w:r>
              <w:t> </w:t>
            </w:r>
            <w:r>
              <w:rPr>
                <w:spacing w:val="-5"/>
              </w:rPr>
              <w:t>rovných 9 %</w:t>
            </w:r>
            <w:r w:rsidRPr="002C7666">
              <w:rPr>
                <w:spacing w:val="-5"/>
              </w:rPr>
              <w:t xml:space="preserve">, které si současně upevnily svou pozici odvětví </w:t>
            </w:r>
            <w:r>
              <w:rPr>
                <w:spacing w:val="-5"/>
              </w:rPr>
              <w:t>s nejvyšší úrovní výdělků (77,3</w:t>
            </w:r>
            <w:r>
              <w:t> </w:t>
            </w:r>
            <w:r w:rsidRPr="002C7666">
              <w:rPr>
                <w:spacing w:val="-5"/>
              </w:rPr>
              <w:t>t</w:t>
            </w:r>
            <w:r>
              <w:rPr>
                <w:spacing w:val="-5"/>
              </w:rPr>
              <w:t xml:space="preserve">is. korun měsíčně). Díky zotavování cestovního ruchu </w:t>
            </w:r>
            <w:r w:rsidRPr="002C7666">
              <w:rPr>
                <w:spacing w:val="-5"/>
              </w:rPr>
              <w:t xml:space="preserve">vzrostly svižně mzdy v ubytování, </w:t>
            </w:r>
            <w:r>
              <w:rPr>
                <w:spacing w:val="-5"/>
              </w:rPr>
              <w:t xml:space="preserve">stravování a pohostinství (+8,8 %) – </w:t>
            </w:r>
            <w:r w:rsidRPr="002C7666">
              <w:rPr>
                <w:spacing w:val="-5"/>
              </w:rPr>
              <w:t xml:space="preserve">jejich úroveň </w:t>
            </w:r>
            <w:r>
              <w:rPr>
                <w:spacing w:val="-5"/>
              </w:rPr>
              <w:t>i</w:t>
            </w:r>
            <w:r>
              <w:t> </w:t>
            </w:r>
            <w:r w:rsidRPr="002C7666">
              <w:rPr>
                <w:spacing w:val="-5"/>
              </w:rPr>
              <w:t xml:space="preserve">tak dosáhla jen třetiny výše odvětví IT. Růst výdělků převyšoval </w:t>
            </w:r>
            <w:r>
              <w:rPr>
                <w:spacing w:val="-5"/>
              </w:rPr>
              <w:t>inflaci i v činnost</w:t>
            </w:r>
            <w:r w:rsidRPr="002C7666">
              <w:rPr>
                <w:spacing w:val="-5"/>
              </w:rPr>
              <w:t>ech v oblasti nemovitostí, kde navíc došlo i ke s</w:t>
            </w:r>
            <w:r>
              <w:rPr>
                <w:spacing w:val="-5"/>
              </w:rPr>
              <w:t>vižnému navýšení počtu zaměstnanců</w:t>
            </w:r>
            <w:r>
              <w:rPr>
                <w:rStyle w:val="Znakapoznpodarou"/>
                <w:color w:val="0D0D0D" w:themeColor="text1" w:themeTint="F2"/>
                <w:spacing w:val="-4"/>
                <w:szCs w:val="20"/>
              </w:rPr>
              <w:footnoteReference w:id="26"/>
            </w:r>
            <w:r>
              <w:rPr>
                <w:spacing w:val="-5"/>
              </w:rPr>
              <w:t>.</w:t>
            </w:r>
          </w:p>
          <w:p w14:paraId="707E40F9" w14:textId="77777777" w:rsidR="00763B23" w:rsidRPr="0078064B" w:rsidRDefault="00763B23" w:rsidP="000D7C6F">
            <w:pPr>
              <w:spacing w:after="0"/>
              <w:rPr>
                <w:spacing w:val="-5"/>
                <w:sz w:val="18"/>
                <w:szCs w:val="18"/>
              </w:rPr>
            </w:pPr>
          </w:p>
        </w:tc>
      </w:tr>
      <w:tr w:rsidR="00763B23" w:rsidRPr="00F7747C" w14:paraId="2750D6D1" w14:textId="77777777" w:rsidTr="000D7C6F">
        <w:trPr>
          <w:trHeight w:val="132"/>
        </w:trPr>
        <w:tc>
          <w:tcPr>
            <w:tcW w:w="1754" w:type="dxa"/>
            <w:shd w:val="clear" w:color="auto" w:fill="auto"/>
            <w:tcMar>
              <w:left w:w="0" w:type="dxa"/>
            </w:tcMar>
          </w:tcPr>
          <w:p w14:paraId="3C7F7736" w14:textId="77777777" w:rsidR="00763B23" w:rsidRDefault="00763B23" w:rsidP="000D7C6F">
            <w:pPr>
              <w:pStyle w:val="Marginlie"/>
              <w:rPr>
                <w:color w:val="0D0D0D" w:themeColor="text1" w:themeTint="F2"/>
                <w:spacing w:val="-4"/>
              </w:rPr>
            </w:pPr>
            <w:r>
              <w:rPr>
                <w:color w:val="0D0D0D" w:themeColor="text1" w:themeTint="F2"/>
                <w:spacing w:val="-4"/>
              </w:rPr>
              <w:t>V průmyslu se mzdy zvyšovaly nadprůměrně. V rámci zpracovatelského průmyslu se ale projevily rozdílné hospodářské výsledky dílčích oborů.</w:t>
            </w:r>
          </w:p>
          <w:p w14:paraId="010D2831" w14:textId="77777777" w:rsidR="00763B23" w:rsidRDefault="00763B23" w:rsidP="000D7C6F">
            <w:pPr>
              <w:pStyle w:val="Marginlie"/>
              <w:rPr>
                <w:color w:val="0D0D0D" w:themeColor="text1" w:themeTint="F2"/>
                <w:spacing w:val="-4"/>
              </w:rPr>
            </w:pPr>
          </w:p>
          <w:p w14:paraId="70CB7D8B" w14:textId="77777777" w:rsidR="00763B23" w:rsidRPr="00B02B6A" w:rsidRDefault="00763B23" w:rsidP="000D7C6F">
            <w:pPr>
              <w:pStyle w:val="Marginlie"/>
              <w:rPr>
                <w:color w:val="0D0D0D" w:themeColor="text1" w:themeTint="F2"/>
                <w:spacing w:val="-4"/>
              </w:rPr>
            </w:pPr>
            <w:r>
              <w:rPr>
                <w:color w:val="0D0D0D" w:themeColor="text1" w:themeTint="F2"/>
                <w:spacing w:val="-4"/>
              </w:rPr>
              <w:lastRenderedPageBreak/>
              <w:t>V obchodu, dopravě a skladování doprovázela slabší růst průměrných mezd i mírně klesající zaměstnanost.</w:t>
            </w:r>
          </w:p>
          <w:p w14:paraId="499C41F8" w14:textId="77777777" w:rsidR="00763B23" w:rsidRDefault="00763B23" w:rsidP="000D7C6F">
            <w:pPr>
              <w:pStyle w:val="Marginlie"/>
              <w:rPr>
                <w:color w:val="0D0D0D" w:themeColor="text1" w:themeTint="F2"/>
                <w:spacing w:val="-4"/>
              </w:rPr>
            </w:pPr>
          </w:p>
        </w:tc>
        <w:tc>
          <w:tcPr>
            <w:tcW w:w="220" w:type="dxa"/>
            <w:shd w:val="clear" w:color="auto" w:fill="auto"/>
            <w:tcMar>
              <w:left w:w="0" w:type="dxa"/>
            </w:tcMar>
          </w:tcPr>
          <w:p w14:paraId="0A9BB1DF"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12036546" w14:textId="692A52BD" w:rsidR="00763B23" w:rsidRPr="00F7747C" w:rsidRDefault="00763B23" w:rsidP="000D7C6F">
            <w:pPr>
              <w:spacing w:after="200"/>
              <w:rPr>
                <w:spacing w:val="-5"/>
              </w:rPr>
            </w:pPr>
            <w:r w:rsidRPr="002C7666">
              <w:rPr>
                <w:spacing w:val="-5"/>
              </w:rPr>
              <w:t xml:space="preserve">V největším odvětví </w:t>
            </w:r>
            <w:r>
              <w:rPr>
                <w:spacing w:val="-5"/>
              </w:rPr>
              <w:t>–</w:t>
            </w:r>
            <w:r w:rsidRPr="002C7666">
              <w:rPr>
                <w:spacing w:val="-5"/>
              </w:rPr>
              <w:t xml:space="preserve"> zpracovatelském průmyslu </w:t>
            </w:r>
            <w:r>
              <w:rPr>
                <w:spacing w:val="-5"/>
              </w:rPr>
              <w:t>–</w:t>
            </w:r>
            <w:r w:rsidRPr="002C7666">
              <w:rPr>
                <w:spacing w:val="-5"/>
              </w:rPr>
              <w:t xml:space="preserve"> mzdy ve 3. čtvrtletí me</w:t>
            </w:r>
            <w:r>
              <w:rPr>
                <w:spacing w:val="-5"/>
              </w:rPr>
              <w:t>ziročně vzrostly o</w:t>
            </w:r>
            <w:r>
              <w:rPr>
                <w:rFonts w:cs="Arial"/>
                <w:color w:val="0D0D0D" w:themeColor="text1" w:themeTint="F2"/>
                <w:spacing w:val="-4"/>
                <w:szCs w:val="20"/>
              </w:rPr>
              <w:t> </w:t>
            </w:r>
            <w:r w:rsidRPr="002C7666">
              <w:rPr>
                <w:spacing w:val="-5"/>
              </w:rPr>
              <w:t xml:space="preserve">8,2 %. </w:t>
            </w:r>
            <w:r>
              <w:rPr>
                <w:rFonts w:cs="Arial"/>
                <w:color w:val="0D0D0D" w:themeColor="text1" w:themeTint="F2"/>
                <w:spacing w:val="-4"/>
                <w:szCs w:val="20"/>
              </w:rPr>
              <w:t>Situace však zde byla</w:t>
            </w:r>
            <w:r>
              <w:rPr>
                <w:rStyle w:val="normaltextrun"/>
                <w:rFonts w:eastAsia="MS Gothic" w:cs="Arial"/>
                <w:szCs w:val="20"/>
              </w:rPr>
              <w:t xml:space="preserve"> v dílčích oborech v závislosti na hospodářské kondici firem dosti diferencovaná</w:t>
            </w:r>
            <w:r>
              <w:rPr>
                <w:spacing w:val="-5"/>
              </w:rPr>
              <w:t xml:space="preserve">. </w:t>
            </w:r>
            <w:r w:rsidRPr="002C7666">
              <w:rPr>
                <w:spacing w:val="-5"/>
              </w:rPr>
              <w:t>Z</w:t>
            </w:r>
            <w:r>
              <w:rPr>
                <w:spacing w:val="-5"/>
              </w:rPr>
              <w:t xml:space="preserve"> velkých průmyslových oborů</w:t>
            </w:r>
            <w:r w:rsidRPr="002C7666">
              <w:rPr>
                <w:spacing w:val="-5"/>
              </w:rPr>
              <w:t xml:space="preserve"> mzdový růst překonal inflaci jen ve výrobě motorových vozidel a v elektrotechnice. Naopak ve výrobě stavebních hmot průměrné mzdy posílily jen o 6,3 % (i tak se ale jejich výše </w:t>
            </w:r>
            <w:r>
              <w:rPr>
                <w:spacing w:val="-5"/>
              </w:rPr>
              <w:t xml:space="preserve">těsně </w:t>
            </w:r>
            <w:r w:rsidRPr="002C7666">
              <w:rPr>
                <w:spacing w:val="-5"/>
              </w:rPr>
              <w:t>udržela nad úrovní celé ekonomiky) a</w:t>
            </w:r>
            <w:r>
              <w:rPr>
                <w:spacing w:val="-5"/>
              </w:rPr>
              <w:t> </w:t>
            </w:r>
            <w:r w:rsidRPr="002C7666">
              <w:rPr>
                <w:spacing w:val="-5"/>
              </w:rPr>
              <w:t xml:space="preserve">při citelném poklesu zaměstnanosti zde tak objem vyplacených mezd fakticky jen stagnoval. </w:t>
            </w:r>
            <w:r w:rsidRPr="002C7666">
              <w:rPr>
                <w:spacing w:val="-5"/>
              </w:rPr>
              <w:lastRenderedPageBreak/>
              <w:t>Ve stavebnictví průměrné mzdy vzrostly jen o 5,8 % (proti tempům z počátku roku došlo ke zn</w:t>
            </w:r>
            <w:r>
              <w:rPr>
                <w:spacing w:val="-5"/>
              </w:rPr>
              <w:t>atelnému zpomalení). Slabší</w:t>
            </w:r>
            <w:r w:rsidRPr="002C7666">
              <w:rPr>
                <w:spacing w:val="-5"/>
              </w:rPr>
              <w:t xml:space="preserve"> mzdový růst nastal i v řadě výz</w:t>
            </w:r>
            <w:r>
              <w:rPr>
                <w:spacing w:val="-5"/>
              </w:rPr>
              <w:t xml:space="preserve">namných tržních odvětví služeb – </w:t>
            </w:r>
            <w:r w:rsidRPr="002C7666">
              <w:rPr>
                <w:spacing w:val="-5"/>
              </w:rPr>
              <w:t xml:space="preserve">např. v obchodě (6,7 %), dopravě a skladování (7,1 %). </w:t>
            </w:r>
            <w:r>
              <w:rPr>
                <w:rFonts w:cs="Arial"/>
                <w:color w:val="0D0D0D" w:themeColor="text1" w:themeTint="F2"/>
                <w:spacing w:val="-4"/>
                <w:szCs w:val="20"/>
              </w:rPr>
              <w:t xml:space="preserve">Zároveň šlo o jedny z mála oblastí </w:t>
            </w:r>
            <w:r w:rsidRPr="001A4C2E">
              <w:rPr>
                <w:rFonts w:cs="Arial"/>
                <w:color w:val="0D0D0D" w:themeColor="text1" w:themeTint="F2"/>
                <w:spacing w:val="-6"/>
                <w:szCs w:val="20"/>
              </w:rPr>
              <w:t>služeb,</w:t>
            </w:r>
            <w:r>
              <w:rPr>
                <w:rFonts w:cs="Arial"/>
                <w:color w:val="0D0D0D" w:themeColor="text1" w:themeTint="F2"/>
                <w:spacing w:val="-6"/>
                <w:szCs w:val="20"/>
              </w:rPr>
              <w:t xml:space="preserve"> kde počet zaměstnanců nerostl, neboť se zde </w:t>
            </w:r>
            <w:r w:rsidRPr="001A4C2E">
              <w:rPr>
                <w:rFonts w:cs="Arial"/>
                <w:color w:val="0D0D0D" w:themeColor="text1" w:themeTint="F2"/>
                <w:spacing w:val="-6"/>
                <w:szCs w:val="20"/>
              </w:rPr>
              <w:t>projevila provázanost na slábnoucí zpracovatelský průmysl</w:t>
            </w:r>
            <w:r>
              <w:rPr>
                <w:rFonts w:cs="Arial"/>
                <w:color w:val="0D0D0D" w:themeColor="text1" w:themeTint="F2"/>
                <w:spacing w:val="-4"/>
                <w:szCs w:val="20"/>
              </w:rPr>
              <w:t>. Naopak nové zaměstnance (převážně agenturní pracovníky na pozice s nižší kvalifikací) nabíralo odvětví administrativní a podpůrné činnosti, což zde vyústilo ve slabší růst průměrných výdělků (6,6 %), jejichž měsíční výše se rovnala jen 30,4 tis. korun. Nejnižšího mzdového tempa docílilo odvětví ostatní činnosti</w:t>
            </w:r>
            <w:r>
              <w:rPr>
                <w:rStyle w:val="Znakapoznpodarou"/>
                <w:color w:val="0D0D0D" w:themeColor="text1" w:themeTint="F2"/>
                <w:spacing w:val="-4"/>
                <w:szCs w:val="20"/>
              </w:rPr>
              <w:footnoteReference w:id="27"/>
            </w:r>
            <w:r>
              <w:rPr>
                <w:rFonts w:cs="Arial"/>
                <w:color w:val="0D0D0D" w:themeColor="text1" w:themeTint="F2"/>
                <w:spacing w:val="-4"/>
                <w:szCs w:val="20"/>
              </w:rPr>
              <w:t xml:space="preserve"> (+0,9 %), absolutně šlo o navýšení pouze o necelých 300 korun. Nízké tempo lze vysvětlit výrazným oživením zaměstnanosti (+9,3 %), k němuž zde letos došlo poprvé od vzplanutí pandemie. </w:t>
            </w:r>
            <w:r>
              <w:rPr>
                <w:spacing w:val="-5"/>
              </w:rPr>
              <w:t>V</w:t>
            </w:r>
            <w:r>
              <w:rPr>
                <w:rFonts w:cs="Arial"/>
                <w:color w:val="0D0D0D" w:themeColor="text1" w:themeTint="F2"/>
                <w:spacing w:val="-4"/>
                <w:szCs w:val="20"/>
              </w:rPr>
              <w:t> </w:t>
            </w:r>
            <w:r w:rsidRPr="006A0EFB">
              <w:rPr>
                <w:rFonts w:cs="Arial"/>
                <w:color w:val="0D0D0D" w:themeColor="text1" w:themeTint="F2"/>
                <w:spacing w:val="-4"/>
                <w:szCs w:val="20"/>
              </w:rPr>
              <w:t>odvětvích s významnou rolí státu</w:t>
            </w:r>
            <w:r w:rsidRPr="006A0EFB">
              <w:rPr>
                <w:rStyle w:val="Znakapoznpodarou"/>
                <w:color w:val="0D0D0D" w:themeColor="text1" w:themeTint="F2"/>
                <w:spacing w:val="-4"/>
                <w:szCs w:val="20"/>
              </w:rPr>
              <w:footnoteReference w:id="28"/>
            </w:r>
            <w:r w:rsidRPr="002C7666">
              <w:rPr>
                <w:spacing w:val="-5"/>
              </w:rPr>
              <w:t xml:space="preserve"> se mzdy zvýšily nejvíce ve zdravotní a sociální péči (+7,3 %), nejméně</w:t>
            </w:r>
            <w:r>
              <w:rPr>
                <w:spacing w:val="-5"/>
              </w:rPr>
              <w:t xml:space="preserve"> </w:t>
            </w:r>
            <w:r w:rsidRPr="002C7666">
              <w:rPr>
                <w:spacing w:val="-5"/>
              </w:rPr>
              <w:t>ve vzdělávání (+3,3 %</w:t>
            </w:r>
            <w:r>
              <w:rPr>
                <w:rStyle w:val="Znakapoznpodarou"/>
                <w:color w:val="0D0D0D" w:themeColor="text1" w:themeTint="F2"/>
                <w:spacing w:val="-4"/>
                <w:szCs w:val="20"/>
              </w:rPr>
              <w:footnoteReference w:id="29"/>
            </w:r>
            <w:r>
              <w:rPr>
                <w:spacing w:val="-5"/>
              </w:rPr>
              <w:t>), kde jejich úroveň ve 3. čtvrtletí (41,8 tis.</w:t>
            </w:r>
            <w:r w:rsidRPr="002C7666">
              <w:rPr>
                <w:spacing w:val="-5"/>
              </w:rPr>
              <w:t xml:space="preserve"> k</w:t>
            </w:r>
            <w:r>
              <w:rPr>
                <w:spacing w:val="-5"/>
              </w:rPr>
              <w:t>orun) lehce zaostala za celou ekonomikou (obdobné platilo pro mzdy i v úhrnu od počátku roku).</w:t>
            </w:r>
          </w:p>
        </w:tc>
      </w:tr>
      <w:tr w:rsidR="00763B23" w:rsidRPr="00D94F3D" w14:paraId="6044927E" w14:textId="77777777" w:rsidTr="000D7C6F">
        <w:trPr>
          <w:trHeight w:val="132"/>
        </w:trPr>
        <w:tc>
          <w:tcPr>
            <w:tcW w:w="1754" w:type="dxa"/>
            <w:shd w:val="clear" w:color="auto" w:fill="auto"/>
            <w:tcMar>
              <w:left w:w="0" w:type="dxa"/>
            </w:tcMar>
          </w:tcPr>
          <w:p w14:paraId="634DE617" w14:textId="77777777" w:rsidR="00763B23" w:rsidRPr="00B02B6A" w:rsidRDefault="00763B23" w:rsidP="000D7C6F">
            <w:pPr>
              <w:pStyle w:val="Marginlie"/>
              <w:rPr>
                <w:color w:val="0D0D0D" w:themeColor="text1" w:themeTint="F2"/>
                <w:spacing w:val="-4"/>
              </w:rPr>
            </w:pPr>
            <w:r>
              <w:lastRenderedPageBreak/>
              <w:t>Celková mzdová diferenciace se letos nepatrně prohloubila.</w:t>
            </w:r>
          </w:p>
        </w:tc>
        <w:tc>
          <w:tcPr>
            <w:tcW w:w="220" w:type="dxa"/>
            <w:shd w:val="clear" w:color="auto" w:fill="auto"/>
            <w:tcMar>
              <w:left w:w="0" w:type="dxa"/>
            </w:tcMar>
          </w:tcPr>
          <w:p w14:paraId="3E80FC36"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7558871E" w14:textId="0DF6ED12" w:rsidR="00763B23" w:rsidRPr="00D94F3D" w:rsidRDefault="00763B23" w:rsidP="000D7C6F">
            <w:pPr>
              <w:spacing w:after="200"/>
              <w:rPr>
                <w:rFonts w:cs="Arial"/>
                <w:color w:val="0D0D0D" w:themeColor="text1" w:themeTint="F2"/>
                <w:spacing w:val="-4"/>
                <w:sz w:val="14"/>
                <w:szCs w:val="14"/>
              </w:rPr>
            </w:pPr>
            <w:r>
              <w:rPr>
                <w:rFonts w:cs="Arial"/>
                <w:color w:val="0D0D0D" w:themeColor="text1" w:themeTint="F2"/>
                <w:spacing w:val="-4"/>
                <w:szCs w:val="20"/>
              </w:rPr>
              <w:t>Medián m</w:t>
            </w:r>
            <w:r w:rsidRPr="00984CCD">
              <w:rPr>
                <w:rFonts w:cs="Arial"/>
                <w:color w:val="0D0D0D" w:themeColor="text1" w:themeTint="F2"/>
                <w:spacing w:val="-4"/>
                <w:szCs w:val="20"/>
              </w:rPr>
              <w:t>zd</w:t>
            </w:r>
            <w:r>
              <w:rPr>
                <w:rFonts w:cs="Arial"/>
                <w:color w:val="0D0D0D" w:themeColor="text1" w:themeTint="F2"/>
                <w:spacing w:val="-4"/>
                <w:szCs w:val="20"/>
              </w:rPr>
              <w:t>y v celé ekonomice se ve 3</w:t>
            </w:r>
            <w:r w:rsidRPr="00984CCD">
              <w:rPr>
                <w:rFonts w:cs="Arial"/>
                <w:color w:val="0D0D0D" w:themeColor="text1" w:themeTint="F2"/>
                <w:spacing w:val="-4"/>
                <w:szCs w:val="20"/>
              </w:rPr>
              <w:t>. čtvrt</w:t>
            </w:r>
            <w:r>
              <w:rPr>
                <w:rFonts w:cs="Arial"/>
                <w:color w:val="0D0D0D" w:themeColor="text1" w:themeTint="F2"/>
                <w:spacing w:val="-4"/>
                <w:szCs w:val="20"/>
              </w:rPr>
              <w:t>letí 2023 meziročně zvýšil o 7,1</w:t>
            </w:r>
            <w:r w:rsidRPr="00984CCD">
              <w:rPr>
                <w:rFonts w:cs="Arial"/>
                <w:color w:val="0D0D0D" w:themeColor="text1" w:themeTint="F2"/>
                <w:spacing w:val="-4"/>
                <w:szCs w:val="20"/>
              </w:rPr>
              <w:t xml:space="preserve"> %</w:t>
            </w:r>
            <w:r>
              <w:rPr>
                <w:rStyle w:val="normaltextrun"/>
                <w:rFonts w:eastAsia="MS Gothic" w:cs="Arial"/>
                <w:szCs w:val="20"/>
              </w:rPr>
              <w:t xml:space="preserve"> (i zde se růstové tempo zatím letos zvolňovalo)</w:t>
            </w:r>
            <w:r>
              <w:rPr>
                <w:rFonts w:cs="Arial"/>
                <w:color w:val="0D0D0D" w:themeColor="text1" w:themeTint="F2"/>
                <w:spacing w:val="-4"/>
                <w:szCs w:val="20"/>
              </w:rPr>
              <w:t xml:space="preserve">. </w:t>
            </w:r>
            <w:r w:rsidRPr="00984CCD">
              <w:rPr>
                <w:rFonts w:cs="Arial"/>
                <w:color w:val="0D0D0D" w:themeColor="text1" w:themeTint="F2"/>
                <w:spacing w:val="-4"/>
                <w:szCs w:val="20"/>
              </w:rPr>
              <w:t xml:space="preserve">Medián </w:t>
            </w:r>
            <w:r>
              <w:rPr>
                <w:rFonts w:cs="Arial"/>
                <w:color w:val="0D0D0D" w:themeColor="text1" w:themeTint="F2"/>
                <w:spacing w:val="-4"/>
                <w:szCs w:val="20"/>
              </w:rPr>
              <w:t>mzdy mužů činil měsíčně 40,2 tis. korun, ženy pobíraly 34,7</w:t>
            </w:r>
            <w:r w:rsidRPr="00984CCD">
              <w:rPr>
                <w:rFonts w:cs="Arial"/>
                <w:color w:val="0D0D0D" w:themeColor="text1" w:themeTint="F2"/>
                <w:spacing w:val="-4"/>
                <w:szCs w:val="20"/>
              </w:rPr>
              <w:t xml:space="preserve"> tis. korun. </w:t>
            </w:r>
            <w:r>
              <w:rPr>
                <w:rStyle w:val="normaltextrun"/>
                <w:rFonts w:eastAsia="MS Gothic" w:cs="Arial"/>
                <w:szCs w:val="20"/>
              </w:rPr>
              <w:t>Mediánové výdělky žen byly proti mužům o</w:t>
            </w:r>
            <w:r>
              <w:rPr>
                <w:rFonts w:cs="Arial"/>
                <w:color w:val="0D0D0D" w:themeColor="text1" w:themeTint="F2"/>
                <w:spacing w:val="-4"/>
                <w:szCs w:val="20"/>
              </w:rPr>
              <w:t> </w:t>
            </w:r>
            <w:r>
              <w:rPr>
                <w:rStyle w:val="normaltextrun"/>
                <w:rFonts w:eastAsia="MS Gothic" w:cs="Arial"/>
                <w:szCs w:val="20"/>
              </w:rPr>
              <w:t xml:space="preserve">necelých 14 % nižší (stejně jako loni). </w:t>
            </w:r>
            <w:r>
              <w:rPr>
                <w:rFonts w:cs="Arial"/>
                <w:color w:val="0D0D0D" w:themeColor="text1" w:themeTint="F2"/>
                <w:spacing w:val="-2"/>
                <w:szCs w:val="20"/>
              </w:rPr>
              <w:t xml:space="preserve">Celkové mzdové diference se meziročně nepatrně zvýšily. Ve všech třech dosavadních letošních kvartálech totiž rostla hodnota nejvyššího mzdového decilu rychleji než dolního decilu (z toho ve 3. kvartálu </w:t>
            </w:r>
            <w:r>
              <w:rPr>
                <w:rStyle w:val="normaltextrun"/>
                <w:rFonts w:eastAsia="MS Gothic" w:cs="Arial"/>
                <w:szCs w:val="20"/>
              </w:rPr>
              <w:t>horní decil výdělků narostl o 7,4 %, dolní pak o rovných 6 %).</w:t>
            </w:r>
          </w:p>
        </w:tc>
      </w:tr>
      <w:tr w:rsidR="00763B23" w:rsidRPr="00282974" w14:paraId="75C40D74" w14:textId="77777777" w:rsidTr="000D7C6F">
        <w:trPr>
          <w:trHeight w:val="132"/>
        </w:trPr>
        <w:tc>
          <w:tcPr>
            <w:tcW w:w="1754" w:type="dxa"/>
            <w:shd w:val="clear" w:color="auto" w:fill="auto"/>
            <w:tcMar>
              <w:left w:w="0" w:type="dxa"/>
            </w:tcMar>
          </w:tcPr>
          <w:p w14:paraId="41B4CAB5" w14:textId="77777777" w:rsidR="00763B23" w:rsidRPr="00A90A79" w:rsidRDefault="00763B23" w:rsidP="000D7C6F">
            <w:pPr>
              <w:pStyle w:val="Marginlie"/>
              <w:rPr>
                <w:spacing w:val="-4"/>
              </w:rPr>
            </w:pPr>
          </w:p>
        </w:tc>
        <w:tc>
          <w:tcPr>
            <w:tcW w:w="220" w:type="dxa"/>
            <w:shd w:val="clear" w:color="auto" w:fill="auto"/>
            <w:tcMar>
              <w:left w:w="0" w:type="dxa"/>
            </w:tcMar>
          </w:tcPr>
          <w:p w14:paraId="4FD160EA"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2E7FBEB6" w14:textId="77777777" w:rsidR="00763B23" w:rsidRPr="00282974" w:rsidRDefault="00763B23" w:rsidP="000D7C6F">
            <w:pPr>
              <w:spacing w:after="0"/>
              <w:rPr>
                <w:b/>
                <w:spacing w:val="-2"/>
              </w:rPr>
            </w:pPr>
            <w:r w:rsidRPr="00282974">
              <w:rPr>
                <w:rFonts w:cs="Arial"/>
                <w:b/>
                <w:color w:val="0D0D0D" w:themeColor="text1" w:themeTint="F2"/>
                <w:spacing w:val="-2"/>
                <w:szCs w:val="20"/>
              </w:rPr>
              <w:t xml:space="preserve">Graf č. 15 </w:t>
            </w:r>
            <w:r w:rsidRPr="003E01D3">
              <w:rPr>
                <w:b/>
                <w:spacing w:val="-4"/>
              </w:rPr>
              <w:t>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763B23" w:rsidRPr="00A90A79" w14:paraId="58B30ED1" w14:textId="77777777" w:rsidTr="000D7C6F">
        <w:tblPrEx>
          <w:tblCellMar>
            <w:left w:w="70" w:type="dxa"/>
            <w:right w:w="70" w:type="dxa"/>
          </w:tblCellMar>
        </w:tblPrEx>
        <w:trPr>
          <w:trHeight w:val="132"/>
        </w:trPr>
        <w:tc>
          <w:tcPr>
            <w:tcW w:w="1754" w:type="dxa"/>
            <w:shd w:val="clear" w:color="auto" w:fill="auto"/>
          </w:tcPr>
          <w:p w14:paraId="7D4503F6" w14:textId="77777777" w:rsidR="00763B23" w:rsidRPr="00A90A79" w:rsidRDefault="00763B23" w:rsidP="000D7C6F">
            <w:pPr>
              <w:pStyle w:val="Marginlie"/>
              <w:rPr>
                <w:spacing w:val="-4"/>
              </w:rPr>
            </w:pPr>
          </w:p>
        </w:tc>
        <w:tc>
          <w:tcPr>
            <w:tcW w:w="220" w:type="dxa"/>
            <w:shd w:val="clear" w:color="auto" w:fill="auto"/>
          </w:tcPr>
          <w:p w14:paraId="5BB5F910" w14:textId="77777777" w:rsidR="00763B23" w:rsidRPr="00B43216" w:rsidRDefault="00763B23" w:rsidP="000D7C6F">
            <w:pPr>
              <w:pStyle w:val="Textpoznpodarou"/>
              <w:jc w:val="both"/>
              <w:rPr>
                <w:spacing w:val="-4"/>
              </w:rPr>
            </w:pPr>
          </w:p>
        </w:tc>
        <w:tc>
          <w:tcPr>
            <w:tcW w:w="7700" w:type="dxa"/>
            <w:shd w:val="clear" w:color="auto" w:fill="auto"/>
          </w:tcPr>
          <w:p w14:paraId="6F20CF06" w14:textId="77777777" w:rsidR="00763B23" w:rsidRPr="00A90A79" w:rsidRDefault="00763B23" w:rsidP="000D7C6F">
            <w:pPr>
              <w:spacing w:after="0" w:line="240" w:lineRule="auto"/>
              <w:rPr>
                <w:rFonts w:cs="Arial"/>
                <w:color w:val="0D0D0D" w:themeColor="text1" w:themeTint="F2"/>
                <w:spacing w:val="-4"/>
                <w:sz w:val="14"/>
                <w:szCs w:val="14"/>
              </w:rPr>
            </w:pPr>
            <w:r>
              <w:rPr>
                <w:noProof/>
              </w:rPr>
              <w:drawing>
                <wp:inline distT="0" distB="0" distL="0" distR="0" wp14:anchorId="452B4CCB" wp14:editId="292DD9DF">
                  <wp:extent cx="4794389" cy="3752929"/>
                  <wp:effectExtent l="0" t="0" r="635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63B23" w:rsidRPr="00A90A79" w14:paraId="6838D2D9" w14:textId="77777777" w:rsidTr="000D7C6F">
        <w:trPr>
          <w:trHeight w:val="132"/>
        </w:trPr>
        <w:tc>
          <w:tcPr>
            <w:tcW w:w="1754" w:type="dxa"/>
            <w:shd w:val="clear" w:color="auto" w:fill="auto"/>
            <w:tcMar>
              <w:left w:w="0" w:type="dxa"/>
            </w:tcMar>
          </w:tcPr>
          <w:p w14:paraId="684C48A8" w14:textId="77777777" w:rsidR="00763B23" w:rsidRPr="00A90A79" w:rsidRDefault="00763B23" w:rsidP="000D7C6F">
            <w:pPr>
              <w:pStyle w:val="Marginlie"/>
              <w:rPr>
                <w:spacing w:val="-4"/>
              </w:rPr>
            </w:pPr>
          </w:p>
        </w:tc>
        <w:tc>
          <w:tcPr>
            <w:tcW w:w="220" w:type="dxa"/>
            <w:shd w:val="clear" w:color="auto" w:fill="auto"/>
            <w:tcMar>
              <w:left w:w="0" w:type="dxa"/>
            </w:tcMar>
          </w:tcPr>
          <w:p w14:paraId="518C41FA"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0CCBF1B5" w14:textId="77777777" w:rsidR="00763B23" w:rsidRDefault="00763B23" w:rsidP="000D7C6F">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w:t>
            </w:r>
            <w:r w:rsidRPr="00A90A79">
              <w:rPr>
                <w:rFonts w:cs="Arial"/>
                <w:color w:val="0D0D0D" w:themeColor="text1" w:themeTint="F2"/>
                <w:spacing w:val="-4"/>
                <w:sz w:val="14"/>
                <w:szCs w:val="14"/>
              </w:rPr>
              <w:t>Zahrnuj</w:t>
            </w:r>
            <w:r>
              <w:rPr>
                <w:rFonts w:cs="Arial"/>
                <w:color w:val="0D0D0D" w:themeColor="text1" w:themeTint="F2"/>
                <w:spacing w:val="-4"/>
                <w:sz w:val="14"/>
                <w:szCs w:val="14"/>
              </w:rPr>
              <w:t>e odvětví s významnou rolí vládního sektoru</w:t>
            </w:r>
            <w:r w:rsidRPr="00A90A79">
              <w:rPr>
                <w:rFonts w:cs="Arial"/>
                <w:color w:val="0D0D0D" w:themeColor="text1" w:themeTint="F2"/>
                <w:spacing w:val="-4"/>
                <w:sz w:val="14"/>
                <w:szCs w:val="14"/>
              </w:rPr>
              <w:t>: Veřejná správa a obrana, povinné sociální zabezpečení; Vzdělávání; Zdravotní a sociální péče; Kulturn</w:t>
            </w:r>
            <w:r>
              <w:rPr>
                <w:rFonts w:cs="Arial"/>
                <w:color w:val="0D0D0D" w:themeColor="text1" w:themeTint="F2"/>
                <w:spacing w:val="-4"/>
                <w:sz w:val="14"/>
                <w:szCs w:val="14"/>
              </w:rPr>
              <w:t>í, zábavní a rekreační činnosti.</w:t>
            </w:r>
          </w:p>
          <w:p w14:paraId="07047716" w14:textId="77777777" w:rsidR="00763B23" w:rsidRDefault="00763B23" w:rsidP="000D7C6F">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**Vyjadřuje reálný HDP vztažený na 1 pracovníka (ve fyzických osobách) </w:t>
            </w:r>
          </w:p>
          <w:p w14:paraId="515941A9" w14:textId="77777777" w:rsidR="00763B23" w:rsidRPr="00A90A79" w:rsidRDefault="00763B23" w:rsidP="000D7C6F">
            <w:pPr>
              <w:spacing w:after="20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 </w:t>
            </w:r>
            <w:r w:rsidRPr="00A90A79">
              <w:rPr>
                <w:rFonts w:cs="Arial"/>
                <w:color w:val="0D0D0D" w:themeColor="text1" w:themeTint="F2"/>
                <w:spacing w:val="-4"/>
                <w:sz w:val="14"/>
                <w:szCs w:val="14"/>
              </w:rPr>
              <w:t>Zdroj: ČSÚ</w:t>
            </w:r>
          </w:p>
        </w:tc>
      </w:tr>
    </w:tbl>
    <w:p w14:paraId="6FD91E5A" w14:textId="4E3C7394" w:rsidR="00106BCC" w:rsidRPr="001C3855" w:rsidRDefault="00106BCC" w:rsidP="00F20371">
      <w:pPr>
        <w:pStyle w:val="Nadpis11"/>
        <w:spacing w:after="120"/>
        <w:rPr>
          <w:sz w:val="2"/>
          <w:szCs w:val="2"/>
        </w:rPr>
      </w:pPr>
      <w:bookmarkStart w:id="3" w:name="_GoBack"/>
      <w:bookmarkEnd w:id="1"/>
      <w:bookmarkEnd w:id="2"/>
      <w:bookmarkEnd w:id="3"/>
    </w:p>
    <w:sectPr w:rsidR="00106BCC" w:rsidRPr="001C3855" w:rsidSect="00F20371">
      <w:headerReference w:type="even" r:id="rId15"/>
      <w:headerReference w:type="default" r:id="rId16"/>
      <w:footerReference w:type="even" r:id="rId17"/>
      <w:footerReference w:type="default" r:id="rId18"/>
      <w:pgSz w:w="11906" w:h="16838" w:code="9"/>
      <w:pgMar w:top="1134" w:right="1134" w:bottom="1418" w:left="1134" w:header="680" w:footer="737"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EF0E2" w14:textId="77777777" w:rsidR="00344264" w:rsidRDefault="00344264" w:rsidP="00E71A58">
      <w:r>
        <w:separator/>
      </w:r>
    </w:p>
  </w:endnote>
  <w:endnote w:type="continuationSeparator" w:id="0">
    <w:p w14:paraId="0340842F" w14:textId="77777777" w:rsidR="00344264" w:rsidRDefault="0034426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6EEB37C" w:rsidR="000D7C6F" w:rsidRPr="00932443" w:rsidRDefault="000D7C6F"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F20371">
      <w:rPr>
        <w:szCs w:val="16"/>
      </w:rPr>
      <w:t>34</w:t>
    </w:r>
    <w:r w:rsidRPr="00932443">
      <w:rPr>
        <w:szCs w:val="16"/>
      </w:rPr>
      <w:fldChar w:fldCharType="end"/>
    </w:r>
    <w:r w:rsidRPr="00932443">
      <w:rPr>
        <w:szCs w:val="16"/>
      </w:rPr>
      <w:tab/>
    </w:r>
    <w:r>
      <w:rPr>
        <w:szCs w:val="16"/>
      </w:rPr>
      <w:t>1. až 3.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593F8C4" w:rsidR="000D7C6F" w:rsidRPr="00932443" w:rsidRDefault="000D7C6F" w:rsidP="00FA6CB6">
    <w:pPr>
      <w:pStyle w:val="Zpat"/>
      <w:rPr>
        <w:szCs w:val="16"/>
      </w:rPr>
    </w:pPr>
    <w:r w:rsidRPr="00FA6CB6">
      <w:rPr>
        <w:szCs w:val="16"/>
      </w:rPr>
      <w:tab/>
    </w:r>
    <w:r>
      <w:rPr>
        <w:szCs w:val="16"/>
      </w:rPr>
      <w:t>1. až 3.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F20371">
      <w:rPr>
        <w:rStyle w:val="ZpatChar"/>
        <w:szCs w:val="16"/>
      </w:rPr>
      <w:t>35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7C3D" w14:textId="77777777" w:rsidR="00344264" w:rsidRDefault="00344264" w:rsidP="00A21B4D">
      <w:pPr>
        <w:spacing w:after="0"/>
      </w:pPr>
      <w:r>
        <w:separator/>
      </w:r>
    </w:p>
  </w:footnote>
  <w:footnote w:type="continuationSeparator" w:id="0">
    <w:p w14:paraId="6C0A4609" w14:textId="77777777" w:rsidR="00344264" w:rsidRDefault="00344264" w:rsidP="00E71A58">
      <w:r>
        <w:continuationSeparator/>
      </w:r>
    </w:p>
  </w:footnote>
  <w:footnote w:id="1">
    <w:p w14:paraId="5F0BF67C" w14:textId="77777777" w:rsidR="000D7C6F" w:rsidRPr="00F72E52" w:rsidRDefault="000D7C6F" w:rsidP="00763B23">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w:t>
      </w:r>
      <w:r>
        <w:rPr>
          <w:color w:val="0D0D0D" w:themeColor="text1" w:themeTint="F2"/>
          <w:spacing w:val="-2"/>
          <w:sz w:val="16"/>
          <w:szCs w:val="16"/>
        </w:rPr>
        <w:t xml:space="preserve">o zaměstnanosti </w:t>
      </w:r>
      <w:r w:rsidRPr="00F72E52">
        <w:rPr>
          <w:color w:val="0D0D0D" w:themeColor="text1" w:themeTint="F2"/>
          <w:spacing w:val="-2"/>
          <w:sz w:val="16"/>
          <w:szCs w:val="16"/>
        </w:rPr>
        <w:t>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r>
        <w:rPr>
          <w:color w:val="0D0D0D" w:themeColor="text1" w:themeTint="F2"/>
          <w:spacing w:val="-2"/>
          <w:sz w:val="16"/>
          <w:szCs w:val="16"/>
        </w:rPr>
        <w:t xml:space="preserve"> Na rozdíl od údajů z podnikové statistiky či z </w:t>
      </w:r>
      <w:r w:rsidRPr="00946AFA">
        <w:rPr>
          <w:sz w:val="16"/>
          <w:szCs w:val="16"/>
        </w:rPr>
        <w:t xml:space="preserve">výběrového šetření pracovních sil </w:t>
      </w:r>
      <w:r>
        <w:rPr>
          <w:sz w:val="16"/>
          <w:szCs w:val="16"/>
        </w:rPr>
        <w:t>(VŠPS) zahrnují např. i odhad vlivu šedé ekonomiky.</w:t>
      </w:r>
    </w:p>
  </w:footnote>
  <w:footnote w:id="2">
    <w:p w14:paraId="68FBCEE8" w14:textId="77777777" w:rsidR="000D7C6F" w:rsidRPr="00F202F4" w:rsidRDefault="000D7C6F" w:rsidP="00763B23">
      <w:pPr>
        <w:pStyle w:val="Textpoznpodarou"/>
        <w:rPr>
          <w:sz w:val="16"/>
          <w:szCs w:val="16"/>
        </w:rPr>
      </w:pPr>
      <w:r w:rsidRPr="00F202F4">
        <w:rPr>
          <w:rStyle w:val="Znakapoznpodarou"/>
          <w:sz w:val="16"/>
          <w:szCs w:val="16"/>
        </w:rPr>
        <w:footnoteRef/>
      </w:r>
      <w:r>
        <w:rPr>
          <w:sz w:val="16"/>
          <w:szCs w:val="16"/>
        </w:rPr>
        <w:t xml:space="preserve"> V E</w:t>
      </w:r>
      <w:r w:rsidRPr="00F202F4">
        <w:rPr>
          <w:sz w:val="16"/>
          <w:szCs w:val="16"/>
        </w:rPr>
        <w:t xml:space="preserve">U i samotné eurozóně </w:t>
      </w:r>
      <w:r>
        <w:rPr>
          <w:sz w:val="16"/>
          <w:szCs w:val="16"/>
        </w:rPr>
        <w:t xml:space="preserve">pokračoval </w:t>
      </w:r>
      <w:r w:rsidRPr="00F202F4">
        <w:rPr>
          <w:sz w:val="16"/>
          <w:szCs w:val="16"/>
        </w:rPr>
        <w:t>mírný růst celkové zaměstnanosti (ve 3. čtvrtletí činil mezikvartálně 0,2 %). Horší výsledky průmyslu vyvažovaly služby – zejména informační a komunikační činnosti, finančnictví a podnikové služby.</w:t>
      </w:r>
      <w:r>
        <w:rPr>
          <w:sz w:val="16"/>
          <w:szCs w:val="16"/>
        </w:rPr>
        <w:t xml:space="preserve"> Dařilo se hlavně drobnému podnikání.</w:t>
      </w:r>
    </w:p>
  </w:footnote>
  <w:footnote w:id="3">
    <w:p w14:paraId="1F3D8EA6" w14:textId="77777777" w:rsidR="000D7C6F" w:rsidRPr="00431D2B" w:rsidRDefault="000D7C6F" w:rsidP="00763B23">
      <w:pPr>
        <w:pStyle w:val="Textpoznpodarou"/>
        <w:rPr>
          <w:sz w:val="16"/>
          <w:szCs w:val="16"/>
        </w:rPr>
      </w:pPr>
      <w:r w:rsidRPr="00431D2B">
        <w:rPr>
          <w:rStyle w:val="Znakapoznpodarou"/>
          <w:sz w:val="16"/>
          <w:szCs w:val="16"/>
        </w:rPr>
        <w:footnoteRef/>
      </w:r>
      <w:r w:rsidRPr="00431D2B">
        <w:rPr>
          <w:sz w:val="16"/>
          <w:szCs w:val="16"/>
        </w:rPr>
        <w:t xml:space="preserve"> V celé EU se počet pracovníků zvýšil o 1,3 %, z </w:t>
      </w:r>
      <w:r>
        <w:rPr>
          <w:sz w:val="16"/>
          <w:szCs w:val="16"/>
        </w:rPr>
        <w:t xml:space="preserve">jednotlivých </w:t>
      </w:r>
      <w:r w:rsidRPr="00431D2B">
        <w:rPr>
          <w:sz w:val="16"/>
          <w:szCs w:val="16"/>
        </w:rPr>
        <w:t xml:space="preserve">států pak nejvíce v Irsku </w:t>
      </w:r>
      <w:r>
        <w:rPr>
          <w:sz w:val="16"/>
          <w:szCs w:val="16"/>
        </w:rPr>
        <w:t>(o 3,8</w:t>
      </w:r>
      <w:r w:rsidRPr="00431D2B">
        <w:rPr>
          <w:sz w:val="16"/>
          <w:szCs w:val="16"/>
        </w:rPr>
        <w:t xml:space="preserve"> %), Estonsku (3,5</w:t>
      </w:r>
      <w:r>
        <w:rPr>
          <w:sz w:val="16"/>
          <w:szCs w:val="16"/>
        </w:rPr>
        <w:t xml:space="preserve"> %) a Španělsku (3,0</w:t>
      </w:r>
      <w:r w:rsidRPr="00431D2B">
        <w:rPr>
          <w:sz w:val="16"/>
          <w:szCs w:val="16"/>
        </w:rPr>
        <w:t xml:space="preserve"> %). </w:t>
      </w:r>
      <w:r>
        <w:rPr>
          <w:sz w:val="16"/>
          <w:szCs w:val="16"/>
        </w:rPr>
        <w:t>Německo vykázalo identický růst jako ČR, naopak jen velmi slabý byl na Slovensku (+0,4 %), v Lotyšsku (0,3 %) a Maďarsku (0,2 %). V Rumunsku, jako v jediné členské zemi, se zaměstnanost snížila (o 1,2 %).</w:t>
      </w:r>
    </w:p>
  </w:footnote>
  <w:footnote w:id="4">
    <w:p w14:paraId="17962D28" w14:textId="77777777" w:rsidR="000D7C6F" w:rsidRPr="00946AFA" w:rsidRDefault="000D7C6F" w:rsidP="00763B23">
      <w:pPr>
        <w:pStyle w:val="Textpoznpodarou"/>
        <w:rPr>
          <w:sz w:val="16"/>
          <w:szCs w:val="16"/>
        </w:rPr>
      </w:pPr>
      <w:r w:rsidRPr="00946AFA">
        <w:rPr>
          <w:rStyle w:val="Znakapoznpodarou"/>
          <w:sz w:val="16"/>
          <w:szCs w:val="16"/>
        </w:rPr>
        <w:footnoteRef/>
      </w:r>
      <w:r w:rsidRPr="00946AFA">
        <w:rPr>
          <w:sz w:val="16"/>
          <w:szCs w:val="16"/>
        </w:rPr>
        <w:t xml:space="preserve"> Z detailnějších </w:t>
      </w:r>
      <w:r>
        <w:rPr>
          <w:sz w:val="16"/>
          <w:szCs w:val="16"/>
        </w:rPr>
        <w:t xml:space="preserve">údajů z VŠPS </w:t>
      </w:r>
      <w:r w:rsidRPr="00946AFA">
        <w:rPr>
          <w:sz w:val="16"/>
          <w:szCs w:val="16"/>
        </w:rPr>
        <w:t>plyne, že počet zaměstnavatel</w:t>
      </w:r>
      <w:r>
        <w:rPr>
          <w:sz w:val="16"/>
          <w:szCs w:val="16"/>
        </w:rPr>
        <w:t>ů (podnikatelů se zaměstnanci) se v 1. až 3. čtvrtletí meziročně nepatrně snížil (a pokračoval tak v nepříznivém trendu trvajícím od roku 2019). Tato početně méně významná skupina podnikatelů je v metodice národních účtů řazena do kategorie zaměstnanců.</w:t>
      </w:r>
    </w:p>
  </w:footnote>
  <w:footnote w:id="5">
    <w:p w14:paraId="774F0981" w14:textId="77777777" w:rsidR="000D7C6F" w:rsidRPr="00650B9F" w:rsidRDefault="000D7C6F" w:rsidP="00763B23">
      <w:pPr>
        <w:pStyle w:val="Textpoznpodarou"/>
        <w:rPr>
          <w:sz w:val="16"/>
          <w:szCs w:val="16"/>
        </w:rPr>
      </w:pPr>
      <w:r w:rsidRPr="00650B9F">
        <w:rPr>
          <w:rStyle w:val="Znakapoznpodarou"/>
          <w:sz w:val="16"/>
          <w:szCs w:val="16"/>
        </w:rPr>
        <w:footnoteRef/>
      </w:r>
      <w:r w:rsidRPr="00650B9F">
        <w:rPr>
          <w:sz w:val="16"/>
          <w:szCs w:val="16"/>
        </w:rPr>
        <w:t xml:space="preserve"> </w:t>
      </w:r>
      <w:r>
        <w:rPr>
          <w:color w:val="0D0D0D" w:themeColor="text1" w:themeTint="F2"/>
          <w:spacing w:val="-4"/>
          <w:sz w:val="16"/>
          <w:szCs w:val="16"/>
        </w:rPr>
        <w:t>Ve zpracovatelském průmyslu a také v peněžnictví a pojišťovnictví jich za poslední čtyři roky ubylo dokonce o více než desetinu. Naopak znatelně nad svými předkrizovými počty se nacházeli sebezaměstnaní pouze v informačních a komunikačních činnostech (+10 %).</w:t>
      </w:r>
    </w:p>
  </w:footnote>
  <w:footnote w:id="6">
    <w:p w14:paraId="2E2C9FFD" w14:textId="77777777" w:rsidR="000D7C6F" w:rsidRPr="006A28A4" w:rsidRDefault="000D7C6F" w:rsidP="00763B23">
      <w:pPr>
        <w:pStyle w:val="Textpoznpodarou"/>
        <w:rPr>
          <w:sz w:val="16"/>
          <w:szCs w:val="16"/>
        </w:rPr>
      </w:pPr>
      <w:r w:rsidRPr="006A28A4">
        <w:rPr>
          <w:rStyle w:val="Znakapoznpodarou"/>
          <w:sz w:val="16"/>
          <w:szCs w:val="16"/>
        </w:rPr>
        <w:footnoteRef/>
      </w:r>
      <w:r w:rsidRPr="006A28A4">
        <w:rPr>
          <w:sz w:val="16"/>
          <w:szCs w:val="16"/>
        </w:rPr>
        <w:t xml:space="preserve"> Z podrobnějších podnikových statistik plyne, že ve výrobě ostatních nekovových minerálních výrobků (zahrnujících typicky stavební materiály) se v 1. až 3. čtvrtletí </w:t>
      </w:r>
      <w:r>
        <w:rPr>
          <w:sz w:val="16"/>
          <w:szCs w:val="16"/>
        </w:rPr>
        <w:t xml:space="preserve">snížil </w:t>
      </w:r>
      <w:r w:rsidRPr="006A28A4">
        <w:rPr>
          <w:sz w:val="16"/>
          <w:szCs w:val="16"/>
        </w:rPr>
        <w:t xml:space="preserve">evidenční počet zaměstnanců pod loňskou úroveň o 3,5 % (relativně nejvíce ze všech váhově významnějších průmyslových oborů). </w:t>
      </w:r>
    </w:p>
  </w:footnote>
  <w:footnote w:id="7">
    <w:p w14:paraId="010265C9" w14:textId="77777777" w:rsidR="000D7C6F" w:rsidRPr="00B04E9B" w:rsidRDefault="000D7C6F" w:rsidP="00763B23">
      <w:pPr>
        <w:pStyle w:val="Textpoznpodarou"/>
        <w:rPr>
          <w:sz w:val="16"/>
          <w:szCs w:val="16"/>
        </w:rPr>
      </w:pPr>
      <w:r w:rsidRPr="00B04E9B">
        <w:rPr>
          <w:rStyle w:val="Znakapoznpodarou"/>
          <w:sz w:val="16"/>
          <w:szCs w:val="16"/>
        </w:rPr>
        <w:footnoteRef/>
      </w:r>
      <w:r w:rsidRPr="00B04E9B">
        <w:rPr>
          <w:sz w:val="16"/>
          <w:szCs w:val="16"/>
        </w:rPr>
        <w:t xml:space="preserve"> Dle údajů z </w:t>
      </w:r>
      <w:r>
        <w:rPr>
          <w:sz w:val="16"/>
          <w:szCs w:val="16"/>
        </w:rPr>
        <w:t xml:space="preserve">VŠPS </w:t>
      </w:r>
      <w:r w:rsidRPr="00B04E9B">
        <w:rPr>
          <w:sz w:val="16"/>
          <w:szCs w:val="16"/>
        </w:rPr>
        <w:t xml:space="preserve">se </w:t>
      </w:r>
      <w:r>
        <w:rPr>
          <w:sz w:val="16"/>
          <w:szCs w:val="16"/>
        </w:rPr>
        <w:t xml:space="preserve">letos </w:t>
      </w:r>
      <w:r w:rsidRPr="00B04E9B">
        <w:rPr>
          <w:sz w:val="16"/>
          <w:szCs w:val="16"/>
        </w:rPr>
        <w:t xml:space="preserve">ve 3. čtvrtletí významněji meziročně zvýšil počet specialistů, ale i řemeslníků a opravářů. Ubylo úřednických pozic, což může souviset s postupující digitalizací ve </w:t>
      </w:r>
      <w:r>
        <w:rPr>
          <w:sz w:val="16"/>
          <w:szCs w:val="16"/>
        </w:rPr>
        <w:t>finančnictv</w:t>
      </w:r>
      <w:r w:rsidRPr="00B04E9B">
        <w:rPr>
          <w:sz w:val="16"/>
          <w:szCs w:val="16"/>
        </w:rPr>
        <w:t>í</w:t>
      </w:r>
      <w:r>
        <w:rPr>
          <w:sz w:val="16"/>
          <w:szCs w:val="16"/>
        </w:rPr>
        <w:t>, obchodu</w:t>
      </w:r>
      <w:r w:rsidRPr="00B04E9B">
        <w:rPr>
          <w:sz w:val="16"/>
          <w:szCs w:val="16"/>
        </w:rPr>
        <w:t xml:space="preserve"> či ve veřejné správě.</w:t>
      </w:r>
    </w:p>
  </w:footnote>
  <w:footnote w:id="8">
    <w:p w14:paraId="54077E53" w14:textId="77777777" w:rsidR="000D7C6F" w:rsidRPr="004F321F" w:rsidRDefault="000D7C6F" w:rsidP="00763B23">
      <w:pPr>
        <w:pStyle w:val="Textpoznpodarou"/>
        <w:rPr>
          <w:sz w:val="16"/>
          <w:szCs w:val="16"/>
        </w:rPr>
      </w:pPr>
      <w:r w:rsidRPr="004F321F">
        <w:rPr>
          <w:rStyle w:val="Znakapoznpodarou"/>
          <w:sz w:val="16"/>
          <w:szCs w:val="16"/>
        </w:rPr>
        <w:footnoteRef/>
      </w:r>
      <w:r w:rsidRPr="004F321F">
        <w:rPr>
          <w:sz w:val="16"/>
          <w:szCs w:val="16"/>
        </w:rPr>
        <w:t xml:space="preserve"> Dle údajů</w:t>
      </w:r>
      <w:r w:rsidRPr="00B04E9B">
        <w:rPr>
          <w:sz w:val="16"/>
          <w:szCs w:val="16"/>
        </w:rPr>
        <w:t xml:space="preserve"> z</w:t>
      </w:r>
      <w:r>
        <w:rPr>
          <w:sz w:val="16"/>
          <w:szCs w:val="16"/>
        </w:rPr>
        <w:t> VŠPS pracovalo v ČR letos ve 2. čtvrtletí 12,9 % žen starších 15 let na zkrácené úvazky. To je meziročně o 1,6 p. b. více, avšak ve srovnání s konjunkturním obdobím z konce minulé dekády jde o srovnatelné procento. Zastoupení těchto úvazků v ČR je v evropském kontextu stále nízké. V EU letos dosahovalo (29,4 %), z toho v eurozóně (34,1 %). Na druhou stranu 11 států vykázalo nižší podíl než Česko. Ze zemí, které vstoupily do EU až po roce 2000, nacházíme vyšší procento jen ve Slovinsku (13,0 %), na Maltě (18,1 %)  a v Estonsku (20,9 %).</w:t>
      </w:r>
    </w:p>
  </w:footnote>
  <w:footnote w:id="9">
    <w:p w14:paraId="3E8619BC" w14:textId="77777777" w:rsidR="000D7C6F" w:rsidRPr="00321433" w:rsidRDefault="000D7C6F" w:rsidP="00763B23">
      <w:pPr>
        <w:pStyle w:val="Textpoznpodarou"/>
        <w:rPr>
          <w:sz w:val="16"/>
          <w:szCs w:val="16"/>
        </w:rPr>
      </w:pPr>
      <w:r w:rsidRPr="00321433">
        <w:rPr>
          <w:rStyle w:val="Znakapoznpodarou"/>
          <w:sz w:val="16"/>
          <w:szCs w:val="16"/>
        </w:rPr>
        <w:footnoteRef/>
      </w:r>
      <w:r w:rsidRPr="00321433">
        <w:rPr>
          <w:sz w:val="16"/>
          <w:szCs w:val="16"/>
        </w:rPr>
        <w:t xml:space="preserve"> Plných 30 % z nich by</w:t>
      </w:r>
      <w:r>
        <w:rPr>
          <w:sz w:val="16"/>
          <w:szCs w:val="16"/>
        </w:rPr>
        <w:t>lo</w:t>
      </w:r>
      <w:r w:rsidRPr="00321433">
        <w:rPr>
          <w:sz w:val="16"/>
          <w:szCs w:val="16"/>
        </w:rPr>
        <w:t xml:space="preserve"> registrováno na ÚP v Praze. Tento podíl zůstává v posledních letech neměnný.</w:t>
      </w:r>
    </w:p>
  </w:footnote>
  <w:footnote w:id="10">
    <w:p w14:paraId="39960F99" w14:textId="77777777" w:rsidR="000D7C6F" w:rsidRPr="00A90530" w:rsidRDefault="000D7C6F" w:rsidP="00763B23">
      <w:pPr>
        <w:pStyle w:val="Textpoznpodarou"/>
        <w:rPr>
          <w:sz w:val="16"/>
          <w:szCs w:val="16"/>
        </w:rPr>
      </w:pPr>
      <w:r w:rsidRPr="00A90530">
        <w:rPr>
          <w:rStyle w:val="Znakapoznpodarou"/>
          <w:sz w:val="16"/>
          <w:szCs w:val="16"/>
        </w:rPr>
        <w:footnoteRef/>
      </w:r>
      <w:r w:rsidRPr="00A90530">
        <w:rPr>
          <w:sz w:val="16"/>
          <w:szCs w:val="16"/>
        </w:rPr>
        <w:t xml:space="preserve"> </w:t>
      </w:r>
      <w:r>
        <w:rPr>
          <w:sz w:val="16"/>
          <w:szCs w:val="16"/>
        </w:rPr>
        <w:t xml:space="preserve">Z </w:t>
      </w:r>
      <w:r w:rsidRPr="00A90530">
        <w:rPr>
          <w:sz w:val="16"/>
          <w:szCs w:val="16"/>
        </w:rPr>
        <w:t>občanů Ukrajiny registrovaných na úřadech práce</w:t>
      </w:r>
      <w:r>
        <w:rPr>
          <w:sz w:val="16"/>
          <w:szCs w:val="16"/>
        </w:rPr>
        <w:t xml:space="preserve"> tvořily</w:t>
      </w:r>
      <w:r w:rsidRPr="00A90530">
        <w:rPr>
          <w:sz w:val="16"/>
          <w:szCs w:val="16"/>
        </w:rPr>
        <w:t xml:space="preserve"> </w:t>
      </w:r>
      <w:r>
        <w:rPr>
          <w:sz w:val="16"/>
          <w:szCs w:val="16"/>
        </w:rPr>
        <w:t>ženy již 53</w:t>
      </w:r>
      <w:r w:rsidRPr="00A90530">
        <w:rPr>
          <w:sz w:val="16"/>
          <w:szCs w:val="16"/>
        </w:rPr>
        <w:t xml:space="preserve"> %. Nadpoloviční podíl žen se mezi významnějšími skupinami cizinců vyskytoval již pouze u občanů Ruska, </w:t>
      </w:r>
      <w:r>
        <w:rPr>
          <w:sz w:val="16"/>
          <w:szCs w:val="16"/>
        </w:rPr>
        <w:t xml:space="preserve">Kazachstánu a Thajska. Již 75 % všech </w:t>
      </w:r>
      <w:r w:rsidRPr="00A90530">
        <w:rPr>
          <w:sz w:val="16"/>
          <w:szCs w:val="16"/>
        </w:rPr>
        <w:t>registrovaných pracovníků z</w:t>
      </w:r>
      <w:r>
        <w:rPr>
          <w:sz w:val="16"/>
          <w:szCs w:val="16"/>
        </w:rPr>
        <w:t> </w:t>
      </w:r>
      <w:r w:rsidRPr="00A90530">
        <w:rPr>
          <w:sz w:val="16"/>
          <w:szCs w:val="16"/>
        </w:rPr>
        <w:t>Ukrajiny</w:t>
      </w:r>
      <w:r>
        <w:rPr>
          <w:sz w:val="16"/>
          <w:szCs w:val="16"/>
        </w:rPr>
        <w:t xml:space="preserve"> (a 86 % žen)</w:t>
      </w:r>
      <w:r w:rsidRPr="00A90530">
        <w:rPr>
          <w:sz w:val="16"/>
          <w:szCs w:val="16"/>
        </w:rPr>
        <w:t xml:space="preserve"> nepotřebovalo v Česku speciální pracovní oprávnění (např. zaměstnanec</w:t>
      </w:r>
      <w:r>
        <w:rPr>
          <w:sz w:val="16"/>
          <w:szCs w:val="16"/>
        </w:rPr>
        <w:t>kou kartu). Tímto se liší od většiny ostatních zaměstnanců z tzv. „třetích zemí“.</w:t>
      </w:r>
    </w:p>
  </w:footnote>
  <w:footnote w:id="11">
    <w:p w14:paraId="4CE1334D" w14:textId="77777777" w:rsidR="000D7C6F" w:rsidRPr="009A5FB8" w:rsidRDefault="000D7C6F" w:rsidP="00763B23">
      <w:pPr>
        <w:pStyle w:val="Textpoznpodarou"/>
        <w:rPr>
          <w:sz w:val="16"/>
          <w:szCs w:val="16"/>
        </w:rPr>
      </w:pPr>
      <w:r w:rsidRPr="009A5FB8">
        <w:rPr>
          <w:rStyle w:val="Znakapoznpodarou"/>
          <w:sz w:val="16"/>
          <w:szCs w:val="16"/>
        </w:rPr>
        <w:footnoteRef/>
      </w:r>
      <w:r w:rsidRPr="009A5FB8">
        <w:rPr>
          <w:sz w:val="16"/>
          <w:szCs w:val="16"/>
        </w:rPr>
        <w:t xml:space="preserve"> U </w:t>
      </w:r>
      <w:r>
        <w:rPr>
          <w:sz w:val="16"/>
          <w:szCs w:val="16"/>
        </w:rPr>
        <w:t xml:space="preserve">občanů Filipín činil 2,2 tis., Slovenska 2,1 tis., Indie a Vietnamu shodně 1,2 tis., Turecka 1,1 tis., Ruska 0,7 tis., Mongolska </w:t>
      </w:r>
      <w:r>
        <w:rPr>
          <w:sz w:val="16"/>
          <w:szCs w:val="16"/>
        </w:rPr>
        <w:br/>
        <w:t xml:space="preserve">a Moldavska shodně 0,5 tis. </w:t>
      </w:r>
      <w:r w:rsidRPr="009A5FB8">
        <w:rPr>
          <w:sz w:val="16"/>
          <w:szCs w:val="16"/>
        </w:rPr>
        <w:t>Z význa</w:t>
      </w:r>
      <w:r>
        <w:rPr>
          <w:sz w:val="16"/>
          <w:szCs w:val="16"/>
        </w:rPr>
        <w:t>mnějších cizineckých skupin v Česku klesl meziročně pouze počet zaměstnanců z Rumunska. Maďarska a Bulharska</w:t>
      </w:r>
      <w:r w:rsidRPr="009A5FB8">
        <w:rPr>
          <w:sz w:val="16"/>
          <w:szCs w:val="16"/>
        </w:rPr>
        <w:t xml:space="preserve"> </w:t>
      </w:r>
      <w:r>
        <w:rPr>
          <w:sz w:val="16"/>
          <w:szCs w:val="16"/>
        </w:rPr>
        <w:t>(shodně mezi 0,8 a 0,9 tis.).</w:t>
      </w:r>
    </w:p>
  </w:footnote>
  <w:footnote w:id="12">
    <w:p w14:paraId="7679FF30" w14:textId="77777777" w:rsidR="000D7C6F" w:rsidRPr="00F7442E" w:rsidRDefault="000D7C6F" w:rsidP="00763B23">
      <w:pPr>
        <w:pStyle w:val="Textpoznpodarou"/>
        <w:rPr>
          <w:sz w:val="16"/>
          <w:szCs w:val="16"/>
        </w:rPr>
      </w:pPr>
      <w:r w:rsidRPr="00F7442E">
        <w:rPr>
          <w:rStyle w:val="Znakapoznpodarou"/>
          <w:sz w:val="16"/>
          <w:szCs w:val="16"/>
        </w:rPr>
        <w:footnoteRef/>
      </w:r>
      <w:r>
        <w:rPr>
          <w:sz w:val="16"/>
          <w:szCs w:val="16"/>
        </w:rPr>
        <w:t xml:space="preserve"> Dle údajů MPO bylo</w:t>
      </w:r>
      <w:r w:rsidRPr="00F7442E">
        <w:rPr>
          <w:sz w:val="16"/>
          <w:szCs w:val="16"/>
        </w:rPr>
        <w:t xml:space="preserve"> letos v říjnu těmito držiteli 115,6 tis. osob, o 6,1 % více než </w:t>
      </w:r>
      <w:r>
        <w:rPr>
          <w:sz w:val="16"/>
          <w:szCs w:val="16"/>
        </w:rPr>
        <w:t>v loňském roce</w:t>
      </w:r>
      <w:r w:rsidRPr="00F7442E">
        <w:rPr>
          <w:sz w:val="16"/>
          <w:szCs w:val="16"/>
        </w:rPr>
        <w:t xml:space="preserve">. Na meziročním přírůstku se více než polovinou podíleli občané Ukrajiny. </w:t>
      </w:r>
    </w:p>
  </w:footnote>
  <w:footnote w:id="13">
    <w:p w14:paraId="413FDC0F" w14:textId="77777777" w:rsidR="000D7C6F" w:rsidRPr="00A20936" w:rsidRDefault="000D7C6F" w:rsidP="00763B23">
      <w:pPr>
        <w:pStyle w:val="Textpoznpodarou"/>
        <w:rPr>
          <w:color w:val="0D0D0D" w:themeColor="text1" w:themeTint="F2"/>
          <w:spacing w:val="-4"/>
          <w:sz w:val="16"/>
          <w:szCs w:val="16"/>
        </w:rPr>
      </w:pPr>
      <w:r w:rsidRPr="00A20936">
        <w:rPr>
          <w:rStyle w:val="Znakapoznpodarou"/>
          <w:color w:val="0D0D0D" w:themeColor="text1" w:themeTint="F2"/>
          <w:spacing w:val="-2"/>
          <w:sz w:val="16"/>
          <w:szCs w:val="16"/>
        </w:rPr>
        <w:footnoteRef/>
      </w:r>
      <w:r w:rsidRPr="00A20936">
        <w:rPr>
          <w:color w:val="0D0D0D" w:themeColor="text1" w:themeTint="F2"/>
          <w:spacing w:val="-2"/>
          <w:sz w:val="16"/>
          <w:szCs w:val="16"/>
        </w:rPr>
        <w:t xml:space="preserve"> </w:t>
      </w:r>
      <w:r>
        <w:rPr>
          <w:color w:val="0D0D0D" w:themeColor="text1" w:themeTint="F2"/>
          <w:spacing w:val="-2"/>
          <w:sz w:val="16"/>
          <w:szCs w:val="16"/>
        </w:rPr>
        <w:t>Převažující negativní očekávání zaměstnanosti vyjádřily (dle šetření z listopadu</w:t>
      </w:r>
      <w:r w:rsidRPr="00A20936">
        <w:rPr>
          <w:color w:val="0D0D0D" w:themeColor="text1" w:themeTint="F2"/>
          <w:spacing w:val="-2"/>
          <w:sz w:val="16"/>
          <w:szCs w:val="16"/>
        </w:rPr>
        <w:t xml:space="preserve"> </w:t>
      </w:r>
      <w:r>
        <w:rPr>
          <w:color w:val="0D0D0D" w:themeColor="text1" w:themeTint="F2"/>
          <w:spacing w:val="-2"/>
          <w:sz w:val="16"/>
          <w:szCs w:val="16"/>
        </w:rPr>
        <w:t>2023) podniky v mírně nadpolovičním počtu</w:t>
      </w:r>
      <w:r w:rsidRPr="00A20936">
        <w:rPr>
          <w:color w:val="0D0D0D" w:themeColor="text1" w:themeTint="F2"/>
          <w:spacing w:val="-2"/>
          <w:sz w:val="16"/>
          <w:szCs w:val="16"/>
        </w:rPr>
        <w:t xml:space="preserve"> průmyslových oborů – jak </w:t>
      </w:r>
      <w:r>
        <w:rPr>
          <w:color w:val="0D0D0D" w:themeColor="text1" w:themeTint="F2"/>
          <w:spacing w:val="-2"/>
          <w:sz w:val="16"/>
          <w:szCs w:val="16"/>
        </w:rPr>
        <w:t xml:space="preserve">v </w:t>
      </w:r>
      <w:r w:rsidRPr="00A20936">
        <w:rPr>
          <w:color w:val="0D0D0D" w:themeColor="text1" w:themeTint="F2"/>
          <w:spacing w:val="-2"/>
          <w:sz w:val="16"/>
          <w:szCs w:val="16"/>
        </w:rPr>
        <w:t>energeticky náročných (hutnictví, kovovýroba, výroba stavebních materiálů, ch</w:t>
      </w:r>
      <w:r>
        <w:rPr>
          <w:color w:val="0D0D0D" w:themeColor="text1" w:themeTint="F2"/>
          <w:spacing w:val="-2"/>
          <w:sz w:val="16"/>
          <w:szCs w:val="16"/>
        </w:rPr>
        <w:t xml:space="preserve">emický, dřevozpracující </w:t>
      </w:r>
      <w:r>
        <w:rPr>
          <w:color w:val="0D0D0D" w:themeColor="text1" w:themeTint="F2"/>
          <w:spacing w:val="-2"/>
          <w:sz w:val="16"/>
          <w:szCs w:val="16"/>
        </w:rPr>
        <w:br/>
        <w:t>a papírenský průmysl), tak dále ve strojírenství a subdodavatelských oborech pro automobilový průmysl (elektrotechnika, gumárenství, plastikářství) či v řadě</w:t>
      </w:r>
      <w:r w:rsidRPr="00A20936">
        <w:rPr>
          <w:color w:val="0D0D0D" w:themeColor="text1" w:themeTint="F2"/>
          <w:spacing w:val="-2"/>
          <w:sz w:val="16"/>
          <w:szCs w:val="16"/>
        </w:rPr>
        <w:t xml:space="preserve"> </w:t>
      </w:r>
      <w:r>
        <w:rPr>
          <w:color w:val="0D0D0D" w:themeColor="text1" w:themeTint="F2"/>
          <w:spacing w:val="-2"/>
          <w:sz w:val="16"/>
          <w:szCs w:val="16"/>
        </w:rPr>
        <w:t>menších oborů (textilní, oděvní</w:t>
      </w:r>
      <w:r w:rsidRPr="00A20936">
        <w:rPr>
          <w:color w:val="0D0D0D" w:themeColor="text1" w:themeTint="F2"/>
          <w:spacing w:val="-2"/>
          <w:sz w:val="16"/>
          <w:szCs w:val="16"/>
        </w:rPr>
        <w:t xml:space="preserve">, </w:t>
      </w:r>
      <w:r>
        <w:rPr>
          <w:color w:val="0D0D0D" w:themeColor="text1" w:themeTint="F2"/>
          <w:spacing w:val="-2"/>
          <w:sz w:val="16"/>
          <w:szCs w:val="16"/>
        </w:rPr>
        <w:t xml:space="preserve">obuvnický a nábytkářský </w:t>
      </w:r>
      <w:r w:rsidRPr="00A20936">
        <w:rPr>
          <w:color w:val="0D0D0D" w:themeColor="text1" w:themeTint="F2"/>
          <w:spacing w:val="-2"/>
          <w:sz w:val="16"/>
          <w:szCs w:val="16"/>
        </w:rPr>
        <w:t xml:space="preserve">průmysl). Naopak mírně pozitivní výhledy přetrvávaly ve výrobě dopravních </w:t>
      </w:r>
      <w:r>
        <w:rPr>
          <w:color w:val="0D0D0D" w:themeColor="text1" w:themeTint="F2"/>
          <w:spacing w:val="-4"/>
          <w:sz w:val="16"/>
          <w:szCs w:val="16"/>
        </w:rPr>
        <w:t>prostředků,</w:t>
      </w:r>
      <w:r w:rsidRPr="00A20936">
        <w:rPr>
          <w:color w:val="0D0D0D" w:themeColor="text1" w:themeTint="F2"/>
          <w:spacing w:val="-4"/>
          <w:sz w:val="16"/>
          <w:szCs w:val="16"/>
        </w:rPr>
        <w:t xml:space="preserve"> počítačů, elektronických a optických přístrojů, z menších oborů pak ve </w:t>
      </w:r>
      <w:r>
        <w:rPr>
          <w:color w:val="0D0D0D" w:themeColor="text1" w:themeTint="F2"/>
          <w:spacing w:val="-4"/>
          <w:sz w:val="16"/>
          <w:szCs w:val="16"/>
        </w:rPr>
        <w:t xml:space="preserve">výrobě nápojů, </w:t>
      </w:r>
      <w:r w:rsidRPr="00A20936">
        <w:rPr>
          <w:color w:val="0D0D0D" w:themeColor="text1" w:themeTint="F2"/>
          <w:spacing w:val="-4"/>
          <w:sz w:val="16"/>
          <w:szCs w:val="16"/>
        </w:rPr>
        <w:t>farmacii, tiskárenství</w:t>
      </w:r>
      <w:r>
        <w:rPr>
          <w:color w:val="0D0D0D" w:themeColor="text1" w:themeTint="F2"/>
          <w:spacing w:val="-4"/>
          <w:sz w:val="16"/>
          <w:szCs w:val="16"/>
        </w:rPr>
        <w:t xml:space="preserve"> či opravě a instalaci</w:t>
      </w:r>
      <w:r w:rsidRPr="007B0645">
        <w:rPr>
          <w:color w:val="0D0D0D" w:themeColor="text1" w:themeTint="F2"/>
          <w:spacing w:val="-4"/>
          <w:sz w:val="16"/>
          <w:szCs w:val="16"/>
        </w:rPr>
        <w:t xml:space="preserve"> strojů a zařízení</w:t>
      </w:r>
      <w:r>
        <w:rPr>
          <w:color w:val="0D0D0D" w:themeColor="text1" w:themeTint="F2"/>
          <w:spacing w:val="-4"/>
          <w:sz w:val="16"/>
          <w:szCs w:val="16"/>
        </w:rPr>
        <w:t>.</w:t>
      </w:r>
    </w:p>
    <w:p w14:paraId="49E9FC99" w14:textId="24C2EEA0" w:rsidR="000D7C6F" w:rsidRPr="006116E7" w:rsidRDefault="000D7C6F" w:rsidP="00763B23">
      <w:pPr>
        <w:pStyle w:val="Textpoznpodarou"/>
        <w:rPr>
          <w:color w:val="0D0D0D" w:themeColor="text1" w:themeTint="F2"/>
          <w:spacing w:val="-4"/>
          <w:sz w:val="16"/>
          <w:szCs w:val="16"/>
        </w:rPr>
      </w:pPr>
      <w:r w:rsidRPr="00A20936">
        <w:rPr>
          <w:color w:val="0D0D0D" w:themeColor="text1" w:themeTint="F2"/>
          <w:spacing w:val="-4"/>
          <w:sz w:val="16"/>
          <w:szCs w:val="16"/>
        </w:rPr>
        <w:t>Ve službách byla negativní očekávání</w:t>
      </w:r>
      <w:r>
        <w:rPr>
          <w:color w:val="0D0D0D" w:themeColor="text1" w:themeTint="F2"/>
          <w:spacing w:val="-4"/>
          <w:sz w:val="16"/>
          <w:szCs w:val="16"/>
        </w:rPr>
        <w:t xml:space="preserve"> nejvíce patrná v pozemní dopravě</w:t>
      </w:r>
      <w:r w:rsidRPr="00A20936">
        <w:rPr>
          <w:color w:val="0D0D0D" w:themeColor="text1" w:themeTint="F2"/>
          <w:spacing w:val="-4"/>
          <w:sz w:val="16"/>
          <w:szCs w:val="16"/>
        </w:rPr>
        <w:t>, peněžnictví, telek</w:t>
      </w:r>
      <w:r>
        <w:rPr>
          <w:color w:val="0D0D0D" w:themeColor="text1" w:themeTint="F2"/>
          <w:spacing w:val="-4"/>
          <w:sz w:val="16"/>
          <w:szCs w:val="16"/>
        </w:rPr>
        <w:t>omunikacích, v</w:t>
      </w:r>
      <w:r w:rsidRPr="00A20936">
        <w:rPr>
          <w:color w:val="0D0D0D" w:themeColor="text1" w:themeTint="F2"/>
          <w:spacing w:val="-4"/>
          <w:sz w:val="16"/>
          <w:szCs w:val="16"/>
        </w:rPr>
        <w:t>ydavatelských činnostech</w:t>
      </w:r>
      <w:r>
        <w:rPr>
          <w:color w:val="0D0D0D" w:themeColor="text1" w:themeTint="F2"/>
          <w:spacing w:val="-4"/>
          <w:sz w:val="16"/>
          <w:szCs w:val="16"/>
        </w:rPr>
        <w:t>, reklamě, u</w:t>
      </w:r>
      <w:r w:rsidRPr="001D108A">
        <w:rPr>
          <w:sz w:val="16"/>
          <w:szCs w:val="16"/>
        </w:rPr>
        <w:t> </w:t>
      </w:r>
      <w:r w:rsidRPr="00A20936">
        <w:rPr>
          <w:color w:val="0D0D0D" w:themeColor="text1" w:themeTint="F2"/>
          <w:spacing w:val="-4"/>
          <w:sz w:val="16"/>
          <w:szCs w:val="16"/>
        </w:rPr>
        <w:t>ce</w:t>
      </w:r>
      <w:r>
        <w:rPr>
          <w:color w:val="0D0D0D" w:themeColor="text1" w:themeTint="F2"/>
          <w:spacing w:val="-4"/>
          <w:sz w:val="16"/>
          <w:szCs w:val="16"/>
        </w:rPr>
        <w:t>stovních kanceláří a agentur, opravě</w:t>
      </w:r>
      <w:r w:rsidRPr="006116E7">
        <w:rPr>
          <w:color w:val="0D0D0D" w:themeColor="text1" w:themeTint="F2"/>
          <w:spacing w:val="-4"/>
          <w:sz w:val="16"/>
          <w:szCs w:val="16"/>
        </w:rPr>
        <w:t xml:space="preserve"> počítačů a výrob</w:t>
      </w:r>
      <w:r>
        <w:rPr>
          <w:color w:val="0D0D0D" w:themeColor="text1" w:themeTint="F2"/>
          <w:spacing w:val="-4"/>
          <w:sz w:val="16"/>
          <w:szCs w:val="16"/>
        </w:rPr>
        <w:t>ků pro osobní potřebu</w:t>
      </w:r>
      <w:r w:rsidRPr="006116E7">
        <w:rPr>
          <w:color w:val="0D0D0D" w:themeColor="text1" w:themeTint="F2"/>
          <w:spacing w:val="-4"/>
          <w:sz w:val="16"/>
          <w:szCs w:val="16"/>
        </w:rPr>
        <w:t xml:space="preserve"> pro domácnost</w:t>
      </w:r>
      <w:r>
        <w:rPr>
          <w:color w:val="0D0D0D" w:themeColor="text1" w:themeTint="F2"/>
          <w:spacing w:val="-4"/>
          <w:sz w:val="16"/>
          <w:szCs w:val="16"/>
        </w:rPr>
        <w:t xml:space="preserve"> či v a</w:t>
      </w:r>
      <w:r w:rsidRPr="006116E7">
        <w:rPr>
          <w:color w:val="0D0D0D" w:themeColor="text1" w:themeTint="F2"/>
          <w:spacing w:val="-4"/>
          <w:sz w:val="16"/>
          <w:szCs w:val="16"/>
        </w:rPr>
        <w:t>dministrativní</w:t>
      </w:r>
      <w:r>
        <w:rPr>
          <w:color w:val="0D0D0D" w:themeColor="text1" w:themeTint="F2"/>
          <w:spacing w:val="-4"/>
          <w:sz w:val="16"/>
          <w:szCs w:val="16"/>
        </w:rPr>
        <w:t>ch, kancelářských a jiných podpůrných</w:t>
      </w:r>
      <w:r w:rsidRPr="006116E7">
        <w:rPr>
          <w:color w:val="0D0D0D" w:themeColor="text1" w:themeTint="F2"/>
          <w:spacing w:val="-4"/>
          <w:sz w:val="16"/>
          <w:szCs w:val="16"/>
        </w:rPr>
        <w:t xml:space="preserve"> činnost</w:t>
      </w:r>
      <w:r>
        <w:rPr>
          <w:color w:val="0D0D0D" w:themeColor="text1" w:themeTint="F2"/>
          <w:spacing w:val="-4"/>
          <w:sz w:val="16"/>
          <w:szCs w:val="16"/>
        </w:rPr>
        <w:t>ech</w:t>
      </w:r>
      <w:r w:rsidRPr="006116E7">
        <w:rPr>
          <w:color w:val="0D0D0D" w:themeColor="text1" w:themeTint="F2"/>
          <w:spacing w:val="-4"/>
          <w:sz w:val="16"/>
          <w:szCs w:val="16"/>
        </w:rPr>
        <w:t xml:space="preserve"> pro podnikání</w:t>
      </w:r>
      <w:r>
        <w:rPr>
          <w:color w:val="0D0D0D" w:themeColor="text1" w:themeTint="F2"/>
          <w:spacing w:val="-4"/>
          <w:sz w:val="16"/>
          <w:szCs w:val="16"/>
        </w:rPr>
        <w:t>.</w:t>
      </w:r>
      <w:r w:rsidRPr="00A20936">
        <w:rPr>
          <w:color w:val="0D0D0D" w:themeColor="text1" w:themeTint="F2"/>
          <w:spacing w:val="-4"/>
          <w:sz w:val="16"/>
          <w:szCs w:val="16"/>
        </w:rPr>
        <w:t xml:space="preserve"> Naopak u řady jiných podnikových služeb (právní a účetnické činnosti, </w:t>
      </w:r>
      <w:r>
        <w:rPr>
          <w:color w:val="0D0D0D" w:themeColor="text1" w:themeTint="F2"/>
          <w:spacing w:val="-4"/>
          <w:sz w:val="16"/>
          <w:szCs w:val="16"/>
        </w:rPr>
        <w:t>a</w:t>
      </w:r>
      <w:r w:rsidRPr="006116E7">
        <w:rPr>
          <w:color w:val="0D0D0D" w:themeColor="text1" w:themeTint="F2"/>
          <w:spacing w:val="-4"/>
          <w:sz w:val="16"/>
          <w:szCs w:val="16"/>
        </w:rPr>
        <w:t xml:space="preserve">rchitektonické </w:t>
      </w:r>
      <w:r>
        <w:rPr>
          <w:color w:val="0D0D0D" w:themeColor="text1" w:themeTint="F2"/>
          <w:spacing w:val="-4"/>
          <w:sz w:val="16"/>
          <w:szCs w:val="16"/>
        </w:rPr>
        <w:br/>
      </w:r>
      <w:r w:rsidRPr="006116E7">
        <w:rPr>
          <w:color w:val="0D0D0D" w:themeColor="text1" w:themeTint="F2"/>
          <w:spacing w:val="-4"/>
          <w:sz w:val="16"/>
          <w:szCs w:val="16"/>
        </w:rPr>
        <w:t>a inženýrské činnosti</w:t>
      </w:r>
      <w:r>
        <w:rPr>
          <w:color w:val="0D0D0D" w:themeColor="text1" w:themeTint="F2"/>
          <w:spacing w:val="-4"/>
          <w:sz w:val="16"/>
          <w:szCs w:val="16"/>
        </w:rPr>
        <w:t>,</w:t>
      </w:r>
      <w:r w:rsidRPr="006116E7">
        <w:rPr>
          <w:color w:val="0D0D0D" w:themeColor="text1" w:themeTint="F2"/>
          <w:spacing w:val="-4"/>
          <w:sz w:val="16"/>
          <w:szCs w:val="16"/>
        </w:rPr>
        <w:t xml:space="preserve"> </w:t>
      </w:r>
      <w:r w:rsidRPr="00A20936">
        <w:rPr>
          <w:color w:val="0D0D0D" w:themeColor="text1" w:themeTint="F2"/>
          <w:spacing w:val="-4"/>
          <w:sz w:val="16"/>
          <w:szCs w:val="16"/>
        </w:rPr>
        <w:t>služby pracovních agentur) či v oblasti pojišťovnictví, programování, kurýrních činnostech</w:t>
      </w:r>
      <w:r>
        <w:rPr>
          <w:color w:val="0D0D0D" w:themeColor="text1" w:themeTint="F2"/>
          <w:spacing w:val="-4"/>
          <w:sz w:val="16"/>
          <w:szCs w:val="16"/>
        </w:rPr>
        <w:t>, pohostinství a</w:t>
      </w:r>
      <w:r w:rsidRPr="00A20936">
        <w:rPr>
          <w:color w:val="0D0D0D" w:themeColor="text1" w:themeTint="F2"/>
          <w:spacing w:val="-4"/>
          <w:sz w:val="16"/>
          <w:szCs w:val="16"/>
        </w:rPr>
        <w:t xml:space="preserve"> sk</w:t>
      </w:r>
      <w:r>
        <w:rPr>
          <w:color w:val="0D0D0D" w:themeColor="text1" w:themeTint="F2"/>
          <w:spacing w:val="-4"/>
          <w:sz w:val="16"/>
          <w:szCs w:val="16"/>
        </w:rPr>
        <w:t>ladování podniky předpokládaly</w:t>
      </w:r>
      <w:r w:rsidRPr="00A20936">
        <w:rPr>
          <w:color w:val="0D0D0D" w:themeColor="text1" w:themeTint="F2"/>
          <w:spacing w:val="-4"/>
          <w:sz w:val="16"/>
          <w:szCs w:val="16"/>
        </w:rPr>
        <w:t xml:space="preserve"> </w:t>
      </w:r>
      <w:r>
        <w:rPr>
          <w:color w:val="0D0D0D" w:themeColor="text1" w:themeTint="F2"/>
          <w:spacing w:val="-4"/>
          <w:sz w:val="16"/>
          <w:szCs w:val="16"/>
        </w:rPr>
        <w:t xml:space="preserve">spíše </w:t>
      </w:r>
      <w:r w:rsidRPr="00A20936">
        <w:rPr>
          <w:color w:val="0D0D0D" w:themeColor="text1" w:themeTint="F2"/>
          <w:spacing w:val="-4"/>
          <w:sz w:val="16"/>
          <w:szCs w:val="16"/>
        </w:rPr>
        <w:t>vyšší zaměstnanost.</w:t>
      </w:r>
    </w:p>
  </w:footnote>
  <w:footnote w:id="14">
    <w:p w14:paraId="308C488F" w14:textId="77777777" w:rsidR="000D7C6F" w:rsidRPr="004E68B1" w:rsidRDefault="000D7C6F" w:rsidP="00763B23">
      <w:pPr>
        <w:pStyle w:val="Textpoznpodarou"/>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15">
    <w:p w14:paraId="10C85AA9" w14:textId="62A78A88" w:rsidR="000D7C6F" w:rsidRDefault="000D7C6F" w:rsidP="00763B23">
      <w:pPr>
        <w:pStyle w:val="Textpoznpodarou"/>
        <w:rPr>
          <w:sz w:val="16"/>
          <w:szCs w:val="16"/>
        </w:rPr>
      </w:pPr>
      <w:r w:rsidRPr="001D108A">
        <w:rPr>
          <w:color w:val="0D0D0D" w:themeColor="text1" w:themeTint="F2"/>
          <w:spacing w:val="-4"/>
          <w:sz w:val="16"/>
          <w:szCs w:val="16"/>
          <w:vertAlign w:val="superscript"/>
        </w:rPr>
        <w:footnoteRef/>
      </w:r>
      <w:r w:rsidRPr="001D108A">
        <w:rPr>
          <w:color w:val="0D0D0D" w:themeColor="text1" w:themeTint="F2"/>
          <w:spacing w:val="-4"/>
          <w:sz w:val="16"/>
          <w:szCs w:val="16"/>
        </w:rPr>
        <w:t xml:space="preserve"> </w:t>
      </w:r>
      <w:r w:rsidRPr="008B2B01">
        <w:rPr>
          <w:spacing w:val="-2"/>
          <w:sz w:val="16"/>
          <w:szCs w:val="16"/>
        </w:rPr>
        <w:t>Česku stále patřila významná pozice mezi státy EU. Nižší celkovou míru nezaměstnanost</w:t>
      </w:r>
      <w:r>
        <w:rPr>
          <w:spacing w:val="-2"/>
          <w:sz w:val="16"/>
          <w:szCs w:val="16"/>
        </w:rPr>
        <w:t>i</w:t>
      </w:r>
      <w:r w:rsidRPr="008B2B01">
        <w:rPr>
          <w:spacing w:val="-2"/>
          <w:sz w:val="16"/>
          <w:szCs w:val="16"/>
        </w:rPr>
        <w:t xml:space="preserve"> (osob ve věku 15-74 let) než v tuzemsku </w:t>
      </w:r>
      <w:r>
        <w:rPr>
          <w:spacing w:val="-2"/>
          <w:sz w:val="16"/>
          <w:szCs w:val="16"/>
        </w:rPr>
        <w:t>(2,9</w:t>
      </w:r>
      <w:r w:rsidRPr="008B2B01">
        <w:rPr>
          <w:spacing w:val="-2"/>
          <w:sz w:val="16"/>
          <w:szCs w:val="16"/>
        </w:rPr>
        <w:t> %) vykázala v říjnu jen Malta (2,5 %) a Polsko (2,8 %). K Česku se blížilo Německo (3,1 %), a to díky tomu, že zde nezaměstnanost meziročně nerostla.</w:t>
      </w:r>
      <w:r>
        <w:rPr>
          <w:spacing w:val="-2"/>
          <w:sz w:val="16"/>
          <w:szCs w:val="16"/>
        </w:rPr>
        <w:t xml:space="preserve"> </w:t>
      </w:r>
      <w:r w:rsidRPr="008B2B01">
        <w:rPr>
          <w:spacing w:val="-2"/>
          <w:sz w:val="16"/>
          <w:szCs w:val="16"/>
        </w:rPr>
        <w:t>Mez</w:t>
      </w:r>
      <w:r>
        <w:rPr>
          <w:spacing w:val="-2"/>
          <w:sz w:val="16"/>
          <w:szCs w:val="16"/>
        </w:rPr>
        <w:t>i středoevropskými státy mě</w:t>
      </w:r>
      <w:r w:rsidRPr="008B2B01">
        <w:rPr>
          <w:spacing w:val="-2"/>
          <w:sz w:val="16"/>
          <w:szCs w:val="16"/>
        </w:rPr>
        <w:t>ly zvýšenou nezaměstnanost Slovensko (5,8 %) a Rakousko (5,1 %). Nejvyšší nezaměstnanost zůstávala i přes její meziroční pokles ve Španělsku (12,0 %) a Řecku. Nejvýraznější meziroční zvýšení nastalo v Estonsk</w:t>
      </w:r>
      <w:r>
        <w:rPr>
          <w:spacing w:val="-2"/>
          <w:sz w:val="16"/>
          <w:szCs w:val="16"/>
        </w:rPr>
        <w:t>u</w:t>
      </w:r>
      <w:r w:rsidRPr="008B2B01">
        <w:rPr>
          <w:spacing w:val="-2"/>
          <w:sz w:val="16"/>
          <w:szCs w:val="16"/>
        </w:rPr>
        <w:t xml:space="preserve"> (z 5,4 % na 6,3 %) a Dánsku (ze 4,6 na 5,4 %).  Více než 7% nezaměstnanost sužovala i Švédsko, Finsko, Francii a Itálii. V EU dosáhla nezaměstnanost rovných 6 %, z toho v eurozóně 6,5 % (v obou uskupeních zůstala meziročně i meziměsíčně téměř beze změny) </w:t>
      </w:r>
      <w:r>
        <w:rPr>
          <w:spacing w:val="-2"/>
          <w:sz w:val="16"/>
          <w:szCs w:val="16"/>
        </w:rPr>
        <w:t>a ve srovnání s konjunktur</w:t>
      </w:r>
      <w:r w:rsidRPr="008B2B01">
        <w:rPr>
          <w:spacing w:val="-2"/>
          <w:sz w:val="16"/>
          <w:szCs w:val="16"/>
        </w:rPr>
        <w:t>ním rokem 2008 byla nižší o více než 1 p. b.</w:t>
      </w:r>
      <w:r w:rsidRPr="001D108A">
        <w:rPr>
          <w:sz w:val="16"/>
          <w:szCs w:val="16"/>
        </w:rPr>
        <w:t xml:space="preserve"> </w:t>
      </w:r>
    </w:p>
    <w:p w14:paraId="714ACE86" w14:textId="77777777" w:rsidR="000D7C6F" w:rsidRPr="00002144" w:rsidRDefault="000D7C6F" w:rsidP="00763B23">
      <w:pPr>
        <w:pStyle w:val="paragraph"/>
        <w:spacing w:before="0" w:beforeAutospacing="0" w:after="0" w:afterAutospacing="0"/>
        <w:jc w:val="both"/>
        <w:textAlignment w:val="baseline"/>
        <w:rPr>
          <w:rFonts w:eastAsia="MS Gothic"/>
        </w:rPr>
      </w:pPr>
      <w:r w:rsidRPr="008B2B01">
        <w:rPr>
          <w:rFonts w:ascii="Arial" w:eastAsia="Calibri" w:hAnsi="Arial"/>
          <w:spacing w:val="-2"/>
          <w:sz w:val="16"/>
          <w:szCs w:val="16"/>
        </w:rPr>
        <w:t>Míra nezaměstnanosti mladých (do 25 let) činila v EU 14,8 % a za poslední půlrok se velmi mírně zvýšila. V Česku dosáhla 7,1 %</w:t>
      </w:r>
      <w:r>
        <w:rPr>
          <w:rFonts w:ascii="Arial" w:eastAsia="Calibri" w:hAnsi="Arial"/>
          <w:spacing w:val="-2"/>
          <w:sz w:val="16"/>
          <w:szCs w:val="16"/>
        </w:rPr>
        <w:t>.</w:t>
      </w:r>
      <w:r w:rsidRPr="008B2B01">
        <w:rPr>
          <w:rFonts w:ascii="Arial" w:eastAsia="Calibri" w:hAnsi="Arial"/>
          <w:spacing w:val="-2"/>
          <w:sz w:val="16"/>
          <w:szCs w:val="16"/>
        </w:rPr>
        <w:t xml:space="preserve"> </w:t>
      </w:r>
      <w:r>
        <w:rPr>
          <w:rFonts w:ascii="Arial" w:eastAsia="Calibri" w:hAnsi="Arial"/>
          <w:spacing w:val="-2"/>
          <w:sz w:val="16"/>
          <w:szCs w:val="16"/>
        </w:rPr>
        <w:t>A</w:t>
      </w:r>
      <w:r w:rsidRPr="008B2B01">
        <w:rPr>
          <w:rFonts w:ascii="Arial" w:eastAsia="Calibri" w:hAnsi="Arial"/>
          <w:spacing w:val="-2"/>
          <w:sz w:val="16"/>
          <w:szCs w:val="16"/>
        </w:rPr>
        <w:t xml:space="preserve"> byť meziročně lehce vzrostla, patřila v rámci Unie k nejnižším. Míru pod 10% hranicí měly také Německo, Nizozemsko a Malta. I přes mírné meziroční snížení byla v tomto ohledu stále nejhorší situace ve Španělsku (28 %), následovan</w:t>
      </w:r>
      <w:r>
        <w:rPr>
          <w:rFonts w:ascii="Arial" w:eastAsia="Calibri" w:hAnsi="Arial"/>
          <w:spacing w:val="-2"/>
          <w:sz w:val="16"/>
          <w:szCs w:val="16"/>
        </w:rPr>
        <w:t>é</w:t>
      </w:r>
      <w:r w:rsidRPr="008B2B01">
        <w:rPr>
          <w:rFonts w:ascii="Arial" w:eastAsia="Calibri" w:hAnsi="Arial"/>
          <w:spacing w:val="-2"/>
          <w:sz w:val="16"/>
          <w:szCs w:val="16"/>
        </w:rPr>
        <w:t>m Itálií (25 %) a Portugalskem, Slovenskem, Estonskem a Švédskem (shodně těsně nad 20 %).</w:t>
      </w:r>
    </w:p>
  </w:footnote>
  <w:footnote w:id="16">
    <w:p w14:paraId="5DE1CF4F" w14:textId="77777777" w:rsidR="000D7C6F" w:rsidRPr="00EC5D23" w:rsidRDefault="000D7C6F" w:rsidP="00763B23">
      <w:pPr>
        <w:pStyle w:val="Textpoznpodarou"/>
        <w:rPr>
          <w:sz w:val="16"/>
          <w:szCs w:val="16"/>
        </w:rPr>
      </w:pPr>
      <w:r w:rsidRPr="00EC5D23">
        <w:rPr>
          <w:rStyle w:val="Znakapoznpodarou"/>
          <w:sz w:val="16"/>
          <w:szCs w:val="16"/>
        </w:rPr>
        <w:footnoteRef/>
      </w:r>
      <w:r w:rsidRPr="00EC5D23">
        <w:rPr>
          <w:sz w:val="16"/>
          <w:szCs w:val="16"/>
        </w:rPr>
        <w:t xml:space="preserve"> </w:t>
      </w:r>
      <w:r w:rsidRPr="00EC5D23">
        <w:rPr>
          <w:spacing w:val="-3"/>
          <w:sz w:val="16"/>
          <w:szCs w:val="16"/>
        </w:rPr>
        <w:t xml:space="preserve">Dle údajů MPSV činil </w:t>
      </w:r>
      <w:r>
        <w:rPr>
          <w:spacing w:val="-3"/>
          <w:sz w:val="16"/>
          <w:szCs w:val="16"/>
        </w:rPr>
        <w:t xml:space="preserve">letos v listopadu </w:t>
      </w:r>
      <w:r w:rsidRPr="00EC5D23">
        <w:rPr>
          <w:spacing w:val="-3"/>
          <w:sz w:val="16"/>
          <w:szCs w:val="16"/>
        </w:rPr>
        <w:t>sezonně neočištěný podíl dosažitelných uchazečů o zaměstnání ve věku 15 až 64 let</w:t>
      </w:r>
      <w:r>
        <w:rPr>
          <w:spacing w:val="-3"/>
          <w:sz w:val="16"/>
          <w:szCs w:val="16"/>
        </w:rPr>
        <w:t xml:space="preserve"> na obyvatelstvo stejného věku </w:t>
      </w:r>
      <w:r>
        <w:rPr>
          <w:spacing w:val="-2"/>
          <w:sz w:val="16"/>
          <w:szCs w:val="16"/>
        </w:rPr>
        <w:t>3,5 %. Meziročně se velmi mírně zvyšoval nepřetržitě od loňského října, nicméně dosavadní údaje za poslední letošní kvartál ukazují pouze na stagnaci.</w:t>
      </w:r>
    </w:p>
  </w:footnote>
  <w:footnote w:id="17">
    <w:p w14:paraId="3ADAE171" w14:textId="77777777" w:rsidR="000D7C6F" w:rsidRPr="004A5CB3" w:rsidRDefault="000D7C6F" w:rsidP="00763B23">
      <w:pPr>
        <w:pStyle w:val="Textpoznpodarou"/>
        <w:rPr>
          <w:sz w:val="16"/>
          <w:szCs w:val="16"/>
        </w:rPr>
      </w:pPr>
      <w:r w:rsidRPr="004A5CB3">
        <w:rPr>
          <w:rStyle w:val="Znakapoznpodarou"/>
          <w:sz w:val="16"/>
          <w:szCs w:val="16"/>
        </w:rPr>
        <w:footnoteRef/>
      </w:r>
      <w:r>
        <w:rPr>
          <w:sz w:val="16"/>
          <w:szCs w:val="16"/>
        </w:rPr>
        <w:t xml:space="preserve"> Jen pětina tohoto počtu je ovšem schop</w:t>
      </w:r>
      <w:r w:rsidRPr="004A5CB3">
        <w:rPr>
          <w:sz w:val="16"/>
          <w:szCs w:val="16"/>
        </w:rPr>
        <w:t>n</w:t>
      </w:r>
      <w:r>
        <w:rPr>
          <w:sz w:val="16"/>
          <w:szCs w:val="16"/>
        </w:rPr>
        <w:t>a</w:t>
      </w:r>
      <w:r w:rsidRPr="004A5CB3">
        <w:rPr>
          <w:sz w:val="16"/>
          <w:szCs w:val="16"/>
        </w:rPr>
        <w:t xml:space="preserve"> bezprostředně do práce nastoupit. Významnou část pracovních rezerv totiž tvoří studenti </w:t>
      </w:r>
      <w:r>
        <w:rPr>
          <w:sz w:val="16"/>
          <w:szCs w:val="16"/>
        </w:rPr>
        <w:br/>
      </w:r>
      <w:r w:rsidRPr="004A5CB3">
        <w:rPr>
          <w:sz w:val="16"/>
          <w:szCs w:val="16"/>
        </w:rPr>
        <w:t>a ženy na rodičovské dovolené.</w:t>
      </w:r>
    </w:p>
  </w:footnote>
  <w:footnote w:id="18">
    <w:p w14:paraId="7A077A6C" w14:textId="77777777" w:rsidR="000D7C6F" w:rsidRPr="00184274" w:rsidRDefault="000D7C6F" w:rsidP="00763B23">
      <w:pPr>
        <w:pStyle w:val="Textpoznpodarou"/>
        <w:rPr>
          <w:sz w:val="16"/>
          <w:szCs w:val="16"/>
        </w:rPr>
      </w:pPr>
      <w:r w:rsidRPr="00184274">
        <w:rPr>
          <w:rStyle w:val="Znakapoznpodarou"/>
          <w:sz w:val="16"/>
          <w:szCs w:val="16"/>
        </w:rPr>
        <w:footnoteRef/>
      </w:r>
      <w:r w:rsidRPr="00184274">
        <w:rPr>
          <w:sz w:val="16"/>
          <w:szCs w:val="16"/>
        </w:rPr>
        <w:t xml:space="preserve"> N</w:t>
      </w:r>
      <w:r>
        <w:rPr>
          <w:sz w:val="16"/>
          <w:szCs w:val="16"/>
        </w:rPr>
        <w:t>e všechny</w:t>
      </w:r>
      <w:r w:rsidRPr="00184274">
        <w:rPr>
          <w:sz w:val="16"/>
          <w:szCs w:val="16"/>
        </w:rPr>
        <w:t xml:space="preserve"> nabídky volných pracovních pozic v evidenci ÚP lze ovšem považovat za aktuální. Plných 52 % z celkového počtu míst (282 tis.) bylo na konci 3. čtvrtletí 2023 inzerováno déle než půl roku.</w:t>
      </w:r>
      <w:r>
        <w:rPr>
          <w:sz w:val="16"/>
          <w:szCs w:val="16"/>
        </w:rPr>
        <w:t xml:space="preserve"> Počet volných pracovních míst (na základě šetření v podnicích) na experimentální bázi zjišťuje od roku 2020 i ČSÚ. Ve 3. čtvrtletí byl takto odhadnut počet volných míst v ČR na 97 tis. Jejich počet se meziročně snížil o 7 %, když klesl druhý kvartál v řadě.</w:t>
      </w:r>
    </w:p>
  </w:footnote>
  <w:footnote w:id="19">
    <w:p w14:paraId="0BF0814A" w14:textId="77777777" w:rsidR="000D7C6F" w:rsidRPr="007E3267" w:rsidRDefault="000D7C6F" w:rsidP="00763B23">
      <w:pPr>
        <w:spacing w:after="0"/>
        <w:rPr>
          <w:color w:val="0D0D0D" w:themeColor="text1" w:themeTint="F2"/>
          <w:spacing w:val="-4"/>
          <w:sz w:val="16"/>
          <w:szCs w:val="16"/>
        </w:rPr>
      </w:pPr>
      <w:r w:rsidRPr="007E3267">
        <w:rPr>
          <w:rStyle w:val="Znakapoznpodarou"/>
          <w:sz w:val="16"/>
          <w:szCs w:val="16"/>
        </w:rPr>
        <w:footnoteRef/>
      </w:r>
      <w:r w:rsidRPr="007E3267">
        <w:rPr>
          <w:sz w:val="16"/>
          <w:szCs w:val="16"/>
        </w:rPr>
        <w:t xml:space="preserve"> </w:t>
      </w:r>
      <w:r>
        <w:rPr>
          <w:color w:val="0D0D0D" w:themeColor="text1" w:themeTint="F2"/>
          <w:spacing w:val="-4"/>
          <w:sz w:val="16"/>
          <w:szCs w:val="16"/>
        </w:rPr>
        <w:t>Aktuální tempo bylo současně nejslabší za celé dvouleté období s reálným poklesem mezd.</w:t>
      </w:r>
    </w:p>
  </w:footnote>
  <w:footnote w:id="20">
    <w:p w14:paraId="249CB7B2" w14:textId="77777777" w:rsidR="000D7C6F" w:rsidRPr="00B6005F" w:rsidRDefault="000D7C6F" w:rsidP="00763B23">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Hrubý disponibilní důchod (HDD) domác</w:t>
      </w:r>
      <w:r>
        <w:rPr>
          <w:spacing w:val="-3"/>
          <w:sz w:val="16"/>
          <w:szCs w:val="16"/>
        </w:rPr>
        <w:t>ností v reálném vyjádření se dle aktuálních údajů v 1</w:t>
      </w:r>
      <w:r w:rsidRPr="00B6005F">
        <w:rPr>
          <w:spacing w:val="-3"/>
          <w:sz w:val="16"/>
          <w:szCs w:val="16"/>
        </w:rPr>
        <w:t>. čtvrt</w:t>
      </w:r>
      <w:r>
        <w:rPr>
          <w:spacing w:val="-3"/>
          <w:sz w:val="16"/>
          <w:szCs w:val="16"/>
        </w:rPr>
        <w:t xml:space="preserve">letí 2023 meziročně snížil o 3,3 %, v následujícím čtvrtletí již jen o 1,1 %. Z toho </w:t>
      </w:r>
      <w:r w:rsidRPr="00B6005F">
        <w:rPr>
          <w:spacing w:val="-3"/>
          <w:sz w:val="16"/>
          <w:szCs w:val="16"/>
        </w:rPr>
        <w:t>objem mezd a platů</w:t>
      </w:r>
      <w:r>
        <w:rPr>
          <w:spacing w:val="-3"/>
          <w:sz w:val="16"/>
          <w:szCs w:val="16"/>
        </w:rPr>
        <w:t xml:space="preserve"> v pojetí národních účtů ve 2. čtvrtletí reálně poklesl o 1,3 % (dle předběžných údajů tento objem ve 3. čtvrtletí již nepatrně vzrostl – š</w:t>
      </w:r>
      <w:r w:rsidRPr="006B7CE8">
        <w:rPr>
          <w:spacing w:val="-3"/>
          <w:sz w:val="16"/>
          <w:szCs w:val="16"/>
        </w:rPr>
        <w:t>lo o první přírůstek po pěti čtvrtletích poklesů</w:t>
      </w:r>
      <w:r>
        <w:rPr>
          <w:spacing w:val="-3"/>
          <w:sz w:val="16"/>
          <w:szCs w:val="16"/>
        </w:rPr>
        <w:t>, za který ovšem domácnosti vděčí pouze rostoucí zaměstnanosti).</w:t>
      </w:r>
      <w:r w:rsidRPr="00B6005F">
        <w:rPr>
          <w:spacing w:val="-3"/>
          <w:sz w:val="16"/>
          <w:szCs w:val="16"/>
        </w:rPr>
        <w:t xml:space="preserve"> Mzdy a platy zohledňují (na rozdíl od podnikové statistiky) i další faktory, např. šedou ekonomiku, možné zvýšení ekonomické aktivity obyvatel, např. formou druhých zaměstnání či dohod o provedení práce. HDD zahrnuje vedle mezd </w:t>
      </w:r>
      <w:r>
        <w:rPr>
          <w:spacing w:val="-3"/>
          <w:sz w:val="16"/>
          <w:szCs w:val="16"/>
        </w:rPr>
        <w:br/>
      </w:r>
      <w:r w:rsidRPr="00B6005F">
        <w:rPr>
          <w:spacing w:val="-3"/>
          <w:sz w:val="16"/>
          <w:szCs w:val="16"/>
        </w:rPr>
        <w:t>a platů i p</w:t>
      </w:r>
      <w:r>
        <w:rPr>
          <w:spacing w:val="-3"/>
          <w:sz w:val="16"/>
          <w:szCs w:val="16"/>
        </w:rPr>
        <w:t>říjmy plynoucí z podnikání či z</w:t>
      </w:r>
      <w:r w:rsidRPr="001D108A">
        <w:rPr>
          <w:sz w:val="16"/>
          <w:szCs w:val="16"/>
        </w:rPr>
        <w:t> </w:t>
      </w:r>
      <w:r w:rsidRPr="00B6005F">
        <w:rPr>
          <w:spacing w:val="-3"/>
          <w:sz w:val="16"/>
          <w:szCs w:val="16"/>
        </w:rPr>
        <w:t xml:space="preserve">vlastnictví kapitálu a také sociální transfery od státu, vč. donedávna plně valorizovaných starobních důchodů (efekt úpravy valorizačního schématu z důvodu úsporných opatření se poprvé projevil v červnu 2023). </w:t>
      </w:r>
    </w:p>
  </w:footnote>
  <w:footnote w:id="21">
    <w:p w14:paraId="2B3FE9E7" w14:textId="77777777" w:rsidR="000D7C6F" w:rsidRPr="00B6005F" w:rsidRDefault="000D7C6F" w:rsidP="00763B23">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Výjimkou bylo odvětví veřejné správy, obrany a sociálního zabezpečení. Od 1. září 2022 došlo k 10%</w:t>
      </w:r>
      <w:r>
        <w:rPr>
          <w:spacing w:val="-3"/>
          <w:sz w:val="16"/>
          <w:szCs w:val="16"/>
        </w:rPr>
        <w:t xml:space="preserve"> navýšení platových tarifů </w:t>
      </w:r>
      <w:r w:rsidRPr="00477E4D">
        <w:rPr>
          <w:spacing w:val="-4"/>
          <w:sz w:val="16"/>
          <w:szCs w:val="16"/>
        </w:rPr>
        <w:t>u zaměstnanců spadajících po</w:t>
      </w:r>
      <w:r>
        <w:rPr>
          <w:spacing w:val="-4"/>
          <w:sz w:val="16"/>
          <w:szCs w:val="16"/>
        </w:rPr>
        <w:t>d</w:t>
      </w:r>
      <w:r w:rsidRPr="00477E4D">
        <w:rPr>
          <w:spacing w:val="-4"/>
          <w:sz w:val="16"/>
          <w:szCs w:val="16"/>
        </w:rPr>
        <w:t xml:space="preserve"> služební zákon. Od ledna 2023 se zvýšily i platové tarify u vojáků a příslušníků bezpečnostních sborů (o 10 %).</w:t>
      </w:r>
    </w:p>
  </w:footnote>
  <w:footnote w:id="22">
    <w:p w14:paraId="4DFD0C46" w14:textId="7EF7135B" w:rsidR="000D7C6F" w:rsidRPr="00B6005F" w:rsidRDefault="000D7C6F" w:rsidP="00763B23">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Od ledna 2023 došlo k navýšení minimální mzdy o 6,8 </w:t>
      </w:r>
      <w:r>
        <w:rPr>
          <w:spacing w:val="-3"/>
          <w:sz w:val="16"/>
          <w:szCs w:val="16"/>
        </w:rPr>
        <w:t>% (srovnatelně jako v předchozím roce</w:t>
      </w:r>
      <w:r w:rsidRPr="00B6005F">
        <w:rPr>
          <w:spacing w:val="-3"/>
          <w:sz w:val="16"/>
          <w:szCs w:val="16"/>
        </w:rPr>
        <w:t xml:space="preserve">). Na rozdíl od praxe z minulých let </w:t>
      </w:r>
      <w:r>
        <w:rPr>
          <w:spacing w:val="-3"/>
          <w:sz w:val="16"/>
          <w:szCs w:val="16"/>
        </w:rPr>
        <w:t xml:space="preserve">však </w:t>
      </w:r>
      <w:r w:rsidRPr="00B6005F">
        <w:rPr>
          <w:spacing w:val="-3"/>
          <w:sz w:val="16"/>
          <w:szCs w:val="16"/>
        </w:rPr>
        <w:t>neby</w:t>
      </w:r>
      <w:r>
        <w:rPr>
          <w:spacing w:val="-3"/>
          <w:sz w:val="16"/>
          <w:szCs w:val="16"/>
        </w:rPr>
        <w:t xml:space="preserve">l posun minimální mzdy </w:t>
      </w:r>
      <w:r w:rsidRPr="00B6005F">
        <w:rPr>
          <w:spacing w:val="-3"/>
          <w:sz w:val="16"/>
          <w:szCs w:val="16"/>
        </w:rPr>
        <w:t>doprovázen zvýšením hranice u tzv. zaručených mezd (ta letos vzrostla jen v</w:t>
      </w:r>
      <w:r>
        <w:rPr>
          <w:spacing w:val="-3"/>
          <w:sz w:val="16"/>
          <w:szCs w:val="16"/>
        </w:rPr>
        <w:t xml:space="preserve"> osmé – </w:t>
      </w:r>
      <w:r w:rsidRPr="00B6005F">
        <w:rPr>
          <w:spacing w:val="-3"/>
          <w:sz w:val="16"/>
          <w:szCs w:val="16"/>
        </w:rPr>
        <w:t>kvalifi</w:t>
      </w:r>
      <w:r>
        <w:rPr>
          <w:spacing w:val="-3"/>
          <w:sz w:val="16"/>
          <w:szCs w:val="16"/>
        </w:rPr>
        <w:t>kačně nejvyšší kategorii prací -, v níž ale zaručenou</w:t>
      </w:r>
      <w:r w:rsidRPr="00B6005F">
        <w:rPr>
          <w:spacing w:val="-3"/>
          <w:sz w:val="16"/>
          <w:szCs w:val="16"/>
        </w:rPr>
        <w:t xml:space="preserve"> mzdu patrně pobírá jen zlomek zaměstnanců).</w:t>
      </w:r>
    </w:p>
  </w:footnote>
  <w:footnote w:id="23">
    <w:p w14:paraId="7FCCAC99" w14:textId="77777777" w:rsidR="000D7C6F" w:rsidRPr="002725F2" w:rsidRDefault="000D7C6F" w:rsidP="00763B23">
      <w:pPr>
        <w:pStyle w:val="Textpoznpodarou"/>
        <w:rPr>
          <w:spacing w:val="-2"/>
          <w:sz w:val="16"/>
          <w:szCs w:val="16"/>
        </w:rPr>
      </w:pPr>
      <w:r w:rsidRPr="002725F2">
        <w:rPr>
          <w:rStyle w:val="Znakapoznpodarou"/>
          <w:spacing w:val="-2"/>
          <w:sz w:val="16"/>
          <w:szCs w:val="16"/>
        </w:rPr>
        <w:footnoteRef/>
      </w:r>
      <w:r w:rsidRPr="002725F2">
        <w:rPr>
          <w:spacing w:val="-2"/>
          <w:sz w:val="16"/>
          <w:szCs w:val="16"/>
        </w:rPr>
        <w:t xml:space="preserve"> Např. medián mzdy občanů Ukrajiny se v 1. pololetí dle předběžných údajů zvýšil nejméně ze všech významnějších cizineckých skupin zaměstnanců – meziročně o 6,2 % (na méně než 30 tis. korun), přitom na celém trhu práce vzrostla střední úroveň mzdy o 7,2 %.</w:t>
      </w:r>
    </w:p>
  </w:footnote>
  <w:footnote w:id="24">
    <w:p w14:paraId="6A065B3F" w14:textId="77777777" w:rsidR="000D7C6F" w:rsidRPr="00F7747C" w:rsidRDefault="000D7C6F" w:rsidP="00763B23">
      <w:pPr>
        <w:pStyle w:val="Textpoznpodarou"/>
        <w:rPr>
          <w:sz w:val="16"/>
          <w:szCs w:val="16"/>
        </w:rPr>
      </w:pPr>
      <w:r w:rsidRPr="00F7747C">
        <w:rPr>
          <w:rStyle w:val="Znakapoznpodarou"/>
          <w:sz w:val="16"/>
          <w:szCs w:val="16"/>
        </w:rPr>
        <w:footnoteRef/>
      </w:r>
      <w:r w:rsidRPr="00F7747C">
        <w:rPr>
          <w:sz w:val="16"/>
          <w:szCs w:val="16"/>
        </w:rPr>
        <w:t xml:space="preserve"> </w:t>
      </w:r>
      <w:r w:rsidRPr="00F7747C">
        <w:rPr>
          <w:rFonts w:cs="Arial"/>
          <w:color w:val="0D0D0D" w:themeColor="text1" w:themeTint="F2"/>
          <w:spacing w:val="-4"/>
          <w:sz w:val="16"/>
          <w:szCs w:val="16"/>
        </w:rPr>
        <w:t>Ve vysokém mzdovém tempu se zde promítly zejména mimořádné odměny vyplacené na počátku roku.</w:t>
      </w:r>
    </w:p>
  </w:footnote>
  <w:footnote w:id="25">
    <w:p w14:paraId="10E76EDC" w14:textId="77777777" w:rsidR="000D7C6F" w:rsidRPr="00B43E19" w:rsidRDefault="000D7C6F" w:rsidP="00763B23">
      <w:pPr>
        <w:pStyle w:val="Textpoznpodarou"/>
        <w:rPr>
          <w:sz w:val="16"/>
          <w:szCs w:val="16"/>
        </w:rPr>
      </w:pPr>
      <w:r w:rsidRPr="00B6005F">
        <w:rPr>
          <w:rStyle w:val="Znakapoznpodarou"/>
          <w:spacing w:val="-3"/>
          <w:sz w:val="16"/>
          <w:szCs w:val="16"/>
        </w:rPr>
        <w:footnoteRef/>
      </w:r>
      <w:r w:rsidRPr="00B6005F">
        <w:rPr>
          <w:spacing w:val="-3"/>
          <w:sz w:val="16"/>
          <w:szCs w:val="16"/>
        </w:rPr>
        <w:t xml:space="preserve"> Zahrnuje výrobu a rozvod elektřiny, plynu, tepla a klimatizovaného vzduchu.</w:t>
      </w:r>
    </w:p>
  </w:footnote>
  <w:footnote w:id="26">
    <w:p w14:paraId="1994A1C6" w14:textId="77777777" w:rsidR="000D7C6F" w:rsidRPr="007A01D2" w:rsidRDefault="000D7C6F" w:rsidP="00763B23">
      <w:pPr>
        <w:pStyle w:val="Textpoznpodarou"/>
        <w:rPr>
          <w:spacing w:val="-2"/>
          <w:sz w:val="16"/>
          <w:szCs w:val="16"/>
        </w:rPr>
      </w:pPr>
      <w:r w:rsidRPr="007A01D2">
        <w:rPr>
          <w:rStyle w:val="Znakapoznpodarou"/>
          <w:spacing w:val="-2"/>
          <w:sz w:val="16"/>
          <w:szCs w:val="16"/>
        </w:rPr>
        <w:footnoteRef/>
      </w:r>
      <w:r w:rsidRPr="007A01D2">
        <w:rPr>
          <w:spacing w:val="-2"/>
          <w:sz w:val="16"/>
          <w:szCs w:val="16"/>
        </w:rPr>
        <w:t xml:space="preserve"> Po zohlednění svižného růstu zaměstnanosti zde objem vyplace</w:t>
      </w:r>
      <w:r>
        <w:rPr>
          <w:spacing w:val="-2"/>
          <w:sz w:val="16"/>
          <w:szCs w:val="16"/>
        </w:rPr>
        <w:t>ných mezd vzrostl skoro o 15 %</w:t>
      </w:r>
      <w:r w:rsidRPr="007A01D2">
        <w:rPr>
          <w:spacing w:val="-2"/>
          <w:sz w:val="16"/>
          <w:szCs w:val="16"/>
        </w:rPr>
        <w:t xml:space="preserve"> a </w:t>
      </w:r>
      <w:r>
        <w:rPr>
          <w:spacing w:val="-2"/>
          <w:sz w:val="16"/>
          <w:szCs w:val="16"/>
        </w:rPr>
        <w:t xml:space="preserve">téměř dorovnal </w:t>
      </w:r>
      <w:r w:rsidRPr="007A01D2">
        <w:rPr>
          <w:spacing w:val="-2"/>
          <w:sz w:val="16"/>
          <w:szCs w:val="16"/>
        </w:rPr>
        <w:t>odvětví energetiky.</w:t>
      </w:r>
    </w:p>
  </w:footnote>
  <w:footnote w:id="27">
    <w:p w14:paraId="760EF714" w14:textId="77777777" w:rsidR="000D7C6F" w:rsidRPr="000869D8" w:rsidRDefault="000D7C6F" w:rsidP="00763B23">
      <w:pPr>
        <w:pStyle w:val="Textpoznpodarou"/>
        <w:rPr>
          <w:sz w:val="16"/>
          <w:szCs w:val="16"/>
        </w:rPr>
      </w:pPr>
      <w:r w:rsidRPr="000869D8">
        <w:rPr>
          <w:rStyle w:val="Znakapoznpodarou"/>
          <w:sz w:val="16"/>
          <w:szCs w:val="16"/>
        </w:rPr>
        <w:footnoteRef/>
      </w:r>
      <w:r w:rsidRPr="000869D8">
        <w:rPr>
          <w:sz w:val="16"/>
          <w:szCs w:val="16"/>
        </w:rPr>
        <w:t xml:space="preserve"> </w:t>
      </w:r>
      <w:r>
        <w:rPr>
          <w:sz w:val="16"/>
          <w:szCs w:val="16"/>
        </w:rPr>
        <w:t>Z</w:t>
      </w:r>
      <w:r w:rsidRPr="000869D8">
        <w:rPr>
          <w:sz w:val="16"/>
          <w:szCs w:val="16"/>
        </w:rPr>
        <w:t xml:space="preserve"> hlediska zaměstnanosti </w:t>
      </w:r>
      <w:r>
        <w:rPr>
          <w:sz w:val="16"/>
          <w:szCs w:val="16"/>
        </w:rPr>
        <w:t xml:space="preserve">jde </w:t>
      </w:r>
      <w:r w:rsidRPr="000869D8">
        <w:rPr>
          <w:sz w:val="16"/>
          <w:szCs w:val="16"/>
        </w:rPr>
        <w:t xml:space="preserve">o relativně malé odvětví zahrnující různorodé spektrum aktivit. Jedná se zejména o profesní organizace, odborové svazy, spolky a občanské iniciativy, ale také opravy počítačů a výrobků pro osobní potřebu a </w:t>
      </w:r>
      <w:r>
        <w:rPr>
          <w:sz w:val="16"/>
          <w:szCs w:val="16"/>
        </w:rPr>
        <w:t xml:space="preserve">dále o </w:t>
      </w:r>
      <w:r w:rsidRPr="000869D8">
        <w:rPr>
          <w:sz w:val="16"/>
          <w:szCs w:val="16"/>
        </w:rPr>
        <w:t>osobní služby pro domácnost (např. kosmetické, kadeřnické, čistírny oblečení aj.)</w:t>
      </w:r>
      <w:r>
        <w:rPr>
          <w:sz w:val="16"/>
          <w:szCs w:val="16"/>
        </w:rPr>
        <w:t>.</w:t>
      </w:r>
    </w:p>
  </w:footnote>
  <w:footnote w:id="28">
    <w:p w14:paraId="3729A56A" w14:textId="77777777" w:rsidR="000D7C6F" w:rsidRPr="00D16130" w:rsidRDefault="000D7C6F" w:rsidP="00763B23">
      <w:pPr>
        <w:pStyle w:val="Textpoznpodarou"/>
        <w:rPr>
          <w:sz w:val="16"/>
          <w:szCs w:val="16"/>
        </w:rPr>
      </w:pPr>
      <w:r w:rsidRPr="00D16130">
        <w:rPr>
          <w:rStyle w:val="Znakapoznpodarou"/>
          <w:sz w:val="16"/>
          <w:szCs w:val="16"/>
        </w:rPr>
        <w:footnoteRef/>
      </w:r>
      <w:r w:rsidRPr="00D16130">
        <w:rPr>
          <w:sz w:val="16"/>
          <w:szCs w:val="16"/>
        </w:rPr>
        <w:t xml:space="preserve"> Pro zjednodušení zahrnuje odvětví </w:t>
      </w:r>
      <w:r w:rsidRPr="00D16130">
        <w:rPr>
          <w:rFonts w:cs="Arial"/>
          <w:color w:val="0D0D0D" w:themeColor="text1" w:themeTint="F2"/>
          <w:spacing w:val="-4"/>
          <w:sz w:val="16"/>
          <w:szCs w:val="16"/>
        </w:rPr>
        <w:t>Veřejná správa a obrana, povinné sociální zabezpečení; Vzdělávání; Zdravotní a sociální péče; Kulturní, zábavní a rekreační činnosti.</w:t>
      </w:r>
    </w:p>
  </w:footnote>
  <w:footnote w:id="29">
    <w:p w14:paraId="53BBA3C1" w14:textId="77777777" w:rsidR="000D7C6F" w:rsidRPr="00046FDC" w:rsidRDefault="000D7C6F" w:rsidP="00763B23">
      <w:pPr>
        <w:pStyle w:val="Textpoznpodarou"/>
        <w:rPr>
          <w:spacing w:val="-3"/>
          <w:sz w:val="16"/>
          <w:szCs w:val="16"/>
        </w:rPr>
      </w:pPr>
      <w:r w:rsidRPr="00046FDC">
        <w:rPr>
          <w:rStyle w:val="Znakapoznpodarou"/>
          <w:spacing w:val="-3"/>
          <w:sz w:val="16"/>
          <w:szCs w:val="16"/>
        </w:rPr>
        <w:footnoteRef/>
      </w:r>
      <w:r w:rsidRPr="00046FDC">
        <w:rPr>
          <w:spacing w:val="-3"/>
          <w:sz w:val="16"/>
          <w:szCs w:val="16"/>
        </w:rPr>
        <w:t xml:space="preserve"> Do růstu průměrných mezd se zde promítlo navýšení platových tarifů nepedagogickým pracovníkům o 10 %, realizované od loňského září.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0D7C6F" w:rsidRDefault="000D7C6F" w:rsidP="00937AE2">
    <w:pPr>
      <w:pStyle w:val="Zhlav"/>
    </w:pPr>
    <w:r>
      <w:t>Vývoj ekonomiky České republiky</w:t>
    </w:r>
  </w:p>
  <w:p w14:paraId="3E881AB3" w14:textId="77777777" w:rsidR="000D7C6F" w:rsidRPr="006F5416" w:rsidRDefault="000D7C6F"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0D7C6F" w:rsidRDefault="000D7C6F" w:rsidP="00937AE2">
    <w:pPr>
      <w:pStyle w:val="Zhlav"/>
    </w:pPr>
    <w:r>
      <w:t>Vývoj ekonomiky České republiky</w:t>
    </w:r>
  </w:p>
  <w:p w14:paraId="57266714" w14:textId="77777777" w:rsidR="000D7C6F" w:rsidRPr="006F5416" w:rsidRDefault="000D7C6F"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8"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33"/>
  </w:num>
  <w:num w:numId="14">
    <w:abstractNumId w:val="14"/>
  </w:num>
  <w:num w:numId="15">
    <w:abstractNumId w:val="21"/>
  </w:num>
  <w:num w:numId="16">
    <w:abstractNumId w:val="17"/>
  </w:num>
  <w:num w:numId="17">
    <w:abstractNumId w:val="34"/>
  </w:num>
  <w:num w:numId="18">
    <w:abstractNumId w:val="26"/>
  </w:num>
  <w:num w:numId="19">
    <w:abstractNumId w:val="36"/>
  </w:num>
  <w:num w:numId="20">
    <w:abstractNumId w:val="37"/>
  </w:num>
  <w:num w:numId="21">
    <w:abstractNumId w:val="32"/>
  </w:num>
  <w:num w:numId="22">
    <w:abstractNumId w:val="20"/>
  </w:num>
  <w:num w:numId="23">
    <w:abstractNumId w:val="18"/>
  </w:num>
  <w:num w:numId="24">
    <w:abstractNumId w:val="19"/>
  </w:num>
  <w:num w:numId="25">
    <w:abstractNumId w:val="13"/>
  </w:num>
  <w:num w:numId="26">
    <w:abstractNumId w:val="28"/>
  </w:num>
  <w:num w:numId="27">
    <w:abstractNumId w:val="27"/>
  </w:num>
  <w:num w:numId="28">
    <w:abstractNumId w:val="10"/>
  </w:num>
  <w:num w:numId="29">
    <w:abstractNumId w:val="37"/>
  </w:num>
  <w:num w:numId="30">
    <w:abstractNumId w:val="29"/>
  </w:num>
  <w:num w:numId="31">
    <w:abstractNumId w:val="12"/>
  </w:num>
  <w:num w:numId="32">
    <w:abstractNumId w:val="38"/>
  </w:num>
  <w:num w:numId="33">
    <w:abstractNumId w:val="37"/>
  </w:num>
  <w:num w:numId="34">
    <w:abstractNumId w:val="11"/>
  </w:num>
  <w:num w:numId="35">
    <w:abstractNumId w:val="35"/>
  </w:num>
  <w:num w:numId="36">
    <w:abstractNumId w:val="30"/>
  </w:num>
  <w:num w:numId="37">
    <w:abstractNumId w:val="22"/>
  </w:num>
  <w:num w:numId="38">
    <w:abstractNumId w:val="25"/>
  </w:num>
  <w:num w:numId="39">
    <w:abstractNumId w:val="15"/>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2C3C"/>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D7C6F"/>
    <w:rsid w:val="000E04FD"/>
    <w:rsid w:val="000E0E96"/>
    <w:rsid w:val="000E298B"/>
    <w:rsid w:val="000E2C7D"/>
    <w:rsid w:val="000E3E56"/>
    <w:rsid w:val="000E440D"/>
    <w:rsid w:val="000E4AC5"/>
    <w:rsid w:val="000E6253"/>
    <w:rsid w:val="000E6AC4"/>
    <w:rsid w:val="000E6E4D"/>
    <w:rsid w:val="000E6FBD"/>
    <w:rsid w:val="000E6FCB"/>
    <w:rsid w:val="000F090B"/>
    <w:rsid w:val="000F0E42"/>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405FA"/>
    <w:rsid w:val="00140D1A"/>
    <w:rsid w:val="00141184"/>
    <w:rsid w:val="00141315"/>
    <w:rsid w:val="0014152B"/>
    <w:rsid w:val="00141AA0"/>
    <w:rsid w:val="001425C3"/>
    <w:rsid w:val="0014262D"/>
    <w:rsid w:val="00142B29"/>
    <w:rsid w:val="00143EED"/>
    <w:rsid w:val="00144108"/>
    <w:rsid w:val="00144588"/>
    <w:rsid w:val="001447DD"/>
    <w:rsid w:val="00145358"/>
    <w:rsid w:val="001459BC"/>
    <w:rsid w:val="0014779E"/>
    <w:rsid w:val="00147B13"/>
    <w:rsid w:val="00150ECA"/>
    <w:rsid w:val="0015108F"/>
    <w:rsid w:val="00151707"/>
    <w:rsid w:val="00152C86"/>
    <w:rsid w:val="00152EBC"/>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23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1AF1"/>
    <w:rsid w:val="001E3306"/>
    <w:rsid w:val="001E504C"/>
    <w:rsid w:val="001E56AC"/>
    <w:rsid w:val="001E5A17"/>
    <w:rsid w:val="001E6441"/>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A8B"/>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264"/>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D6982"/>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07B"/>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17A6"/>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684D"/>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1B24"/>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53DC"/>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5F7B79"/>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0FFC"/>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748"/>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8A4"/>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4A6"/>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23"/>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551"/>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1E3F"/>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D7F4F"/>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3E08"/>
    <w:rsid w:val="00804155"/>
    <w:rsid w:val="00804C9F"/>
    <w:rsid w:val="0080559E"/>
    <w:rsid w:val="00805AF3"/>
    <w:rsid w:val="00806C9C"/>
    <w:rsid w:val="008071B1"/>
    <w:rsid w:val="0080734C"/>
    <w:rsid w:val="00807C82"/>
    <w:rsid w:val="008107EE"/>
    <w:rsid w:val="008117CC"/>
    <w:rsid w:val="00811FF8"/>
    <w:rsid w:val="0081249F"/>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AA1"/>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2E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3D21"/>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418F"/>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66F8"/>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3063"/>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3A"/>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257"/>
    <w:rsid w:val="00C54697"/>
    <w:rsid w:val="00C550CE"/>
    <w:rsid w:val="00C553A5"/>
    <w:rsid w:val="00C55402"/>
    <w:rsid w:val="00C5603B"/>
    <w:rsid w:val="00C6020C"/>
    <w:rsid w:val="00C60AE3"/>
    <w:rsid w:val="00C61F47"/>
    <w:rsid w:val="00C62828"/>
    <w:rsid w:val="00C63132"/>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04C"/>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649"/>
    <w:rsid w:val="00CA0BD5"/>
    <w:rsid w:val="00CA0DA1"/>
    <w:rsid w:val="00CA1BD6"/>
    <w:rsid w:val="00CA2D95"/>
    <w:rsid w:val="00CA37FF"/>
    <w:rsid w:val="00CA423A"/>
    <w:rsid w:val="00CA47BC"/>
    <w:rsid w:val="00CA5EAD"/>
    <w:rsid w:val="00CA6AB4"/>
    <w:rsid w:val="00CA7255"/>
    <w:rsid w:val="00CA79E2"/>
    <w:rsid w:val="00CA7E12"/>
    <w:rsid w:val="00CB111E"/>
    <w:rsid w:val="00CB1BEE"/>
    <w:rsid w:val="00CB2351"/>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5EE0"/>
    <w:rsid w:val="00CD6331"/>
    <w:rsid w:val="00CD7E9E"/>
    <w:rsid w:val="00CE12FB"/>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6E6B"/>
    <w:rsid w:val="00D27973"/>
    <w:rsid w:val="00D27F07"/>
    <w:rsid w:val="00D27F3A"/>
    <w:rsid w:val="00D31537"/>
    <w:rsid w:val="00D31E1E"/>
    <w:rsid w:val="00D322A0"/>
    <w:rsid w:val="00D32824"/>
    <w:rsid w:val="00D33297"/>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209"/>
    <w:rsid w:val="00DE63AE"/>
    <w:rsid w:val="00DE7156"/>
    <w:rsid w:val="00DE7AC8"/>
    <w:rsid w:val="00DF0830"/>
    <w:rsid w:val="00DF1D57"/>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C5D"/>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B1A"/>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189D"/>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967"/>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371"/>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2E7"/>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6667"/>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Trh%20pr&#225;ce\Grafy-Trh%20pr&#225;ce%20celorok-3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Trh%20pr&#225;ce\Grafy-Trh%20pr&#225;ce%20celorok-3q-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Trh%20pr&#225;ce\Grafy-Trh%20pr&#225;ce%20celorok-3q-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1923E-2"/>
          <c:y val="1.452205106022466E-2"/>
          <c:w val="0.84495121574960952"/>
          <c:h val="0.67557130739459648"/>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1-SNÚ'!$AC$28:$AC$63</c:f>
              <c:numCache>
                <c:formatCode>#\ ##0.0</c:formatCode>
                <c:ptCount val="36"/>
                <c:pt idx="0">
                  <c:v>-5.6828505791380483E-2</c:v>
                </c:pt>
                <c:pt idx="1">
                  <c:v>-5.3414002474862207E-2</c:v>
                </c:pt>
                <c:pt idx="2">
                  <c:v>-6.9742710596297483E-2</c:v>
                </c:pt>
                <c:pt idx="3">
                  <c:v>-0.13971969588082001</c:v>
                </c:pt>
                <c:pt idx="4">
                  <c:v>-0.12487960810120249</c:v>
                </c:pt>
                <c:pt idx="5">
                  <c:v>-3.2190093204688588E-2</c:v>
                </c:pt>
                <c:pt idx="6">
                  <c:v>-4.495117850766725E-2</c:v>
                </c:pt>
                <c:pt idx="7">
                  <c:v>5.8087184963969883E-2</c:v>
                </c:pt>
                <c:pt idx="8">
                  <c:v>9.8469969335167482E-2</c:v>
                </c:pt>
                <c:pt idx="9">
                  <c:v>3.525689638197723E-2</c:v>
                </c:pt>
                <c:pt idx="10">
                  <c:v>1.9943614652896621E-2</c:v>
                </c:pt>
                <c:pt idx="11">
                  <c:v>-9.3018884588644907E-2</c:v>
                </c:pt>
                <c:pt idx="12">
                  <c:v>2.8401707115870724E-2</c:v>
                </c:pt>
                <c:pt idx="13">
                  <c:v>3.0424969757692683E-2</c:v>
                </c:pt>
                <c:pt idx="14">
                  <c:v>1.721394210079398E-2</c:v>
                </c:pt>
                <c:pt idx="15">
                  <c:v>8.3528120512972676E-2</c:v>
                </c:pt>
                <c:pt idx="16">
                  <c:v>-3.1494865390982861E-2</c:v>
                </c:pt>
                <c:pt idx="17">
                  <c:v>-9.3480094872355909E-2</c:v>
                </c:pt>
                <c:pt idx="18">
                  <c:v>-0.12508397994816237</c:v>
                </c:pt>
                <c:pt idx="19">
                  <c:v>-0.13226896814548544</c:v>
                </c:pt>
                <c:pt idx="20">
                  <c:v>-7.8919822387198829E-2</c:v>
                </c:pt>
                <c:pt idx="21">
                  <c:v>-1.5977001932115317E-3</c:v>
                </c:pt>
                <c:pt idx="22">
                  <c:v>9.3748963565408974E-2</c:v>
                </c:pt>
                <c:pt idx="23">
                  <c:v>7.772100709712601E-2</c:v>
                </c:pt>
                <c:pt idx="24">
                  <c:v>4.0304610198826939E-2</c:v>
                </c:pt>
                <c:pt idx="25">
                  <c:v>-4.2078229095876024E-2</c:v>
                </c:pt>
                <c:pt idx="26">
                  <c:v>-6.3204140368347289E-2</c:v>
                </c:pt>
                <c:pt idx="27">
                  <c:v>-1.9871976866903441E-2</c:v>
                </c:pt>
                <c:pt idx="28">
                  <c:v>-6.79146005861858E-2</c:v>
                </c:pt>
                <c:pt idx="29">
                  <c:v>3.2113631816370829E-2</c:v>
                </c:pt>
                <c:pt idx="30">
                  <c:v>-1.5508012938219832E-2</c:v>
                </c:pt>
                <c:pt idx="31">
                  <c:v>-0.10816507912439972</c:v>
                </c:pt>
                <c:pt idx="32">
                  <c:v>4.5996374884010892E-2</c:v>
                </c:pt>
                <c:pt idx="33">
                  <c:v>2.1780607651521903E-2</c:v>
                </c:pt>
                <c:pt idx="34">
                  <c:v>6.3655323483695764E-3</c:v>
                </c:pt>
              </c:numCache>
            </c:numRef>
          </c:val>
          <c:extLst>
            <c:ext xmlns:c16="http://schemas.microsoft.com/office/drawing/2014/chart" uri="{C3380CC4-5D6E-409C-BE32-E72D297353CC}">
              <c16:uniqueId val="{00000000-DB5A-48A3-88B9-A1306767656E}"/>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1-SNÚ'!$AD$28:$AD$63</c:f>
              <c:numCache>
                <c:formatCode>#\ ##0.0</c:formatCode>
                <c:ptCount val="36"/>
                <c:pt idx="0">
                  <c:v>0.89949329716318993</c:v>
                </c:pt>
                <c:pt idx="1">
                  <c:v>0.93127175953417085</c:v>
                </c:pt>
                <c:pt idx="2">
                  <c:v>0.78437575581487662</c:v>
                </c:pt>
                <c:pt idx="3">
                  <c:v>0.92631003282458291</c:v>
                </c:pt>
                <c:pt idx="4">
                  <c:v>0.87287644021507216</c:v>
                </c:pt>
                <c:pt idx="5">
                  <c:v>0.63654993177204455</c:v>
                </c:pt>
                <c:pt idx="6">
                  <c:v>0.66873314812908025</c:v>
                </c:pt>
                <c:pt idx="7">
                  <c:v>0.5180001099102538</c:v>
                </c:pt>
                <c:pt idx="8">
                  <c:v>0.25448906088853906</c:v>
                </c:pt>
                <c:pt idx="9">
                  <c:v>0.40500765768385588</c:v>
                </c:pt>
                <c:pt idx="10">
                  <c:v>0.49291118462601918</c:v>
                </c:pt>
                <c:pt idx="11">
                  <c:v>0.47964454670419909</c:v>
                </c:pt>
                <c:pt idx="12">
                  <c:v>0.34488863442030787</c:v>
                </c:pt>
                <c:pt idx="13">
                  <c:v>0.29136030152194398</c:v>
                </c:pt>
                <c:pt idx="14">
                  <c:v>9.8868388234755161E-2</c:v>
                </c:pt>
                <c:pt idx="15">
                  <c:v>9.055089068099019E-2</c:v>
                </c:pt>
                <c:pt idx="16">
                  <c:v>0.14484299401542142</c:v>
                </c:pt>
                <c:pt idx="17">
                  <c:v>-1.8858080604667569E-2</c:v>
                </c:pt>
                <c:pt idx="18">
                  <c:v>-0.16365938471305239</c:v>
                </c:pt>
                <c:pt idx="19">
                  <c:v>-0.54941077591471033</c:v>
                </c:pt>
                <c:pt idx="20">
                  <c:v>-0.82546861976528951</c:v>
                </c:pt>
                <c:pt idx="21">
                  <c:v>-1.0955999520322597</c:v>
                </c:pt>
                <c:pt idx="22">
                  <c:v>-1.080397843479032</c:v>
                </c:pt>
                <c:pt idx="23">
                  <c:v>-0.90789746373281621</c:v>
                </c:pt>
                <c:pt idx="24">
                  <c:v>-0.49316165113626681</c:v>
                </c:pt>
                <c:pt idx="25">
                  <c:v>-7.4509620655944658E-2</c:v>
                </c:pt>
                <c:pt idx="26">
                  <c:v>0.18158292508911653</c:v>
                </c:pt>
                <c:pt idx="27">
                  <c:v>0.3223340430198105</c:v>
                </c:pt>
                <c:pt idx="28">
                  <c:v>3.8187860960837004E-2</c:v>
                </c:pt>
                <c:pt idx="29">
                  <c:v>0.35388512361693558</c:v>
                </c:pt>
                <c:pt idx="30">
                  <c:v>0.17345173223946594</c:v>
                </c:pt>
                <c:pt idx="31">
                  <c:v>8.8579785635803723E-2</c:v>
                </c:pt>
                <c:pt idx="32">
                  <c:v>4.8503242308048582E-2</c:v>
                </c:pt>
                <c:pt idx="33">
                  <c:v>-0.20014019323111298</c:v>
                </c:pt>
                <c:pt idx="34">
                  <c:v>-0.41926294473195008</c:v>
                </c:pt>
              </c:numCache>
            </c:numRef>
          </c:val>
          <c:extLst>
            <c:ext xmlns:c16="http://schemas.microsoft.com/office/drawing/2014/chart" uri="{C3380CC4-5D6E-409C-BE32-E72D297353CC}">
              <c16:uniqueId val="{00000001-DB5A-48A3-88B9-A1306767656E}"/>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1-SNÚ'!$AE$28:$AE$63</c:f>
              <c:numCache>
                <c:formatCode>#\ ##0.0</c:formatCode>
                <c:ptCount val="36"/>
                <c:pt idx="0">
                  <c:v>-0.11446239310279097</c:v>
                </c:pt>
                <c:pt idx="1">
                  <c:v>-0.10158864467757592</c:v>
                </c:pt>
                <c:pt idx="2">
                  <c:v>-0.15723882215178694</c:v>
                </c:pt>
                <c:pt idx="3">
                  <c:v>-0.18194332296049914</c:v>
                </c:pt>
                <c:pt idx="4">
                  <c:v>-0.11325522810856539</c:v>
                </c:pt>
                <c:pt idx="5">
                  <c:v>-0.12563587006311638</c:v>
                </c:pt>
                <c:pt idx="6">
                  <c:v>-2.3912252831191489E-2</c:v>
                </c:pt>
                <c:pt idx="7">
                  <c:v>9.7996904835013724E-3</c:v>
                </c:pt>
                <c:pt idx="8">
                  <c:v>-1.3015925682695845E-2</c:v>
                </c:pt>
                <c:pt idx="9">
                  <c:v>1.663061150093266E-2</c:v>
                </c:pt>
                <c:pt idx="10">
                  <c:v>7.5842717437158341E-2</c:v>
                </c:pt>
                <c:pt idx="11">
                  <c:v>-7.0108572985760911E-2</c:v>
                </c:pt>
                <c:pt idx="12">
                  <c:v>0.10624272535850574</c:v>
                </c:pt>
                <c:pt idx="13">
                  <c:v>6.6114358543656077E-2</c:v>
                </c:pt>
                <c:pt idx="14">
                  <c:v>6.2149037714554899E-2</c:v>
                </c:pt>
                <c:pt idx="15">
                  <c:v>0.11396633392024222</c:v>
                </c:pt>
                <c:pt idx="16">
                  <c:v>4.082461644614449E-2</c:v>
                </c:pt>
                <c:pt idx="17">
                  <c:v>7.0404728663714888E-2</c:v>
                </c:pt>
                <c:pt idx="18">
                  <c:v>9.977925270765331E-2</c:v>
                </c:pt>
                <c:pt idx="19">
                  <c:v>0.13486608895157276</c:v>
                </c:pt>
                <c:pt idx="20">
                  <c:v>2.9339864088043205E-2</c:v>
                </c:pt>
                <c:pt idx="21">
                  <c:v>-0.22182322567588586</c:v>
                </c:pt>
                <c:pt idx="22">
                  <c:v>-0.10380928866499864</c:v>
                </c:pt>
                <c:pt idx="23">
                  <c:v>-5.7292436011891962E-2</c:v>
                </c:pt>
                <c:pt idx="24">
                  <c:v>-7.078786710782474E-2</c:v>
                </c:pt>
                <c:pt idx="25">
                  <c:v>0.1427694418966679</c:v>
                </c:pt>
                <c:pt idx="26">
                  <c:v>-1.9848613983292209E-2</c:v>
                </c:pt>
                <c:pt idx="27">
                  <c:v>5.8388099330416922E-2</c:v>
                </c:pt>
                <c:pt idx="28">
                  <c:v>0.2321167619702279</c:v>
                </c:pt>
                <c:pt idx="29">
                  <c:v>0.27758956088391756</c:v>
                </c:pt>
                <c:pt idx="30">
                  <c:v>0.27910704340848874</c:v>
                </c:pt>
                <c:pt idx="31">
                  <c:v>0.25014916598053055</c:v>
                </c:pt>
                <c:pt idx="32">
                  <c:v>0.25347215065270406</c:v>
                </c:pt>
                <c:pt idx="33">
                  <c:v>0.20527902677441914</c:v>
                </c:pt>
                <c:pt idx="34">
                  <c:v>0.1584045297641824</c:v>
                </c:pt>
              </c:numCache>
            </c:numRef>
          </c:val>
          <c:extLst>
            <c:ext xmlns:c16="http://schemas.microsoft.com/office/drawing/2014/chart" uri="{C3380CC4-5D6E-409C-BE32-E72D297353CC}">
              <c16:uniqueId val="{00000002-DB5A-48A3-88B9-A1306767656E}"/>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1-SNÚ'!$AF$28:$AF$63</c:f>
              <c:numCache>
                <c:formatCode>#\ ##0.0</c:formatCode>
                <c:ptCount val="36"/>
                <c:pt idx="0">
                  <c:v>0.22921943798120303</c:v>
                </c:pt>
                <c:pt idx="1">
                  <c:v>0.48955640475490941</c:v>
                </c:pt>
                <c:pt idx="2">
                  <c:v>0.32927866250413407</c:v>
                </c:pt>
                <c:pt idx="3">
                  <c:v>0.16612893864836825</c:v>
                </c:pt>
                <c:pt idx="4">
                  <c:v>8.137065994846028E-2</c:v>
                </c:pt>
                <c:pt idx="5">
                  <c:v>0.23250543653835901</c:v>
                </c:pt>
                <c:pt idx="6">
                  <c:v>-6.9229828761272118E-3</c:v>
                </c:pt>
                <c:pt idx="7">
                  <c:v>7.0307975449277485E-2</c:v>
                </c:pt>
                <c:pt idx="8">
                  <c:v>0.16752509340503544</c:v>
                </c:pt>
                <c:pt idx="9">
                  <c:v>4.8846481779882198E-3</c:v>
                </c:pt>
                <c:pt idx="10">
                  <c:v>0.35735158674247353</c:v>
                </c:pt>
                <c:pt idx="11">
                  <c:v>0.18418833710391036</c:v>
                </c:pt>
                <c:pt idx="12">
                  <c:v>0.15244258448001169</c:v>
                </c:pt>
                <c:pt idx="13">
                  <c:v>0.40230652744870238</c:v>
                </c:pt>
                <c:pt idx="14">
                  <c:v>0.21159735322599382</c:v>
                </c:pt>
                <c:pt idx="15">
                  <c:v>0.22968370337309341</c:v>
                </c:pt>
                <c:pt idx="16">
                  <c:v>0.43610558013709622</c:v>
                </c:pt>
                <c:pt idx="17">
                  <c:v>0.11493484477903346</c:v>
                </c:pt>
                <c:pt idx="18">
                  <c:v>-1.6666789714208475E-2</c:v>
                </c:pt>
                <c:pt idx="19">
                  <c:v>-4.3580055512076075E-2</c:v>
                </c:pt>
                <c:pt idx="20">
                  <c:v>-0.11338864767860299</c:v>
                </c:pt>
                <c:pt idx="21">
                  <c:v>-0.5701218677959996</c:v>
                </c:pt>
                <c:pt idx="22">
                  <c:v>-0.41759561915220661</c:v>
                </c:pt>
                <c:pt idx="23">
                  <c:v>-0.99268065558520002</c:v>
                </c:pt>
                <c:pt idx="24">
                  <c:v>-0.85371650200457738</c:v>
                </c:pt>
                <c:pt idx="25">
                  <c:v>-0.15752122069655988</c:v>
                </c:pt>
                <c:pt idx="26">
                  <c:v>0.24002189726109691</c:v>
                </c:pt>
                <c:pt idx="27">
                  <c:v>0.7407978296476736</c:v>
                </c:pt>
                <c:pt idx="28">
                  <c:v>0.5346488559435757</c:v>
                </c:pt>
                <c:pt idx="29">
                  <c:v>0.98634993172818264</c:v>
                </c:pt>
                <c:pt idx="30">
                  <c:v>0.46427346168042322</c:v>
                </c:pt>
                <c:pt idx="31">
                  <c:v>0.26116821630191334</c:v>
                </c:pt>
                <c:pt idx="32">
                  <c:v>8.5753435290416777E-2</c:v>
                </c:pt>
                <c:pt idx="33">
                  <c:v>5.147977375233765E-2</c:v>
                </c:pt>
                <c:pt idx="34">
                  <c:v>7.1525102669432156E-2</c:v>
                </c:pt>
              </c:numCache>
            </c:numRef>
          </c:val>
          <c:extLst>
            <c:ext xmlns:c16="http://schemas.microsoft.com/office/drawing/2014/chart" uri="{C3380CC4-5D6E-409C-BE32-E72D297353CC}">
              <c16:uniqueId val="{00000003-DB5A-48A3-88B9-A1306767656E}"/>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1-SNÚ'!$AG$28:$AG$63</c:f>
              <c:numCache>
                <c:formatCode>#\ ##0.0</c:formatCode>
                <c:ptCount val="36"/>
                <c:pt idx="0">
                  <c:v>1.6421925627927481E-2</c:v>
                </c:pt>
                <c:pt idx="1">
                  <c:v>5.8810347324453387E-2</c:v>
                </c:pt>
                <c:pt idx="2">
                  <c:v>6.8432712948427635E-2</c:v>
                </c:pt>
                <c:pt idx="3">
                  <c:v>9.7009172732417617E-2</c:v>
                </c:pt>
                <c:pt idx="4">
                  <c:v>0.1202414998904507</c:v>
                </c:pt>
                <c:pt idx="5">
                  <c:v>0.11261710858129224</c:v>
                </c:pt>
                <c:pt idx="6">
                  <c:v>0.12964683530975837</c:v>
                </c:pt>
                <c:pt idx="7">
                  <c:v>0.16713276044214689</c:v>
                </c:pt>
                <c:pt idx="8">
                  <c:v>0.12903159219365573</c:v>
                </c:pt>
                <c:pt idx="9">
                  <c:v>0.1338051485332182</c:v>
                </c:pt>
                <c:pt idx="10">
                  <c:v>0.13863661271570693</c:v>
                </c:pt>
                <c:pt idx="11">
                  <c:v>0.12829019627380961</c:v>
                </c:pt>
                <c:pt idx="12">
                  <c:v>0.11921936740282588</c:v>
                </c:pt>
                <c:pt idx="13">
                  <c:v>0.14348820404813328</c:v>
                </c:pt>
                <c:pt idx="14">
                  <c:v>0.12461478215607261</c:v>
                </c:pt>
                <c:pt idx="15">
                  <c:v>0.14222506693054082</c:v>
                </c:pt>
                <c:pt idx="16">
                  <c:v>0.15100100067608449</c:v>
                </c:pt>
                <c:pt idx="17">
                  <c:v>8.7586944683397366E-2</c:v>
                </c:pt>
                <c:pt idx="18">
                  <c:v>0.1334819747653993</c:v>
                </c:pt>
                <c:pt idx="19">
                  <c:v>0.1358423116659177</c:v>
                </c:pt>
                <c:pt idx="20">
                  <c:v>0.12945571610776943</c:v>
                </c:pt>
                <c:pt idx="21">
                  <c:v>8.7230757675342149E-2</c:v>
                </c:pt>
                <c:pt idx="22">
                  <c:v>0.10732855989947056</c:v>
                </c:pt>
                <c:pt idx="23">
                  <c:v>7.317310801389737E-2</c:v>
                </c:pt>
                <c:pt idx="24">
                  <c:v>6.8471510199846153E-2</c:v>
                </c:pt>
                <c:pt idx="25">
                  <c:v>0.13165868738071818</c:v>
                </c:pt>
                <c:pt idx="26">
                  <c:v>0.10412080114108865</c:v>
                </c:pt>
                <c:pt idx="27">
                  <c:v>3.9101703530884151E-2</c:v>
                </c:pt>
                <c:pt idx="28">
                  <c:v>9.9089132084495782E-2</c:v>
                </c:pt>
                <c:pt idx="29">
                  <c:v>0.10416847644449309</c:v>
                </c:pt>
                <c:pt idx="30">
                  <c:v>0.11043415928068068</c:v>
                </c:pt>
                <c:pt idx="31">
                  <c:v>0.19349303709369098</c:v>
                </c:pt>
                <c:pt idx="32">
                  <c:v>0.16942709908829848</c:v>
                </c:pt>
                <c:pt idx="33">
                  <c:v>8.6994416959101276E-2</c:v>
                </c:pt>
                <c:pt idx="34">
                  <c:v>3.8761872772636652E-2</c:v>
                </c:pt>
              </c:numCache>
            </c:numRef>
          </c:val>
          <c:extLst>
            <c:ext xmlns:c16="http://schemas.microsoft.com/office/drawing/2014/chart" uri="{C3380CC4-5D6E-409C-BE32-E72D297353CC}">
              <c16:uniqueId val="{00000004-DB5A-48A3-88B9-A1306767656E}"/>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1-SNÚ'!$AH$28:$AH$63</c:f>
              <c:numCache>
                <c:formatCode>#\ ##0.0</c:formatCode>
                <c:ptCount val="36"/>
                <c:pt idx="0">
                  <c:v>0.10308883456383168</c:v>
                </c:pt>
                <c:pt idx="1">
                  <c:v>0.12282080877669461</c:v>
                </c:pt>
                <c:pt idx="2">
                  <c:v>0.25097208668743332</c:v>
                </c:pt>
                <c:pt idx="3">
                  <c:v>0.35868659590703411</c:v>
                </c:pt>
                <c:pt idx="4">
                  <c:v>0.23811542989926274</c:v>
                </c:pt>
                <c:pt idx="5">
                  <c:v>0.24004667467079344</c:v>
                </c:pt>
                <c:pt idx="6">
                  <c:v>0.25800163760363776</c:v>
                </c:pt>
                <c:pt idx="7">
                  <c:v>0.26365010416494572</c:v>
                </c:pt>
                <c:pt idx="8">
                  <c:v>0.41654784776603976</c:v>
                </c:pt>
                <c:pt idx="9">
                  <c:v>0.35593309894624658</c:v>
                </c:pt>
                <c:pt idx="10">
                  <c:v>0.30977182035627732</c:v>
                </c:pt>
                <c:pt idx="11">
                  <c:v>0.13772607419921484</c:v>
                </c:pt>
                <c:pt idx="12">
                  <c:v>0.14343992134911879</c:v>
                </c:pt>
                <c:pt idx="13">
                  <c:v>0.13539486233919026</c:v>
                </c:pt>
                <c:pt idx="14">
                  <c:v>0.10628305160717502</c:v>
                </c:pt>
                <c:pt idx="15">
                  <c:v>0.2182460882983914</c:v>
                </c:pt>
                <c:pt idx="16">
                  <c:v>-9.1442689268283559E-3</c:v>
                </c:pt>
                <c:pt idx="17">
                  <c:v>-3.3296298567616171E-2</c:v>
                </c:pt>
                <c:pt idx="18">
                  <c:v>-2.6633640706093933E-2</c:v>
                </c:pt>
                <c:pt idx="19">
                  <c:v>-0.20614876639524751</c:v>
                </c:pt>
                <c:pt idx="20">
                  <c:v>-0.13657008164791523</c:v>
                </c:pt>
                <c:pt idx="21">
                  <c:v>-0.27353729169983632</c:v>
                </c:pt>
                <c:pt idx="22">
                  <c:v>-0.43694239818987962</c:v>
                </c:pt>
                <c:pt idx="23">
                  <c:v>-0.20909243346063169</c:v>
                </c:pt>
                <c:pt idx="24">
                  <c:v>-0.1713918803351494</c:v>
                </c:pt>
                <c:pt idx="25">
                  <c:v>0.10134809862521423</c:v>
                </c:pt>
                <c:pt idx="26">
                  <c:v>0.19100069845358966</c:v>
                </c:pt>
                <c:pt idx="27">
                  <c:v>7.1176434253319584E-2</c:v>
                </c:pt>
                <c:pt idx="28">
                  <c:v>-1.6170142996710902E-3</c:v>
                </c:pt>
                <c:pt idx="29">
                  <c:v>-4.5041283484159381E-2</c:v>
                </c:pt>
                <c:pt idx="30">
                  <c:v>1.792532910364979E-2</c:v>
                </c:pt>
                <c:pt idx="31">
                  <c:v>5.9183263530529689E-2</c:v>
                </c:pt>
                <c:pt idx="32">
                  <c:v>0.17239820122049138</c:v>
                </c:pt>
                <c:pt idx="33">
                  <c:v>0.13830960173674228</c:v>
                </c:pt>
                <c:pt idx="34">
                  <c:v>0.23246116979406145</c:v>
                </c:pt>
              </c:numCache>
            </c:numRef>
          </c:val>
          <c:extLst>
            <c:ext xmlns:c16="http://schemas.microsoft.com/office/drawing/2014/chart" uri="{C3380CC4-5D6E-409C-BE32-E72D297353CC}">
              <c16:uniqueId val="{00000005-DB5A-48A3-88B9-A1306767656E}"/>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1-SNÚ'!$AI$28:$AI$63</c:f>
              <c:numCache>
                <c:formatCode>#\ ##0.0</c:formatCode>
                <c:ptCount val="36"/>
                <c:pt idx="0">
                  <c:v>0.2031525775646241</c:v>
                </c:pt>
                <c:pt idx="1">
                  <c:v>0.21991576992497472</c:v>
                </c:pt>
                <c:pt idx="2">
                  <c:v>0.13142991326837997</c:v>
                </c:pt>
                <c:pt idx="3">
                  <c:v>0.14149199757097264</c:v>
                </c:pt>
                <c:pt idx="4">
                  <c:v>0.325463233483336</c:v>
                </c:pt>
                <c:pt idx="5">
                  <c:v>0.34066723563476037</c:v>
                </c:pt>
                <c:pt idx="6">
                  <c:v>0.44607921975090492</c:v>
                </c:pt>
                <c:pt idx="7">
                  <c:v>0.55251039247568279</c:v>
                </c:pt>
                <c:pt idx="8">
                  <c:v>0.46255274221280807</c:v>
                </c:pt>
                <c:pt idx="9">
                  <c:v>0.49230411325389473</c:v>
                </c:pt>
                <c:pt idx="10">
                  <c:v>0.52626450589314866</c:v>
                </c:pt>
                <c:pt idx="11">
                  <c:v>0.51878456833877995</c:v>
                </c:pt>
                <c:pt idx="12">
                  <c:v>0.44244887504378938</c:v>
                </c:pt>
                <c:pt idx="13">
                  <c:v>0.45935334574437608</c:v>
                </c:pt>
                <c:pt idx="14">
                  <c:v>0.30172836175807344</c:v>
                </c:pt>
                <c:pt idx="15">
                  <c:v>0.24009677638084359</c:v>
                </c:pt>
                <c:pt idx="16">
                  <c:v>0.20061747000522431</c:v>
                </c:pt>
                <c:pt idx="17">
                  <c:v>0.13283528847799542</c:v>
                </c:pt>
                <c:pt idx="18">
                  <c:v>0.15144076368225956</c:v>
                </c:pt>
                <c:pt idx="19">
                  <c:v>0.17428338345531044</c:v>
                </c:pt>
                <c:pt idx="20">
                  <c:v>0.34198589701119508</c:v>
                </c:pt>
                <c:pt idx="21">
                  <c:v>0.27678778519636987</c:v>
                </c:pt>
                <c:pt idx="22">
                  <c:v>0.37818346642689021</c:v>
                </c:pt>
                <c:pt idx="23">
                  <c:v>0.32123696939097601</c:v>
                </c:pt>
                <c:pt idx="24">
                  <c:v>0.17763677855905952</c:v>
                </c:pt>
                <c:pt idx="25">
                  <c:v>0.30954336863438131</c:v>
                </c:pt>
                <c:pt idx="26">
                  <c:v>0.28418412534868692</c:v>
                </c:pt>
                <c:pt idx="27">
                  <c:v>0.35355873670896537</c:v>
                </c:pt>
                <c:pt idx="28">
                  <c:v>0.43905698734441467</c:v>
                </c:pt>
                <c:pt idx="29">
                  <c:v>0.41338594812836138</c:v>
                </c:pt>
                <c:pt idx="30">
                  <c:v>0.41596432785129245</c:v>
                </c:pt>
                <c:pt idx="31">
                  <c:v>0.50273255724285049</c:v>
                </c:pt>
                <c:pt idx="32">
                  <c:v>0.52272828138268268</c:v>
                </c:pt>
                <c:pt idx="33">
                  <c:v>0.41937270752703643</c:v>
                </c:pt>
                <c:pt idx="34">
                  <c:v>0.26370180837986384</c:v>
                </c:pt>
              </c:numCache>
            </c:numRef>
          </c:val>
          <c:extLst>
            <c:ext xmlns:c16="http://schemas.microsoft.com/office/drawing/2014/chart" uri="{C3380CC4-5D6E-409C-BE32-E72D297353CC}">
              <c16:uniqueId val="{00000006-DB5A-48A3-88B9-A1306767656E}"/>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1-SNÚ'!$AJ$28:$AJ$63</c:f>
              <c:numCache>
                <c:formatCode>#\ ##0.0</c:formatCode>
                <c:ptCount val="36"/>
                <c:pt idx="0">
                  <c:v>-5.8105330152403663E-2</c:v>
                </c:pt>
                <c:pt idx="1">
                  <c:v>7.4822774223603894E-2</c:v>
                </c:pt>
                <c:pt idx="2">
                  <c:v>5.2908263210984297E-2</c:v>
                </c:pt>
                <c:pt idx="3">
                  <c:v>-1.0886996096651559E-2</c:v>
                </c:pt>
                <c:pt idx="4">
                  <c:v>0.13489326432190499</c:v>
                </c:pt>
                <c:pt idx="5">
                  <c:v>7.1998572758000354E-2</c:v>
                </c:pt>
                <c:pt idx="6">
                  <c:v>0.10095213191232859</c:v>
                </c:pt>
                <c:pt idx="7">
                  <c:v>0.17975706759442231</c:v>
                </c:pt>
                <c:pt idx="8">
                  <c:v>-3.4575344434650213E-2</c:v>
                </c:pt>
                <c:pt idx="9">
                  <c:v>7.1083985158272222E-3</c:v>
                </c:pt>
                <c:pt idx="10">
                  <c:v>3.3733199641470868E-2</c:v>
                </c:pt>
                <c:pt idx="11">
                  <c:v>2.2834824579480689E-2</c:v>
                </c:pt>
                <c:pt idx="12">
                  <c:v>0.20382180000527356</c:v>
                </c:pt>
                <c:pt idx="13">
                  <c:v>0.20098465243874819</c:v>
                </c:pt>
                <c:pt idx="14">
                  <c:v>1.3096754650279419E-2</c:v>
                </c:pt>
                <c:pt idx="15">
                  <c:v>1.49769422150825E-2</c:v>
                </c:pt>
                <c:pt idx="16">
                  <c:v>-3.6076273960813747E-2</c:v>
                </c:pt>
                <c:pt idx="17">
                  <c:v>2.1528414284039402E-2</c:v>
                </c:pt>
                <c:pt idx="18">
                  <c:v>0.11899312656423253</c:v>
                </c:pt>
                <c:pt idx="19">
                  <c:v>0.11806769054624172</c:v>
                </c:pt>
                <c:pt idx="20">
                  <c:v>-0.14230569417640501</c:v>
                </c:pt>
                <c:pt idx="21">
                  <c:v>-0.35283464151923138</c:v>
                </c:pt>
                <c:pt idx="22">
                  <c:v>-0.32618669457516397</c:v>
                </c:pt>
                <c:pt idx="23">
                  <c:v>-0.43498990865563242</c:v>
                </c:pt>
                <c:pt idx="24">
                  <c:v>-0.14203900559724536</c:v>
                </c:pt>
                <c:pt idx="25">
                  <c:v>5.2288111624045751E-2</c:v>
                </c:pt>
                <c:pt idx="26">
                  <c:v>-2.6396030127119236E-2</c:v>
                </c:pt>
                <c:pt idx="27">
                  <c:v>9.1180639103177613E-2</c:v>
                </c:pt>
                <c:pt idx="28">
                  <c:v>-1.8257219592797962E-2</c:v>
                </c:pt>
                <c:pt idx="29">
                  <c:v>3.1534502912177992E-2</c:v>
                </c:pt>
                <c:pt idx="30">
                  <c:v>-8.1389175816053011E-2</c:v>
                </c:pt>
                <c:pt idx="31">
                  <c:v>-4.9706508616692888E-2</c:v>
                </c:pt>
                <c:pt idx="32">
                  <c:v>3.0156686641757594E-2</c:v>
                </c:pt>
                <c:pt idx="33">
                  <c:v>0.10460543725164173</c:v>
                </c:pt>
                <c:pt idx="34">
                  <c:v>8.9906265243110406E-2</c:v>
                </c:pt>
              </c:numCache>
            </c:numRef>
          </c:val>
          <c:extLst>
            <c:ext xmlns:c16="http://schemas.microsoft.com/office/drawing/2014/chart" uri="{C3380CC4-5D6E-409C-BE32-E72D297353CC}">
              <c16:uniqueId val="{00000007-DB5A-48A3-88B9-A1306767656E}"/>
            </c:ext>
          </c:extLst>
        </c:ser>
        <c:dLbls>
          <c:showLegendKey val="0"/>
          <c:showVal val="0"/>
          <c:showCatName val="0"/>
          <c:showSerName val="0"/>
          <c:showPercent val="0"/>
          <c:showBubbleSize val="0"/>
        </c:dLbls>
        <c:gapWidth val="47"/>
        <c:overlap val="100"/>
        <c:axId val="37317632"/>
        <c:axId val="37335808"/>
      </c:barChart>
      <c:lineChart>
        <c:grouping val="standard"/>
        <c:varyColors val="0"/>
        <c:ser>
          <c:idx val="8"/>
          <c:order val="8"/>
          <c:tx>
            <c:strRef>
              <c:f>'Trh práce 1-SNÚ'!$AK$7</c:f>
              <c:strCache>
                <c:ptCount val="1"/>
                <c:pt idx="0">
                  <c:v>Zaměstnanost celkem</c:v>
                </c:pt>
              </c:strCache>
            </c:strRef>
          </c:tx>
          <c:spPr>
            <a:ln w="19050">
              <a:solidFill>
                <a:schemeClr val="tx1">
                  <a:lumMod val="95000"/>
                  <a:lumOff val="5000"/>
                </a:schemeClr>
              </a:solidFill>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1-SNÚ'!$AK$28:$AK$63</c:f>
              <c:numCache>
                <c:formatCode>#\ ##0.0</c:formatCode>
                <c:ptCount val="36"/>
                <c:pt idx="0">
                  <c:v>1.2219798438541989</c:v>
                </c:pt>
                <c:pt idx="1">
                  <c:v>1.7421952173863668</c:v>
                </c:pt>
                <c:pt idx="2">
                  <c:v>1.3904158616861526</c:v>
                </c:pt>
                <c:pt idx="3">
                  <c:v>1.3570767227454039</c:v>
                </c:pt>
                <c:pt idx="4">
                  <c:v>1.5348256915487184</c:v>
                </c:pt>
                <c:pt idx="5">
                  <c:v>1.4765589966874444</c:v>
                </c:pt>
                <c:pt idx="6">
                  <c:v>1.5276265584907236</c:v>
                </c:pt>
                <c:pt idx="7">
                  <c:v>1.8192452854841994</c:v>
                </c:pt>
                <c:pt idx="8">
                  <c:v>1.4810250356838992</c:v>
                </c:pt>
                <c:pt idx="9">
                  <c:v>1.4509305729939399</c:v>
                </c:pt>
                <c:pt idx="10">
                  <c:v>1.9544552420651509</c:v>
                </c:pt>
                <c:pt idx="11">
                  <c:v>1.3083410896249879</c:v>
                </c:pt>
                <c:pt idx="12">
                  <c:v>1.5409056151757028</c:v>
                </c:pt>
                <c:pt idx="13">
                  <c:v>1.729427221842442</c:v>
                </c:pt>
                <c:pt idx="14">
                  <c:v>0.93555167144769769</c:v>
                </c:pt>
                <c:pt idx="15">
                  <c:v>1.1332739223121564</c:v>
                </c:pt>
                <c:pt idx="16">
                  <c:v>0.89667625300134579</c:v>
                </c:pt>
                <c:pt idx="17">
                  <c:v>0.28165574684354056</c:v>
                </c:pt>
                <c:pt idx="18">
                  <c:v>0.17165132263802718</c:v>
                </c:pt>
                <c:pt idx="19">
                  <c:v>-0.36834909134847788</c:v>
                </c:pt>
                <c:pt idx="20">
                  <c:v>-0.79587138844840455</c:v>
                </c:pt>
                <c:pt idx="21">
                  <c:v>-2.1514961360447127</c:v>
                </c:pt>
                <c:pt idx="22">
                  <c:v>-1.7856708541695099</c:v>
                </c:pt>
                <c:pt idx="23">
                  <c:v>-2.1298218129441739</c:v>
                </c:pt>
                <c:pt idx="24">
                  <c:v>-1.4446840072233298</c:v>
                </c:pt>
                <c:pt idx="25">
                  <c:v>0.46349863771264704</c:v>
                </c:pt>
                <c:pt idx="26">
                  <c:v>0.89146166281481953</c:v>
                </c:pt>
                <c:pt idx="27">
                  <c:v>1.6566655087273441</c:v>
                </c:pt>
                <c:pt idx="28">
                  <c:v>1.2553107638248946</c:v>
                </c:pt>
                <c:pt idx="29">
                  <c:v>2.1539858920462791</c:v>
                </c:pt>
                <c:pt idx="30">
                  <c:v>1.3642588648097294</c:v>
                </c:pt>
                <c:pt idx="31">
                  <c:v>1.1974344380442259</c:v>
                </c:pt>
                <c:pt idx="32">
                  <c:v>1.3284354714684101</c:v>
                </c:pt>
                <c:pt idx="33">
                  <c:v>0.82768137842168743</c:v>
                </c:pt>
                <c:pt idx="34">
                  <c:v>0.44186333623970619</c:v>
                </c:pt>
              </c:numCache>
            </c:numRef>
          </c:val>
          <c:smooth val="0"/>
          <c:extLst>
            <c:ext xmlns:c16="http://schemas.microsoft.com/office/drawing/2014/chart" uri="{C3380CC4-5D6E-409C-BE32-E72D297353CC}">
              <c16:uniqueId val="{00000008-DB5A-48A3-88B9-A1306767656E}"/>
            </c:ext>
          </c:extLst>
        </c:ser>
        <c:dLbls>
          <c:showLegendKey val="0"/>
          <c:showVal val="0"/>
          <c:showCatName val="0"/>
          <c:showSerName val="0"/>
          <c:showPercent val="0"/>
          <c:showBubbleSize val="0"/>
        </c:dLbls>
        <c:marker val="1"/>
        <c:smooth val="0"/>
        <c:axId val="37317632"/>
        <c:axId val="37335808"/>
      </c:lineChart>
      <c:lineChart>
        <c:grouping val="standard"/>
        <c:varyColors val="0"/>
        <c:ser>
          <c:idx val="9"/>
          <c:order val="9"/>
          <c:tx>
            <c:strRef>
              <c:f>'Trh práce 1-SNÚ'!$AL$7</c:f>
              <c:strCache>
                <c:ptCount val="1"/>
              </c:strCache>
            </c:strRef>
          </c:tx>
          <c:spPr>
            <a:ln>
              <a:noFill/>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1-SNÚ'!$AL$28:$AL$63</c:f>
              <c:numCache>
                <c:formatCode>General</c:formatCode>
                <c:ptCount val="36"/>
              </c:numCache>
            </c:numRef>
          </c:val>
          <c:smooth val="0"/>
          <c:extLst>
            <c:ext xmlns:c16="http://schemas.microsoft.com/office/drawing/2014/chart" uri="{C3380CC4-5D6E-409C-BE32-E72D297353CC}">
              <c16:uniqueId val="{00000009-DB5A-48A3-88B9-A1306767656E}"/>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1-SNÚ'!$AM$28:$AM$63</c:f>
              <c:numCache>
                <c:formatCode>#\ ##0.0</c:formatCode>
                <c:ptCount val="36"/>
                <c:pt idx="0">
                  <c:v>-3</c:v>
                </c:pt>
                <c:pt idx="1">
                  <c:v>4.3</c:v>
                </c:pt>
                <c:pt idx="2">
                  <c:v>5.5</c:v>
                </c:pt>
                <c:pt idx="3">
                  <c:v>7.8</c:v>
                </c:pt>
                <c:pt idx="4">
                  <c:v>8.2000000000000011</c:v>
                </c:pt>
                <c:pt idx="5">
                  <c:v>9.9</c:v>
                </c:pt>
                <c:pt idx="6">
                  <c:v>3.8</c:v>
                </c:pt>
                <c:pt idx="7">
                  <c:v>9.5</c:v>
                </c:pt>
                <c:pt idx="8">
                  <c:v>11.1</c:v>
                </c:pt>
                <c:pt idx="9">
                  <c:v>5.7</c:v>
                </c:pt>
                <c:pt idx="10">
                  <c:v>8.2000000000000011</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pt idx="34">
                  <c:v>-4.3</c:v>
                </c:pt>
                <c:pt idx="35">
                  <c:v>-8.3000000000000007</c:v>
                </c:pt>
              </c:numCache>
            </c:numRef>
          </c:val>
          <c:smooth val="0"/>
          <c:extLst>
            <c:ext xmlns:c16="http://schemas.microsoft.com/office/drawing/2014/chart" uri="{C3380CC4-5D6E-409C-BE32-E72D297353CC}">
              <c16:uniqueId val="{0000000A-DB5A-48A3-88B9-A1306767656E}"/>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1-SNÚ'!$AN$28:$AN$63</c:f>
              <c:numCache>
                <c:formatCode>#\ ##0.0</c:formatCode>
                <c:ptCount val="36"/>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9.8000000000000007</c:v>
                </c:pt>
                <c:pt idx="29">
                  <c:v>8</c:v>
                </c:pt>
                <c:pt idx="30">
                  <c:v>1.2</c:v>
                </c:pt>
                <c:pt idx="31">
                  <c:v>-1.7000000000000004</c:v>
                </c:pt>
                <c:pt idx="32">
                  <c:v>-12</c:v>
                </c:pt>
                <c:pt idx="33">
                  <c:v>-13.4</c:v>
                </c:pt>
                <c:pt idx="34">
                  <c:v>-8.6</c:v>
                </c:pt>
                <c:pt idx="35">
                  <c:v>-0.1</c:v>
                </c:pt>
              </c:numCache>
            </c:numRef>
          </c:val>
          <c:smooth val="0"/>
          <c:extLst>
            <c:ext xmlns:c16="http://schemas.microsoft.com/office/drawing/2014/chart" uri="{C3380CC4-5D6E-409C-BE32-E72D297353CC}">
              <c16:uniqueId val="{0000000B-DB5A-48A3-88B9-A1306767656E}"/>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1-SNÚ'!$AO$28:$AO$63</c:f>
              <c:numCache>
                <c:formatCode>#\ ##0.0</c:formatCode>
                <c:ptCount val="36"/>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0.7000000000000004</c:v>
                </c:pt>
                <c:pt idx="24">
                  <c:v>5.3</c:v>
                </c:pt>
                <c:pt idx="25">
                  <c:v>13.1</c:v>
                </c:pt>
                <c:pt idx="26">
                  <c:v>10.8</c:v>
                </c:pt>
                <c:pt idx="27">
                  <c:v>8.5</c:v>
                </c:pt>
                <c:pt idx="28">
                  <c:v>9.7000000000000011</c:v>
                </c:pt>
                <c:pt idx="29">
                  <c:v>3.3</c:v>
                </c:pt>
                <c:pt idx="30">
                  <c:v>5.3</c:v>
                </c:pt>
                <c:pt idx="31">
                  <c:v>12.7</c:v>
                </c:pt>
                <c:pt idx="32">
                  <c:v>10.4</c:v>
                </c:pt>
                <c:pt idx="33">
                  <c:v>9.3000000000000007</c:v>
                </c:pt>
                <c:pt idx="34">
                  <c:v>10.9</c:v>
                </c:pt>
                <c:pt idx="35">
                  <c:v>10.6</c:v>
                </c:pt>
              </c:numCache>
            </c:numRef>
          </c:val>
          <c:smooth val="0"/>
          <c:extLst>
            <c:ext xmlns:c16="http://schemas.microsoft.com/office/drawing/2014/chart" uri="{C3380CC4-5D6E-409C-BE32-E72D297353CC}">
              <c16:uniqueId val="{0000000C-DB5A-48A3-88B9-A1306767656E}"/>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1-SNÚ'!$AP$28:$AP$63</c:f>
              <c:numCache>
                <c:formatCode>#\ ##0.0</c:formatCode>
                <c:ptCount val="36"/>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-32.300000000000004</c:v>
                </c:pt>
                <c:pt idx="22">
                  <c:v>-28.6</c:v>
                </c:pt>
                <c:pt idx="23">
                  <c:v>-30.1</c:v>
                </c:pt>
                <c:pt idx="24">
                  <c:v>-27</c:v>
                </c:pt>
                <c:pt idx="25">
                  <c:v>-27.7</c:v>
                </c:pt>
                <c:pt idx="26">
                  <c:v>-12.1</c:v>
                </c:pt>
                <c:pt idx="27">
                  <c:v>-15.8</c:v>
                </c:pt>
                <c:pt idx="28">
                  <c:v>-6.8</c:v>
                </c:pt>
                <c:pt idx="29">
                  <c:v>-3.5</c:v>
                </c:pt>
                <c:pt idx="30">
                  <c:v>-6.1</c:v>
                </c:pt>
                <c:pt idx="31">
                  <c:v>-6.4</c:v>
                </c:pt>
                <c:pt idx="32">
                  <c:v>-10.7</c:v>
                </c:pt>
                <c:pt idx="33">
                  <c:v>-16.7</c:v>
                </c:pt>
                <c:pt idx="34">
                  <c:v>-14.5</c:v>
                </c:pt>
                <c:pt idx="35">
                  <c:v>-15.2</c:v>
                </c:pt>
              </c:numCache>
            </c:numRef>
          </c:val>
          <c:smooth val="0"/>
          <c:extLst>
            <c:ext xmlns:c16="http://schemas.microsoft.com/office/drawing/2014/chart" uri="{C3380CC4-5D6E-409C-BE32-E72D297353CC}">
              <c16:uniqueId val="{0000000D-DB5A-48A3-88B9-A1306767656E}"/>
            </c:ext>
          </c:extLst>
        </c:ser>
        <c:dLbls>
          <c:showLegendKey val="0"/>
          <c:showVal val="0"/>
          <c:showCatName val="0"/>
          <c:showSerName val="0"/>
          <c:showPercent val="0"/>
          <c:showBubbleSize val="0"/>
        </c:dLbls>
        <c:marker val="1"/>
        <c:smooth val="0"/>
        <c:axId val="37339904"/>
        <c:axId val="37337728"/>
      </c:lineChart>
      <c:catAx>
        <c:axId val="37317632"/>
        <c:scaling>
          <c:orientation val="minMax"/>
        </c:scaling>
        <c:delete val="0"/>
        <c:axPos val="b"/>
        <c:numFmt formatCode="General" sourceLinked="1"/>
        <c:majorTickMark val="out"/>
        <c:minorTickMark val="none"/>
        <c:tickLblPos val="low"/>
        <c:spPr>
          <a:ln>
            <a:solidFill>
              <a:schemeClr val="tx1"/>
            </a:solidFill>
          </a:ln>
        </c:spPr>
        <c:crossAx val="37335808"/>
        <c:crosses val="autoZero"/>
        <c:auto val="1"/>
        <c:lblAlgn val="ctr"/>
        <c:lblOffset val="10"/>
        <c:noMultiLvlLbl val="0"/>
      </c:catAx>
      <c:valAx>
        <c:axId val="37335808"/>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37317632"/>
        <c:crosses val="autoZero"/>
        <c:crossBetween val="between"/>
        <c:majorUnit val="0.5"/>
      </c:valAx>
      <c:valAx>
        <c:axId val="37337728"/>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37339904"/>
        <c:crosses val="max"/>
        <c:crossBetween val="between"/>
        <c:majorUnit val="10"/>
      </c:valAx>
      <c:catAx>
        <c:axId val="37339904"/>
        <c:scaling>
          <c:orientation val="minMax"/>
        </c:scaling>
        <c:delete val="1"/>
        <c:axPos val="b"/>
        <c:numFmt formatCode="General" sourceLinked="1"/>
        <c:majorTickMark val="out"/>
        <c:minorTickMark val="none"/>
        <c:tickLblPos val="none"/>
        <c:crossAx val="37337728"/>
        <c:crosses val="autoZero"/>
        <c:auto val="1"/>
        <c:lblAlgn val="ctr"/>
        <c:lblOffset val="100"/>
        <c:noMultiLvlLbl val="0"/>
      </c:catAx>
      <c:spPr>
        <a:ln>
          <a:solidFill>
            <a:schemeClr val="tx1"/>
          </a:solidFill>
        </a:ln>
      </c:spPr>
    </c:plotArea>
    <c:legend>
      <c:legendPos val="b"/>
      <c:layout>
        <c:manualLayout>
          <c:xMode val="edge"/>
          <c:yMode val="edge"/>
          <c:x val="1.5472441370721636E-2"/>
          <c:y val="0.77992823117070786"/>
          <c:w val="0.96005692595618608"/>
          <c:h val="0.2119461831534997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974E-2"/>
          <c:y val="1.6081916099773243E-2"/>
          <c:w val="0.83584199323559083"/>
          <c:h val="0.75413005601973693"/>
        </c:manualLayout>
      </c:layout>
      <c:barChart>
        <c:barDir val="col"/>
        <c:grouping val="clustered"/>
        <c:varyColors val="0"/>
        <c:ser>
          <c:idx val="0"/>
          <c:order val="0"/>
          <c:tx>
            <c:strRef>
              <c:f>'Trh práce-2b'!$A$32</c:f>
              <c:strCache>
                <c:ptCount val="1"/>
                <c:pt idx="0">
                  <c:v>Míra nezaměstnanosti mužů</c:v>
                </c:pt>
              </c:strCache>
            </c:strRef>
          </c:tx>
          <c:spPr>
            <a:solidFill>
              <a:srgbClr val="BCBCBC"/>
            </a:solidFill>
          </c:spPr>
          <c:invertIfNegative val="0"/>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práce-2b'!$B$32:$AK$32</c:f>
              <c:numCache>
                <c:formatCode>0.0</c:formatCode>
                <c:ptCount val="36"/>
                <c:pt idx="0">
                  <c:v>5.0179703567993243</c:v>
                </c:pt>
                <c:pt idx="1">
                  <c:v>4.3397037857057379</c:v>
                </c:pt>
                <c:pt idx="2">
                  <c:v>4.078363791425371</c:v>
                </c:pt>
                <c:pt idx="3">
                  <c:v>3.7766265778372001</c:v>
                </c:pt>
                <c:pt idx="4">
                  <c:v>3.6410218058510386</c:v>
                </c:pt>
                <c:pt idx="5">
                  <c:v>3.5617055995244464</c:v>
                </c:pt>
                <c:pt idx="6">
                  <c:v>3.3832737899339094</c:v>
                </c:pt>
                <c:pt idx="7">
                  <c:v>3.1624830152469738</c:v>
                </c:pt>
                <c:pt idx="8">
                  <c:v>2.7030133381290362</c:v>
                </c:pt>
                <c:pt idx="9">
                  <c:v>2.4612076398961937</c:v>
                </c:pt>
                <c:pt idx="10">
                  <c:v>2.2569337257329667</c:v>
                </c:pt>
                <c:pt idx="11">
                  <c:v>2.0533565705585919</c:v>
                </c:pt>
                <c:pt idx="12">
                  <c:v>1.8939606859689568</c:v>
                </c:pt>
                <c:pt idx="13">
                  <c:v>1.8444391535153297</c:v>
                </c:pt>
                <c:pt idx="14">
                  <c:v>1.8906657579743837</c:v>
                </c:pt>
                <c:pt idx="15">
                  <c:v>1.6613164713888835</c:v>
                </c:pt>
                <c:pt idx="16">
                  <c:v>1.8002424728293283</c:v>
                </c:pt>
                <c:pt idx="17">
                  <c:v>1.6837047772888498</c:v>
                </c:pt>
                <c:pt idx="18">
                  <c:v>1.7665785210090021</c:v>
                </c:pt>
                <c:pt idx="19">
                  <c:v>1.8635330355029034</c:v>
                </c:pt>
                <c:pt idx="20">
                  <c:v>1.8345903586695378</c:v>
                </c:pt>
                <c:pt idx="21">
                  <c:v>2.2579728634053926</c:v>
                </c:pt>
                <c:pt idx="22">
                  <c:v>2.5264092526326736</c:v>
                </c:pt>
                <c:pt idx="23">
                  <c:v>2.5328753255200644</c:v>
                </c:pt>
                <c:pt idx="24">
                  <c:v>2.6659857772407243</c:v>
                </c:pt>
                <c:pt idx="25">
                  <c:v>2.5641998643246779</c:v>
                </c:pt>
                <c:pt idx="26">
                  <c:v>2.278905916721282</c:v>
                </c:pt>
                <c:pt idx="27">
                  <c:v>1.9630889525330852</c:v>
                </c:pt>
                <c:pt idx="28">
                  <c:v>1.9685385453323621</c:v>
                </c:pt>
                <c:pt idx="29">
                  <c:v>1.9052507167110388</c:v>
                </c:pt>
                <c:pt idx="30">
                  <c:v>1.9319432534880339</c:v>
                </c:pt>
                <c:pt idx="31">
                  <c:v>2.0839154037369112</c:v>
                </c:pt>
                <c:pt idx="32">
                  <c:v>2.1539684039842539</c:v>
                </c:pt>
                <c:pt idx="33">
                  <c:v>2.2475906319653256</c:v>
                </c:pt>
                <c:pt idx="34">
                  <c:v>2.3830783649664355</c:v>
                </c:pt>
              </c:numCache>
            </c:numRef>
          </c:val>
          <c:extLst>
            <c:ext xmlns:c16="http://schemas.microsoft.com/office/drawing/2014/chart" uri="{C3380CC4-5D6E-409C-BE32-E72D297353CC}">
              <c16:uniqueId val="{00000000-BE7D-418A-89BD-FF61E67F5466}"/>
            </c:ext>
          </c:extLst>
        </c:ser>
        <c:ser>
          <c:idx val="1"/>
          <c:order val="1"/>
          <c:tx>
            <c:strRef>
              <c:f>'Trh práce-2b'!$A$33</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práce-2b'!$B$33:$AK$33</c:f>
              <c:numCache>
                <c:formatCode>0.0</c:formatCode>
                <c:ptCount val="36"/>
                <c:pt idx="0">
                  <c:v>6.9247844222757049</c:v>
                </c:pt>
                <c:pt idx="1">
                  <c:v>6.1548239649972301</c:v>
                </c:pt>
                <c:pt idx="2">
                  <c:v>5.9772351628082871</c:v>
                </c:pt>
                <c:pt idx="3">
                  <c:v>5.6631509856934299</c:v>
                </c:pt>
                <c:pt idx="4">
                  <c:v>5.0702807689938432</c:v>
                </c:pt>
                <c:pt idx="5">
                  <c:v>4.8011933347794091</c:v>
                </c:pt>
                <c:pt idx="6">
                  <c:v>4.8094480130904822</c:v>
                </c:pt>
                <c:pt idx="7">
                  <c:v>4.3666253677207658</c:v>
                </c:pt>
                <c:pt idx="8">
                  <c:v>4.2695537029006623</c:v>
                </c:pt>
                <c:pt idx="9">
                  <c:v>3.892380756609807</c:v>
                </c:pt>
                <c:pt idx="10">
                  <c:v>3.4090462990584367</c:v>
                </c:pt>
                <c:pt idx="11">
                  <c:v>3.0268766213583471</c:v>
                </c:pt>
                <c:pt idx="12">
                  <c:v>2.9413108440125399</c:v>
                </c:pt>
                <c:pt idx="13">
                  <c:v>2.890048361854793</c:v>
                </c:pt>
                <c:pt idx="14">
                  <c:v>2.8576069830594313</c:v>
                </c:pt>
                <c:pt idx="15">
                  <c:v>2.6813009357194431</c:v>
                </c:pt>
                <c:pt idx="16">
                  <c:v>2.2468451775037961</c:v>
                </c:pt>
                <c:pt idx="17">
                  <c:v>2.4700676446938101</c:v>
                </c:pt>
                <c:pt idx="18">
                  <c:v>2.5650647654236116</c:v>
                </c:pt>
                <c:pt idx="19">
                  <c:v>2.4357961684995288</c:v>
                </c:pt>
                <c:pt idx="20">
                  <c:v>2.0459633496495342</c:v>
                </c:pt>
                <c:pt idx="21">
                  <c:v>2.8097346782288031</c:v>
                </c:pt>
                <c:pt idx="22">
                  <c:v>3.3694736693486269</c:v>
                </c:pt>
                <c:pt idx="23">
                  <c:v>3.896703472003217</c:v>
                </c:pt>
                <c:pt idx="24">
                  <c:v>4.164813253755848</c:v>
                </c:pt>
                <c:pt idx="25">
                  <c:v>3.8832174365814143</c:v>
                </c:pt>
                <c:pt idx="26">
                  <c:v>3.2690499477231647</c:v>
                </c:pt>
                <c:pt idx="27">
                  <c:v>2.7366479018977636</c:v>
                </c:pt>
                <c:pt idx="28">
                  <c:v>2.9979326140362121</c:v>
                </c:pt>
                <c:pt idx="29">
                  <c:v>3.2178208430883082</c:v>
                </c:pt>
                <c:pt idx="30">
                  <c:v>2.8884878962629599</c:v>
                </c:pt>
                <c:pt idx="31">
                  <c:v>2.8029929464934118</c:v>
                </c:pt>
                <c:pt idx="32">
                  <c:v>3.0338668507272146</c:v>
                </c:pt>
                <c:pt idx="33">
                  <c:v>3.182933910572165</c:v>
                </c:pt>
                <c:pt idx="34">
                  <c:v>3.2404905523388083</c:v>
                </c:pt>
              </c:numCache>
            </c:numRef>
          </c:val>
          <c:extLst>
            <c:ext xmlns:c16="http://schemas.microsoft.com/office/drawing/2014/chart" uri="{C3380CC4-5D6E-409C-BE32-E72D297353CC}">
              <c16:uniqueId val="{00000001-BE7D-418A-89BD-FF61E67F5466}"/>
            </c:ext>
          </c:extLst>
        </c:ser>
        <c:dLbls>
          <c:showLegendKey val="0"/>
          <c:showVal val="0"/>
          <c:showCatName val="0"/>
          <c:showSerName val="0"/>
          <c:showPercent val="0"/>
          <c:showBubbleSize val="0"/>
        </c:dLbls>
        <c:gapWidth val="68"/>
        <c:axId val="38419456"/>
        <c:axId val="38438016"/>
      </c:barChart>
      <c:lineChart>
        <c:grouping val="standard"/>
        <c:varyColors val="0"/>
        <c:ser>
          <c:idx val="4"/>
          <c:order val="2"/>
          <c:tx>
            <c:strRef>
              <c:f>'Trh práce-2b'!$A$36</c:f>
              <c:strCache>
                <c:ptCount val="1"/>
                <c:pt idx="0">
                  <c:v>Ekon. neaktivní chtějící pracovat</c:v>
                </c:pt>
              </c:strCache>
            </c:strRef>
          </c:tx>
          <c:spPr>
            <a:ln w="19050">
              <a:solidFill>
                <a:schemeClr val="bg2">
                  <a:lumMod val="75000"/>
                </a:schemeClr>
              </a:solidFill>
              <a:prstDash val="sysDash"/>
            </a:ln>
          </c:spPr>
          <c:marker>
            <c:symbol val="none"/>
          </c:marker>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práce-2b'!$B$36:$AK$36</c:f>
              <c:numCache>
                <c:formatCode>0.0</c:formatCode>
                <c:ptCount val="36"/>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54.1</c:v>
                </c:pt>
                <c:pt idx="30">
                  <c:v>53.9</c:v>
                </c:pt>
                <c:pt idx="31">
                  <c:v>50</c:v>
                </c:pt>
                <c:pt idx="32">
                  <c:v>74</c:v>
                </c:pt>
                <c:pt idx="33">
                  <c:v>87.4</c:v>
                </c:pt>
                <c:pt idx="34">
                  <c:v>79.400000000000006</c:v>
                </c:pt>
              </c:numCache>
            </c:numRef>
          </c:val>
          <c:smooth val="0"/>
          <c:extLst>
            <c:ext xmlns:c16="http://schemas.microsoft.com/office/drawing/2014/chart" uri="{C3380CC4-5D6E-409C-BE32-E72D297353CC}">
              <c16:uniqueId val="{00000002-BE7D-418A-89BD-FF61E67F5466}"/>
            </c:ext>
          </c:extLst>
        </c:ser>
        <c:ser>
          <c:idx val="5"/>
          <c:order val="3"/>
          <c:tx>
            <c:strRef>
              <c:f>'Trh práce-2b'!$A$37</c:f>
              <c:strCache>
                <c:ptCount val="1"/>
                <c:pt idx="0">
                  <c:v>Očekávání vývoje nezaměstnanosti</c:v>
                </c:pt>
              </c:strCache>
            </c:strRef>
          </c:tx>
          <c:spPr>
            <a:ln w="19050">
              <a:solidFill>
                <a:schemeClr val="accent6">
                  <a:lumMod val="75000"/>
                </a:schemeClr>
              </a:solidFill>
              <a:prstDash val="dash"/>
            </a:ln>
          </c:spPr>
          <c:marker>
            <c:symbol val="none"/>
          </c:marker>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práce-2b'!$B$37:$AK$37</c:f>
              <c:numCache>
                <c:formatCode>0.0</c:formatCode>
                <c:ptCount val="36"/>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pt idx="34">
                  <c:v>25</c:v>
                </c:pt>
                <c:pt idx="35">
                  <c:v>17</c:v>
                </c:pt>
              </c:numCache>
            </c:numRef>
          </c:val>
          <c:smooth val="0"/>
          <c:extLst>
            <c:ext xmlns:c16="http://schemas.microsoft.com/office/drawing/2014/chart" uri="{C3380CC4-5D6E-409C-BE32-E72D297353CC}">
              <c16:uniqueId val="{00000003-BE7D-418A-89BD-FF61E67F5466}"/>
            </c:ext>
          </c:extLst>
        </c:ser>
        <c:ser>
          <c:idx val="6"/>
          <c:order val="4"/>
          <c:tx>
            <c:strRef>
              <c:f>'Trh práce-2b'!$A$38</c:f>
              <c:strCache>
                <c:ptCount val="1"/>
                <c:pt idx="0">
                  <c:v>VPM pro vyučené a SŠ bez mat.</c:v>
                </c:pt>
              </c:strCache>
            </c:strRef>
          </c:tx>
          <c:spPr>
            <a:ln>
              <a:noFill/>
            </a:ln>
          </c:spPr>
          <c:marker>
            <c:symbol val="circle"/>
            <c:size val="4"/>
            <c:spPr>
              <a:solidFill>
                <a:srgbClr val="8EB149"/>
              </a:solidFill>
              <a:ln>
                <a:noFill/>
              </a:ln>
            </c:spPr>
          </c:marker>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práce-2b'!$B$38:$AK$38</c:f>
              <c:numCache>
                <c:formatCode>0.0</c:formatCode>
                <c:ptCount val="36"/>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43.886999999999993</c:v>
                </c:pt>
                <c:pt idx="32">
                  <c:v>43.122000000000028</c:v>
                </c:pt>
                <c:pt idx="33">
                  <c:v>42.853999999999999</c:v>
                </c:pt>
                <c:pt idx="34">
                  <c:v>41.186</c:v>
                </c:pt>
              </c:numCache>
            </c:numRef>
          </c:val>
          <c:smooth val="0"/>
          <c:extLst>
            <c:ext xmlns:c16="http://schemas.microsoft.com/office/drawing/2014/chart" uri="{C3380CC4-5D6E-409C-BE32-E72D297353CC}">
              <c16:uniqueId val="{00000004-BE7D-418A-89BD-FF61E67F5466}"/>
            </c:ext>
          </c:extLst>
        </c:ser>
        <c:ser>
          <c:idx val="7"/>
          <c:order val="5"/>
          <c:tx>
            <c:strRef>
              <c:f>'Trh práce-2b'!$A$39</c:f>
              <c:strCache>
                <c:ptCount val="1"/>
                <c:pt idx="0">
                  <c:v>VPM pro SŠ s mat., VOŠ a VŠ</c:v>
                </c:pt>
              </c:strCache>
            </c:strRef>
          </c:tx>
          <c:spPr>
            <a:ln>
              <a:noFill/>
            </a:ln>
          </c:spPr>
          <c:marker>
            <c:symbol val="diamond"/>
            <c:size val="5"/>
            <c:spPr>
              <a:solidFill>
                <a:srgbClr val="00B050"/>
              </a:solidFill>
              <a:ln>
                <a:noFill/>
              </a:ln>
            </c:spPr>
          </c:marker>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práce-2b'!$B$39:$AK$39</c:f>
              <c:numCache>
                <c:formatCode>0.0</c:formatCode>
                <c:ptCount val="36"/>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34.300000000000004</c:v>
                </c:pt>
                <c:pt idx="13">
                  <c:v>38</c:v>
                </c:pt>
                <c:pt idx="14">
                  <c:v>37.200000000000003</c:v>
                </c:pt>
                <c:pt idx="15">
                  <c:v>36.6</c:v>
                </c:pt>
                <c:pt idx="16">
                  <c:v>37.300000000000004</c:v>
                </c:pt>
                <c:pt idx="17">
                  <c:v>38.300000000000004</c:v>
                </c:pt>
                <c:pt idx="18">
                  <c:v>38.6</c:v>
                </c:pt>
                <c:pt idx="19">
                  <c:v>36.300000000000004</c:v>
                </c:pt>
                <c:pt idx="20">
                  <c:v>37.700000000000003</c:v>
                </c:pt>
                <c:pt idx="21">
                  <c:v>38.1</c:v>
                </c:pt>
                <c:pt idx="22">
                  <c:v>34.4</c:v>
                </c:pt>
                <c:pt idx="23">
                  <c:v>34.1</c:v>
                </c:pt>
                <c:pt idx="24">
                  <c:v>36.300000000000004</c:v>
                </c:pt>
                <c:pt idx="25">
                  <c:v>39.6</c:v>
                </c:pt>
                <c:pt idx="26">
                  <c:v>40.300000000000004</c:v>
                </c:pt>
                <c:pt idx="27">
                  <c:v>39.200000000000003</c:v>
                </c:pt>
                <c:pt idx="28">
                  <c:v>42.5</c:v>
                </c:pt>
                <c:pt idx="29">
                  <c:v>41</c:v>
                </c:pt>
                <c:pt idx="30">
                  <c:v>38.5</c:v>
                </c:pt>
                <c:pt idx="31">
                  <c:v>36.56</c:v>
                </c:pt>
                <c:pt idx="32">
                  <c:v>37.613</c:v>
                </c:pt>
                <c:pt idx="33">
                  <c:v>38.130000000000003</c:v>
                </c:pt>
                <c:pt idx="34">
                  <c:v>36.289000000000001</c:v>
                </c:pt>
              </c:numCache>
            </c:numRef>
          </c:val>
          <c:smooth val="0"/>
          <c:extLst>
            <c:ext xmlns:c16="http://schemas.microsoft.com/office/drawing/2014/chart" uri="{C3380CC4-5D6E-409C-BE32-E72D297353CC}">
              <c16:uniqueId val="{00000005-BE7D-418A-89BD-FF61E67F5466}"/>
            </c:ext>
          </c:extLst>
        </c:ser>
        <c:dLbls>
          <c:showLegendKey val="0"/>
          <c:showVal val="0"/>
          <c:showCatName val="0"/>
          <c:showSerName val="0"/>
          <c:showPercent val="0"/>
          <c:showBubbleSize val="0"/>
        </c:dLbls>
        <c:marker val="1"/>
        <c:smooth val="0"/>
        <c:axId val="38442112"/>
        <c:axId val="38439936"/>
      </c:lineChart>
      <c:catAx>
        <c:axId val="38419456"/>
        <c:scaling>
          <c:orientation val="minMax"/>
        </c:scaling>
        <c:delete val="0"/>
        <c:axPos val="b"/>
        <c:numFmt formatCode="General" sourceLinked="0"/>
        <c:majorTickMark val="out"/>
        <c:minorTickMark val="none"/>
        <c:tickLblPos val="low"/>
        <c:spPr>
          <a:ln>
            <a:solidFill>
              <a:schemeClr val="tx1"/>
            </a:solidFill>
          </a:ln>
        </c:spPr>
        <c:crossAx val="38438016"/>
        <c:crossesAt val="-50"/>
        <c:auto val="1"/>
        <c:lblAlgn val="ctr"/>
        <c:lblOffset val="0"/>
        <c:noMultiLvlLbl val="0"/>
      </c:catAx>
      <c:valAx>
        <c:axId val="38438016"/>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38419456"/>
        <c:crosses val="autoZero"/>
        <c:crossBetween val="between"/>
        <c:majorUnit val="0.5"/>
      </c:valAx>
      <c:valAx>
        <c:axId val="38439936"/>
        <c:scaling>
          <c:orientation val="minMax"/>
          <c:max val="142"/>
          <c:min val="-10"/>
        </c:scaling>
        <c:delete val="0"/>
        <c:axPos val="r"/>
        <c:title>
          <c:tx>
            <c:rich>
              <a:bodyPr/>
              <a:lstStyle/>
              <a:p>
                <a:pPr>
                  <a:defRPr sz="700" b="0" i="1"/>
                </a:pPr>
                <a:r>
                  <a:rPr lang="cs-CZ" sz="700" b="0" i="1"/>
                  <a:t>Míra</a:t>
                </a:r>
                <a:r>
                  <a:rPr lang="cs-CZ" sz="700" b="0" i="1" baseline="0"/>
                  <a:t> ekonomické aktivity, e</a:t>
                </a:r>
                <a:r>
                  <a:rPr lang="cs-CZ" sz="700" b="0" i="1"/>
                  <a:t>kon. neaktivní, očekávání nezam.</a:t>
                </a:r>
              </a:p>
            </c:rich>
          </c:tx>
          <c:overlay val="0"/>
        </c:title>
        <c:numFmt formatCode="#,##0" sourceLinked="0"/>
        <c:majorTickMark val="out"/>
        <c:minorTickMark val="none"/>
        <c:tickLblPos val="nextTo"/>
        <c:crossAx val="38442112"/>
        <c:crosses val="max"/>
        <c:crossBetween val="between"/>
        <c:majorUnit val="10"/>
      </c:valAx>
      <c:catAx>
        <c:axId val="38442112"/>
        <c:scaling>
          <c:orientation val="minMax"/>
        </c:scaling>
        <c:delete val="1"/>
        <c:axPos val="b"/>
        <c:numFmt formatCode="General" sourceLinked="1"/>
        <c:majorTickMark val="out"/>
        <c:minorTickMark val="none"/>
        <c:tickLblPos val="none"/>
        <c:crossAx val="38439936"/>
        <c:crosses val="autoZero"/>
        <c:auto val="1"/>
        <c:lblAlgn val="ctr"/>
        <c:lblOffset val="100"/>
        <c:noMultiLvlLbl val="0"/>
      </c:catAx>
      <c:spPr>
        <a:ln>
          <a:solidFill>
            <a:schemeClr val="tx1"/>
          </a:solidFill>
        </a:ln>
      </c:spPr>
    </c:plotArea>
    <c:legend>
      <c:legendPos val="b"/>
      <c:layout>
        <c:manualLayout>
          <c:xMode val="edge"/>
          <c:yMode val="edge"/>
          <c:x val="7.7707750087519983E-2"/>
          <c:y val="0.86344941601778269"/>
          <c:w val="0.87725909810586822"/>
          <c:h val="0.12604380165618714"/>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25E-2"/>
          <c:y val="2.0203894786331146E-2"/>
          <c:w val="0.94100987714831774"/>
          <c:h val="0.7639520975056695"/>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3'!$D$29:$D$63</c:f>
              <c:numCache>
                <c:formatCode>#\ ##0.0</c:formatCode>
                <c:ptCount val="35"/>
                <c:pt idx="0">
                  <c:v>2.2000000000000042</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4.9000000000000083</c:v>
                </c:pt>
                <c:pt idx="10">
                  <c:v>4.0999999999999943</c:v>
                </c:pt>
                <c:pt idx="11">
                  <c:v>5.0999999999999943</c:v>
                </c:pt>
                <c:pt idx="12">
                  <c:v>6.5</c:v>
                </c:pt>
                <c:pt idx="13">
                  <c:v>6.2999999999999972</c:v>
                </c:pt>
                <c:pt idx="14">
                  <c:v>5.9000000000000083</c:v>
                </c:pt>
                <c:pt idx="15">
                  <c:v>4.9000000000000083</c:v>
                </c:pt>
                <c:pt idx="16">
                  <c:v>5.5</c:v>
                </c:pt>
                <c:pt idx="17">
                  <c:v>5.0999999999999943</c:v>
                </c:pt>
                <c:pt idx="18">
                  <c:v>4.7999999999999972</c:v>
                </c:pt>
                <c:pt idx="19">
                  <c:v>4.5</c:v>
                </c:pt>
                <c:pt idx="20">
                  <c:v>1.7999999999999956</c:v>
                </c:pt>
                <c:pt idx="21">
                  <c:v>-2.0999999999999943</c:v>
                </c:pt>
                <c:pt idx="22">
                  <c:v>2</c:v>
                </c:pt>
                <c:pt idx="23">
                  <c:v>4</c:v>
                </c:pt>
                <c:pt idx="24">
                  <c:v>0.7999999999999976</c:v>
                </c:pt>
                <c:pt idx="25">
                  <c:v>8.1000000000000014</c:v>
                </c:pt>
                <c:pt idx="26">
                  <c:v>1.2000000000000028</c:v>
                </c:pt>
                <c:pt idx="27">
                  <c:v>-2.0999999999999943</c:v>
                </c:pt>
                <c:pt idx="28">
                  <c:v>-4.5999999999999943</c:v>
                </c:pt>
                <c:pt idx="29">
                  <c:v>-10.700000000000003</c:v>
                </c:pt>
                <c:pt idx="30">
                  <c:v>-10.5</c:v>
                </c:pt>
                <c:pt idx="31">
                  <c:v>-7.9000000000000083</c:v>
                </c:pt>
                <c:pt idx="32">
                  <c:v>-6.5999999999999943</c:v>
                </c:pt>
                <c:pt idx="33">
                  <c:v>-2.7999999999999972</c:v>
                </c:pt>
                <c:pt idx="34">
                  <c:v>-0.7999999999999976</c:v>
                </c:pt>
              </c:numCache>
            </c:numRef>
          </c:val>
          <c:extLst>
            <c:ext xmlns:c16="http://schemas.microsoft.com/office/drawing/2014/chart" uri="{C3380CC4-5D6E-409C-BE32-E72D297353CC}">
              <c16:uniqueId val="{00000000-59F8-4536-9A6E-B53AC25CAAD5}"/>
            </c:ext>
          </c:extLst>
        </c:ser>
        <c:dLbls>
          <c:showLegendKey val="0"/>
          <c:showVal val="0"/>
          <c:showCatName val="0"/>
          <c:showSerName val="0"/>
          <c:showPercent val="0"/>
          <c:showBubbleSize val="0"/>
        </c:dLbls>
        <c:gapWidth val="37"/>
        <c:axId val="38464128"/>
        <c:axId val="38466304"/>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prstDash val="sysDash"/>
            </a:ln>
          </c:spPr>
          <c:marker>
            <c:symbol val="none"/>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3'!$C$29:$C$63</c:f>
              <c:numCache>
                <c:formatCode>#\ ##0.0</c:formatCode>
                <c:ptCount val="35"/>
                <c:pt idx="0">
                  <c:v>2.2999999999999972</c:v>
                </c:pt>
                <c:pt idx="1">
                  <c:v>3.2999999999999972</c:v>
                </c:pt>
                <c:pt idx="2">
                  <c:v>3.5</c:v>
                </c:pt>
                <c:pt idx="3">
                  <c:v>3.7000000000000042</c:v>
                </c:pt>
                <c:pt idx="4">
                  <c:v>4.7000000000000028</c:v>
                </c:pt>
                <c:pt idx="5">
                  <c:v>4</c:v>
                </c:pt>
                <c:pt idx="6">
                  <c:v>4.7000000000000028</c:v>
                </c:pt>
                <c:pt idx="7">
                  <c:v>4.4000000000000083</c:v>
                </c:pt>
                <c:pt idx="8">
                  <c:v>5.0999999999999943</c:v>
                </c:pt>
                <c:pt idx="9">
                  <c:v>7.2000000000000028</c:v>
                </c:pt>
                <c:pt idx="10">
                  <c:v>6.7000000000000028</c:v>
                </c:pt>
                <c:pt idx="11">
                  <c:v>7.7999999999999972</c:v>
                </c:pt>
                <c:pt idx="12">
                  <c:v>8.5</c:v>
                </c:pt>
                <c:pt idx="13">
                  <c:v>8.7000000000000011</c:v>
                </c:pt>
                <c:pt idx="14">
                  <c:v>8.4000000000000057</c:v>
                </c:pt>
                <c:pt idx="15">
                  <c:v>7.0999999999999943</c:v>
                </c:pt>
                <c:pt idx="16">
                  <c:v>8.3000000000000025</c:v>
                </c:pt>
                <c:pt idx="17">
                  <c:v>8</c:v>
                </c:pt>
                <c:pt idx="18">
                  <c:v>7.7000000000000028</c:v>
                </c:pt>
                <c:pt idx="19">
                  <c:v>7.5999999999999943</c:v>
                </c:pt>
                <c:pt idx="20">
                  <c:v>5.5</c:v>
                </c:pt>
                <c:pt idx="21">
                  <c:v>0.90000000000000568</c:v>
                </c:pt>
                <c:pt idx="22">
                  <c:v>5.4000000000000083</c:v>
                </c:pt>
                <c:pt idx="23">
                  <c:v>6.7000000000000028</c:v>
                </c:pt>
                <c:pt idx="24">
                  <c:v>3</c:v>
                </c:pt>
                <c:pt idx="25">
                  <c:v>11.200000000000003</c:v>
                </c:pt>
                <c:pt idx="26">
                  <c:v>5.2999999999999972</c:v>
                </c:pt>
                <c:pt idx="27">
                  <c:v>3.9000000000000057</c:v>
                </c:pt>
                <c:pt idx="28">
                  <c:v>6.0999999999999943</c:v>
                </c:pt>
                <c:pt idx="29">
                  <c:v>3.4000000000000057</c:v>
                </c:pt>
                <c:pt idx="30">
                  <c:v>5.2000000000000028</c:v>
                </c:pt>
                <c:pt idx="31">
                  <c:v>6.5999999999999943</c:v>
                </c:pt>
                <c:pt idx="32">
                  <c:v>8.7000000000000011</c:v>
                </c:pt>
                <c:pt idx="33">
                  <c:v>8</c:v>
                </c:pt>
                <c:pt idx="34" formatCode="0.0">
                  <c:v>7.0999999999999943</c:v>
                </c:pt>
              </c:numCache>
            </c:numRef>
          </c:val>
          <c:smooth val="0"/>
          <c:extLst>
            <c:ext xmlns:c16="http://schemas.microsoft.com/office/drawing/2014/chart" uri="{C3380CC4-5D6E-409C-BE32-E72D297353CC}">
              <c16:uniqueId val="{00000001-59F8-4536-9A6E-B53AC25CAAD5}"/>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3'!$E$29:$E$63</c:f>
              <c:numCache>
                <c:formatCode>#\ ##0.0</c:formatCode>
                <c:ptCount val="35"/>
                <c:pt idx="0">
                  <c:v>1.6381118189372055</c:v>
                </c:pt>
                <c:pt idx="1">
                  <c:v>2.6920877025738719</c:v>
                </c:pt>
                <c:pt idx="2">
                  <c:v>3.0100597296447633</c:v>
                </c:pt>
                <c:pt idx="3">
                  <c:v>2.9788308269320822</c:v>
                </c:pt>
                <c:pt idx="4">
                  <c:v>4.6482656596722052</c:v>
                </c:pt>
                <c:pt idx="5">
                  <c:v>3.9508373250157827</c:v>
                </c:pt>
                <c:pt idx="6">
                  <c:v>4.6540016784924143</c:v>
                </c:pt>
                <c:pt idx="7">
                  <c:v>3.8977412011906836</c:v>
                </c:pt>
                <c:pt idx="8">
                  <c:v>5.1746586808526489</c:v>
                </c:pt>
                <c:pt idx="9">
                  <c:v>8.0728701553848907</c:v>
                </c:pt>
                <c:pt idx="10">
                  <c:v>6.8272945979441602</c:v>
                </c:pt>
                <c:pt idx="11">
                  <c:v>7.0884454631252503</c:v>
                </c:pt>
                <c:pt idx="12">
                  <c:v>7.9018109790605555</c:v>
                </c:pt>
                <c:pt idx="13">
                  <c:v>8.1936869938853292</c:v>
                </c:pt>
                <c:pt idx="14">
                  <c:v>7.3566042242467775</c:v>
                </c:pt>
                <c:pt idx="15">
                  <c:v>7.6170092222467041</c:v>
                </c:pt>
                <c:pt idx="16">
                  <c:v>7.1985838851373387</c:v>
                </c:pt>
                <c:pt idx="17">
                  <c:v>7.0904869554591556</c:v>
                </c:pt>
                <c:pt idx="18">
                  <c:v>6.7539649747322095</c:v>
                </c:pt>
                <c:pt idx="19">
                  <c:v>5.6242870930946793</c:v>
                </c:pt>
                <c:pt idx="20">
                  <c:v>4.8529141948504808</c:v>
                </c:pt>
                <c:pt idx="21">
                  <c:v>-3.483097988874635</c:v>
                </c:pt>
                <c:pt idx="22">
                  <c:v>2.9564130046445007</c:v>
                </c:pt>
                <c:pt idx="23">
                  <c:v>4.0067563825663104</c:v>
                </c:pt>
                <c:pt idx="24">
                  <c:v>1.8985680538948344</c:v>
                </c:pt>
                <c:pt idx="25">
                  <c:v>10.170242950877807</c:v>
                </c:pt>
                <c:pt idx="26">
                  <c:v>4.7656227408114233</c:v>
                </c:pt>
                <c:pt idx="27">
                  <c:v>3.7112962913660401</c:v>
                </c:pt>
                <c:pt idx="28">
                  <c:v>5.6439610761304886</c:v>
                </c:pt>
                <c:pt idx="29">
                  <c:v>6.6425217974513684</c:v>
                </c:pt>
                <c:pt idx="30">
                  <c:v>6.4616743492781978</c:v>
                </c:pt>
                <c:pt idx="31">
                  <c:v>8.1350275959440452</c:v>
                </c:pt>
                <c:pt idx="32">
                  <c:v>10.489813610749914</c:v>
                </c:pt>
                <c:pt idx="33">
                  <c:v>9.5695705768408228</c:v>
                </c:pt>
                <c:pt idx="34">
                  <c:v>8.4158672543427642</c:v>
                </c:pt>
              </c:numCache>
            </c:numRef>
          </c:val>
          <c:smooth val="0"/>
          <c:extLst>
            <c:ext xmlns:c16="http://schemas.microsoft.com/office/drawing/2014/chart" uri="{C3380CC4-5D6E-409C-BE32-E72D297353CC}">
              <c16:uniqueId val="{00000002-59F8-4536-9A6E-B53AC25CAAD5}"/>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3'!$F$29:$F$63</c:f>
              <c:numCache>
                <c:formatCode>#\ ##0.0</c:formatCode>
                <c:ptCount val="35"/>
                <c:pt idx="0">
                  <c:v>3.1055099144049194</c:v>
                </c:pt>
                <c:pt idx="1">
                  <c:v>3.9141414141414117</c:v>
                </c:pt>
                <c:pt idx="2">
                  <c:v>3.949146815340427</c:v>
                </c:pt>
                <c:pt idx="3">
                  <c:v>5.7916298497871423</c:v>
                </c:pt>
                <c:pt idx="4">
                  <c:v>5.644320220266148</c:v>
                </c:pt>
                <c:pt idx="5">
                  <c:v>3.9570676387201189</c:v>
                </c:pt>
                <c:pt idx="6">
                  <c:v>4.9977652269310475</c:v>
                </c:pt>
                <c:pt idx="7">
                  <c:v>4.4950645406226224</c:v>
                </c:pt>
                <c:pt idx="8">
                  <c:v>5.6231243089559149</c:v>
                </c:pt>
                <c:pt idx="9">
                  <c:v>7.9284684614485474</c:v>
                </c:pt>
                <c:pt idx="10">
                  <c:v>7.6932007275260155</c:v>
                </c:pt>
                <c:pt idx="11">
                  <c:v>8.3926754832146457</c:v>
                </c:pt>
                <c:pt idx="12">
                  <c:v>7.2416629280693918</c:v>
                </c:pt>
                <c:pt idx="13">
                  <c:v>7.0392029456356981</c:v>
                </c:pt>
                <c:pt idx="14">
                  <c:v>6.8381903769449055</c:v>
                </c:pt>
                <c:pt idx="15">
                  <c:v>6.6970570490044938</c:v>
                </c:pt>
                <c:pt idx="16">
                  <c:v>9.5345999651385682</c:v>
                </c:pt>
                <c:pt idx="17">
                  <c:v>7.4227708080399255</c:v>
                </c:pt>
                <c:pt idx="18">
                  <c:v>8.1629221041302316</c:v>
                </c:pt>
                <c:pt idx="19">
                  <c:v>6.3018346318170408</c:v>
                </c:pt>
                <c:pt idx="20">
                  <c:v>6.3685550604710466</c:v>
                </c:pt>
                <c:pt idx="21">
                  <c:v>0.91357172008916621</c:v>
                </c:pt>
                <c:pt idx="22">
                  <c:v>4.7389533256631236</c:v>
                </c:pt>
                <c:pt idx="23">
                  <c:v>2.4469531296175813</c:v>
                </c:pt>
                <c:pt idx="24">
                  <c:v>2.2321294994165282</c:v>
                </c:pt>
                <c:pt idx="25">
                  <c:v>9.8898705823792898</c:v>
                </c:pt>
                <c:pt idx="26">
                  <c:v>6.6146127126443588</c:v>
                </c:pt>
                <c:pt idx="27">
                  <c:v>8.7059366526279387</c:v>
                </c:pt>
                <c:pt idx="28">
                  <c:v>7.0565165217900265</c:v>
                </c:pt>
                <c:pt idx="29">
                  <c:v>6.2565467259292831</c:v>
                </c:pt>
                <c:pt idx="30">
                  <c:v>4.2800256188911314</c:v>
                </c:pt>
                <c:pt idx="31">
                  <c:v>5.4850865088631622</c:v>
                </c:pt>
                <c:pt idx="32">
                  <c:v>9.1475750451090789</c:v>
                </c:pt>
                <c:pt idx="33">
                  <c:v>7.5187168624943403</c:v>
                </c:pt>
                <c:pt idx="34">
                  <c:v>6.7106387524033444</c:v>
                </c:pt>
              </c:numCache>
            </c:numRef>
          </c:val>
          <c:smooth val="0"/>
          <c:extLst>
            <c:ext xmlns:c16="http://schemas.microsoft.com/office/drawing/2014/chart" uri="{C3380CC4-5D6E-409C-BE32-E72D297353CC}">
              <c16:uniqueId val="{00000003-59F8-4536-9A6E-B53AC25CAAD5}"/>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3'!$G$29:$G$63</c:f>
              <c:numCache>
                <c:formatCode>#\ ##0.0</c:formatCode>
                <c:ptCount val="35"/>
                <c:pt idx="0">
                  <c:v>3.2925091204842665</c:v>
                </c:pt>
                <c:pt idx="1">
                  <c:v>4.3135889286729521</c:v>
                </c:pt>
                <c:pt idx="2">
                  <c:v>3.8145419077079783</c:v>
                </c:pt>
                <c:pt idx="3">
                  <c:v>3.6381766938736737</c:v>
                </c:pt>
                <c:pt idx="4">
                  <c:v>4.64178325585614</c:v>
                </c:pt>
                <c:pt idx="5">
                  <c:v>3.8061258933532089</c:v>
                </c:pt>
                <c:pt idx="6">
                  <c:v>4.852637470425389</c:v>
                </c:pt>
                <c:pt idx="7">
                  <c:v>6.1351981806606295</c:v>
                </c:pt>
                <c:pt idx="8">
                  <c:v>5.4566112929362163</c:v>
                </c:pt>
                <c:pt idx="9">
                  <c:v>7.3192456135909234</c:v>
                </c:pt>
                <c:pt idx="10">
                  <c:v>7.9981713137873953</c:v>
                </c:pt>
                <c:pt idx="11">
                  <c:v>10.484072576559427</c:v>
                </c:pt>
                <c:pt idx="12">
                  <c:v>12.179699393983407</c:v>
                </c:pt>
                <c:pt idx="13">
                  <c:v>11.892177332541117</c:v>
                </c:pt>
                <c:pt idx="14">
                  <c:v>11.36132632162867</c:v>
                </c:pt>
                <c:pt idx="15">
                  <c:v>6.1282038917470629</c:v>
                </c:pt>
                <c:pt idx="16">
                  <c:v>9.4162908795776108</c:v>
                </c:pt>
                <c:pt idx="17">
                  <c:v>9.3022383570098626</c:v>
                </c:pt>
                <c:pt idx="18">
                  <c:v>8.3925247282538464</c:v>
                </c:pt>
                <c:pt idx="19">
                  <c:v>11.041060141001232</c:v>
                </c:pt>
                <c:pt idx="20">
                  <c:v>5.2296117021426518</c:v>
                </c:pt>
                <c:pt idx="21">
                  <c:v>4.9937922145909539</c:v>
                </c:pt>
                <c:pt idx="22">
                  <c:v>8.8109946466096662</c:v>
                </c:pt>
                <c:pt idx="23">
                  <c:v>13.948630451066606</c:v>
                </c:pt>
                <c:pt idx="24">
                  <c:v>4.5485385483402707</c:v>
                </c:pt>
                <c:pt idx="25">
                  <c:v>17.78568407931499</c:v>
                </c:pt>
                <c:pt idx="26">
                  <c:v>5.4643357321226631</c:v>
                </c:pt>
                <c:pt idx="27">
                  <c:v>-0.40508430459891542</c:v>
                </c:pt>
                <c:pt idx="28">
                  <c:v>2.33727131313033</c:v>
                </c:pt>
                <c:pt idx="29">
                  <c:v>-7.0559031696263999</c:v>
                </c:pt>
                <c:pt idx="30">
                  <c:v>0.39584457842951826</c:v>
                </c:pt>
                <c:pt idx="31">
                  <c:v>3.340290814336754</c:v>
                </c:pt>
                <c:pt idx="32">
                  <c:v>7.4211877354067042</c:v>
                </c:pt>
                <c:pt idx="33">
                  <c:v>6.1734536063637684</c:v>
                </c:pt>
                <c:pt idx="34">
                  <c:v>5.9358057226847514</c:v>
                </c:pt>
              </c:numCache>
            </c:numRef>
          </c:val>
          <c:smooth val="0"/>
          <c:extLst>
            <c:ext xmlns:c16="http://schemas.microsoft.com/office/drawing/2014/chart" uri="{C3380CC4-5D6E-409C-BE32-E72D297353CC}">
              <c16:uniqueId val="{00000004-59F8-4536-9A6E-B53AC25CAAD5}"/>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3'!$H$29:$H$63</c:f>
              <c:numCache>
                <c:formatCode>#\ ##0.0</c:formatCode>
                <c:ptCount val="35"/>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4.9000000000000083</c:v>
                </c:pt>
                <c:pt idx="9">
                  <c:v>7.7000000000000028</c:v>
                </c:pt>
                <c:pt idx="10">
                  <c:v>7</c:v>
                </c:pt>
                <c:pt idx="11">
                  <c:v>8.9000000000000057</c:v>
                </c:pt>
                <c:pt idx="12">
                  <c:v>8.7000000000000011</c:v>
                </c:pt>
                <c:pt idx="13">
                  <c:v>9.7000000000000011</c:v>
                </c:pt>
                <c:pt idx="14">
                  <c:v>9.3000000000000025</c:v>
                </c:pt>
                <c:pt idx="15">
                  <c:v>6.7000000000000028</c:v>
                </c:pt>
                <c:pt idx="16">
                  <c:v>7.2000000000000028</c:v>
                </c:pt>
                <c:pt idx="17">
                  <c:v>6.4000000000000083</c:v>
                </c:pt>
                <c:pt idx="18">
                  <c:v>7.2999999999999972</c:v>
                </c:pt>
                <c:pt idx="19">
                  <c:v>6.4000000000000083</c:v>
                </c:pt>
                <c:pt idx="20">
                  <c:v>7</c:v>
                </c:pt>
                <c:pt idx="21">
                  <c:v>1.4000000000000057</c:v>
                </c:pt>
                <c:pt idx="22">
                  <c:v>6.7000000000000028</c:v>
                </c:pt>
                <c:pt idx="23">
                  <c:v>6.7000000000000028</c:v>
                </c:pt>
                <c:pt idx="24">
                  <c:v>2.2999999999999972</c:v>
                </c:pt>
                <c:pt idx="25">
                  <c:v>11.100000000000001</c:v>
                </c:pt>
                <c:pt idx="26">
                  <c:v>4.7000000000000028</c:v>
                </c:pt>
                <c:pt idx="27">
                  <c:v>4.5999999999999943</c:v>
                </c:pt>
                <c:pt idx="28">
                  <c:v>5</c:v>
                </c:pt>
                <c:pt idx="29">
                  <c:v>4.0999999999999943</c:v>
                </c:pt>
                <c:pt idx="30">
                  <c:v>5.5</c:v>
                </c:pt>
                <c:pt idx="31">
                  <c:v>7.4000000000000083</c:v>
                </c:pt>
                <c:pt idx="32">
                  <c:v>9</c:v>
                </c:pt>
                <c:pt idx="33">
                  <c:v>8.1000000000000014</c:v>
                </c:pt>
                <c:pt idx="34">
                  <c:v>7.0999999999999943</c:v>
                </c:pt>
              </c:numCache>
            </c:numRef>
          </c:val>
          <c:smooth val="0"/>
          <c:extLst>
            <c:ext xmlns:c16="http://schemas.microsoft.com/office/drawing/2014/chart" uri="{C3380CC4-5D6E-409C-BE32-E72D297353CC}">
              <c16:uniqueId val="{00000005-59F8-4536-9A6E-B53AC25CAAD5}"/>
            </c:ext>
          </c:extLst>
        </c:ser>
        <c:dLbls>
          <c:showLegendKey val="0"/>
          <c:showVal val="0"/>
          <c:showCatName val="0"/>
          <c:showSerName val="0"/>
          <c:showPercent val="0"/>
          <c:showBubbleSize val="0"/>
        </c:dLbls>
        <c:marker val="1"/>
        <c:smooth val="0"/>
        <c:axId val="38464128"/>
        <c:axId val="38466304"/>
      </c:lineChart>
      <c:catAx>
        <c:axId val="38464128"/>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38466304"/>
        <c:crosses val="autoZero"/>
        <c:auto val="1"/>
        <c:lblAlgn val="ctr"/>
        <c:lblOffset val="0"/>
        <c:tickMarkSkip val="4"/>
        <c:noMultiLvlLbl val="0"/>
      </c:catAx>
      <c:valAx>
        <c:axId val="38466304"/>
        <c:scaling>
          <c:orientation val="minMax"/>
          <c:max val="18"/>
          <c:min val="-12"/>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38464128"/>
        <c:crosses val="autoZero"/>
        <c:crossBetween val="between"/>
        <c:majorUnit val="2"/>
      </c:valAx>
      <c:spPr>
        <a:ln>
          <a:solidFill>
            <a:schemeClr val="tx1"/>
          </a:solidFill>
        </a:ln>
      </c:spPr>
    </c:plotArea>
    <c:legend>
      <c:legendPos val="b"/>
      <c:layout>
        <c:manualLayout>
          <c:xMode val="edge"/>
          <c:yMode val="edge"/>
          <c:x val="9.1292133366733495E-3"/>
          <c:y val="0.87578174603174652"/>
          <c:w val="0.97744446685490061"/>
          <c:h val="0.1134189342403627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5" ma:contentTypeDescription="Vytvoří nový dokument" ma:contentTypeScope="" ma:versionID="ba9ac22ffeb23664e7e881489bfb3a01">
  <xsd:schema xmlns:xsd="http://www.w3.org/2001/XMLSchema" xmlns:xs="http://www.w3.org/2001/XMLSchema" xmlns:p="http://schemas.microsoft.com/office/2006/metadata/properties" xmlns:ns2="eabc42bd-08fe-4a27-9645-04f6ad96d74a" xmlns:ns3="ea86e659-3cf4-4ff9-8d76-72c2490bfb13" targetNamespace="http://schemas.microsoft.com/office/2006/metadata/properties" ma:root="true" ma:fieldsID="452515690196c05a9ccc85c20d106231" ns2:_="" ns3:_="">
    <xsd:import namespace="eabc42bd-08fe-4a27-9645-04f6ad96d74a"/>
    <xsd:import namespace="ea86e659-3cf4-4ff9-8d76-72c2490bfb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6e659-3cf4-4ff9-8d76-72c2490bfb13"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7845-9EC0-4146-9549-15917829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ea86e659-3cf4-4ff9-8d76-72c2490bf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08574-8B23-4DC9-8934-441B141D65FE}">
  <ds:schemaRefs>
    <ds:schemaRef ds:uri="http://schemas.openxmlformats.org/officeDocument/2006/bibliography"/>
  </ds:schemaRefs>
</ds:datastoreItem>
</file>

<file path=customXml/itemProps5.xml><?xml version="1.0" encoding="utf-8"?>
<ds:datastoreItem xmlns:ds="http://schemas.openxmlformats.org/officeDocument/2006/customXml" ds:itemID="{BBD05FA7-EB0A-414B-9788-C7E97D4D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1</Pages>
  <Words>2483</Words>
  <Characters>14654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6</cp:revision>
  <cp:lastPrinted>2023-06-09T17:23:00Z</cp:lastPrinted>
  <dcterms:created xsi:type="dcterms:W3CDTF">2023-12-15T10:09:00Z</dcterms:created>
  <dcterms:modified xsi:type="dcterms:W3CDTF">2023-12-15T10:27:00Z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