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F8C2" w14:textId="77777777" w:rsidR="00EF1967" w:rsidRPr="00652444" w:rsidRDefault="00EF1967" w:rsidP="00EF1967">
      <w:pPr>
        <w:pStyle w:val="Nadpis11"/>
      </w:pPr>
      <w:bookmarkStart w:id="0" w:name="_Toc121993822"/>
      <w:bookmarkStart w:id="1" w:name="_Toc153531175"/>
      <w:bookmarkStart w:id="2" w:name="_Toc145318533"/>
      <w:bookmarkStart w:id="3" w:name="_Toc145318534"/>
      <w:r>
        <w:t>3. Výkonnost odvětví</w:t>
      </w:r>
      <w:bookmarkEnd w:id="1"/>
    </w:p>
    <w:p w14:paraId="0BAEE7EC" w14:textId="77777777" w:rsidR="00EF1967" w:rsidRPr="004E1DB2" w:rsidRDefault="00EF1967" w:rsidP="00EF1967">
      <w:pPr>
        <w:pStyle w:val="Nadpis11"/>
        <w:rPr>
          <w:b w:val="0"/>
          <w:sz w:val="2"/>
          <w:szCs w:val="2"/>
          <w:highlight w:val="yellow"/>
        </w:rPr>
      </w:pPr>
    </w:p>
    <w:p w14:paraId="5003FA1D" w14:textId="77777777" w:rsidR="00EF1967" w:rsidRPr="004E1DB2" w:rsidRDefault="00EF1967" w:rsidP="00EF1967">
      <w:pPr>
        <w:pStyle w:val="Nadpis11"/>
        <w:rPr>
          <w:b w:val="0"/>
          <w:sz w:val="2"/>
          <w:szCs w:val="2"/>
          <w:highlight w:val="yellow"/>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4"/>
        <w:gridCol w:w="229"/>
        <w:gridCol w:w="7596"/>
      </w:tblGrid>
      <w:tr w:rsidR="007D7F4F" w:rsidRPr="00316308" w14:paraId="1804DD5F" w14:textId="77777777" w:rsidTr="007D7F4F">
        <w:trPr>
          <w:trHeight w:val="145"/>
        </w:trPr>
        <w:tc>
          <w:tcPr>
            <w:tcW w:w="1814" w:type="dxa"/>
            <w:tcBorders>
              <w:top w:val="nil"/>
              <w:left w:val="nil"/>
              <w:bottom w:val="nil"/>
              <w:right w:val="nil"/>
            </w:tcBorders>
            <w:shd w:val="clear" w:color="auto" w:fill="auto"/>
            <w:tcMar>
              <w:left w:w="0" w:type="dxa"/>
            </w:tcMar>
          </w:tcPr>
          <w:bookmarkEnd w:id="2"/>
          <w:p w14:paraId="5283FBE1" w14:textId="77777777" w:rsidR="007D7F4F" w:rsidRDefault="007D7F4F" w:rsidP="007D7F4F">
            <w:pPr>
              <w:pStyle w:val="Marginlie"/>
            </w:pPr>
            <w:r>
              <w:t>Hrubá přidaná hodnota během 2 i 3. čtvrtletí klesla. Výkon ekonomiky nedosáhl úrovně z roku 2019.</w:t>
            </w:r>
          </w:p>
          <w:p w14:paraId="2C62D9AE" w14:textId="77777777" w:rsidR="007D7F4F" w:rsidRDefault="007D7F4F" w:rsidP="007D7F4F">
            <w:pPr>
              <w:pStyle w:val="Marginlie"/>
            </w:pPr>
          </w:p>
          <w:p w14:paraId="6745B41C" w14:textId="77777777" w:rsidR="007D7F4F" w:rsidRDefault="007D7F4F" w:rsidP="007D7F4F">
            <w:pPr>
              <w:pStyle w:val="Marginlie"/>
            </w:pPr>
          </w:p>
          <w:p w14:paraId="781B9672" w14:textId="77777777" w:rsidR="007D7F4F" w:rsidRDefault="007D7F4F" w:rsidP="007D7F4F">
            <w:pPr>
              <w:pStyle w:val="Marginlie"/>
            </w:pPr>
          </w:p>
          <w:p w14:paraId="5567926B" w14:textId="77777777" w:rsidR="007D7F4F" w:rsidRDefault="007D7F4F" w:rsidP="007D7F4F">
            <w:pPr>
              <w:pStyle w:val="Marginlie"/>
            </w:pPr>
          </w:p>
          <w:p w14:paraId="0168E838" w14:textId="77777777" w:rsidR="007D7F4F" w:rsidRDefault="007D7F4F" w:rsidP="007D7F4F">
            <w:pPr>
              <w:pStyle w:val="Marginlie"/>
            </w:pPr>
            <w:r>
              <w:t xml:space="preserve">K meziročnímu růstu HPH za tři čtvrtletí přispěl nejvíce zpracovatelský průmysl a oblast IT, opačně působil hlavně propad výkonu těžby </w:t>
            </w:r>
            <w:r>
              <w:br/>
              <w:t>a energetiky.</w:t>
            </w:r>
          </w:p>
          <w:p w14:paraId="30A15B8D" w14:textId="77777777" w:rsidR="007D7F4F" w:rsidRDefault="007D7F4F" w:rsidP="007D7F4F">
            <w:pPr>
              <w:pStyle w:val="Marginlie"/>
            </w:pPr>
          </w:p>
          <w:p w14:paraId="3941F456" w14:textId="77777777" w:rsidR="007D7F4F" w:rsidRDefault="007D7F4F" w:rsidP="007D7F4F">
            <w:pPr>
              <w:pStyle w:val="Marginlie"/>
            </w:pPr>
          </w:p>
          <w:p w14:paraId="32474A7E" w14:textId="77777777" w:rsidR="007D7F4F" w:rsidRDefault="007D7F4F" w:rsidP="007D7F4F">
            <w:pPr>
              <w:pStyle w:val="Marginlie"/>
            </w:pPr>
          </w:p>
          <w:p w14:paraId="74018B41" w14:textId="77777777" w:rsidR="007D7F4F" w:rsidRDefault="007D7F4F" w:rsidP="007D7F4F">
            <w:pPr>
              <w:pStyle w:val="Marginlie"/>
            </w:pPr>
          </w:p>
          <w:p w14:paraId="7A482163" w14:textId="77777777" w:rsidR="007D7F4F" w:rsidRDefault="007D7F4F" w:rsidP="007D7F4F">
            <w:pPr>
              <w:pStyle w:val="Marginlie"/>
            </w:pPr>
            <w:r>
              <w:t>I přes meziroční pokles sklizně většiny hlavních zemědělských plodin lze letošní úrodu celkově hodnotit jako dobrou.</w:t>
            </w:r>
          </w:p>
          <w:p w14:paraId="3C35DF02" w14:textId="77777777" w:rsidR="007D7F4F" w:rsidRDefault="007D7F4F" w:rsidP="007D7F4F">
            <w:pPr>
              <w:pStyle w:val="Marginlie"/>
            </w:pPr>
          </w:p>
        </w:tc>
        <w:tc>
          <w:tcPr>
            <w:tcW w:w="229" w:type="dxa"/>
            <w:tcBorders>
              <w:top w:val="nil"/>
              <w:left w:val="nil"/>
              <w:bottom w:val="nil"/>
              <w:right w:val="nil"/>
            </w:tcBorders>
            <w:shd w:val="clear" w:color="auto" w:fill="auto"/>
            <w:tcMar>
              <w:left w:w="0" w:type="dxa"/>
            </w:tcMar>
          </w:tcPr>
          <w:p w14:paraId="79B915EE" w14:textId="77777777" w:rsidR="007D7F4F" w:rsidRPr="001E6441" w:rsidRDefault="007D7F4F" w:rsidP="007D7F4F">
            <w:pPr>
              <w:pStyle w:val="Textpoznpodarou"/>
              <w:jc w:val="both"/>
              <w:rPr>
                <w:spacing w:val="-5"/>
              </w:rPr>
            </w:pPr>
          </w:p>
        </w:tc>
        <w:tc>
          <w:tcPr>
            <w:tcW w:w="7596" w:type="dxa"/>
            <w:tcBorders>
              <w:top w:val="nil"/>
              <w:left w:val="nil"/>
              <w:bottom w:val="nil"/>
              <w:right w:val="nil"/>
            </w:tcBorders>
            <w:shd w:val="clear" w:color="auto" w:fill="auto"/>
            <w:tcMar>
              <w:left w:w="0" w:type="dxa"/>
            </w:tcMar>
          </w:tcPr>
          <w:p w14:paraId="4C8B533B" w14:textId="2F8E62C7" w:rsidR="007D7F4F" w:rsidRPr="001E6441" w:rsidRDefault="007D7F4F" w:rsidP="007D7F4F">
            <w:pPr>
              <w:spacing w:after="200"/>
              <w:rPr>
                <w:bCs/>
                <w:spacing w:val="-5"/>
              </w:rPr>
            </w:pPr>
            <w:r w:rsidRPr="001E6441">
              <w:rPr>
                <w:spacing w:val="-5"/>
              </w:rPr>
              <w:t xml:space="preserve">Údaje z nabídkové strany ekonomiky naznačují, že i během dosavadní části letošního roku balancovalo tuzemské hospodářství na hraně recese. Zatímco na jeho počátku celková </w:t>
            </w:r>
            <w:r w:rsidRPr="001E6441">
              <w:rPr>
                <w:bCs/>
                <w:spacing w:val="-5"/>
              </w:rPr>
              <w:t>hrubá přidaná hodnota (HPH)</w:t>
            </w:r>
            <w:r w:rsidRPr="001E6441">
              <w:rPr>
                <w:rStyle w:val="Znakapoznpodarou"/>
                <w:color w:val="0D0D0D" w:themeColor="text1" w:themeTint="F2"/>
                <w:spacing w:val="-5"/>
              </w:rPr>
              <w:footnoteReference w:id="1"/>
            </w:r>
            <w:r w:rsidRPr="001E6441">
              <w:rPr>
                <w:bCs/>
                <w:spacing w:val="-5"/>
              </w:rPr>
              <w:t xml:space="preserve"> díky většině služeb i stavebnictví mezikvartálně mírně rostla (+0,5 %), během 2. i 3. čtvrtletí se shodně snížila o 0,4 %. Projevil se zde pokles výkonu zpracovatelského průmyslu i uskupení obchod, doprava, ubytování a pohostinství. Celková HPH tak ve 3. čtvrtletí stále o 1 % zaostávala za vrcholem z předpandemické konjunktury z roku 2019. Za 1. až 3. čtvrtletí HPH stále mírně rostla (+0,4 %), k čemuž přispěl nejvíce zpracovatelský průmysl (+0,5 p. b.), který profitoval z dobrých výsledků výroby dopravních prostředků. V rámci služeb podpořila vývoj HPH většina hlavních odvětví – hlavně informační a komunikační činnosti (+0,5 p. b.) a veřejné služby</w:t>
            </w:r>
            <w:r w:rsidRPr="001E6441">
              <w:rPr>
                <w:rStyle w:val="Znakapoznpodarou"/>
                <w:bCs/>
                <w:spacing w:val="-5"/>
              </w:rPr>
              <w:footnoteReference w:id="2"/>
            </w:r>
            <w:r w:rsidRPr="001E6441">
              <w:rPr>
                <w:bCs/>
                <w:spacing w:val="-5"/>
              </w:rPr>
              <w:t xml:space="preserve"> (+0,2 p. b.). Přetrvávající útlum spotřeby domácností vyústil v pokles HPH v uskupení obchod, doprava, ubytování a pohostinství (o 1,4 %), jenž nastal poprvé po třech letech. Výrazně se letos snížil výkon ve stavebnictví (−2,7 %), za úrovní HPH z roku 2019 zaostal o pětinu. Růst HPH v ekonomice byl ovšem nejvíce tlumen pokračujícím propadem výkonu těžby a energetiky (příspěvek −0,5 p. b., při útlumu odvětví o 20 %). V primárním sektoru pokra</w:t>
            </w:r>
            <w:r w:rsidR="001E6441">
              <w:rPr>
                <w:bCs/>
                <w:spacing w:val="-5"/>
              </w:rPr>
              <w:t>čoval pokles HPH (−2,0</w:t>
            </w:r>
            <w:r w:rsidR="001E6441" w:rsidRPr="001E6441">
              <w:rPr>
                <w:bCs/>
                <w:spacing w:val="-5"/>
              </w:rPr>
              <w:t> </w:t>
            </w:r>
            <w:r w:rsidRPr="001E6441">
              <w:rPr>
                <w:bCs/>
                <w:spacing w:val="-5"/>
              </w:rPr>
              <w:t xml:space="preserve">%), byl však mírnější než v letech 2021 a 2022, kdy celý sektor zásadně ovlivnila rychle </w:t>
            </w:r>
            <w:r w:rsidR="00143EED">
              <w:rPr>
                <w:spacing w:val="-5"/>
              </w:rPr>
              <w:t xml:space="preserve">klesající </w:t>
            </w:r>
            <w:r w:rsidRPr="001E6441">
              <w:rPr>
                <w:spacing w:val="-5"/>
              </w:rPr>
              <w:t>těžba dřeva. V samotném zemědělství pokračoval druhým rokem v řadě pokles výroby masa, naopak dlouhodobý trend posilování výroby mléka přetrval</w:t>
            </w:r>
            <w:r w:rsidRPr="001E6441">
              <w:rPr>
                <w:rStyle w:val="Znakapoznpodarou"/>
                <w:spacing w:val="-5"/>
              </w:rPr>
              <w:footnoteReference w:id="3"/>
            </w:r>
            <w:r w:rsidRPr="001E6441">
              <w:rPr>
                <w:spacing w:val="-5"/>
              </w:rPr>
              <w:t>. U většiny hlavních plodin došlo sice k meziročnímu poklesu úrody</w:t>
            </w:r>
            <w:r w:rsidRPr="001E6441">
              <w:rPr>
                <w:rStyle w:val="Znakapoznpodarou"/>
                <w:spacing w:val="-5"/>
              </w:rPr>
              <w:footnoteReference w:id="4"/>
            </w:r>
            <w:r w:rsidRPr="001E6441">
              <w:rPr>
                <w:spacing w:val="-5"/>
              </w:rPr>
              <w:t>, i tak lze letošní sklizeň považovat za dobrou (u některých obilovin či olejnin dokonce za nadprůměrnou).</w:t>
            </w:r>
          </w:p>
        </w:tc>
      </w:tr>
      <w:tr w:rsidR="007D7F4F" w:rsidRPr="003D1D6D" w14:paraId="2DC63EF0" w14:textId="77777777" w:rsidTr="007D7F4F">
        <w:trPr>
          <w:trHeight w:val="145"/>
        </w:trPr>
        <w:tc>
          <w:tcPr>
            <w:tcW w:w="1814" w:type="dxa"/>
            <w:tcBorders>
              <w:top w:val="nil"/>
              <w:left w:val="nil"/>
              <w:bottom w:val="nil"/>
              <w:right w:val="nil"/>
            </w:tcBorders>
            <w:shd w:val="clear" w:color="auto" w:fill="auto"/>
            <w:tcMar>
              <w:left w:w="0" w:type="dxa"/>
            </w:tcMar>
          </w:tcPr>
          <w:p w14:paraId="0DAD3E50" w14:textId="77777777" w:rsidR="007D7F4F" w:rsidRDefault="007D7F4F" w:rsidP="007D7F4F">
            <w:pPr>
              <w:pStyle w:val="Marginlie"/>
              <w:rPr>
                <w:color w:val="0D0D0D" w:themeColor="text1" w:themeTint="F2"/>
                <w:spacing w:val="-4"/>
              </w:rPr>
            </w:pPr>
            <w:r>
              <w:rPr>
                <w:color w:val="0D0D0D" w:themeColor="text1" w:themeTint="F2"/>
                <w:spacing w:val="-4"/>
              </w:rPr>
              <w:t>Mezikvartální oživení průmyslu ve 2. čtvrtletí 2023 bylo dočasné. Následně došlo k plošnému útlumu produkce.</w:t>
            </w:r>
          </w:p>
        </w:tc>
        <w:tc>
          <w:tcPr>
            <w:tcW w:w="229" w:type="dxa"/>
            <w:tcBorders>
              <w:top w:val="nil"/>
              <w:left w:val="nil"/>
              <w:bottom w:val="nil"/>
              <w:right w:val="nil"/>
            </w:tcBorders>
            <w:shd w:val="clear" w:color="auto" w:fill="auto"/>
            <w:tcMar>
              <w:left w:w="0" w:type="dxa"/>
            </w:tcMar>
          </w:tcPr>
          <w:p w14:paraId="4A3C2A66" w14:textId="77777777" w:rsidR="007D7F4F" w:rsidRPr="001E6441" w:rsidRDefault="007D7F4F" w:rsidP="007D7F4F">
            <w:pPr>
              <w:pStyle w:val="Textpoznpodarou"/>
              <w:jc w:val="both"/>
              <w:rPr>
                <w:spacing w:val="-5"/>
              </w:rPr>
            </w:pPr>
          </w:p>
        </w:tc>
        <w:tc>
          <w:tcPr>
            <w:tcW w:w="7596" w:type="dxa"/>
            <w:tcBorders>
              <w:top w:val="nil"/>
              <w:left w:val="nil"/>
              <w:bottom w:val="nil"/>
              <w:right w:val="nil"/>
            </w:tcBorders>
            <w:shd w:val="clear" w:color="auto" w:fill="auto"/>
            <w:tcMar>
              <w:left w:w="0" w:type="dxa"/>
            </w:tcMar>
          </w:tcPr>
          <w:p w14:paraId="013372C2" w14:textId="77777777" w:rsidR="007D7F4F" w:rsidRPr="001E6441" w:rsidRDefault="007D7F4F" w:rsidP="007D7F4F">
            <w:pPr>
              <w:spacing w:after="0"/>
              <w:rPr>
                <w:color w:val="0D0D0D" w:themeColor="text1" w:themeTint="F2"/>
                <w:spacing w:val="-5"/>
              </w:rPr>
            </w:pPr>
            <w:r w:rsidRPr="001E6441">
              <w:rPr>
                <w:color w:val="0D0D0D" w:themeColor="text1" w:themeTint="F2"/>
                <w:spacing w:val="-5"/>
              </w:rPr>
              <w:t>Průmysl letos prochází fází cyklického útlumu, jehož počátek lze vystopovat již v polovině roku 2022. Sílící nákladové tlaky spojené s prudkým růstem cen energií a</w:t>
            </w:r>
            <w:r w:rsidRPr="001E6441">
              <w:rPr>
                <w:spacing w:val="-5"/>
              </w:rPr>
              <w:t> </w:t>
            </w:r>
            <w:r w:rsidRPr="001E6441">
              <w:rPr>
                <w:color w:val="0D0D0D" w:themeColor="text1" w:themeTint="F2"/>
                <w:spacing w:val="-5"/>
              </w:rPr>
              <w:t>dalších vstupů (i nejistoty ohledně jejich vývoje) byly umocněny slábnoucí poptávkou v klíčových exportních teritoriích doprovázených nepříznivým vývojem spotřeby domácností i soukromé investiční aktivity. To mělo dopad zejména na energeticky náročné průmyslové obory. Situaci dočasně zlepšovalo oživení v automobilovém průmyslu, který postupně finalizoval větší objem zakázek nahromaděných z období, kdy plynulost výroby vázla kvůli narušeným dodavatelským řetězcům. V letošním 2. čtvrtletí se dokonce mezikvartální růst průmyslové produkce</w:t>
            </w:r>
            <w:r w:rsidRPr="001E6441">
              <w:rPr>
                <w:rStyle w:val="Znakapoznpodarou"/>
                <w:color w:val="0D0D0D" w:themeColor="text1" w:themeTint="F2"/>
                <w:spacing w:val="-5"/>
              </w:rPr>
              <w:footnoteReference w:id="5"/>
            </w:r>
            <w:r w:rsidRPr="001E6441">
              <w:rPr>
                <w:color w:val="0D0D0D" w:themeColor="text1" w:themeTint="F2"/>
                <w:spacing w:val="-5"/>
              </w:rPr>
              <w:t xml:space="preserve"> krátkodobě obnovil (+0,8 %). Ovšem slabý výkon průmyslu v září se odrazil na celém 3. čtvrtletí, během nějž se produkce snížila – nejvíce za poslední dva roky (−2,3 %). Na tom se podílela především výroba dopravních prostředků, k útlumu ovšem došlo téměř ve všech zpracovatelských oborech. Aktuální objem produkce celého průmyslu tak opět klesl pod úroveň dosaženou na vrcholu poslední konjunktury (v</w:t>
            </w:r>
            <w:r w:rsidRPr="001E6441">
              <w:rPr>
                <w:spacing w:val="-5"/>
              </w:rPr>
              <w:t> </w:t>
            </w:r>
            <w:r w:rsidRPr="001E6441">
              <w:rPr>
                <w:color w:val="0D0D0D" w:themeColor="text1" w:themeTint="F2"/>
                <w:spacing w:val="-5"/>
              </w:rPr>
              <w:t>závěru minulé dekády).</w:t>
            </w:r>
          </w:p>
        </w:tc>
      </w:tr>
      <w:tr w:rsidR="007D7F4F" w:rsidRPr="003D1D6D" w14:paraId="30464C03" w14:textId="77777777" w:rsidTr="007D7F4F">
        <w:trPr>
          <w:trHeight w:val="145"/>
        </w:trPr>
        <w:tc>
          <w:tcPr>
            <w:tcW w:w="1814" w:type="dxa"/>
            <w:tcBorders>
              <w:top w:val="nil"/>
              <w:left w:val="nil"/>
              <w:bottom w:val="nil"/>
              <w:right w:val="nil"/>
            </w:tcBorders>
            <w:shd w:val="clear" w:color="auto" w:fill="auto"/>
            <w:tcMar>
              <w:left w:w="0" w:type="dxa"/>
            </w:tcMar>
          </w:tcPr>
          <w:p w14:paraId="29695B73" w14:textId="77777777" w:rsidR="007D7F4F" w:rsidRDefault="007D7F4F" w:rsidP="007D7F4F">
            <w:pPr>
              <w:pStyle w:val="Marginlie"/>
              <w:rPr>
                <w:color w:val="0D0D0D" w:themeColor="text1" w:themeTint="F2"/>
                <w:spacing w:val="-4"/>
              </w:rPr>
            </w:pPr>
            <w:r>
              <w:rPr>
                <w:color w:val="0D0D0D" w:themeColor="text1" w:themeTint="F2"/>
                <w:spacing w:val="-4"/>
              </w:rPr>
              <w:lastRenderedPageBreak/>
              <w:t>V 1. pololetí udržovaly mírný meziroční růst produkce v průmyslu zejména investičně náročné obory. Ve 3. kvartálu se však výkon průmyslu znatelně snížil.</w:t>
            </w:r>
          </w:p>
          <w:p w14:paraId="49E61D16" w14:textId="77777777" w:rsidR="007D7F4F" w:rsidRDefault="007D7F4F" w:rsidP="007D7F4F">
            <w:pPr>
              <w:pStyle w:val="Marginlie"/>
              <w:rPr>
                <w:color w:val="0D0D0D" w:themeColor="text1" w:themeTint="F2"/>
                <w:spacing w:val="-4"/>
              </w:rPr>
            </w:pPr>
          </w:p>
          <w:p w14:paraId="1BF6B012" w14:textId="77777777" w:rsidR="007D7F4F" w:rsidRDefault="007D7F4F" w:rsidP="007D7F4F">
            <w:pPr>
              <w:pStyle w:val="Marginlie"/>
              <w:rPr>
                <w:color w:val="0D0D0D" w:themeColor="text1" w:themeTint="F2"/>
                <w:spacing w:val="-4"/>
              </w:rPr>
            </w:pPr>
          </w:p>
          <w:p w14:paraId="61CD60E1" w14:textId="77777777" w:rsidR="007D7F4F" w:rsidRDefault="007D7F4F" w:rsidP="007D7F4F">
            <w:pPr>
              <w:pStyle w:val="Marginlie"/>
              <w:rPr>
                <w:color w:val="0D0D0D" w:themeColor="text1" w:themeTint="F2"/>
                <w:spacing w:val="-4"/>
              </w:rPr>
            </w:pPr>
          </w:p>
          <w:p w14:paraId="1F0A7660" w14:textId="77777777" w:rsidR="007D7F4F" w:rsidRDefault="007D7F4F" w:rsidP="007D7F4F">
            <w:pPr>
              <w:pStyle w:val="Marginlie"/>
              <w:rPr>
                <w:color w:val="0D0D0D" w:themeColor="text1" w:themeTint="F2"/>
                <w:spacing w:val="-4"/>
              </w:rPr>
            </w:pPr>
            <w:r>
              <w:rPr>
                <w:color w:val="0D0D0D" w:themeColor="text1" w:themeTint="F2"/>
                <w:spacing w:val="-4"/>
              </w:rPr>
              <w:t>Za nižší produkcí v průmyslu stála hlavně energetika. Pokles spotřeby elektřiny, plynu a tepla v podnicích i domácnostech pokračoval.</w:t>
            </w:r>
          </w:p>
          <w:p w14:paraId="6F6C0428" w14:textId="77777777" w:rsidR="007D7F4F" w:rsidRDefault="007D7F4F" w:rsidP="007D7F4F">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1DE87715"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A2D208A" w14:textId="77777777" w:rsidR="007D7F4F" w:rsidRPr="005E6936" w:rsidRDefault="007D7F4F" w:rsidP="007D7F4F">
            <w:pPr>
              <w:spacing w:after="180"/>
              <w:rPr>
                <w:color w:val="0D0D0D" w:themeColor="text1" w:themeTint="F2"/>
                <w:spacing w:val="-6"/>
              </w:rPr>
            </w:pPr>
            <w:r w:rsidRPr="005E6936">
              <w:rPr>
                <w:color w:val="0D0D0D" w:themeColor="text1" w:themeTint="F2"/>
                <w:spacing w:val="-6"/>
              </w:rPr>
              <w:t>Nepříznivý vývoj produkce celého odvětví je letos zřejmý i v meziročním srovnání. Zatímco v 1. i 2. čtvrtletí si průmysl udržel velmi mírný růst (okolo 1 %), v následujícím kvartálu se jeho výkon snížil o 3,5 % (a docílil tak nejslabšího tempa od nucených přerušení výroby v období na počátku pandemie ve 2. čtvrtletí 2020). Významný vliv zde měl fakt, že k vývoji průmyslu přestaly pozitivně přispívat některé významné investičně náročné obory (strojírenství, výroba počítačů, elektronických a optických přístrojů), i to, že během léta citelně zvolnil meziroční růst ve výrobě motorových vozidel i v návazném oboru elektrotechniky. Za 1. až 3. čtvrtletí 2023 průmyslová produkce nepatrně klesla (−0,4 %), především vlivem útlumu v energetice (příspěvek −1,2 p. b, při propadu odvětví o 12,3 %). Za nižší výrobou elektřiny stál z drtivé části hlubší útlum u parních (−21,6 %) a paroplynových elektráren (−8,4 %), velmi mírně se snížila i produkce jaderných elektráren (−0,7 %). Vedle pravidelných odstávek výrobních zařízení souvisel výkon celé energetiky s očekávaným poklesem tuzemské poptávky</w:t>
            </w:r>
            <w:r w:rsidRPr="005E6936">
              <w:rPr>
                <w:rStyle w:val="Znakapoznpodarou"/>
                <w:color w:val="0D0D0D" w:themeColor="text1" w:themeTint="F2"/>
                <w:spacing w:val="-6"/>
              </w:rPr>
              <w:footnoteReference w:id="6"/>
            </w:r>
            <w:r w:rsidRPr="005E6936">
              <w:rPr>
                <w:color w:val="0D0D0D" w:themeColor="text1" w:themeTint="F2"/>
                <w:spacing w:val="-6"/>
              </w:rPr>
              <w:t>. V ní se projevily dopady opatření směřující k úsporám spotřeby elektřiny, zemního plynu i tepla na straně domácností i firem, nižší poptávka po energiích v podnicích vlivem poklesu výrobní činnosti, ale i příznivé klimatické podmínky</w:t>
            </w:r>
            <w:r w:rsidRPr="005E6936">
              <w:rPr>
                <w:rStyle w:val="Znakapoznpodarou"/>
                <w:color w:val="0D0D0D" w:themeColor="text1" w:themeTint="F2"/>
                <w:spacing w:val="-6"/>
              </w:rPr>
              <w:footnoteReference w:id="7"/>
            </w:r>
            <w:r w:rsidRPr="005E6936">
              <w:rPr>
                <w:color w:val="0D0D0D" w:themeColor="text1" w:themeTint="F2"/>
                <w:spacing w:val="-6"/>
              </w:rPr>
              <w:t>.</w:t>
            </w:r>
          </w:p>
        </w:tc>
      </w:tr>
      <w:tr w:rsidR="007D7F4F" w:rsidRPr="003D1D6D" w14:paraId="4F00D26A" w14:textId="77777777" w:rsidTr="007D7F4F">
        <w:trPr>
          <w:trHeight w:val="145"/>
        </w:trPr>
        <w:tc>
          <w:tcPr>
            <w:tcW w:w="1814" w:type="dxa"/>
            <w:tcBorders>
              <w:top w:val="nil"/>
              <w:left w:val="nil"/>
              <w:bottom w:val="nil"/>
              <w:right w:val="nil"/>
            </w:tcBorders>
            <w:shd w:val="clear" w:color="auto" w:fill="auto"/>
            <w:tcMar>
              <w:left w:w="0" w:type="dxa"/>
            </w:tcMar>
          </w:tcPr>
          <w:p w14:paraId="13DEEEED" w14:textId="77777777" w:rsidR="007D7F4F" w:rsidRDefault="007D7F4F" w:rsidP="007D7F4F">
            <w:pPr>
              <w:pStyle w:val="Marginlie"/>
              <w:rPr>
                <w:color w:val="0D0D0D" w:themeColor="text1" w:themeTint="F2"/>
                <w:spacing w:val="-4"/>
              </w:rPr>
            </w:pPr>
            <w:r>
              <w:rPr>
                <w:color w:val="0D0D0D" w:themeColor="text1" w:themeTint="F2"/>
                <w:spacing w:val="-4"/>
              </w:rPr>
              <w:t>Energeticky vysoce náročné obory se stále potýkaly se sníženou poptávkou i vysokými výrobními náklady.</w:t>
            </w:r>
          </w:p>
          <w:p w14:paraId="6A80B9C9" w14:textId="77777777" w:rsidR="007D7F4F" w:rsidRDefault="007D7F4F" w:rsidP="007D7F4F">
            <w:pPr>
              <w:pStyle w:val="Marginlie"/>
              <w:rPr>
                <w:color w:val="0D0D0D" w:themeColor="text1" w:themeTint="F2"/>
                <w:spacing w:val="-4"/>
              </w:rPr>
            </w:pPr>
          </w:p>
          <w:p w14:paraId="67643CFE" w14:textId="77777777" w:rsidR="007D7F4F" w:rsidRDefault="007D7F4F" w:rsidP="007D7F4F">
            <w:pPr>
              <w:pStyle w:val="Marginlie"/>
              <w:rPr>
                <w:color w:val="0D0D0D" w:themeColor="text1" w:themeTint="F2"/>
                <w:spacing w:val="-4"/>
              </w:rPr>
            </w:pPr>
          </w:p>
          <w:p w14:paraId="0B84C879" w14:textId="77777777" w:rsidR="007D7F4F" w:rsidRDefault="007D7F4F" w:rsidP="007D7F4F">
            <w:pPr>
              <w:pStyle w:val="Marginlie"/>
              <w:rPr>
                <w:color w:val="0D0D0D" w:themeColor="text1" w:themeTint="F2"/>
                <w:spacing w:val="-4"/>
              </w:rPr>
            </w:pPr>
          </w:p>
          <w:p w14:paraId="000B8887" w14:textId="77777777" w:rsidR="007D7F4F" w:rsidRDefault="007D7F4F" w:rsidP="007D7F4F">
            <w:pPr>
              <w:pStyle w:val="Marginlie"/>
              <w:rPr>
                <w:color w:val="0D0D0D" w:themeColor="text1" w:themeTint="F2"/>
                <w:spacing w:val="-4"/>
              </w:rPr>
            </w:pPr>
            <w:r>
              <w:rPr>
                <w:color w:val="0D0D0D" w:themeColor="text1" w:themeTint="F2"/>
                <w:spacing w:val="-4"/>
              </w:rPr>
              <w:t>Produkce se nejvýrazněji propadla ve výrobě nekovových minerálních výrobků. Útlum nastal také v dalších oborech souvisejících se stavebnictvím.</w:t>
            </w:r>
          </w:p>
        </w:tc>
        <w:tc>
          <w:tcPr>
            <w:tcW w:w="229" w:type="dxa"/>
            <w:tcBorders>
              <w:top w:val="nil"/>
              <w:left w:val="nil"/>
              <w:bottom w:val="nil"/>
              <w:right w:val="nil"/>
            </w:tcBorders>
            <w:shd w:val="clear" w:color="auto" w:fill="auto"/>
            <w:tcMar>
              <w:left w:w="0" w:type="dxa"/>
            </w:tcMar>
          </w:tcPr>
          <w:p w14:paraId="558149DB"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BFB33D8" w14:textId="77777777" w:rsidR="007D7F4F" w:rsidRPr="005E6936" w:rsidRDefault="007D7F4F" w:rsidP="007D7F4F">
            <w:pPr>
              <w:spacing w:after="180"/>
              <w:rPr>
                <w:color w:val="0D0D0D" w:themeColor="text1" w:themeTint="F2"/>
                <w:spacing w:val="-6"/>
              </w:rPr>
            </w:pPr>
            <w:r w:rsidRPr="005E6936">
              <w:rPr>
                <w:color w:val="0D0D0D" w:themeColor="text1" w:themeTint="F2"/>
                <w:spacing w:val="-6"/>
              </w:rPr>
              <w:t>Útlum energeticky vysoce náročných oborů letos pokračoval. V těžbě a dobývání se produkce za tři čtvrtletí meziročně propadla o 13,8 %, dvouciferný pokles nastal jak v klíčovém oboru těžby uhlí, tak i v těžbě stavebních materiálů. Na citelný pokles poptávky reagovala rovněž výroba stavebních materiálů, jejíž produkce se propadla nejvíce ze všech průmyslových oborů (−18,1 %), a k poklesu celého průmyslu přispěla 0,8 p. b. Se slabšími výkony stavebnictví souvisí i změna poptávky po technických textiliích, jež se odrazila v téměř 12% poklesu produkce v celém textilním průmyslu. S hlubokým útlumem domácí i zahraniční poptávky se potýkalo hutnictví, jehož výkon letos propadl o sedminu a snižoval se druhým rokem v řadě. O více než desetinu klesla produkce také v chemickém průmyslu. Vysoký růst výrobních nákladů druhý rok v řadě poznamenal také výkon gumárenství a</w:t>
            </w:r>
            <w:r w:rsidRPr="005E6936">
              <w:rPr>
                <w:spacing w:val="-6"/>
              </w:rPr>
              <w:t> </w:t>
            </w:r>
            <w:r w:rsidRPr="005E6936">
              <w:rPr>
                <w:color w:val="0D0D0D" w:themeColor="text1" w:themeTint="F2"/>
                <w:spacing w:val="-6"/>
              </w:rPr>
              <w:t>plastikářství. Vzhledem k jeho vazbě na rozvíjející se výrobu motorových vozidel zde ale produkce klesala mírněji (−4,6 %). Diverzifikované odvětví kovodělného průmyslu si vedlo lépe, když letos stejně jako za celý loňský rok registrovalo jen mělký pokles (o 2 %). Útlum energeticky náročných segmentů zde mohl být zčásti kompenzován růstem zbrojní výroby.</w:t>
            </w:r>
          </w:p>
        </w:tc>
      </w:tr>
      <w:tr w:rsidR="007D7F4F" w:rsidRPr="003D1D6D" w14:paraId="18A56FC5" w14:textId="77777777" w:rsidTr="007D7F4F">
        <w:trPr>
          <w:trHeight w:val="145"/>
        </w:trPr>
        <w:tc>
          <w:tcPr>
            <w:tcW w:w="1814" w:type="dxa"/>
            <w:tcBorders>
              <w:top w:val="nil"/>
              <w:left w:val="nil"/>
              <w:bottom w:val="nil"/>
              <w:right w:val="nil"/>
            </w:tcBorders>
            <w:shd w:val="clear" w:color="auto" w:fill="auto"/>
            <w:tcMar>
              <w:left w:w="0" w:type="dxa"/>
            </w:tcMar>
          </w:tcPr>
          <w:p w14:paraId="6D950A64" w14:textId="77777777" w:rsidR="007D7F4F" w:rsidRDefault="007D7F4F" w:rsidP="007D7F4F">
            <w:pPr>
              <w:pStyle w:val="Marginlie"/>
              <w:rPr>
                <w:color w:val="0D0D0D" w:themeColor="text1" w:themeTint="F2"/>
                <w:spacing w:val="-4"/>
              </w:rPr>
            </w:pPr>
            <w:r>
              <w:rPr>
                <w:color w:val="0D0D0D" w:themeColor="text1" w:themeTint="F2"/>
                <w:spacing w:val="-4"/>
              </w:rPr>
              <w:t xml:space="preserve">Dvojciferný pokles produkce postihl tiskárenství či nábytkářský průmysl. </w:t>
            </w:r>
          </w:p>
          <w:p w14:paraId="09BC8F06" w14:textId="77777777" w:rsidR="007D7F4F" w:rsidRDefault="007D7F4F" w:rsidP="007D7F4F">
            <w:pPr>
              <w:pStyle w:val="Marginlie"/>
              <w:rPr>
                <w:color w:val="0D0D0D" w:themeColor="text1" w:themeTint="F2"/>
                <w:spacing w:val="-4"/>
              </w:rPr>
            </w:pPr>
          </w:p>
          <w:p w14:paraId="21C793DA" w14:textId="77777777" w:rsidR="007D7F4F" w:rsidRDefault="007D7F4F" w:rsidP="007D7F4F">
            <w:pPr>
              <w:pStyle w:val="Marginlie"/>
              <w:rPr>
                <w:color w:val="0D0D0D" w:themeColor="text1" w:themeTint="F2"/>
                <w:spacing w:val="-4"/>
              </w:rPr>
            </w:pPr>
          </w:p>
          <w:p w14:paraId="007FCE4B" w14:textId="77777777" w:rsidR="007D7F4F" w:rsidRDefault="007D7F4F" w:rsidP="007D7F4F">
            <w:pPr>
              <w:pStyle w:val="Marginlie"/>
              <w:rPr>
                <w:color w:val="0D0D0D" w:themeColor="text1" w:themeTint="F2"/>
                <w:spacing w:val="-4"/>
              </w:rPr>
            </w:pPr>
          </w:p>
          <w:p w14:paraId="4219BA49" w14:textId="77777777" w:rsidR="007D7F4F" w:rsidRDefault="007D7F4F" w:rsidP="007D7F4F">
            <w:pPr>
              <w:pStyle w:val="Marginlie"/>
              <w:rPr>
                <w:color w:val="0D0D0D" w:themeColor="text1" w:themeTint="F2"/>
                <w:spacing w:val="-4"/>
              </w:rPr>
            </w:pPr>
            <w:r>
              <w:rPr>
                <w:color w:val="0D0D0D" w:themeColor="text1" w:themeTint="F2"/>
                <w:spacing w:val="-4"/>
              </w:rPr>
              <w:t>Klesající kupní síla tuzemských domácností vedla k nižší produkci v potravinářství, výrobě nápojů i v oděvnictví.</w:t>
            </w:r>
          </w:p>
        </w:tc>
        <w:tc>
          <w:tcPr>
            <w:tcW w:w="229" w:type="dxa"/>
            <w:tcBorders>
              <w:top w:val="nil"/>
              <w:left w:val="nil"/>
              <w:bottom w:val="nil"/>
              <w:right w:val="nil"/>
            </w:tcBorders>
            <w:shd w:val="clear" w:color="auto" w:fill="auto"/>
            <w:tcMar>
              <w:left w:w="0" w:type="dxa"/>
            </w:tcMar>
          </w:tcPr>
          <w:p w14:paraId="700C4E58" w14:textId="77777777" w:rsidR="007D7F4F" w:rsidRPr="00AC49FC"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3268ABE"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Nižší poptávka se letos odrážela rovněž ve většině menších zpracovatelských oborů. V tiskárenství tak produkce propadla za tři čtvrtletí meziročně o 17,1 %. Vlivem ústupu kůrovcové kalamity klesala produkce v dřevozpracujícím průmyslu letos zatím pomaleji (−6,5</w:t>
            </w:r>
            <w:r>
              <w:rPr>
                <w:color w:val="0D0D0D" w:themeColor="text1" w:themeTint="F2"/>
                <w:spacing w:val="-6"/>
              </w:rPr>
              <w:t> </w:t>
            </w:r>
            <w:r w:rsidRPr="005E6936">
              <w:rPr>
                <w:color w:val="0D0D0D" w:themeColor="text1" w:themeTint="F2"/>
                <w:spacing w:val="-6"/>
              </w:rPr>
              <w:t>%) než v roce 2022. V návazném energeticky náročném papírenském průmyslu se výkon snížil o 8,2 %, v nábytkářství zasaženém především slabším odbytem v zahraničí pak dokonce o 14,2 %</w:t>
            </w:r>
            <w:r w:rsidRPr="005E6936">
              <w:rPr>
                <w:rStyle w:val="Znakapoznpodarou"/>
                <w:color w:val="0D0D0D" w:themeColor="text1" w:themeTint="F2"/>
                <w:spacing w:val="-6"/>
              </w:rPr>
              <w:footnoteReference w:id="8"/>
            </w:r>
            <w:r w:rsidRPr="005E6936">
              <w:rPr>
                <w:color w:val="0D0D0D" w:themeColor="text1" w:themeTint="F2"/>
                <w:spacing w:val="-6"/>
              </w:rPr>
              <w:t>. Klesající spotřeba</w:t>
            </w:r>
            <w:r w:rsidRPr="005E6936">
              <w:rPr>
                <w:rStyle w:val="Znakapoznpodarou"/>
                <w:color w:val="0D0D0D" w:themeColor="text1" w:themeTint="F2"/>
                <w:spacing w:val="-6"/>
              </w:rPr>
              <w:footnoteReference w:id="9"/>
            </w:r>
            <w:r w:rsidRPr="005E6936">
              <w:rPr>
                <w:color w:val="0D0D0D" w:themeColor="text1" w:themeTint="F2"/>
                <w:spacing w:val="-6"/>
              </w:rPr>
              <w:t xml:space="preserve"> tuzemských domácností se odrazila v nižší produkci nápojového (−3,4 %) či potravinářského průmyslu (−3,3 %, v rámci 1. až 3. čtvrtletí šlo o nejhorší tempo od krizového roku 2009). Omezování „zbytných“ výdajů domácností v reakci na propad reálných výdělků letos zastavilo oděvnictví (−3,2 %)</w:t>
            </w:r>
            <w:r w:rsidRPr="005E6936">
              <w:rPr>
                <w:rStyle w:val="Znakapoznpodarou"/>
                <w:color w:val="0D0D0D" w:themeColor="text1" w:themeTint="F2"/>
                <w:spacing w:val="-6"/>
              </w:rPr>
              <w:footnoteReference w:id="10"/>
            </w:r>
            <w:r w:rsidRPr="005E6936">
              <w:rPr>
                <w:color w:val="0D0D0D" w:themeColor="text1" w:themeTint="F2"/>
                <w:spacing w:val="-6"/>
              </w:rPr>
              <w:t xml:space="preserve">, které se loni slibně zotavovalo, i dlouhodobě rozvíjející se obor ostatní zpracovatelský průmysl (−3,6 %, nejslabší </w:t>
            </w:r>
            <w:r w:rsidRPr="005E6936">
              <w:rPr>
                <w:color w:val="0D0D0D" w:themeColor="text1" w:themeTint="F2"/>
                <w:spacing w:val="-6"/>
              </w:rPr>
              <w:lastRenderedPageBreak/>
              <w:t>tempo od roku 2009)</w:t>
            </w:r>
            <w:r w:rsidRPr="005E6936">
              <w:rPr>
                <w:rStyle w:val="Znakapoznpodarou"/>
                <w:color w:val="0D0D0D" w:themeColor="text1" w:themeTint="F2"/>
                <w:spacing w:val="-6"/>
              </w:rPr>
              <w:footnoteReference w:id="11"/>
            </w:r>
            <w:r w:rsidRPr="005E6936">
              <w:rPr>
                <w:color w:val="0D0D0D" w:themeColor="text1" w:themeTint="F2"/>
                <w:spacing w:val="-6"/>
              </w:rPr>
              <w:t>. Osm výše uvedených menších zpracovatelských oborů přispělo v 1.</w:t>
            </w:r>
            <w:r>
              <w:rPr>
                <w:color w:val="0D0D0D" w:themeColor="text1" w:themeTint="F2"/>
                <w:spacing w:val="-6"/>
              </w:rPr>
              <w:t> </w:t>
            </w:r>
            <w:r w:rsidRPr="005E6936">
              <w:rPr>
                <w:color w:val="0D0D0D" w:themeColor="text1" w:themeTint="F2"/>
                <w:spacing w:val="-6"/>
              </w:rPr>
              <w:t>až 3. čtvrtletí k poklesu průmyslu 0,9 p. b.</w:t>
            </w:r>
          </w:p>
        </w:tc>
      </w:tr>
      <w:tr w:rsidR="007D7F4F" w:rsidRPr="003D1D6D" w14:paraId="0067ABF8" w14:textId="77777777" w:rsidTr="007D7F4F">
        <w:trPr>
          <w:trHeight w:val="145"/>
        </w:trPr>
        <w:tc>
          <w:tcPr>
            <w:tcW w:w="1814" w:type="dxa"/>
            <w:tcBorders>
              <w:top w:val="nil"/>
              <w:left w:val="nil"/>
              <w:bottom w:val="nil"/>
              <w:right w:val="nil"/>
            </w:tcBorders>
            <w:shd w:val="clear" w:color="auto" w:fill="auto"/>
            <w:tcMar>
              <w:left w:w="0" w:type="dxa"/>
            </w:tcMar>
          </w:tcPr>
          <w:p w14:paraId="1DBD9CC1" w14:textId="77777777" w:rsidR="007D7F4F" w:rsidRDefault="007D7F4F" w:rsidP="007D7F4F">
            <w:pPr>
              <w:pStyle w:val="Marginlie"/>
              <w:rPr>
                <w:color w:val="0D0D0D" w:themeColor="text1" w:themeTint="F2"/>
                <w:spacing w:val="-4"/>
              </w:rPr>
            </w:pPr>
            <w:r>
              <w:rPr>
                <w:color w:val="0D0D0D" w:themeColor="text1" w:themeTint="F2"/>
                <w:spacing w:val="-4"/>
              </w:rPr>
              <w:lastRenderedPageBreak/>
              <w:t>Výrobě motorových vozidel se letos stále dařilo i přes občasné dílčí výpadky v dodávkách výrobních komponent.</w:t>
            </w:r>
          </w:p>
          <w:p w14:paraId="0E3356D5" w14:textId="77777777" w:rsidR="007D7F4F" w:rsidRDefault="007D7F4F" w:rsidP="007D7F4F">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6296DE20"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0D46D08" w14:textId="77777777" w:rsidR="007D7F4F" w:rsidRPr="005E6936" w:rsidRDefault="007D7F4F" w:rsidP="007D7F4F">
            <w:pPr>
              <w:spacing w:after="200"/>
              <w:rPr>
                <w:spacing w:val="-6"/>
              </w:rPr>
            </w:pPr>
            <w:r w:rsidRPr="005E6936">
              <w:rPr>
                <w:spacing w:val="-6"/>
              </w:rPr>
              <w:t>Přestože automobilový průmysl v 1. až 3. čtvrtletí navýšil svou produkci meziročně o</w:t>
            </w:r>
            <w:r w:rsidRPr="005E6936">
              <w:rPr>
                <w:color w:val="0D0D0D" w:themeColor="text1" w:themeTint="F2"/>
                <w:spacing w:val="-6"/>
              </w:rPr>
              <w:t> </w:t>
            </w:r>
            <w:r w:rsidRPr="005E6936">
              <w:rPr>
                <w:spacing w:val="-6"/>
              </w:rPr>
              <w:t>17,8</w:t>
            </w:r>
            <w:r w:rsidRPr="005E6936">
              <w:rPr>
                <w:color w:val="0D0D0D" w:themeColor="text1" w:themeTint="F2"/>
                <w:spacing w:val="-6"/>
              </w:rPr>
              <w:t> </w:t>
            </w:r>
            <w:r w:rsidRPr="005E6936">
              <w:rPr>
                <w:spacing w:val="-6"/>
              </w:rPr>
              <w:t>%</w:t>
            </w:r>
            <w:r w:rsidRPr="005E6936">
              <w:rPr>
                <w:rStyle w:val="Znakapoznpodarou"/>
                <w:spacing w:val="-6"/>
              </w:rPr>
              <w:footnoteReference w:id="12"/>
            </w:r>
            <w:r w:rsidRPr="005E6936">
              <w:rPr>
                <w:spacing w:val="-6"/>
              </w:rPr>
              <w:t xml:space="preserve"> a ve směru růstu průmyslu přispěl 3,3 p. b., poklesu celého průmyslu nezabránil. V samotném 3. čtvrtletí ovšem růst v tomto odvětví zvolnil na 4,7 % a proti úrovni z letošního 2. čtvrtletí se dokonce snížil (−5,2 %)</w:t>
            </w:r>
            <w:r w:rsidRPr="005E6936">
              <w:rPr>
                <w:rStyle w:val="Znakapoznpodarou"/>
                <w:spacing w:val="-6"/>
              </w:rPr>
              <w:footnoteReference w:id="13"/>
            </w:r>
            <w:r w:rsidRPr="005E6936">
              <w:rPr>
                <w:spacing w:val="-6"/>
              </w:rPr>
              <w:t>. I tak převyšoval úroveň z předkrizového vrcholu (2. čtvrtletí 2021) o více než desetinu.</w:t>
            </w:r>
            <w:r w:rsidRPr="005E6936">
              <w:rPr>
                <w:color w:val="0D0D0D" w:themeColor="text1" w:themeTint="F2"/>
                <w:spacing w:val="-6"/>
              </w:rPr>
              <w:t xml:space="preserve"> Rozvoj výroby automobilů dokládají i údaje o</w:t>
            </w:r>
            <w:r w:rsidRPr="005E6936">
              <w:rPr>
                <w:spacing w:val="-6"/>
              </w:rPr>
              <w:t> </w:t>
            </w:r>
            <w:r w:rsidRPr="005E6936">
              <w:rPr>
                <w:color w:val="0D0D0D" w:themeColor="text1" w:themeTint="F2"/>
                <w:spacing w:val="-6"/>
              </w:rPr>
              <w:t>fyzické produkci</w:t>
            </w:r>
            <w:r w:rsidRPr="005E6936">
              <w:rPr>
                <w:rStyle w:val="Znakapoznpodarou"/>
                <w:color w:val="0D0D0D" w:themeColor="text1" w:themeTint="F2"/>
                <w:spacing w:val="-6"/>
              </w:rPr>
              <w:footnoteReference w:id="14"/>
            </w:r>
            <w:r w:rsidRPr="005E6936">
              <w:rPr>
                <w:color w:val="0D0D0D" w:themeColor="text1" w:themeTint="F2"/>
                <w:spacing w:val="-6"/>
              </w:rPr>
              <w:t>. Zlepšení dříve váznoucích dodávek některých výrobních komponentů se odrazilo citelným zvýšením využití výrobních kapacit automobilového průmyslu. To na počátku 2.,</w:t>
            </w:r>
            <w:r>
              <w:rPr>
                <w:color w:val="0D0D0D" w:themeColor="text1" w:themeTint="F2"/>
                <w:spacing w:val="-6"/>
              </w:rPr>
              <w:t> </w:t>
            </w:r>
            <w:r w:rsidRPr="005E6936">
              <w:rPr>
                <w:color w:val="0D0D0D" w:themeColor="text1" w:themeTint="F2"/>
                <w:spacing w:val="-6"/>
              </w:rPr>
              <w:t>3.</w:t>
            </w:r>
            <w:r>
              <w:rPr>
                <w:color w:val="0D0D0D" w:themeColor="text1" w:themeTint="F2"/>
                <w:spacing w:val="-6"/>
              </w:rPr>
              <w:t> </w:t>
            </w:r>
            <w:r w:rsidRPr="005E6936">
              <w:rPr>
                <w:color w:val="0D0D0D" w:themeColor="text1" w:themeTint="F2"/>
                <w:spacing w:val="-6"/>
              </w:rPr>
              <w:t>i</w:t>
            </w:r>
            <w:r>
              <w:rPr>
                <w:color w:val="0D0D0D" w:themeColor="text1" w:themeTint="F2"/>
                <w:spacing w:val="-6"/>
              </w:rPr>
              <w:t> </w:t>
            </w:r>
            <w:r w:rsidRPr="005E6936">
              <w:rPr>
                <w:color w:val="0D0D0D" w:themeColor="text1" w:themeTint="F2"/>
                <w:spacing w:val="-6"/>
              </w:rPr>
              <w:t xml:space="preserve">4. čtvrtletí 2023 přesáhlo 92 % (společně s petrochemií bylo nejvyšší ze všech hlavních zpracovatelských oborů) a vrátilo se na svou předkrizovou úroveň. </w:t>
            </w:r>
          </w:p>
        </w:tc>
      </w:tr>
      <w:tr w:rsidR="007D7F4F" w:rsidRPr="00A92514" w14:paraId="5050336D" w14:textId="77777777" w:rsidTr="007D7F4F">
        <w:trPr>
          <w:trHeight w:val="170"/>
        </w:trPr>
        <w:tc>
          <w:tcPr>
            <w:tcW w:w="1814" w:type="dxa"/>
            <w:vMerge w:val="restart"/>
            <w:tcBorders>
              <w:top w:val="nil"/>
              <w:left w:val="nil"/>
              <w:bottom w:val="nil"/>
              <w:right w:val="nil"/>
            </w:tcBorders>
            <w:shd w:val="clear" w:color="auto" w:fill="auto"/>
            <w:tcMar>
              <w:left w:w="0" w:type="dxa"/>
            </w:tcMar>
          </w:tcPr>
          <w:p w14:paraId="243CF754" w14:textId="77777777" w:rsidR="007D7F4F" w:rsidRDefault="007D7F4F" w:rsidP="007D7F4F">
            <w:pPr>
              <w:pStyle w:val="Marginlie"/>
            </w:pPr>
          </w:p>
        </w:tc>
        <w:tc>
          <w:tcPr>
            <w:tcW w:w="229" w:type="dxa"/>
            <w:vMerge w:val="restart"/>
            <w:tcBorders>
              <w:top w:val="nil"/>
              <w:left w:val="nil"/>
              <w:bottom w:val="nil"/>
              <w:right w:val="nil"/>
            </w:tcBorders>
            <w:shd w:val="clear" w:color="auto" w:fill="auto"/>
            <w:tcMar>
              <w:left w:w="0" w:type="dxa"/>
            </w:tcMar>
          </w:tcPr>
          <w:p w14:paraId="51E907C4"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3DBBF8B" w14:textId="77777777" w:rsidR="007D7F4F" w:rsidRPr="005E6936" w:rsidRDefault="007D7F4F" w:rsidP="007D7F4F">
            <w:pPr>
              <w:spacing w:after="0"/>
              <w:rPr>
                <w:spacing w:val="-6"/>
              </w:rPr>
            </w:pPr>
            <w:r w:rsidRPr="005E6936">
              <w:rPr>
                <w:rFonts w:cs="Arial"/>
                <w:b/>
                <w:bCs/>
                <w:color w:val="000000"/>
                <w:spacing w:val="-6"/>
                <w:szCs w:val="20"/>
              </w:rPr>
              <w:t xml:space="preserve">Graf č. 4 </w:t>
            </w:r>
            <w:r w:rsidRPr="005E6936">
              <w:rPr>
                <w:b/>
                <w:spacing w:val="-6"/>
              </w:rPr>
              <w:t xml:space="preserve">Příspěvky dílčích odvětví k meziroční změně průmyslové produkce v ČR </w:t>
            </w:r>
            <w:r w:rsidRPr="005E6936">
              <w:rPr>
                <w:spacing w:val="-6"/>
              </w:rPr>
              <w:t xml:space="preserve">(očištěno o kalendářní vlivy, reálně, v p. b.) </w:t>
            </w:r>
            <w:r w:rsidRPr="005E6936">
              <w:rPr>
                <w:b/>
                <w:spacing w:val="-6"/>
              </w:rPr>
              <w:t xml:space="preserve">a produkce v celém průmyslu v ČR, Německu a EU27 </w:t>
            </w:r>
            <w:r w:rsidRPr="005E6936">
              <w:rPr>
                <w:spacing w:val="-6"/>
              </w:rPr>
              <w:t>(sezónně očištěno, úroveň roku 2015=100, pravá osa)</w:t>
            </w:r>
          </w:p>
        </w:tc>
      </w:tr>
      <w:tr w:rsidR="007D7F4F" w:rsidRPr="0067514E" w14:paraId="1CE37936" w14:textId="77777777" w:rsidTr="007D7F4F">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2FD1C739" w14:textId="77777777" w:rsidR="007D7F4F" w:rsidRDefault="007D7F4F" w:rsidP="007D7F4F">
            <w:pPr>
              <w:pStyle w:val="Marginlie"/>
            </w:pPr>
          </w:p>
        </w:tc>
        <w:tc>
          <w:tcPr>
            <w:tcW w:w="229" w:type="dxa"/>
            <w:vMerge/>
            <w:tcBorders>
              <w:top w:val="nil"/>
              <w:left w:val="nil"/>
              <w:bottom w:val="nil"/>
              <w:right w:val="nil"/>
            </w:tcBorders>
            <w:shd w:val="clear" w:color="auto" w:fill="auto"/>
          </w:tcPr>
          <w:p w14:paraId="1DD49B65"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Pr>
          <w:p w14:paraId="005A2253" w14:textId="77777777" w:rsidR="007D7F4F" w:rsidRPr="005E6936" w:rsidRDefault="007D7F4F" w:rsidP="007D7F4F">
            <w:pPr>
              <w:spacing w:after="0"/>
              <w:rPr>
                <w:spacing w:val="-6"/>
              </w:rPr>
            </w:pPr>
            <w:r w:rsidRPr="005E6936">
              <w:rPr>
                <w:noProof/>
                <w:spacing w:val="-6"/>
              </w:rPr>
              <w:drawing>
                <wp:inline distT="0" distB="0" distL="0" distR="0" wp14:anchorId="2B76F41F" wp14:editId="0D80250D">
                  <wp:extent cx="4734560" cy="3456000"/>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D7F4F" w:rsidRPr="00E52D45" w14:paraId="07F76E74" w14:textId="77777777" w:rsidTr="007D7F4F">
        <w:trPr>
          <w:trHeight w:val="170"/>
        </w:trPr>
        <w:tc>
          <w:tcPr>
            <w:tcW w:w="1814" w:type="dxa"/>
            <w:vMerge/>
            <w:tcBorders>
              <w:top w:val="nil"/>
              <w:left w:val="nil"/>
              <w:bottom w:val="nil"/>
              <w:right w:val="nil"/>
            </w:tcBorders>
            <w:shd w:val="clear" w:color="auto" w:fill="auto"/>
            <w:tcMar>
              <w:left w:w="0" w:type="dxa"/>
            </w:tcMar>
          </w:tcPr>
          <w:p w14:paraId="5DADC2CA" w14:textId="77777777" w:rsidR="007D7F4F" w:rsidRDefault="007D7F4F" w:rsidP="007D7F4F">
            <w:pPr>
              <w:pStyle w:val="Marginlie"/>
            </w:pPr>
          </w:p>
        </w:tc>
        <w:tc>
          <w:tcPr>
            <w:tcW w:w="229" w:type="dxa"/>
            <w:vMerge/>
            <w:tcBorders>
              <w:top w:val="nil"/>
              <w:left w:val="nil"/>
              <w:bottom w:val="nil"/>
              <w:right w:val="nil"/>
            </w:tcBorders>
            <w:shd w:val="clear" w:color="auto" w:fill="auto"/>
            <w:tcMar>
              <w:left w:w="0" w:type="dxa"/>
            </w:tcMar>
          </w:tcPr>
          <w:p w14:paraId="6E16B41E"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808E2F3" w14:textId="77777777" w:rsidR="007D7F4F" w:rsidRPr="005E6936" w:rsidRDefault="007D7F4F" w:rsidP="007D7F4F">
            <w:pPr>
              <w:tabs>
                <w:tab w:val="right" w:pos="7683"/>
              </w:tabs>
              <w:spacing w:after="200" w:line="240" w:lineRule="auto"/>
              <w:jc w:val="left"/>
              <w:rPr>
                <w:spacing w:val="-6"/>
                <w:sz w:val="14"/>
                <w:szCs w:val="14"/>
              </w:rPr>
            </w:pPr>
            <w:r w:rsidRPr="005E6936">
              <w:rPr>
                <w:rFonts w:cs="Arial"/>
                <w:spacing w:val="-6"/>
                <w:sz w:val="14"/>
                <w:szCs w:val="14"/>
              </w:rPr>
              <w:t xml:space="preserve">Poznámka: Tržby jsou uvedeny v běžných cenách. </w:t>
            </w:r>
            <w:r w:rsidRPr="005E6936">
              <w:rPr>
                <w:rFonts w:cs="Arial"/>
                <w:spacing w:val="-6"/>
                <w:sz w:val="14"/>
                <w:szCs w:val="14"/>
              </w:rPr>
              <w:tab/>
              <w:t xml:space="preserve"> Zdroj: ČSÚ, Eurostat</w:t>
            </w:r>
          </w:p>
        </w:tc>
      </w:tr>
      <w:tr w:rsidR="007D7F4F" w:rsidRPr="00823342" w14:paraId="356F893E" w14:textId="77777777" w:rsidTr="007D7F4F">
        <w:trPr>
          <w:trHeight w:val="170"/>
        </w:trPr>
        <w:tc>
          <w:tcPr>
            <w:tcW w:w="1814" w:type="dxa"/>
            <w:tcBorders>
              <w:top w:val="nil"/>
              <w:left w:val="nil"/>
              <w:bottom w:val="nil"/>
              <w:right w:val="nil"/>
            </w:tcBorders>
            <w:shd w:val="clear" w:color="auto" w:fill="auto"/>
            <w:tcMar>
              <w:left w:w="0" w:type="dxa"/>
            </w:tcMar>
          </w:tcPr>
          <w:p w14:paraId="3A551A74" w14:textId="77777777" w:rsidR="007D7F4F" w:rsidRDefault="007D7F4F" w:rsidP="007D7F4F">
            <w:pPr>
              <w:pStyle w:val="Marginlie"/>
              <w:rPr>
                <w:color w:val="0D0D0D" w:themeColor="text1" w:themeTint="F2"/>
                <w:spacing w:val="-4"/>
              </w:rPr>
            </w:pPr>
            <w:r>
              <w:rPr>
                <w:color w:val="0D0D0D" w:themeColor="text1" w:themeTint="F2"/>
                <w:spacing w:val="-4"/>
              </w:rPr>
              <w:t>Svižný růst výroby kolejových dopravních prostředků stimulovala domácí poptávka.</w:t>
            </w:r>
          </w:p>
          <w:p w14:paraId="6DE4A476" w14:textId="77777777" w:rsidR="007D7F4F" w:rsidRDefault="007D7F4F" w:rsidP="007D7F4F">
            <w:pPr>
              <w:pStyle w:val="Marginlie"/>
              <w:rPr>
                <w:color w:val="0D0D0D" w:themeColor="text1" w:themeTint="F2"/>
                <w:spacing w:val="-4"/>
              </w:rPr>
            </w:pPr>
          </w:p>
          <w:p w14:paraId="77863847" w14:textId="77777777" w:rsidR="007D7F4F" w:rsidRDefault="007D7F4F" w:rsidP="007D7F4F">
            <w:pPr>
              <w:pStyle w:val="Marginlie"/>
              <w:rPr>
                <w:color w:val="0D0D0D" w:themeColor="text1" w:themeTint="F2"/>
                <w:spacing w:val="-4"/>
              </w:rPr>
            </w:pPr>
          </w:p>
          <w:p w14:paraId="7329EDE8" w14:textId="77777777" w:rsidR="007D7F4F" w:rsidRDefault="007D7F4F" w:rsidP="007D7F4F">
            <w:pPr>
              <w:pStyle w:val="Marginlie"/>
              <w:rPr>
                <w:color w:val="0D0D0D" w:themeColor="text1" w:themeTint="F2"/>
                <w:spacing w:val="-4"/>
              </w:rPr>
            </w:pPr>
            <w:r>
              <w:rPr>
                <w:color w:val="0D0D0D" w:themeColor="text1" w:themeTint="F2"/>
                <w:spacing w:val="-4"/>
              </w:rPr>
              <w:t xml:space="preserve">Výkon strojírenství brzdila slabší zahraniční poptávka. </w:t>
            </w:r>
          </w:p>
          <w:p w14:paraId="2A98CFB3" w14:textId="77777777" w:rsidR="007D7F4F" w:rsidRDefault="007D7F4F" w:rsidP="007D7F4F">
            <w:pPr>
              <w:pStyle w:val="Marginlie"/>
              <w:rPr>
                <w:color w:val="0D0D0D" w:themeColor="text1" w:themeTint="F2"/>
                <w:spacing w:val="-4"/>
              </w:rPr>
            </w:pPr>
            <w:r>
              <w:rPr>
                <w:color w:val="0D0D0D" w:themeColor="text1" w:themeTint="F2"/>
                <w:spacing w:val="-4"/>
              </w:rPr>
              <w:lastRenderedPageBreak/>
              <w:t>Ve farmaceutickém průmyslu poptávka dále svižně rostla.</w:t>
            </w:r>
          </w:p>
          <w:p w14:paraId="4364C797" w14:textId="77777777" w:rsidR="007D7F4F" w:rsidRDefault="007D7F4F" w:rsidP="007D7F4F">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0C49C33A" w14:textId="77777777" w:rsidR="007D7F4F" w:rsidRPr="00B51DC6"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04D3339C" w14:textId="17A33520" w:rsidR="007D7F4F" w:rsidRPr="005E6936" w:rsidRDefault="007D7F4F" w:rsidP="007D7F4F">
            <w:pPr>
              <w:spacing w:after="200"/>
              <w:rPr>
                <w:rFonts w:cs="Arial"/>
                <w:bCs/>
                <w:color w:val="0D0D0D" w:themeColor="text1" w:themeTint="F2"/>
                <w:spacing w:val="-6"/>
                <w:szCs w:val="20"/>
              </w:rPr>
            </w:pPr>
            <w:r w:rsidRPr="005E6936">
              <w:rPr>
                <w:color w:val="0D0D0D" w:themeColor="text1" w:themeTint="F2"/>
                <w:spacing w:val="-6"/>
              </w:rPr>
              <w:t xml:space="preserve">Především vlivem domácí poptávky se dařilo odvětví výroby ostatních (zejm. kolejových) dopravních prostředků. I díky finalizaci významných dlouhodobých zakázek </w:t>
            </w:r>
            <w:r>
              <w:rPr>
                <w:color w:val="0D0D0D" w:themeColor="text1" w:themeTint="F2"/>
                <w:spacing w:val="-6"/>
              </w:rPr>
              <w:t>z</w:t>
            </w:r>
            <w:r w:rsidRPr="005E6936">
              <w:rPr>
                <w:color w:val="0D0D0D" w:themeColor="text1" w:themeTint="F2"/>
                <w:spacing w:val="-6"/>
              </w:rPr>
              <w:t xml:space="preserve"> konc</w:t>
            </w:r>
            <w:r>
              <w:rPr>
                <w:color w:val="0D0D0D" w:themeColor="text1" w:themeTint="F2"/>
                <w:spacing w:val="-6"/>
              </w:rPr>
              <w:t>e</w:t>
            </w:r>
            <w:r w:rsidRPr="005E6936">
              <w:rPr>
                <w:color w:val="0D0D0D" w:themeColor="text1" w:themeTint="F2"/>
                <w:spacing w:val="-6"/>
              </w:rPr>
              <w:t xml:space="preserve"> </w:t>
            </w:r>
            <w:r w:rsidRPr="005E6936">
              <w:rPr>
                <w:color w:val="0D0D0D" w:themeColor="text1" w:themeTint="F2"/>
                <w:spacing w:val="-6"/>
              </w:rPr>
              <w:br/>
              <w:t xml:space="preserve">1. pololetí produkce za tři čtvrtletí meziročně vzrostla o 15,3 % (prorůstový příspěvek </w:t>
            </w:r>
            <w:r w:rsidRPr="005E6936">
              <w:rPr>
                <w:color w:val="0D0D0D" w:themeColor="text1" w:themeTint="F2"/>
                <w:spacing w:val="-6"/>
              </w:rPr>
              <w:br/>
              <w:t>k celému průmyslu ovšem činil „jen“ 0,3 p. b).</w:t>
            </w:r>
            <w:r w:rsidRPr="005E6936">
              <w:rPr>
                <w:spacing w:val="-6"/>
              </w:rPr>
              <w:t xml:space="preserve"> Rozvoj výroby dopravních prostředků podpořil i návazné odvětví elektrotechnického průmyslu (+3,3 %). Růst produkce se naopak téměř zastavil ve váhově významném odvětví strojírenství (+0,4 %) a také ve výrobě počítačů, elektronických a optických přístrojů (+1,0 %), kde se od loňského roku odrážel </w:t>
            </w:r>
            <w:r w:rsidRPr="005E6936">
              <w:rPr>
                <w:color w:val="0D0D0D" w:themeColor="text1" w:themeTint="F2"/>
                <w:spacing w:val="-6"/>
              </w:rPr>
              <w:t xml:space="preserve">dynamicky </w:t>
            </w:r>
            <w:r w:rsidRPr="005E6936">
              <w:rPr>
                <w:color w:val="0D0D0D" w:themeColor="text1" w:themeTint="F2"/>
                <w:spacing w:val="-6"/>
              </w:rPr>
              <w:lastRenderedPageBreak/>
              <w:t xml:space="preserve">rostoucí trh v oblasti fotovoltaiky. Obě odvětví </w:t>
            </w:r>
            <w:r>
              <w:rPr>
                <w:color w:val="0D0D0D" w:themeColor="text1" w:themeTint="F2"/>
                <w:spacing w:val="-6"/>
              </w:rPr>
              <w:t>zasáhla slabší zahraniční poptávka</w:t>
            </w:r>
            <w:r w:rsidRPr="005E6936">
              <w:rPr>
                <w:color w:val="0D0D0D" w:themeColor="text1" w:themeTint="F2"/>
                <w:spacing w:val="-6"/>
              </w:rPr>
              <w:t xml:space="preserve">, což se </w:t>
            </w:r>
            <w:r>
              <w:rPr>
                <w:color w:val="0D0D0D" w:themeColor="text1" w:themeTint="F2"/>
                <w:spacing w:val="-6"/>
              </w:rPr>
              <w:t>v letošním</w:t>
            </w:r>
            <w:r w:rsidRPr="005E6936">
              <w:rPr>
                <w:color w:val="0D0D0D" w:themeColor="text1" w:themeTint="F2"/>
                <w:spacing w:val="-6"/>
              </w:rPr>
              <w:t xml:space="preserve"> 3. čtvrtletí</w:t>
            </w:r>
            <w:r>
              <w:rPr>
                <w:color w:val="0D0D0D" w:themeColor="text1" w:themeTint="F2"/>
                <w:spacing w:val="-6"/>
              </w:rPr>
              <w:t xml:space="preserve"> projevilo poklesem j</w:t>
            </w:r>
            <w:r w:rsidRPr="005E6936">
              <w:rPr>
                <w:color w:val="0D0D0D" w:themeColor="text1" w:themeTint="F2"/>
                <w:spacing w:val="-6"/>
              </w:rPr>
              <w:t xml:space="preserve">ejich produkce (v případě strojírenství poprvé od konce roku 2020). Naopak ze stabilní poptávky z tuzemska i zahraničí mohly profitovat některé </w:t>
            </w:r>
            <w:r w:rsidR="00CD5EE0">
              <w:rPr>
                <w:color w:val="0D0D0D" w:themeColor="text1" w:themeTint="F2"/>
                <w:spacing w:val="-6"/>
              </w:rPr>
              <w:t xml:space="preserve">relativně </w:t>
            </w:r>
            <w:r w:rsidRPr="005E6936">
              <w:rPr>
                <w:color w:val="0D0D0D" w:themeColor="text1" w:themeTint="F2"/>
                <w:spacing w:val="-6"/>
              </w:rPr>
              <w:t>menší zpracovatelské obory – hlavně farmaceutický průmysl (kde produkce za tři čtvrtletí vzrostla zhruba o</w:t>
            </w:r>
            <w:r w:rsidRPr="005E6936">
              <w:rPr>
                <w:spacing w:val="-6"/>
              </w:rPr>
              <w:t> </w:t>
            </w:r>
            <w:r w:rsidRPr="005E6936">
              <w:rPr>
                <w:color w:val="0D0D0D" w:themeColor="text1" w:themeTint="F2"/>
                <w:spacing w:val="-6"/>
              </w:rPr>
              <w:t>desetinu druhý rok v řadě) a také opravy strojů a</w:t>
            </w:r>
            <w:r>
              <w:rPr>
                <w:color w:val="0D0D0D" w:themeColor="text1" w:themeTint="F2"/>
                <w:spacing w:val="-6"/>
              </w:rPr>
              <w:t> </w:t>
            </w:r>
            <w:r w:rsidRPr="005E6936">
              <w:rPr>
                <w:color w:val="0D0D0D" w:themeColor="text1" w:themeTint="F2"/>
                <w:spacing w:val="-6"/>
              </w:rPr>
              <w:t>zařízení.</w:t>
            </w:r>
          </w:p>
        </w:tc>
      </w:tr>
      <w:tr w:rsidR="007D7F4F" w:rsidRPr="00823342" w14:paraId="7F753187" w14:textId="77777777" w:rsidTr="007D7F4F">
        <w:trPr>
          <w:trHeight w:val="170"/>
        </w:trPr>
        <w:tc>
          <w:tcPr>
            <w:tcW w:w="1814" w:type="dxa"/>
            <w:tcBorders>
              <w:top w:val="nil"/>
              <w:left w:val="nil"/>
              <w:bottom w:val="nil"/>
              <w:right w:val="nil"/>
            </w:tcBorders>
            <w:shd w:val="clear" w:color="auto" w:fill="auto"/>
            <w:tcMar>
              <w:left w:w="0" w:type="dxa"/>
            </w:tcMar>
          </w:tcPr>
          <w:p w14:paraId="12F0D163" w14:textId="77777777" w:rsidR="007D7F4F" w:rsidRDefault="007D7F4F" w:rsidP="007D7F4F">
            <w:pPr>
              <w:pStyle w:val="Marginlie"/>
              <w:rPr>
                <w:color w:val="0D0D0D" w:themeColor="text1" w:themeTint="F2"/>
              </w:rPr>
            </w:pPr>
            <w:r>
              <w:rPr>
                <w:color w:val="0D0D0D" w:themeColor="text1" w:themeTint="F2"/>
              </w:rPr>
              <w:lastRenderedPageBreak/>
              <w:t>Tržby z průmyslové činnosti ve 3. čtvrtletí po téměř třech letech poklesly.</w:t>
            </w:r>
          </w:p>
        </w:tc>
        <w:tc>
          <w:tcPr>
            <w:tcW w:w="229" w:type="dxa"/>
            <w:tcBorders>
              <w:top w:val="nil"/>
              <w:left w:val="nil"/>
              <w:bottom w:val="nil"/>
              <w:right w:val="nil"/>
            </w:tcBorders>
            <w:shd w:val="clear" w:color="auto" w:fill="auto"/>
            <w:tcMar>
              <w:left w:w="0" w:type="dxa"/>
            </w:tcMar>
          </w:tcPr>
          <w:p w14:paraId="3B9D8FD8" w14:textId="77777777" w:rsidR="007D7F4F" w:rsidRPr="00B51DC6"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6A412E2" w14:textId="77777777" w:rsidR="007D7F4F" w:rsidRPr="005E6936" w:rsidRDefault="007D7F4F" w:rsidP="007D7F4F">
            <w:pPr>
              <w:spacing w:after="200"/>
              <w:rPr>
                <w:rFonts w:cs="Arial"/>
                <w:bCs/>
                <w:color w:val="0D0D0D" w:themeColor="text1" w:themeTint="F2"/>
                <w:spacing w:val="-6"/>
                <w:szCs w:val="20"/>
              </w:rPr>
            </w:pPr>
            <w:r w:rsidRPr="005E6936">
              <w:rPr>
                <w:rFonts w:cs="Arial"/>
                <w:bCs/>
                <w:color w:val="0D0D0D" w:themeColor="text1" w:themeTint="F2"/>
                <w:spacing w:val="-6"/>
                <w:szCs w:val="20"/>
              </w:rPr>
              <w:t>Zatímco na počátku letošního roku rostly nominální tržby průmyslových podniků</w:t>
            </w:r>
            <w:r w:rsidRPr="005E6936">
              <w:rPr>
                <w:rStyle w:val="Znakapoznpodarou"/>
                <w:bCs/>
                <w:color w:val="0D0D0D" w:themeColor="text1" w:themeTint="F2"/>
                <w:spacing w:val="-6"/>
                <w:szCs w:val="20"/>
              </w:rPr>
              <w:footnoteReference w:id="15"/>
            </w:r>
            <w:r w:rsidRPr="005E6936">
              <w:rPr>
                <w:rFonts w:cs="Arial"/>
                <w:bCs/>
                <w:color w:val="0D0D0D" w:themeColor="text1" w:themeTint="F2"/>
                <w:spacing w:val="-6"/>
                <w:szCs w:val="20"/>
              </w:rPr>
              <w:t xml:space="preserve"> meziročně ještě dvouciferným tempem, ve 3. čtvrtletí se snížily o 3,5 % (bez významnějšího rozdílu mezi tempy za domácí tržby a ty z přímého vývozu) a klesly tak poprvé po bezmála třech letech. Slábnoucí tempo tržeb lze zčásti připsat vlivu odeznívajícího cenového růstu na straně výrobců (zejména ve zpracovatelském průmyslu), současně ale vypovídá také o poklesu tuzemské i zahraniční poptávky. Růst cen průmyslových výrobců byl ve 3. čtvrtletí již jen mírný (1,3 %) a tržby tak klesly ve více než polovině průmyslových oborů (nejvíce v hutnictví, o 26 %). V jiných oborech postižených poklesem reálné poptávky se však tržby díky přetrvávajícímu cenovému růstu navýšily (v těž</w:t>
            </w:r>
            <w:r>
              <w:rPr>
                <w:rFonts w:cs="Arial"/>
                <w:bCs/>
                <w:color w:val="0D0D0D" w:themeColor="text1" w:themeTint="F2"/>
                <w:spacing w:val="-6"/>
                <w:szCs w:val="20"/>
              </w:rPr>
              <w:t xml:space="preserve">bě uhlí a stavebních materiálů, </w:t>
            </w:r>
            <w:r w:rsidRPr="005E6936">
              <w:rPr>
                <w:rFonts w:cs="Arial"/>
                <w:bCs/>
                <w:color w:val="0D0D0D" w:themeColor="text1" w:themeTint="F2"/>
                <w:spacing w:val="-6"/>
                <w:szCs w:val="20"/>
              </w:rPr>
              <w:t>v potravinářství, výrobě nápojů, oděvnictví a obuvnictví). Ze zpracovatelských oborů registrovaly větší než 10% růst tržeb výrobci ostatních dopravních prostředků a odvětví opravy strojů a zařízení.</w:t>
            </w:r>
          </w:p>
        </w:tc>
      </w:tr>
      <w:tr w:rsidR="007D7F4F" w:rsidRPr="00705C3E" w14:paraId="6DE54788" w14:textId="77777777" w:rsidTr="007D7F4F">
        <w:trPr>
          <w:trHeight w:val="134"/>
        </w:trPr>
        <w:tc>
          <w:tcPr>
            <w:tcW w:w="1814" w:type="dxa"/>
            <w:vMerge w:val="restart"/>
            <w:tcBorders>
              <w:top w:val="nil"/>
              <w:left w:val="nil"/>
              <w:bottom w:val="nil"/>
              <w:right w:val="nil"/>
            </w:tcBorders>
            <w:shd w:val="clear" w:color="auto" w:fill="auto"/>
            <w:tcMar>
              <w:left w:w="0" w:type="dxa"/>
            </w:tcMar>
          </w:tcPr>
          <w:p w14:paraId="4DFA088B" w14:textId="77777777" w:rsidR="007D7F4F" w:rsidRDefault="007D7F4F" w:rsidP="007D7F4F">
            <w:pPr>
              <w:pStyle w:val="Marginlie"/>
            </w:pPr>
          </w:p>
        </w:tc>
        <w:tc>
          <w:tcPr>
            <w:tcW w:w="229" w:type="dxa"/>
            <w:vMerge w:val="restart"/>
            <w:tcBorders>
              <w:top w:val="nil"/>
              <w:left w:val="nil"/>
              <w:bottom w:val="nil"/>
              <w:right w:val="nil"/>
            </w:tcBorders>
            <w:shd w:val="clear" w:color="auto" w:fill="auto"/>
            <w:tcMar>
              <w:left w:w="0" w:type="dxa"/>
            </w:tcMar>
          </w:tcPr>
          <w:p w14:paraId="0C26AA1F"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25910C6" w14:textId="77777777" w:rsidR="007D7F4F" w:rsidRPr="005E6936" w:rsidRDefault="007D7F4F" w:rsidP="007D7F4F">
            <w:pPr>
              <w:spacing w:after="0"/>
              <w:rPr>
                <w:color w:val="0D0D0D" w:themeColor="text1" w:themeTint="F2"/>
                <w:spacing w:val="-6"/>
              </w:rPr>
            </w:pPr>
            <w:r w:rsidRPr="005E6936">
              <w:rPr>
                <w:b/>
                <w:spacing w:val="-6"/>
              </w:rPr>
              <w:t xml:space="preserve">Graf č. 5  Nové zakázky v průmyslu </w:t>
            </w:r>
            <w:r w:rsidRPr="005E6936">
              <w:rPr>
                <w:bCs/>
                <w:spacing w:val="-6"/>
              </w:rPr>
              <w:t xml:space="preserve">(nominálně, </w:t>
            </w:r>
            <w:r w:rsidRPr="005E6936">
              <w:rPr>
                <w:spacing w:val="-6"/>
              </w:rPr>
              <w:t>meziročně,</w:t>
            </w:r>
            <w:r w:rsidRPr="005E6936">
              <w:rPr>
                <w:bCs/>
                <w:spacing w:val="-6"/>
              </w:rPr>
              <w:t xml:space="preserve"> v %)</w:t>
            </w:r>
            <w:r w:rsidRPr="005E6936">
              <w:rPr>
                <w:b/>
                <w:spacing w:val="-6"/>
              </w:rPr>
              <w:t>, využití výrobních kapacit v průmyslu, vybrané bariéry růstu</w:t>
            </w:r>
            <w:r w:rsidRPr="005E6936">
              <w:rPr>
                <w:spacing w:val="-6"/>
              </w:rPr>
              <w:t xml:space="preserve">* (v %, pravá osa) </w:t>
            </w:r>
            <w:r w:rsidRPr="005E6936">
              <w:rPr>
                <w:b/>
                <w:spacing w:val="-6"/>
              </w:rPr>
              <w:t xml:space="preserve">a saldo důvěry podnikatelů v průmyslu* </w:t>
            </w:r>
            <w:r w:rsidRPr="005E6936">
              <w:rPr>
                <w:spacing w:val="-6"/>
              </w:rPr>
              <w:t>(v p. b., pravá osa)</w:t>
            </w:r>
          </w:p>
        </w:tc>
      </w:tr>
      <w:tr w:rsidR="007D7F4F" w:rsidRPr="00705C3E" w14:paraId="45D1BF92" w14:textId="77777777" w:rsidTr="007D7F4F">
        <w:tblPrEx>
          <w:tblCellMar>
            <w:left w:w="70" w:type="dxa"/>
            <w:right w:w="70" w:type="dxa"/>
          </w:tblCellMar>
        </w:tblPrEx>
        <w:trPr>
          <w:trHeight w:val="133"/>
        </w:trPr>
        <w:tc>
          <w:tcPr>
            <w:tcW w:w="1814" w:type="dxa"/>
            <w:vMerge/>
            <w:tcBorders>
              <w:top w:val="nil"/>
              <w:left w:val="nil"/>
              <w:bottom w:val="nil"/>
              <w:right w:val="nil"/>
            </w:tcBorders>
            <w:shd w:val="clear" w:color="auto" w:fill="auto"/>
          </w:tcPr>
          <w:p w14:paraId="0FF610D0" w14:textId="77777777" w:rsidR="007D7F4F" w:rsidRDefault="007D7F4F" w:rsidP="007D7F4F">
            <w:pPr>
              <w:pStyle w:val="Marginlie"/>
            </w:pPr>
          </w:p>
        </w:tc>
        <w:tc>
          <w:tcPr>
            <w:tcW w:w="229" w:type="dxa"/>
            <w:vMerge/>
            <w:tcBorders>
              <w:top w:val="nil"/>
              <w:left w:val="nil"/>
              <w:bottom w:val="nil"/>
              <w:right w:val="nil"/>
            </w:tcBorders>
            <w:shd w:val="clear" w:color="auto" w:fill="auto"/>
          </w:tcPr>
          <w:p w14:paraId="6DEFBE52"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Pr>
          <w:p w14:paraId="216549ED" w14:textId="77777777" w:rsidR="007D7F4F" w:rsidRPr="005E6936" w:rsidRDefault="007D7F4F" w:rsidP="007D7F4F">
            <w:pPr>
              <w:spacing w:after="0"/>
              <w:rPr>
                <w:color w:val="0D0D0D" w:themeColor="text1" w:themeTint="F2"/>
                <w:spacing w:val="-6"/>
              </w:rPr>
            </w:pPr>
            <w:r w:rsidRPr="005E6936">
              <w:rPr>
                <w:noProof/>
                <w:spacing w:val="-6"/>
              </w:rPr>
              <w:drawing>
                <wp:inline distT="0" distB="0" distL="0" distR="0" wp14:anchorId="081A2AC2" wp14:editId="6EE70F71">
                  <wp:extent cx="4734560" cy="3453130"/>
                  <wp:effectExtent l="0" t="0" r="889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D7F4F" w:rsidRPr="00705C3E" w14:paraId="30700E78" w14:textId="77777777" w:rsidTr="007D7F4F">
        <w:trPr>
          <w:trHeight w:val="133"/>
        </w:trPr>
        <w:tc>
          <w:tcPr>
            <w:tcW w:w="1814" w:type="dxa"/>
            <w:vMerge/>
            <w:tcBorders>
              <w:top w:val="nil"/>
              <w:left w:val="nil"/>
              <w:bottom w:val="nil"/>
              <w:right w:val="nil"/>
            </w:tcBorders>
            <w:shd w:val="clear" w:color="auto" w:fill="auto"/>
            <w:tcMar>
              <w:left w:w="0" w:type="dxa"/>
            </w:tcMar>
          </w:tcPr>
          <w:p w14:paraId="1AAF1FE7" w14:textId="77777777" w:rsidR="007D7F4F" w:rsidRDefault="007D7F4F" w:rsidP="007D7F4F">
            <w:pPr>
              <w:pStyle w:val="Marginlie"/>
            </w:pPr>
          </w:p>
        </w:tc>
        <w:tc>
          <w:tcPr>
            <w:tcW w:w="229" w:type="dxa"/>
            <w:vMerge/>
            <w:tcBorders>
              <w:top w:val="nil"/>
              <w:left w:val="nil"/>
              <w:bottom w:val="nil"/>
              <w:right w:val="nil"/>
            </w:tcBorders>
            <w:shd w:val="clear" w:color="auto" w:fill="auto"/>
            <w:tcMar>
              <w:left w:w="0" w:type="dxa"/>
            </w:tcMar>
          </w:tcPr>
          <w:p w14:paraId="4B67AEEB"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3AE4A94" w14:textId="77777777" w:rsidR="007D7F4F" w:rsidRPr="005E6936" w:rsidRDefault="007D7F4F" w:rsidP="007D7F4F">
            <w:pPr>
              <w:spacing w:after="200" w:line="240" w:lineRule="auto"/>
              <w:rPr>
                <w:color w:val="0D0D0D" w:themeColor="text1" w:themeTint="F2"/>
                <w:spacing w:val="-6"/>
              </w:rPr>
            </w:pPr>
            <w:r w:rsidRPr="005E6936">
              <w:rPr>
                <w:color w:val="0D0D0D" w:themeColor="text1" w:themeTint="F2"/>
                <w:spacing w:val="-6"/>
              </w:rPr>
              <w:t>*</w:t>
            </w:r>
            <w:r w:rsidRPr="005E6936">
              <w:rPr>
                <w:rFonts w:cs="Arial"/>
                <w:spacing w:val="-6"/>
                <w:sz w:val="14"/>
                <w:szCs w:val="14"/>
              </w:rPr>
              <w:t>Využití průmyslových kapacit i bariéry růstu vyjadřují stav v prvním měsíci daného čtvrtletí, saldo důvěry podnikatelů je vztaženo ke druhému měsíci čtvrtletí. Zakázky jsou očištěny o kalendářní vlivy, ostatní ukazatele jsou sezónně očištěny. Podniky mohly uvést více hlavních růstových bariér současně.                                                                   Zdroj: ČSÚ, Eurostat</w:t>
            </w:r>
          </w:p>
        </w:tc>
      </w:tr>
      <w:tr w:rsidR="007D7F4F" w:rsidRPr="005A37A7" w14:paraId="3EDB4207" w14:textId="77777777" w:rsidTr="007D7F4F">
        <w:trPr>
          <w:trHeight w:val="170"/>
        </w:trPr>
        <w:tc>
          <w:tcPr>
            <w:tcW w:w="1814" w:type="dxa"/>
            <w:tcBorders>
              <w:top w:val="nil"/>
              <w:left w:val="nil"/>
              <w:bottom w:val="nil"/>
              <w:right w:val="nil"/>
            </w:tcBorders>
            <w:shd w:val="clear" w:color="auto" w:fill="auto"/>
            <w:tcMar>
              <w:left w:w="0" w:type="dxa"/>
            </w:tcMar>
          </w:tcPr>
          <w:p w14:paraId="55E7F15A" w14:textId="77777777" w:rsidR="007D7F4F" w:rsidRDefault="007D7F4F" w:rsidP="007D7F4F">
            <w:pPr>
              <w:pStyle w:val="Marginlie"/>
              <w:rPr>
                <w:color w:val="0D0D0D" w:themeColor="text1" w:themeTint="F2"/>
              </w:rPr>
            </w:pPr>
            <w:r>
              <w:rPr>
                <w:color w:val="0D0D0D" w:themeColor="text1" w:themeTint="F2"/>
              </w:rPr>
              <w:t xml:space="preserve">Hodnota nových průmyslových zakázek se snížila ve 2. i 3. čtvrtletí. </w:t>
            </w:r>
          </w:p>
          <w:p w14:paraId="3E22E8C8" w14:textId="77777777" w:rsidR="007D7F4F" w:rsidRPr="0014753A" w:rsidRDefault="007D7F4F" w:rsidP="007D7F4F">
            <w:pPr>
              <w:pStyle w:val="Marginlie"/>
              <w:rPr>
                <w:color w:val="0D0D0D" w:themeColor="text1" w:themeTint="F2"/>
                <w:sz w:val="20"/>
                <w:szCs w:val="20"/>
              </w:rPr>
            </w:pPr>
          </w:p>
          <w:p w14:paraId="5C490763" w14:textId="77777777" w:rsidR="007D7F4F" w:rsidRPr="0014753A" w:rsidRDefault="007D7F4F" w:rsidP="007D7F4F">
            <w:pPr>
              <w:pStyle w:val="Marginlie"/>
              <w:rPr>
                <w:color w:val="0D0D0D" w:themeColor="text1" w:themeTint="F2"/>
                <w:sz w:val="20"/>
                <w:szCs w:val="20"/>
              </w:rPr>
            </w:pPr>
          </w:p>
          <w:p w14:paraId="78AD4CC9" w14:textId="1E4D837D" w:rsidR="007D7F4F" w:rsidRDefault="007D7F4F" w:rsidP="007D7F4F">
            <w:pPr>
              <w:pStyle w:val="Marginlie"/>
              <w:rPr>
                <w:color w:val="0D0D0D" w:themeColor="text1" w:themeTint="F2"/>
              </w:rPr>
            </w:pPr>
            <w:r>
              <w:rPr>
                <w:color w:val="0D0D0D" w:themeColor="text1" w:themeTint="F2"/>
              </w:rPr>
              <w:lastRenderedPageBreak/>
              <w:t>Mírný růst poptávky přetrvával v</w:t>
            </w:r>
            <w:r w:rsidR="001E6441">
              <w:rPr>
                <w:color w:val="0D0D0D" w:themeColor="text1" w:themeTint="F2"/>
              </w:rPr>
              <w:t>e výrobě motorových vozidel</w:t>
            </w:r>
            <w:r>
              <w:rPr>
                <w:color w:val="0D0D0D" w:themeColor="text1" w:themeTint="F2"/>
              </w:rPr>
              <w:br/>
              <w:t>a v elektrotechnice. Příznivé signály stále hlásí farmacie.</w:t>
            </w:r>
          </w:p>
        </w:tc>
        <w:tc>
          <w:tcPr>
            <w:tcW w:w="229" w:type="dxa"/>
            <w:tcBorders>
              <w:top w:val="nil"/>
              <w:left w:val="nil"/>
              <w:bottom w:val="nil"/>
              <w:right w:val="nil"/>
            </w:tcBorders>
            <w:shd w:val="clear" w:color="auto" w:fill="auto"/>
            <w:tcMar>
              <w:left w:w="0" w:type="dxa"/>
            </w:tcMar>
          </w:tcPr>
          <w:p w14:paraId="2B67A379" w14:textId="77777777" w:rsidR="007D7F4F" w:rsidRPr="00B51DC6"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1F71486" w14:textId="77777777" w:rsidR="007D7F4F" w:rsidRPr="005E6936" w:rsidRDefault="007D7F4F" w:rsidP="007D7F4F">
            <w:pPr>
              <w:spacing w:after="200"/>
              <w:rPr>
                <w:rFonts w:cs="Arial"/>
                <w:bCs/>
                <w:color w:val="0D0D0D" w:themeColor="text1" w:themeTint="F2"/>
                <w:spacing w:val="-6"/>
                <w:szCs w:val="20"/>
              </w:rPr>
            </w:pPr>
            <w:r w:rsidRPr="005E6936">
              <w:rPr>
                <w:color w:val="0D0D0D" w:themeColor="text1" w:themeTint="F2"/>
                <w:spacing w:val="-6"/>
              </w:rPr>
              <w:t>Dynamika nových průmyslových zakázek potvrzovala přetrvávající slabou poptávku. Nominální hodnota zakázek ve sledovaných průmyslových odvětvích</w:t>
            </w:r>
            <w:r w:rsidRPr="005E6936">
              <w:rPr>
                <w:rStyle w:val="Znakapoznpodarou"/>
                <w:color w:val="0D0D0D" w:themeColor="text1" w:themeTint="F2"/>
                <w:spacing w:val="-6"/>
              </w:rPr>
              <w:footnoteReference w:id="16"/>
            </w:r>
            <w:r w:rsidRPr="005E6936">
              <w:rPr>
                <w:color w:val="0D0D0D" w:themeColor="text1" w:themeTint="F2"/>
                <w:spacing w:val="-6"/>
              </w:rPr>
              <w:t xml:space="preserve"> se letos ve 2.</w:t>
            </w:r>
            <w:r w:rsidRPr="005E6936">
              <w:rPr>
                <w:rFonts w:cs="Arial"/>
                <w:bCs/>
                <w:color w:val="0D0D0D" w:themeColor="text1" w:themeTint="F2"/>
                <w:spacing w:val="-6"/>
                <w:szCs w:val="20"/>
              </w:rPr>
              <w:t> </w:t>
            </w:r>
            <w:r w:rsidRPr="005E6936">
              <w:rPr>
                <w:color w:val="0D0D0D" w:themeColor="text1" w:themeTint="F2"/>
                <w:spacing w:val="-6"/>
              </w:rPr>
              <w:t>čtvrtletí meziročně snížila o 2,8 %, v následujícím období již o 4,7 %. Rychleji klesla domácí poptávka</w:t>
            </w:r>
            <w:r w:rsidRPr="005E6936">
              <w:rPr>
                <w:rStyle w:val="Znakapoznpodarou"/>
                <w:color w:val="0D0D0D" w:themeColor="text1" w:themeTint="F2"/>
                <w:spacing w:val="-6"/>
              </w:rPr>
              <w:footnoteReference w:id="17"/>
            </w:r>
            <w:r w:rsidRPr="005E6936">
              <w:rPr>
                <w:color w:val="0D0D0D" w:themeColor="text1" w:themeTint="F2"/>
                <w:spacing w:val="-6"/>
              </w:rPr>
              <w:t xml:space="preserve">, která ještě loni významně pomáhala tlumit negativní dopady nastupující energetické krize. Nepříznivé vyhlídky se stále týkaly energeticky náročných oborů. </w:t>
            </w:r>
            <w:r w:rsidRPr="005E6936">
              <w:rPr>
                <w:color w:val="0D0D0D" w:themeColor="text1" w:themeTint="F2"/>
                <w:spacing w:val="-6"/>
              </w:rPr>
              <w:lastRenderedPageBreak/>
              <w:t>V hutnictví či chemickém průmyslu byla ve 3. čtvrtletí hodnota zakázek ve srovnání se 3.</w:t>
            </w:r>
            <w:r w:rsidRPr="005E6936">
              <w:rPr>
                <w:rFonts w:cs="Arial"/>
                <w:bCs/>
                <w:color w:val="0D0D0D" w:themeColor="text1" w:themeTint="F2"/>
                <w:spacing w:val="-6"/>
                <w:szCs w:val="20"/>
              </w:rPr>
              <w:t> </w:t>
            </w:r>
            <w:r w:rsidRPr="005E6936">
              <w:rPr>
                <w:color w:val="0D0D0D" w:themeColor="text1" w:themeTint="F2"/>
                <w:spacing w:val="-6"/>
              </w:rPr>
              <w:t xml:space="preserve">čtvrtletím loňského roku o pětinu nižší. Ve strojírenství i výrobě počítačů a elektronických a optických přístrojů se během letošního léta zastavil růst poptávky. Ta se naopak stále mírně zvyšovala v elektrotechnice a výrobě motorových vozidel. Nejpříznivější vyhlídky držela stále farmacie, kde více než 10% růst zakázek přetrvával šestý kvartál v řadě. Signály zvýšené poptávky zde byly patrné z tuzemska i ze zahraničí. </w:t>
            </w:r>
          </w:p>
        </w:tc>
      </w:tr>
      <w:tr w:rsidR="007D7F4F" w:rsidRPr="005A37A7" w14:paraId="78BC9101" w14:textId="77777777" w:rsidTr="007D7F4F">
        <w:trPr>
          <w:trHeight w:val="170"/>
        </w:trPr>
        <w:tc>
          <w:tcPr>
            <w:tcW w:w="1814" w:type="dxa"/>
            <w:tcBorders>
              <w:top w:val="nil"/>
              <w:left w:val="nil"/>
              <w:bottom w:val="nil"/>
              <w:right w:val="nil"/>
            </w:tcBorders>
            <w:shd w:val="clear" w:color="auto" w:fill="auto"/>
            <w:tcMar>
              <w:left w:w="0" w:type="dxa"/>
            </w:tcMar>
          </w:tcPr>
          <w:p w14:paraId="7C80EF37" w14:textId="77777777" w:rsidR="007D7F4F" w:rsidRDefault="007D7F4F" w:rsidP="007D7F4F">
            <w:pPr>
              <w:pStyle w:val="Marginlie"/>
              <w:rPr>
                <w:color w:val="0D0D0D" w:themeColor="text1" w:themeTint="F2"/>
                <w:spacing w:val="-4"/>
              </w:rPr>
            </w:pPr>
            <w:r>
              <w:rPr>
                <w:color w:val="0D0D0D" w:themeColor="text1" w:themeTint="F2"/>
                <w:spacing w:val="-4"/>
              </w:rPr>
              <w:lastRenderedPageBreak/>
              <w:t>Důvěra podnikatelů v průmyslu byla letos v září nejnižší za poslední tři roky. Následně se mírně zlepšila.</w:t>
            </w:r>
          </w:p>
          <w:p w14:paraId="796607AA" w14:textId="77777777" w:rsidR="007D7F4F" w:rsidRDefault="007D7F4F" w:rsidP="007D7F4F">
            <w:pPr>
              <w:pStyle w:val="Marginlie"/>
              <w:rPr>
                <w:color w:val="0D0D0D" w:themeColor="text1" w:themeTint="F2"/>
                <w:spacing w:val="-4"/>
              </w:rPr>
            </w:pPr>
          </w:p>
          <w:p w14:paraId="5A40FA2B" w14:textId="77777777" w:rsidR="007D7F4F" w:rsidRDefault="007D7F4F" w:rsidP="007D7F4F">
            <w:pPr>
              <w:pStyle w:val="Marginlie"/>
              <w:rPr>
                <w:color w:val="0D0D0D" w:themeColor="text1" w:themeTint="F2"/>
                <w:spacing w:val="-4"/>
              </w:rPr>
            </w:pPr>
          </w:p>
          <w:p w14:paraId="09CA35BE" w14:textId="77777777" w:rsidR="007D7F4F" w:rsidRDefault="007D7F4F" w:rsidP="007D7F4F">
            <w:pPr>
              <w:pStyle w:val="Marginlie"/>
              <w:rPr>
                <w:color w:val="0D0D0D" w:themeColor="text1" w:themeTint="F2"/>
                <w:spacing w:val="-4"/>
              </w:rPr>
            </w:pPr>
          </w:p>
          <w:p w14:paraId="2D7C5FA4" w14:textId="77777777" w:rsidR="007D7F4F" w:rsidRDefault="007D7F4F" w:rsidP="007D7F4F">
            <w:pPr>
              <w:pStyle w:val="Marginlie"/>
              <w:rPr>
                <w:color w:val="0D0D0D" w:themeColor="text1" w:themeTint="F2"/>
                <w:spacing w:val="-4"/>
              </w:rPr>
            </w:pPr>
          </w:p>
          <w:p w14:paraId="176DD11A" w14:textId="77777777" w:rsidR="007D7F4F" w:rsidRDefault="007D7F4F" w:rsidP="007D7F4F">
            <w:pPr>
              <w:pStyle w:val="Marginlie"/>
              <w:rPr>
                <w:color w:val="0D0D0D" w:themeColor="text1" w:themeTint="F2"/>
                <w:spacing w:val="-4"/>
              </w:rPr>
            </w:pPr>
            <w:r>
              <w:rPr>
                <w:color w:val="0D0D0D" w:themeColor="text1" w:themeTint="F2"/>
                <w:spacing w:val="-4"/>
              </w:rPr>
              <w:t xml:space="preserve">Negativní hodnocení současné poptávky přetrvávalo. </w:t>
            </w:r>
          </w:p>
        </w:tc>
        <w:tc>
          <w:tcPr>
            <w:tcW w:w="229" w:type="dxa"/>
            <w:tcBorders>
              <w:top w:val="nil"/>
              <w:left w:val="nil"/>
              <w:bottom w:val="nil"/>
              <w:right w:val="nil"/>
            </w:tcBorders>
            <w:shd w:val="clear" w:color="auto" w:fill="auto"/>
            <w:tcMar>
              <w:left w:w="0" w:type="dxa"/>
            </w:tcMar>
          </w:tcPr>
          <w:p w14:paraId="6AFB8099" w14:textId="77777777" w:rsidR="007D7F4F" w:rsidRPr="004B53F7"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D816996"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Důvěra podnikatelů v průmyslu se od letošního jara zhoršovala pod vlivem nepříznivých hospodářských výhledů v klíčových exportních destinacích. V září dosáhla tříletého minima a pohybovala se zřetelně v negativním pásmu. Narůstající pesimismus úzce souvisel se zhoršeným hodnocením u poptávky, krátkodobých očekávání vlastní výroby, hospodářské situace podniku i zaměstnanosti</w:t>
            </w:r>
            <w:r w:rsidRPr="005E6936">
              <w:rPr>
                <w:rStyle w:val="Znakapoznpodarou"/>
                <w:color w:val="0D0D0D" w:themeColor="text1" w:themeTint="F2"/>
                <w:spacing w:val="-6"/>
              </w:rPr>
              <w:footnoteReference w:id="18"/>
            </w:r>
            <w:r w:rsidRPr="005E6936">
              <w:rPr>
                <w:color w:val="0D0D0D" w:themeColor="text1" w:themeTint="F2"/>
                <w:spacing w:val="-6"/>
              </w:rPr>
              <w:t>. V říjnu a listopadu se celková důvěra zvýšila (a vrátila se na úroveň z přelomu let 2022 a 2023). Narostl počet podniků očekávajících zvýšení výroby a</w:t>
            </w:r>
            <w:r>
              <w:rPr>
                <w:color w:val="0D0D0D" w:themeColor="text1" w:themeTint="F2"/>
                <w:spacing w:val="-6"/>
              </w:rPr>
              <w:t> </w:t>
            </w:r>
            <w:r w:rsidRPr="005E6936">
              <w:rPr>
                <w:color w:val="0D0D0D" w:themeColor="text1" w:themeTint="F2"/>
                <w:spacing w:val="-6"/>
              </w:rPr>
              <w:t>současně klesly stavy zásob hotových výrobků, jež byly ještě během léta nezvykle vysoké. Podniky však ani na sklonku roku neopustil pesimismus ohledně současné poptávky (zejména té zahraniční). Za nedostatečnou ji považoval každý čtvrtý a 46 % podniků (nejvíce v letošním roce) uvedlo, že pro ně nedostatečná poptávka představuje významnou bariéru růstu</w:t>
            </w:r>
            <w:r w:rsidRPr="005E6936">
              <w:rPr>
                <w:rStyle w:val="Znakapoznpodarou"/>
                <w:color w:val="0D0D0D" w:themeColor="text1" w:themeTint="F2"/>
                <w:spacing w:val="-6"/>
              </w:rPr>
              <w:footnoteReference w:id="19"/>
            </w:r>
            <w:r w:rsidRPr="005E6936">
              <w:rPr>
                <w:color w:val="0D0D0D" w:themeColor="text1" w:themeTint="F2"/>
                <w:spacing w:val="-6"/>
              </w:rPr>
              <w:t>. Nedostupnost materiálu a zařízení limitoval již pouze šestinu podniků (nejméně za poslední tři roky), nedostatek pracovníků pak zhruba každý pátý podnik (v některých průmyslových oborech se však stále jednalo o klíčovou rozvojovou bariéru</w:t>
            </w:r>
            <w:r w:rsidRPr="005E6936">
              <w:rPr>
                <w:rStyle w:val="Znakapoznpodarou"/>
                <w:color w:val="0D0D0D" w:themeColor="text1" w:themeTint="F2"/>
                <w:spacing w:val="-6"/>
              </w:rPr>
              <w:footnoteReference w:id="20"/>
            </w:r>
            <w:r w:rsidRPr="005E6936">
              <w:rPr>
                <w:color w:val="0D0D0D" w:themeColor="text1" w:themeTint="F2"/>
                <w:spacing w:val="-6"/>
              </w:rPr>
              <w:t>).</w:t>
            </w:r>
          </w:p>
        </w:tc>
      </w:tr>
      <w:tr w:rsidR="007D7F4F" w:rsidRPr="00784EC8" w14:paraId="5F3E1C58" w14:textId="77777777" w:rsidTr="007D7F4F">
        <w:trPr>
          <w:trHeight w:val="170"/>
        </w:trPr>
        <w:tc>
          <w:tcPr>
            <w:tcW w:w="1814" w:type="dxa"/>
            <w:tcBorders>
              <w:top w:val="nil"/>
              <w:left w:val="nil"/>
              <w:bottom w:val="nil"/>
              <w:right w:val="nil"/>
            </w:tcBorders>
            <w:shd w:val="clear" w:color="auto" w:fill="auto"/>
            <w:tcMar>
              <w:left w:w="0" w:type="dxa"/>
            </w:tcMar>
          </w:tcPr>
          <w:p w14:paraId="7513DAAE" w14:textId="77777777" w:rsidR="007D7F4F" w:rsidRDefault="007D7F4F" w:rsidP="007D7F4F">
            <w:pPr>
              <w:pStyle w:val="Marginlie"/>
              <w:rPr>
                <w:color w:val="0D0D0D" w:themeColor="text1" w:themeTint="F2"/>
                <w:spacing w:val="-4"/>
              </w:rPr>
            </w:pPr>
            <w:r>
              <w:rPr>
                <w:color w:val="0D0D0D" w:themeColor="text1" w:themeTint="F2"/>
                <w:spacing w:val="-4"/>
              </w:rPr>
              <w:t xml:space="preserve">Výkon stavebnictví ovlivňovaly dosud významné nákladové tlaky i slábnoucí soukromá investiční aktivita. </w:t>
            </w:r>
          </w:p>
        </w:tc>
        <w:tc>
          <w:tcPr>
            <w:tcW w:w="229" w:type="dxa"/>
            <w:tcBorders>
              <w:top w:val="nil"/>
              <w:left w:val="nil"/>
              <w:bottom w:val="nil"/>
              <w:right w:val="nil"/>
            </w:tcBorders>
            <w:shd w:val="clear" w:color="auto" w:fill="auto"/>
            <w:tcMar>
              <w:left w:w="0" w:type="dxa"/>
            </w:tcMar>
          </w:tcPr>
          <w:p w14:paraId="15B94737" w14:textId="77777777" w:rsidR="007D7F4F" w:rsidRPr="00784EC8"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FEDC226"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Stavebnictví letos v 1. až 3. čtvrtletí stále ovlivňov</w:t>
            </w:r>
            <w:r>
              <w:rPr>
                <w:color w:val="0D0D0D" w:themeColor="text1" w:themeTint="F2"/>
                <w:spacing w:val="-6"/>
              </w:rPr>
              <w:t>aly</w:t>
            </w:r>
            <w:r w:rsidRPr="005E6936">
              <w:rPr>
                <w:color w:val="0D0D0D" w:themeColor="text1" w:themeTint="F2"/>
                <w:spacing w:val="-6"/>
              </w:rPr>
              <w:t xml:space="preserve"> přetrvávajícími nákladov</w:t>
            </w:r>
            <w:r>
              <w:rPr>
                <w:color w:val="0D0D0D" w:themeColor="text1" w:themeTint="F2"/>
                <w:spacing w:val="-6"/>
              </w:rPr>
              <w:t>é</w:t>
            </w:r>
            <w:r w:rsidRPr="005E6936">
              <w:rPr>
                <w:color w:val="0D0D0D" w:themeColor="text1" w:themeTint="F2"/>
                <w:spacing w:val="-6"/>
              </w:rPr>
              <w:t xml:space="preserve"> tlaky i slábnoucí investiční aktivit</w:t>
            </w:r>
            <w:r>
              <w:rPr>
                <w:color w:val="0D0D0D" w:themeColor="text1" w:themeTint="F2"/>
                <w:spacing w:val="-6"/>
              </w:rPr>
              <w:t>a</w:t>
            </w:r>
            <w:r w:rsidRPr="005E6936">
              <w:rPr>
                <w:color w:val="0D0D0D" w:themeColor="text1" w:themeTint="F2"/>
                <w:spacing w:val="-6"/>
              </w:rPr>
              <w:t xml:space="preserve"> v soukromé sféře. Ačkoli meziroční růst cen stavebních materiálů zmírňoval (v září dokonce již ceny po více než třech letech nepatrně klesly), citelnějšímu poklesu realizovaných i očekávaných cen stavební výroby</w:t>
            </w:r>
            <w:r w:rsidRPr="005E6936">
              <w:rPr>
                <w:rStyle w:val="Znakapoznpodarou"/>
                <w:color w:val="0D0D0D" w:themeColor="text1" w:themeTint="F2"/>
                <w:spacing w:val="-6"/>
              </w:rPr>
              <w:footnoteReference w:id="21"/>
            </w:r>
            <w:r w:rsidRPr="005E6936">
              <w:rPr>
                <w:color w:val="0D0D0D" w:themeColor="text1" w:themeTint="F2"/>
                <w:spacing w:val="-6"/>
              </w:rPr>
              <w:t xml:space="preserve"> bránil svižný růst pracovních nákladů ovlivněný chronickým nedostatkem (zejména kvalifikované) pracovní síly. </w:t>
            </w:r>
            <w:r w:rsidRPr="005E6936">
              <w:rPr>
                <w:rStyle w:val="normaltextrun"/>
                <w:rFonts w:eastAsia="MS Gothic" w:cs="Arial"/>
                <w:spacing w:val="-6"/>
                <w:szCs w:val="20"/>
              </w:rPr>
              <w:t>Zhoršená finanční situace domácností spolu se sníženou dostupností hypoték</w:t>
            </w:r>
            <w:r w:rsidRPr="005E6936">
              <w:rPr>
                <w:rStyle w:val="Znakapoznpodarou"/>
                <w:rFonts w:eastAsia="MS Gothic"/>
                <w:spacing w:val="-6"/>
                <w:szCs w:val="20"/>
              </w:rPr>
              <w:footnoteReference w:id="22"/>
            </w:r>
            <w:r w:rsidRPr="005E6936">
              <w:rPr>
                <w:rStyle w:val="normaltextrun"/>
                <w:rFonts w:eastAsia="MS Gothic" w:cs="Arial"/>
                <w:spacing w:val="-6"/>
                <w:szCs w:val="20"/>
              </w:rPr>
              <w:t xml:space="preserve"> zásadně ochladily loňský boom realitního trhu. Proti hlubšímu útlumu výkonu stavebnictví naopak působily veřejné investice</w:t>
            </w:r>
            <w:r w:rsidRPr="005E6936">
              <w:rPr>
                <w:rStyle w:val="Znakapoznpodarou"/>
                <w:rFonts w:eastAsia="MS Gothic"/>
                <w:spacing w:val="-6"/>
                <w:szCs w:val="20"/>
              </w:rPr>
              <w:footnoteReference w:id="23"/>
            </w:r>
            <w:r w:rsidRPr="005E6936">
              <w:rPr>
                <w:rStyle w:val="normaltextrun"/>
                <w:rFonts w:eastAsia="MS Gothic" w:cs="Arial"/>
                <w:spacing w:val="-6"/>
                <w:szCs w:val="20"/>
              </w:rPr>
              <w:t>, resp. sílící příliv prostředků z rozpočtu EU určený na výstavbu i modernizaci dopravní infrastruktury či na snížení energetické náročnosti v oblasti bydlení.</w:t>
            </w:r>
          </w:p>
        </w:tc>
      </w:tr>
      <w:tr w:rsidR="007D7F4F" w:rsidRPr="00784EC8" w14:paraId="3459965C" w14:textId="77777777" w:rsidTr="007D7F4F">
        <w:trPr>
          <w:trHeight w:val="170"/>
        </w:trPr>
        <w:tc>
          <w:tcPr>
            <w:tcW w:w="1814" w:type="dxa"/>
            <w:tcBorders>
              <w:top w:val="nil"/>
              <w:left w:val="nil"/>
              <w:bottom w:val="nil"/>
              <w:right w:val="nil"/>
            </w:tcBorders>
            <w:shd w:val="clear" w:color="auto" w:fill="auto"/>
            <w:tcMar>
              <w:left w:w="0" w:type="dxa"/>
            </w:tcMar>
          </w:tcPr>
          <w:p w14:paraId="6CD25593" w14:textId="77777777" w:rsidR="007D7F4F" w:rsidRPr="00784EC8" w:rsidRDefault="007D7F4F" w:rsidP="007D7F4F">
            <w:pPr>
              <w:pStyle w:val="Marginlie"/>
              <w:rPr>
                <w:color w:val="0D0D0D" w:themeColor="text1" w:themeTint="F2"/>
                <w:spacing w:val="-4"/>
              </w:rPr>
            </w:pPr>
            <w:r>
              <w:rPr>
                <w:color w:val="0D0D0D" w:themeColor="text1" w:themeTint="F2"/>
                <w:spacing w:val="-4"/>
              </w:rPr>
              <w:t xml:space="preserve">Stavební produkce se letos po příznivém zimním období mezikvartálně snížila ve 2. i 3. čtvrtletí. </w:t>
            </w:r>
          </w:p>
        </w:tc>
        <w:tc>
          <w:tcPr>
            <w:tcW w:w="229" w:type="dxa"/>
            <w:tcBorders>
              <w:top w:val="nil"/>
              <w:left w:val="nil"/>
              <w:bottom w:val="nil"/>
              <w:right w:val="nil"/>
            </w:tcBorders>
            <w:shd w:val="clear" w:color="auto" w:fill="auto"/>
            <w:tcMar>
              <w:left w:w="0" w:type="dxa"/>
            </w:tcMar>
          </w:tcPr>
          <w:p w14:paraId="5C29E109" w14:textId="77777777" w:rsidR="007D7F4F" w:rsidRPr="00784EC8"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DAB0131" w14:textId="77777777" w:rsidR="007D7F4F" w:rsidRPr="005E6936" w:rsidRDefault="007D7F4F" w:rsidP="007D7F4F">
            <w:pPr>
              <w:rPr>
                <w:color w:val="0D0D0D" w:themeColor="text1" w:themeTint="F2"/>
                <w:spacing w:val="-6"/>
              </w:rPr>
            </w:pPr>
            <w:r w:rsidRPr="005E6936">
              <w:rPr>
                <w:color w:val="0D0D0D" w:themeColor="text1" w:themeTint="F2"/>
                <w:spacing w:val="-6"/>
              </w:rPr>
              <w:t>Trend vývoje stavební produkce</w:t>
            </w:r>
            <w:r w:rsidRPr="005E6936">
              <w:rPr>
                <w:rStyle w:val="Znakapoznpodarou"/>
                <w:color w:val="0D0D0D" w:themeColor="text1" w:themeTint="F2"/>
                <w:spacing w:val="-6"/>
              </w:rPr>
              <w:footnoteReference w:id="24"/>
            </w:r>
            <w:r w:rsidRPr="005E6936">
              <w:rPr>
                <w:color w:val="0D0D0D" w:themeColor="text1" w:themeTint="F2"/>
                <w:spacing w:val="-6"/>
              </w:rPr>
              <w:t xml:space="preserve"> byl zatím letos mírně sestupný. Ta sice v 1. čtvrtletí mezikvartálně rostla o 2,4 % (zčásti díky velmi mírné zimě), v následujícím kvartálu se však o rovná 3 % snížila, když srovnatelně slabšího výkonu docílily jak pozemní, tak inženýrské stavitelství. Ve 3. čtvrtletí pokles celého odvětví zmírnil na 1,5 % a v samotném inženýrském stavitelství došlo dokonce k lehkému oživení. Stavební produkce za 1. až 3. čtvrtletí meziročně klesla o rovná 2 %, z drtivé části vlivem inženýrského stavitelství, kde se výkon propadl o</w:t>
            </w:r>
            <w:r w:rsidRPr="005E6936">
              <w:rPr>
                <w:rStyle w:val="normaltextrun"/>
                <w:rFonts w:eastAsia="MS Gothic" w:cs="Arial"/>
                <w:spacing w:val="-6"/>
                <w:szCs w:val="20"/>
              </w:rPr>
              <w:t> </w:t>
            </w:r>
            <w:r w:rsidRPr="005E6936">
              <w:rPr>
                <w:color w:val="0D0D0D" w:themeColor="text1" w:themeTint="F2"/>
                <w:spacing w:val="-6"/>
              </w:rPr>
              <w:t>4,6 % (zčásti vlivem vyšší loňské základny, zejména z počátku roku). V pozemním stavitelství produkce klesla mírněji (−1,1 %), tento obor byl však výrazněji utlumen v období pandemie. Ve 3. čtvrtletí tak letos produkce v obou hlavních oborech stavebnictví za shodným obdobím předkrizového roku 2019 zaostávala o více než 7 %.</w:t>
            </w:r>
          </w:p>
        </w:tc>
      </w:tr>
      <w:tr w:rsidR="007D7F4F" w:rsidRPr="00B63E5E" w14:paraId="170C6599" w14:textId="77777777" w:rsidTr="007D7F4F">
        <w:trPr>
          <w:trHeight w:val="170"/>
        </w:trPr>
        <w:tc>
          <w:tcPr>
            <w:tcW w:w="1814" w:type="dxa"/>
            <w:tcBorders>
              <w:top w:val="nil"/>
              <w:left w:val="nil"/>
              <w:bottom w:val="nil"/>
              <w:right w:val="nil"/>
            </w:tcBorders>
            <w:shd w:val="clear" w:color="auto" w:fill="auto"/>
            <w:tcMar>
              <w:left w:w="0" w:type="dxa"/>
            </w:tcMar>
          </w:tcPr>
          <w:p w14:paraId="6BEA0DED" w14:textId="77777777" w:rsidR="007D7F4F" w:rsidRDefault="007D7F4F" w:rsidP="007D7F4F">
            <w:pPr>
              <w:pStyle w:val="Marginlie"/>
              <w:rPr>
                <w:color w:val="0D0D0D" w:themeColor="text1" w:themeTint="F2"/>
                <w:spacing w:val="-4"/>
              </w:rPr>
            </w:pPr>
            <w:r>
              <w:rPr>
                <w:color w:val="0D0D0D" w:themeColor="text1" w:themeTint="F2"/>
                <w:spacing w:val="-4"/>
              </w:rPr>
              <w:lastRenderedPageBreak/>
              <w:t>Pokles poptávky se zřetelně otiskl v zahajované bytové výstavbě, kde výrazně propadl počet bytů v rodinných domech.</w:t>
            </w:r>
          </w:p>
        </w:tc>
        <w:tc>
          <w:tcPr>
            <w:tcW w:w="229" w:type="dxa"/>
            <w:tcBorders>
              <w:top w:val="nil"/>
              <w:left w:val="nil"/>
              <w:bottom w:val="nil"/>
              <w:right w:val="nil"/>
            </w:tcBorders>
            <w:shd w:val="clear" w:color="auto" w:fill="auto"/>
            <w:tcMar>
              <w:left w:w="0" w:type="dxa"/>
            </w:tcMar>
          </w:tcPr>
          <w:p w14:paraId="0D253A62" w14:textId="77777777" w:rsidR="007D7F4F" w:rsidRPr="00FB2830"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683D69B0" w14:textId="1A9FF865" w:rsidR="007D7F4F" w:rsidRPr="005E6936" w:rsidRDefault="007D7F4F" w:rsidP="007D7F4F">
            <w:pPr>
              <w:spacing w:after="200"/>
              <w:rPr>
                <w:rStyle w:val="normaltextrun"/>
                <w:rFonts w:eastAsia="MS Gothic" w:cs="Arial"/>
                <w:spacing w:val="-6"/>
                <w:szCs w:val="20"/>
              </w:rPr>
            </w:pPr>
            <w:r w:rsidRPr="005E6936">
              <w:rPr>
                <w:color w:val="0D0D0D" w:themeColor="text1" w:themeTint="F2"/>
                <w:spacing w:val="-6"/>
              </w:rPr>
              <w:t>V pozemním stavitelství je současné ochlazení poptávky nejzřetelněji zachyceno v oblasti zahajované bytové výstavby. Počet bytů od ledna do září meziročně propadl o sedminu (na 27,3 tis., na tříleté minimum). Pokles měl plošný charakter (i v krajském pohledu), růstový trend se zachoval jen</w:t>
            </w:r>
            <w:r w:rsidRPr="005E6936">
              <w:rPr>
                <w:rStyle w:val="normaltextrun"/>
                <w:rFonts w:eastAsia="MS Gothic" w:cs="Arial"/>
                <w:spacing w:val="-6"/>
                <w:szCs w:val="20"/>
              </w:rPr>
              <w:t xml:space="preserve"> v okrajových segmentech výstavby (nástavby k bytovým domům, adaptace nebytových budov). Vlivem vysokých finančních nákladů i nedostatku pracovníků (hlavně v menších stavebních firmách) došlo k meziročnímu propadu (o 30 %) u</w:t>
            </w:r>
            <w:r w:rsidRPr="005E6936">
              <w:rPr>
                <w:color w:val="0D0D0D" w:themeColor="text1" w:themeTint="F2"/>
                <w:spacing w:val="-6"/>
              </w:rPr>
              <w:t> </w:t>
            </w:r>
            <w:r w:rsidRPr="005E6936">
              <w:rPr>
                <w:rStyle w:val="normaltextrun"/>
                <w:rFonts w:eastAsia="MS Gothic" w:cs="Arial"/>
                <w:spacing w:val="-6"/>
                <w:szCs w:val="20"/>
              </w:rPr>
              <w:t>rodinných domů – počet zahájených bytů zde byl nejnižší za posledních osm let (11,2</w:t>
            </w:r>
            <w:r w:rsidRPr="005E6936">
              <w:rPr>
                <w:color w:val="0D0D0D" w:themeColor="text1" w:themeTint="F2"/>
                <w:spacing w:val="-6"/>
              </w:rPr>
              <w:t> </w:t>
            </w:r>
            <w:r w:rsidRPr="005E6936">
              <w:rPr>
                <w:rStyle w:val="normaltextrun"/>
                <w:rFonts w:eastAsia="MS Gothic" w:cs="Arial"/>
                <w:spacing w:val="-6"/>
                <w:szCs w:val="20"/>
              </w:rPr>
              <w:t>tis.). Počet dokončených bytů vlivem vysoké rozestavěnosti z předchozích let dosud letos klesl jen mírně (−3,5 %), četnost bytů v rodinných (13,5 tis.) i bytových domech (9,0</w:t>
            </w:r>
            <w:r w:rsidRPr="005E6936">
              <w:rPr>
                <w:color w:val="0D0D0D" w:themeColor="text1" w:themeTint="F2"/>
                <w:spacing w:val="-6"/>
              </w:rPr>
              <w:t> </w:t>
            </w:r>
            <w:r w:rsidR="000F0E42">
              <w:rPr>
                <w:rStyle w:val="normaltextrun"/>
                <w:rFonts w:eastAsia="MS Gothic" w:cs="Arial"/>
                <w:spacing w:val="-6"/>
                <w:szCs w:val="20"/>
              </w:rPr>
              <w:t>tis.) se</w:t>
            </w:r>
            <w:r w:rsidRPr="005E6936">
              <w:rPr>
                <w:rStyle w:val="normaltextrun"/>
                <w:rFonts w:eastAsia="MS Gothic" w:cs="Arial"/>
                <w:spacing w:val="-6"/>
                <w:szCs w:val="20"/>
              </w:rPr>
              <w:t xml:space="preserve"> od výstavby </w:t>
            </w:r>
            <w:r w:rsidRPr="00273024">
              <w:rPr>
                <w:rStyle w:val="normaltextrun"/>
                <w:rFonts w:eastAsia="MS Gothic" w:cs="Arial"/>
                <w:spacing w:val="-2"/>
                <w:szCs w:val="20"/>
              </w:rPr>
              <w:t xml:space="preserve">z éry všeobecného stavebního „boomu“ (2008 až 2009) </w:t>
            </w:r>
            <w:r w:rsidR="000F0E42" w:rsidRPr="005E6936">
              <w:rPr>
                <w:rStyle w:val="normaltextrun"/>
                <w:rFonts w:eastAsia="MS Gothic" w:cs="Arial"/>
                <w:spacing w:val="-6"/>
                <w:szCs w:val="20"/>
              </w:rPr>
              <w:t>příliš</w:t>
            </w:r>
            <w:r w:rsidR="000F0E42" w:rsidRPr="00273024">
              <w:rPr>
                <w:rStyle w:val="normaltextrun"/>
                <w:rFonts w:eastAsia="MS Gothic" w:cs="Arial"/>
                <w:spacing w:val="-2"/>
                <w:szCs w:val="20"/>
              </w:rPr>
              <w:t xml:space="preserve"> </w:t>
            </w:r>
            <w:r w:rsidRPr="00273024">
              <w:rPr>
                <w:rStyle w:val="normaltextrun"/>
                <w:rFonts w:eastAsia="MS Gothic" w:cs="Arial"/>
                <w:spacing w:val="-2"/>
                <w:szCs w:val="20"/>
              </w:rPr>
              <w:t>nelišila</w:t>
            </w:r>
            <w:r>
              <w:rPr>
                <w:rStyle w:val="normaltextrun"/>
                <w:rFonts w:eastAsia="MS Gothic" w:cs="Arial"/>
                <w:spacing w:val="-6"/>
                <w:szCs w:val="20"/>
              </w:rPr>
              <w:t>.</w:t>
            </w:r>
          </w:p>
        </w:tc>
      </w:tr>
      <w:tr w:rsidR="007D7F4F" w:rsidRPr="00D232BB" w14:paraId="2B1C4EBE" w14:textId="77777777" w:rsidTr="007D7F4F">
        <w:trPr>
          <w:trHeight w:val="170"/>
        </w:trPr>
        <w:tc>
          <w:tcPr>
            <w:tcW w:w="1814" w:type="dxa"/>
            <w:vMerge w:val="restart"/>
            <w:tcBorders>
              <w:top w:val="nil"/>
              <w:left w:val="nil"/>
              <w:bottom w:val="nil"/>
              <w:right w:val="nil"/>
            </w:tcBorders>
            <w:shd w:val="clear" w:color="auto" w:fill="auto"/>
            <w:tcMar>
              <w:left w:w="0" w:type="dxa"/>
            </w:tcMar>
          </w:tcPr>
          <w:p w14:paraId="51A25E32" w14:textId="77777777" w:rsidR="007D7F4F" w:rsidRDefault="007D7F4F" w:rsidP="007D7F4F">
            <w:pPr>
              <w:pStyle w:val="Marginlie"/>
            </w:pPr>
          </w:p>
        </w:tc>
        <w:tc>
          <w:tcPr>
            <w:tcW w:w="229" w:type="dxa"/>
            <w:vMerge w:val="restart"/>
            <w:tcBorders>
              <w:top w:val="nil"/>
              <w:left w:val="nil"/>
              <w:bottom w:val="nil"/>
              <w:right w:val="nil"/>
            </w:tcBorders>
            <w:shd w:val="clear" w:color="auto" w:fill="auto"/>
            <w:tcMar>
              <w:left w:w="0" w:type="dxa"/>
            </w:tcMar>
          </w:tcPr>
          <w:p w14:paraId="5D04862B"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119C0FF1" w14:textId="77777777" w:rsidR="007D7F4F" w:rsidRPr="005E6936" w:rsidRDefault="007D7F4F" w:rsidP="007D7F4F">
            <w:pPr>
              <w:spacing w:after="20"/>
              <w:rPr>
                <w:rFonts w:cs="Arial"/>
                <w:bCs/>
                <w:spacing w:val="-6"/>
              </w:rPr>
            </w:pPr>
            <w:r w:rsidRPr="005E6936">
              <w:rPr>
                <w:b/>
                <w:spacing w:val="-6"/>
              </w:rPr>
              <w:t xml:space="preserve">Graf č. 6 Příspěvky odvětví k meziroční změně stavební produkce </w:t>
            </w:r>
            <w:r w:rsidRPr="005E6936">
              <w:rPr>
                <w:spacing w:val="-6"/>
              </w:rPr>
              <w:t>(reálně, v p. b.)</w:t>
            </w:r>
            <w:r w:rsidRPr="005E6936">
              <w:rPr>
                <w:b/>
                <w:bCs/>
                <w:spacing w:val="-6"/>
              </w:rPr>
              <w:t>,</w:t>
            </w:r>
            <w:r w:rsidRPr="005E6936">
              <w:rPr>
                <w:b/>
                <w:bCs/>
                <w:spacing w:val="-6"/>
              </w:rPr>
              <w:br/>
            </w:r>
            <w:r w:rsidRPr="005E6936">
              <w:rPr>
                <w:b/>
                <w:spacing w:val="-6"/>
              </w:rPr>
              <w:t xml:space="preserve">nové stavební zakázky </w:t>
            </w:r>
            <w:r w:rsidRPr="005E6936">
              <w:rPr>
                <w:spacing w:val="-6"/>
              </w:rPr>
              <w:t>(</w:t>
            </w:r>
            <w:r w:rsidRPr="005E6936">
              <w:rPr>
                <w:bCs/>
                <w:spacing w:val="-6"/>
              </w:rPr>
              <w:t xml:space="preserve">nominálně, </w:t>
            </w:r>
            <w:r w:rsidRPr="005E6936">
              <w:rPr>
                <w:spacing w:val="-6"/>
              </w:rPr>
              <w:t>meziročně,</w:t>
            </w:r>
            <w:r w:rsidRPr="005E6936">
              <w:rPr>
                <w:bCs/>
                <w:spacing w:val="-6"/>
              </w:rPr>
              <w:t xml:space="preserve"> v %)</w:t>
            </w:r>
            <w:r w:rsidRPr="005E6936">
              <w:rPr>
                <w:b/>
                <w:spacing w:val="-6"/>
              </w:rPr>
              <w:t>, saldo důvěry podnikatelů ve stavebnictví*</w:t>
            </w:r>
            <w:r w:rsidRPr="005E6936">
              <w:rPr>
                <w:spacing w:val="-6"/>
              </w:rPr>
              <w:t xml:space="preserve"> (v p. b., pravá osa) </w:t>
            </w:r>
            <w:r w:rsidRPr="005E6936">
              <w:rPr>
                <w:b/>
                <w:spacing w:val="-6"/>
              </w:rPr>
              <w:t>a vybrané bariéry růstu</w:t>
            </w:r>
            <w:r w:rsidRPr="005E6936">
              <w:rPr>
                <w:spacing w:val="-6"/>
              </w:rPr>
              <w:t>* (v %, pravá osa)</w:t>
            </w:r>
          </w:p>
        </w:tc>
      </w:tr>
      <w:tr w:rsidR="007D7F4F" w:rsidRPr="0067514E" w14:paraId="11FEF72F" w14:textId="77777777" w:rsidTr="007D7F4F">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78059FB8" w14:textId="77777777" w:rsidR="007D7F4F" w:rsidRDefault="007D7F4F" w:rsidP="007D7F4F">
            <w:pPr>
              <w:pStyle w:val="Marginlie"/>
            </w:pPr>
          </w:p>
        </w:tc>
        <w:tc>
          <w:tcPr>
            <w:tcW w:w="229" w:type="dxa"/>
            <w:vMerge/>
            <w:tcBorders>
              <w:top w:val="nil"/>
              <w:left w:val="nil"/>
              <w:bottom w:val="nil"/>
              <w:right w:val="nil"/>
            </w:tcBorders>
            <w:shd w:val="clear" w:color="auto" w:fill="auto"/>
          </w:tcPr>
          <w:p w14:paraId="0ACD47BD"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Pr>
          <w:p w14:paraId="0045D4BD" w14:textId="77777777" w:rsidR="007D7F4F" w:rsidRPr="005E6936" w:rsidRDefault="007D7F4F" w:rsidP="007D7F4F">
            <w:pPr>
              <w:spacing w:after="0"/>
              <w:rPr>
                <w:spacing w:val="-6"/>
              </w:rPr>
            </w:pPr>
            <w:r w:rsidRPr="005E6936">
              <w:rPr>
                <w:noProof/>
                <w:spacing w:val="-6"/>
              </w:rPr>
              <w:drawing>
                <wp:inline distT="0" distB="0" distL="0" distR="0" wp14:anchorId="31486062" wp14:editId="40A64CAB">
                  <wp:extent cx="4734560" cy="3445727"/>
                  <wp:effectExtent l="0" t="0" r="8890" b="254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D7F4F" w:rsidRPr="008F2BE2" w14:paraId="05BD43D9" w14:textId="77777777" w:rsidTr="007D7F4F">
        <w:trPr>
          <w:trHeight w:val="170"/>
        </w:trPr>
        <w:tc>
          <w:tcPr>
            <w:tcW w:w="1814" w:type="dxa"/>
            <w:vMerge/>
            <w:tcBorders>
              <w:top w:val="nil"/>
              <w:left w:val="nil"/>
              <w:bottom w:val="nil"/>
              <w:right w:val="nil"/>
            </w:tcBorders>
            <w:shd w:val="clear" w:color="auto" w:fill="auto"/>
            <w:tcMar>
              <w:left w:w="0" w:type="dxa"/>
            </w:tcMar>
          </w:tcPr>
          <w:p w14:paraId="7D5D731B" w14:textId="77777777" w:rsidR="007D7F4F" w:rsidRDefault="007D7F4F" w:rsidP="007D7F4F">
            <w:pPr>
              <w:pStyle w:val="Marginlie"/>
            </w:pPr>
          </w:p>
        </w:tc>
        <w:tc>
          <w:tcPr>
            <w:tcW w:w="229" w:type="dxa"/>
            <w:vMerge/>
            <w:tcBorders>
              <w:top w:val="nil"/>
              <w:left w:val="nil"/>
              <w:bottom w:val="nil"/>
              <w:right w:val="nil"/>
            </w:tcBorders>
            <w:shd w:val="clear" w:color="auto" w:fill="auto"/>
            <w:tcMar>
              <w:left w:w="0" w:type="dxa"/>
            </w:tcMar>
          </w:tcPr>
          <w:p w14:paraId="0515C163"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EA8B248" w14:textId="77777777" w:rsidR="007D7F4F" w:rsidRPr="005E6936" w:rsidRDefault="007D7F4F" w:rsidP="007D7F4F">
            <w:pPr>
              <w:spacing w:after="0"/>
              <w:rPr>
                <w:rFonts w:cs="Arial"/>
                <w:spacing w:val="-6"/>
                <w:sz w:val="14"/>
                <w:szCs w:val="14"/>
              </w:rPr>
            </w:pPr>
            <w:r w:rsidRPr="005E6936">
              <w:rPr>
                <w:rFonts w:cs="Arial"/>
                <w:spacing w:val="-6"/>
                <w:sz w:val="14"/>
                <w:szCs w:val="14"/>
              </w:rPr>
              <w:t>Poznámka: Údaje o stavební produkci jsou očištěny o kalendářní vlivy.</w:t>
            </w:r>
          </w:p>
          <w:p w14:paraId="18CC3A4B" w14:textId="77777777" w:rsidR="007D7F4F" w:rsidRPr="005E6936" w:rsidRDefault="007D7F4F" w:rsidP="007D7F4F">
            <w:pPr>
              <w:pStyle w:val="Textpoznpodarou"/>
              <w:jc w:val="both"/>
              <w:rPr>
                <w:rFonts w:cs="Arial"/>
                <w:spacing w:val="-6"/>
                <w:sz w:val="14"/>
                <w:szCs w:val="14"/>
              </w:rPr>
            </w:pPr>
            <w:r w:rsidRPr="005E6936">
              <w:rPr>
                <w:rFonts w:cs="Arial"/>
                <w:spacing w:val="-6"/>
                <w:sz w:val="14"/>
                <w:szCs w:val="14"/>
              </w:rPr>
              <w:t>*Saldo důvěry podnikatelů i bariéry růstu jsou sezónně očištěny a vyjadřují stav ve druhém měsíci daného čtvrtletí. Podniky mohly uvést více hlavních bariér současně.                                                                                                 Zdroj: ČSÚ, Eurostat</w:t>
            </w:r>
          </w:p>
          <w:p w14:paraId="6DE50352" w14:textId="77777777" w:rsidR="007D7F4F" w:rsidRPr="005E6936" w:rsidRDefault="007D7F4F" w:rsidP="007D7F4F">
            <w:pPr>
              <w:pStyle w:val="Textpoznpodarou"/>
              <w:jc w:val="both"/>
              <w:rPr>
                <w:spacing w:val="-6"/>
                <w:sz w:val="14"/>
                <w:szCs w:val="14"/>
              </w:rPr>
            </w:pPr>
          </w:p>
        </w:tc>
      </w:tr>
      <w:tr w:rsidR="007D7F4F" w14:paraId="57BF4176" w14:textId="77777777" w:rsidTr="007D7F4F">
        <w:trPr>
          <w:trHeight w:val="170"/>
        </w:trPr>
        <w:tc>
          <w:tcPr>
            <w:tcW w:w="1814" w:type="dxa"/>
            <w:tcBorders>
              <w:top w:val="nil"/>
              <w:left w:val="nil"/>
              <w:bottom w:val="nil"/>
              <w:right w:val="nil"/>
            </w:tcBorders>
            <w:shd w:val="clear" w:color="auto" w:fill="auto"/>
            <w:tcMar>
              <w:left w:w="0" w:type="dxa"/>
            </w:tcMar>
          </w:tcPr>
          <w:p w14:paraId="48E09467" w14:textId="77777777" w:rsidR="007D7F4F" w:rsidRDefault="007D7F4F" w:rsidP="007D7F4F">
            <w:pPr>
              <w:pStyle w:val="Marginlie"/>
              <w:rPr>
                <w:rFonts w:cs="Arial"/>
                <w:color w:val="0D0D0D" w:themeColor="text1" w:themeTint="F2"/>
                <w:spacing w:val="-4"/>
              </w:rPr>
            </w:pPr>
            <w:r w:rsidRPr="00E16B2A">
              <w:rPr>
                <w:rFonts w:cs="Arial"/>
                <w:color w:val="0D0D0D" w:themeColor="text1" w:themeTint="F2"/>
                <w:spacing w:val="-4"/>
              </w:rPr>
              <w:t>Orientační hodnota</w:t>
            </w:r>
            <w:r>
              <w:rPr>
                <w:rFonts w:cs="Arial"/>
                <w:color w:val="0D0D0D" w:themeColor="text1" w:themeTint="F2"/>
                <w:spacing w:val="-4"/>
              </w:rPr>
              <w:t xml:space="preserve"> povolených staveb rostla ve 3. čtvrtletí svižněji než ceny stavebních prací.</w:t>
            </w:r>
          </w:p>
          <w:p w14:paraId="6AAA1293" w14:textId="77777777" w:rsidR="007D7F4F" w:rsidRDefault="007D7F4F" w:rsidP="007D7F4F">
            <w:pPr>
              <w:pStyle w:val="Marginlie"/>
              <w:rPr>
                <w:rFonts w:cs="Arial"/>
                <w:color w:val="0D0D0D" w:themeColor="text1" w:themeTint="F2"/>
                <w:spacing w:val="-4"/>
              </w:rPr>
            </w:pPr>
          </w:p>
          <w:p w14:paraId="19978578" w14:textId="77777777" w:rsidR="007D7F4F" w:rsidRDefault="007D7F4F" w:rsidP="007D7F4F">
            <w:pPr>
              <w:pStyle w:val="Marginlie"/>
              <w:rPr>
                <w:rFonts w:cs="Arial"/>
                <w:color w:val="0D0D0D" w:themeColor="text1" w:themeTint="F2"/>
                <w:spacing w:val="-4"/>
              </w:rPr>
            </w:pPr>
          </w:p>
          <w:p w14:paraId="64E80DEE" w14:textId="77777777" w:rsidR="007D7F4F" w:rsidRPr="00E16B2A" w:rsidRDefault="007D7F4F" w:rsidP="007D7F4F">
            <w:pPr>
              <w:pStyle w:val="Marginlie"/>
              <w:rPr>
                <w:rFonts w:cs="Arial"/>
                <w:color w:val="0D0D0D" w:themeColor="text1" w:themeTint="F2"/>
                <w:spacing w:val="-4"/>
              </w:rPr>
            </w:pPr>
            <w:r>
              <w:rPr>
                <w:rFonts w:cs="Arial"/>
                <w:color w:val="0D0D0D" w:themeColor="text1" w:themeTint="F2"/>
                <w:spacing w:val="-4"/>
              </w:rPr>
              <w:t>U nových stavebních zakázek došlo po nepříznivém vývoji v 1. pololetí k oživení.</w:t>
            </w:r>
          </w:p>
        </w:tc>
        <w:tc>
          <w:tcPr>
            <w:tcW w:w="229" w:type="dxa"/>
            <w:tcBorders>
              <w:top w:val="nil"/>
              <w:left w:val="nil"/>
              <w:bottom w:val="nil"/>
              <w:right w:val="nil"/>
            </w:tcBorders>
            <w:shd w:val="clear" w:color="auto" w:fill="auto"/>
            <w:tcMar>
              <w:left w:w="0" w:type="dxa"/>
            </w:tcMar>
          </w:tcPr>
          <w:p w14:paraId="356B4C49" w14:textId="77777777" w:rsidR="007D7F4F" w:rsidRPr="00D87405" w:rsidRDefault="007D7F4F" w:rsidP="007D7F4F">
            <w:pPr>
              <w:pStyle w:val="Textpoznpodarou"/>
              <w:jc w:val="both"/>
              <w:rPr>
                <w:rFonts w:eastAsia="Times New Roman" w:cs="Arial"/>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05A6AC7"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Některé předstihové ukazatele však aktuálně vyznívají pro stavebnictví lépe. Orientační hodnota povolených staveb vzrostla v září meziročně o 11 % (po zohlednění vývoje cen a</w:t>
            </w:r>
            <w:r>
              <w:rPr>
                <w:color w:val="0D0D0D" w:themeColor="text1" w:themeTint="F2"/>
                <w:spacing w:val="-6"/>
              </w:rPr>
              <w:t> </w:t>
            </w:r>
            <w:r w:rsidRPr="005E6936">
              <w:rPr>
                <w:color w:val="0D0D0D" w:themeColor="text1" w:themeTint="F2"/>
                <w:spacing w:val="-6"/>
              </w:rPr>
              <w:t>odečtení staveb nad 1 mld. korun o 2,5 %) a o desetinu byla vyšší i v kumulaci od počátku roku 2023</w:t>
            </w:r>
            <w:r w:rsidRPr="005E6936">
              <w:rPr>
                <w:rStyle w:val="Znakapoznpodarou"/>
                <w:color w:val="0D0D0D" w:themeColor="text1" w:themeTint="F2"/>
                <w:spacing w:val="-6"/>
              </w:rPr>
              <w:footnoteReference w:id="25"/>
            </w:r>
            <w:r w:rsidRPr="005E6936">
              <w:rPr>
                <w:color w:val="0D0D0D" w:themeColor="text1" w:themeTint="F2"/>
                <w:spacing w:val="-6"/>
              </w:rPr>
              <w:t xml:space="preserve">. Hodnota nových tuzemských </w:t>
            </w:r>
            <w:r>
              <w:rPr>
                <w:color w:val="0D0D0D" w:themeColor="text1" w:themeTint="F2"/>
                <w:spacing w:val="-6"/>
              </w:rPr>
              <w:t xml:space="preserve">zakázek (u stavebních firem nad </w:t>
            </w:r>
            <w:r w:rsidRPr="005E6936">
              <w:rPr>
                <w:color w:val="0D0D0D" w:themeColor="text1" w:themeTint="F2"/>
                <w:spacing w:val="-6"/>
              </w:rPr>
              <w:t xml:space="preserve">50 zaměstnanců) ve 3. čtvrtletí meziročně vzrostla o 27,9 % (po výrazném téměř 16% poklesu v 1. pololetí 2023 – </w:t>
            </w:r>
            <w:r w:rsidRPr="005E6936">
              <w:rPr>
                <w:rStyle w:val="normaltextrun"/>
                <w:rFonts w:eastAsia="MS Gothic" w:cs="Arial"/>
                <w:spacing w:val="-6"/>
                <w:szCs w:val="20"/>
              </w:rPr>
              <w:t>nejvyšším od krizového roku 2012</w:t>
            </w:r>
            <w:r w:rsidRPr="005E6936">
              <w:rPr>
                <w:color w:val="0D0D0D" w:themeColor="text1" w:themeTint="F2"/>
                <w:spacing w:val="-6"/>
              </w:rPr>
              <w:t>). Celková zásoba dosud nerealizovaných zakázek byla letos na konci září rovněž vyšší (o 3,8 %), pouze však díky veřejným zadavatelům. Rezervoár soukromých zakázek totiž po celý letošní rok citelně klesal (meziročně okolo 10 %). </w:t>
            </w:r>
          </w:p>
        </w:tc>
      </w:tr>
      <w:tr w:rsidR="007D7F4F" w14:paraId="659E03DB" w14:textId="77777777" w:rsidTr="007D7F4F">
        <w:trPr>
          <w:trHeight w:val="170"/>
        </w:trPr>
        <w:tc>
          <w:tcPr>
            <w:tcW w:w="1814" w:type="dxa"/>
            <w:tcBorders>
              <w:top w:val="nil"/>
              <w:left w:val="nil"/>
              <w:bottom w:val="nil"/>
              <w:right w:val="nil"/>
            </w:tcBorders>
            <w:shd w:val="clear" w:color="auto" w:fill="auto"/>
            <w:tcMar>
              <w:left w:w="0" w:type="dxa"/>
            </w:tcMar>
          </w:tcPr>
          <w:p w14:paraId="5F3F3EBB" w14:textId="77777777" w:rsidR="007D7F4F" w:rsidRPr="00FB2830" w:rsidRDefault="007D7F4F" w:rsidP="007D7F4F">
            <w:pPr>
              <w:pStyle w:val="Marginlie"/>
              <w:rPr>
                <w:color w:val="0D0D0D" w:themeColor="text1" w:themeTint="F2"/>
                <w:spacing w:val="-4"/>
              </w:rPr>
            </w:pPr>
            <w:r>
              <w:rPr>
                <w:spacing w:val="-4"/>
              </w:rPr>
              <w:t xml:space="preserve">Pesimismus podnikatelů ve stavebnictví se letos prohluboval, v listopadu ale došlo k mírnému zlepšení. Firmy však stále </w:t>
            </w:r>
            <w:r>
              <w:rPr>
                <w:spacing w:val="-4"/>
              </w:rPr>
              <w:lastRenderedPageBreak/>
              <w:t>očekávaly pokles výroby i</w:t>
            </w:r>
            <w:r>
              <w:rPr>
                <w:color w:val="0D0D0D" w:themeColor="text1" w:themeTint="F2"/>
                <w:spacing w:val="-4"/>
              </w:rPr>
              <w:t> </w:t>
            </w:r>
            <w:r>
              <w:rPr>
                <w:spacing w:val="-4"/>
              </w:rPr>
              <w:t>zaměstnanosti.</w:t>
            </w:r>
          </w:p>
        </w:tc>
        <w:tc>
          <w:tcPr>
            <w:tcW w:w="229" w:type="dxa"/>
            <w:tcBorders>
              <w:top w:val="nil"/>
              <w:left w:val="nil"/>
              <w:bottom w:val="nil"/>
              <w:right w:val="nil"/>
            </w:tcBorders>
            <w:shd w:val="clear" w:color="auto" w:fill="auto"/>
            <w:tcMar>
              <w:left w:w="0" w:type="dxa"/>
            </w:tcMar>
          </w:tcPr>
          <w:p w14:paraId="1856773C" w14:textId="77777777" w:rsidR="007D7F4F" w:rsidRPr="00FB2830"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828F078" w14:textId="77777777" w:rsidR="007D7F4F" w:rsidRPr="005E6936" w:rsidRDefault="007D7F4F" w:rsidP="007D7F4F">
            <w:pPr>
              <w:spacing w:after="200"/>
              <w:rPr>
                <w:rFonts w:cs="Arial"/>
                <w:color w:val="0D0D0D" w:themeColor="text1" w:themeTint="F2"/>
                <w:spacing w:val="-6"/>
              </w:rPr>
            </w:pPr>
            <w:r w:rsidRPr="005E6936">
              <w:rPr>
                <w:rFonts w:cs="Arial"/>
                <w:color w:val="0D0D0D" w:themeColor="text1" w:themeTint="F2"/>
                <w:spacing w:val="-6"/>
              </w:rPr>
              <w:t xml:space="preserve">V červenci 2023 klesla celková důvěra podnikatelů ve stavebnictví pod dlouhodobý průměr (2003–2022) a pesimismus zároveň dosáhl takřka šestiletého maxima. Tento stav přetrvával také během podzimu. V listopadu došlo k dílčímu zlepšení ve většině sledovaných konjunkturálních ukazatelů, celková důvěra i tak zůstala meziročně slabší. I přes převažující </w:t>
            </w:r>
            <w:r w:rsidRPr="005E6936">
              <w:rPr>
                <w:rFonts w:cs="Arial"/>
                <w:color w:val="0D0D0D" w:themeColor="text1" w:themeTint="F2"/>
                <w:spacing w:val="-6"/>
              </w:rPr>
              <w:lastRenderedPageBreak/>
              <w:t>nepříznivý pohled na současnou poptávku hodnotily stavební firmy svou aktuální ekonomickou situaci stále pozitivně, v půlročním výhledu však dále převládal mírný pesimismus. Negativní výhledy ve stavební činnosti i zaměstnanosti se oproti předchozím letošním měsícům zmírnily (</w:t>
            </w:r>
            <w:r w:rsidRPr="005E6936">
              <w:rPr>
                <w:color w:val="0D0D0D" w:themeColor="text1" w:themeTint="F2"/>
                <w:spacing w:val="-6"/>
              </w:rPr>
              <w:t>evidenční počet zaměstnanců ve středních a větších stavebních podnicích ovšem meziročně stále mírně rostl).</w:t>
            </w:r>
            <w:r w:rsidRPr="005E6936">
              <w:rPr>
                <w:rFonts w:cs="Arial"/>
                <w:color w:val="0D0D0D" w:themeColor="text1" w:themeTint="F2"/>
                <w:spacing w:val="-6"/>
              </w:rPr>
              <w:t xml:space="preserve"> Hlavní růstové bariéry zůstaly neměnné</w:t>
            </w:r>
            <w:r w:rsidRPr="005E6936">
              <w:rPr>
                <w:rStyle w:val="Znakapoznpodarou"/>
                <w:color w:val="0D0D0D" w:themeColor="text1" w:themeTint="F2"/>
                <w:spacing w:val="-6"/>
              </w:rPr>
              <w:footnoteReference w:id="26"/>
            </w:r>
            <w:r w:rsidRPr="005E6936">
              <w:rPr>
                <w:rFonts w:cs="Arial"/>
                <w:color w:val="0D0D0D" w:themeColor="text1" w:themeTint="F2"/>
                <w:spacing w:val="-6"/>
              </w:rPr>
              <w:t xml:space="preserve"> – okolo 30 % firem limitovala nedostatečná poptávka (nejvíce v pozemním stavitelství), obdobný podíl byl sužován nedostatkem pracovních si (zejména v</w:t>
            </w:r>
            <w:r w:rsidRPr="005E6936">
              <w:rPr>
                <w:color w:val="0D0D0D" w:themeColor="text1" w:themeTint="F2"/>
                <w:spacing w:val="-6"/>
              </w:rPr>
              <w:t> </w:t>
            </w:r>
            <w:r w:rsidRPr="005E6936">
              <w:rPr>
                <w:rFonts w:cs="Arial"/>
                <w:color w:val="0D0D0D" w:themeColor="text1" w:themeTint="F2"/>
                <w:spacing w:val="-6"/>
              </w:rPr>
              <w:t>segmentu specializovaných stavebních činností, kde hrají důležitou roli malé a střední firmy).</w:t>
            </w:r>
          </w:p>
        </w:tc>
      </w:tr>
      <w:tr w:rsidR="007D7F4F" w14:paraId="6CB4BCA4" w14:textId="77777777" w:rsidTr="007D7F4F">
        <w:trPr>
          <w:trHeight w:val="170"/>
        </w:trPr>
        <w:tc>
          <w:tcPr>
            <w:tcW w:w="1814" w:type="dxa"/>
            <w:tcBorders>
              <w:top w:val="nil"/>
              <w:left w:val="nil"/>
              <w:bottom w:val="nil"/>
              <w:right w:val="nil"/>
            </w:tcBorders>
            <w:shd w:val="clear" w:color="auto" w:fill="auto"/>
            <w:tcMar>
              <w:left w:w="0" w:type="dxa"/>
            </w:tcMar>
          </w:tcPr>
          <w:p w14:paraId="7A06E7B5" w14:textId="33D3B340" w:rsidR="007D7F4F" w:rsidRDefault="007D7F4F" w:rsidP="007D7F4F">
            <w:pPr>
              <w:pStyle w:val="Marginlie"/>
              <w:rPr>
                <w:color w:val="0D0D0D" w:themeColor="text1" w:themeTint="F2"/>
                <w:spacing w:val="-4"/>
              </w:rPr>
            </w:pPr>
            <w:r>
              <w:rPr>
                <w:color w:val="0D0D0D" w:themeColor="text1" w:themeTint="F2"/>
                <w:spacing w:val="-4"/>
              </w:rPr>
              <w:lastRenderedPageBreak/>
              <w:t>Mezikvartální pokles tržeb ve službách pokračoval nepřetržitě popáté v ř</w:t>
            </w:r>
            <w:r w:rsidR="001E6441">
              <w:rPr>
                <w:color w:val="0D0D0D" w:themeColor="text1" w:themeTint="F2"/>
                <w:spacing w:val="-4"/>
              </w:rPr>
              <w:t>adě. Výše tržeb</w:t>
            </w:r>
            <w:r>
              <w:rPr>
                <w:color w:val="0D0D0D" w:themeColor="text1" w:themeTint="F2"/>
                <w:spacing w:val="-4"/>
              </w:rPr>
              <w:t xml:space="preserve"> klesla pod předkrizovou úroveň.</w:t>
            </w:r>
          </w:p>
        </w:tc>
        <w:tc>
          <w:tcPr>
            <w:tcW w:w="229" w:type="dxa"/>
            <w:tcBorders>
              <w:top w:val="nil"/>
              <w:left w:val="nil"/>
              <w:bottom w:val="nil"/>
              <w:right w:val="nil"/>
            </w:tcBorders>
            <w:shd w:val="clear" w:color="auto" w:fill="auto"/>
            <w:tcMar>
              <w:left w:w="0" w:type="dxa"/>
            </w:tcMar>
          </w:tcPr>
          <w:p w14:paraId="75F41452" w14:textId="77777777" w:rsidR="007D7F4F" w:rsidRPr="00784EC8"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FBC7A83"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Poptávka po službách byla i během letošního roku nadále utlumená. Ačkoli potenciál</w:t>
            </w:r>
            <w:r w:rsidRPr="005E6936">
              <w:rPr>
                <w:rFonts w:cs="Arial"/>
                <w:color w:val="0D0D0D" w:themeColor="text1" w:themeTint="F2"/>
                <w:spacing w:val="-6"/>
              </w:rPr>
              <w:t xml:space="preserve"> jejího oživení se po odeznění pandemie v některých segmentech služeb (např. v cestovním ruchu) zatím zcela nevyčerpal, podstatnější roli hrálo to, že u řady jiných oblastí se projevila tendence tuzemských domácností k omezování „zbytných“ výdajů. Dopady vysokého růstu cen v ekonomice zasáhly rovněž podnikovou sféru, což vedlo i ke zvýšené potřebě optimalizace výrobních nákladů (např. u podpůrných a administrativních činností).</w:t>
            </w:r>
            <w:r w:rsidRPr="005E6936">
              <w:rPr>
                <w:color w:val="0D0D0D" w:themeColor="text1" w:themeTint="F2"/>
                <w:spacing w:val="-6"/>
              </w:rPr>
              <w:t xml:space="preserve"> </w:t>
            </w:r>
            <w:r w:rsidRPr="005E6936">
              <w:rPr>
                <w:rFonts w:cs="Arial"/>
                <w:color w:val="0D0D0D" w:themeColor="text1" w:themeTint="F2"/>
                <w:spacing w:val="-6"/>
              </w:rPr>
              <w:t xml:space="preserve">Tržby ve službách </w:t>
            </w:r>
            <w:r w:rsidRPr="005E6936">
              <w:rPr>
                <w:color w:val="0D0D0D" w:themeColor="text1" w:themeTint="F2"/>
                <w:spacing w:val="-6"/>
                <w:vertAlign w:val="superscript"/>
              </w:rPr>
              <w:footnoteReference w:id="27"/>
            </w:r>
            <w:r w:rsidRPr="005E6936">
              <w:rPr>
                <w:rFonts w:cs="Arial"/>
                <w:color w:val="0D0D0D" w:themeColor="text1" w:themeTint="F2"/>
                <w:spacing w:val="-6"/>
              </w:rPr>
              <w:t xml:space="preserve"> letos na samém počátku roku mezikvartálně klesly o 0,9 %, ve 2. i 3. čtvrtletí se následně snížily o dalších 1,5 %, resp. 1,3 %. Pokles tržeb tak přetrvával již pátý kvartál v řadě, na čemž mělo zásadní podíl odvětví dopravy a skladování. Zřetelné oslabování poptávky bylo letos patrné také v administrativních a podpůrných činnostech. Celkové tržby ve službách se v průběhu letošního roku opět vrátily pod úroveň roku 2019 (ve 3. čtvrtletí za ním zaostávaly o 2,3 %</w:t>
            </w:r>
            <w:r w:rsidRPr="005E6936">
              <w:rPr>
                <w:rStyle w:val="Znakapoznpodarou"/>
                <w:color w:val="0D0D0D" w:themeColor="text1" w:themeTint="F2"/>
                <w:spacing w:val="-6"/>
              </w:rPr>
              <w:footnoteReference w:id="28"/>
            </w:r>
            <w:r w:rsidRPr="005E6936">
              <w:rPr>
                <w:rFonts w:cs="Arial"/>
                <w:color w:val="0D0D0D" w:themeColor="text1" w:themeTint="F2"/>
                <w:spacing w:val="-6"/>
              </w:rPr>
              <w:t>).</w:t>
            </w:r>
          </w:p>
        </w:tc>
      </w:tr>
      <w:tr w:rsidR="007D7F4F" w14:paraId="632A887F" w14:textId="77777777" w:rsidTr="007D7F4F">
        <w:trPr>
          <w:trHeight w:val="170"/>
        </w:trPr>
        <w:tc>
          <w:tcPr>
            <w:tcW w:w="1814" w:type="dxa"/>
            <w:tcBorders>
              <w:top w:val="nil"/>
              <w:left w:val="nil"/>
              <w:bottom w:val="nil"/>
              <w:right w:val="nil"/>
            </w:tcBorders>
            <w:shd w:val="clear" w:color="auto" w:fill="auto"/>
            <w:tcMar>
              <w:left w:w="0" w:type="dxa"/>
            </w:tcMar>
          </w:tcPr>
          <w:p w14:paraId="6CB5E399" w14:textId="77777777" w:rsidR="007D7F4F" w:rsidRDefault="007D7F4F" w:rsidP="007D7F4F">
            <w:pPr>
              <w:pStyle w:val="Marginlie"/>
            </w:pPr>
            <w:r>
              <w:t>Meziroční pokles tržeb ve službách se během 1.</w:t>
            </w:r>
            <w:r>
              <w:rPr>
                <w:spacing w:val="-4"/>
              </w:rPr>
              <w:t xml:space="preserve"> až 3. čtvrtletí</w:t>
            </w:r>
            <w:r>
              <w:t xml:space="preserve"> prohluboval, především vlivem slábnoucí poptávky v dopravě a skladování.</w:t>
            </w:r>
          </w:p>
        </w:tc>
        <w:tc>
          <w:tcPr>
            <w:tcW w:w="229" w:type="dxa"/>
            <w:tcBorders>
              <w:top w:val="nil"/>
              <w:left w:val="nil"/>
              <w:bottom w:val="nil"/>
              <w:right w:val="nil"/>
            </w:tcBorders>
            <w:shd w:val="clear" w:color="auto" w:fill="auto"/>
            <w:tcMar>
              <w:left w:w="0" w:type="dxa"/>
            </w:tcMar>
          </w:tcPr>
          <w:p w14:paraId="18E966E3"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D1CC125" w14:textId="72362BBF" w:rsidR="007D7F4F" w:rsidRPr="005E6936" w:rsidRDefault="007D7F4F" w:rsidP="007D7F4F">
            <w:pPr>
              <w:spacing w:after="200"/>
              <w:rPr>
                <w:rFonts w:cs="Arial"/>
                <w:color w:val="0D0D0D" w:themeColor="text1" w:themeTint="F2"/>
                <w:spacing w:val="-6"/>
              </w:rPr>
            </w:pPr>
            <w:r w:rsidRPr="005E6936">
              <w:rPr>
                <w:rFonts w:cs="Arial"/>
                <w:color w:val="0D0D0D" w:themeColor="text1" w:themeTint="F2"/>
                <w:spacing w:val="-6"/>
              </w:rPr>
              <w:t>V úhrnu za 1. až 3. čtvrtletí 2023 se tržby ve službách meziročně snížily o 2,9 % (k jejich poklesu došlo poprvé po dvou předchozích letech). Z drtivé části se na tom podílelo klíčové odvětví dopravy a skladování (příspěvek −3,0 p. b.), jehož tržby propadly o 9,6 % (sice méně než za vr</w:t>
            </w:r>
            <w:r w:rsidR="001E6441">
              <w:rPr>
                <w:rFonts w:cs="Arial"/>
                <w:color w:val="0D0D0D" w:themeColor="text1" w:themeTint="F2"/>
                <w:spacing w:val="-6"/>
              </w:rPr>
              <w:t xml:space="preserve">cholu pandemie, ale podobně </w:t>
            </w:r>
            <w:r w:rsidRPr="005E6936">
              <w:rPr>
                <w:rFonts w:cs="Arial"/>
                <w:color w:val="0D0D0D" w:themeColor="text1" w:themeTint="F2"/>
                <w:spacing w:val="-6"/>
              </w:rPr>
              <w:t>jako v roce 2009). Projevil se zde především pokles ve skladování (vč. vedlejší činností v dopravě), jenž dosáhl 13,6</w:t>
            </w:r>
            <w:r w:rsidR="001E6441">
              <w:rPr>
                <w:rFonts w:cs="Arial"/>
                <w:color w:val="0D0D0D" w:themeColor="text1" w:themeTint="F2"/>
                <w:spacing w:val="-6"/>
              </w:rPr>
              <w:t xml:space="preserve"> % (z toho ve 3. čtvrtletí 17,6</w:t>
            </w:r>
            <w:r w:rsidR="001E6441" w:rsidRPr="005E6936">
              <w:rPr>
                <w:rFonts w:cs="Arial"/>
                <w:color w:val="0D0D0D" w:themeColor="text1" w:themeTint="F2"/>
                <w:spacing w:val="-6"/>
              </w:rPr>
              <w:t> </w:t>
            </w:r>
            <w:r w:rsidRPr="005E6936">
              <w:rPr>
                <w:rFonts w:cs="Arial"/>
                <w:color w:val="0D0D0D" w:themeColor="text1" w:themeTint="F2"/>
                <w:spacing w:val="-6"/>
              </w:rPr>
              <w:t>%). Útlum výkonu průmyslu i stavebnictví doprovázený nižším obratem zbožového zahraničního obchodu</w:t>
            </w:r>
            <w:r w:rsidRPr="005E6936">
              <w:rPr>
                <w:rStyle w:val="Znakapoznpodarou"/>
                <w:color w:val="0D0D0D" w:themeColor="text1" w:themeTint="F2"/>
                <w:spacing w:val="-6"/>
              </w:rPr>
              <w:footnoteReference w:id="29"/>
            </w:r>
            <w:r w:rsidR="001E6441">
              <w:rPr>
                <w:rFonts w:cs="Arial"/>
                <w:color w:val="0D0D0D" w:themeColor="text1" w:themeTint="F2"/>
                <w:spacing w:val="-6"/>
              </w:rPr>
              <w:t xml:space="preserve"> se odrazil i v nižších </w:t>
            </w:r>
            <w:r w:rsidRPr="005E6936">
              <w:rPr>
                <w:rFonts w:cs="Arial"/>
                <w:color w:val="0D0D0D" w:themeColor="text1" w:themeTint="F2"/>
                <w:spacing w:val="-6"/>
              </w:rPr>
              <w:t>výkone</w:t>
            </w:r>
            <w:r w:rsidR="001E6441">
              <w:rPr>
                <w:rFonts w:cs="Arial"/>
                <w:color w:val="0D0D0D" w:themeColor="text1" w:themeTint="F2"/>
                <w:spacing w:val="-6"/>
              </w:rPr>
              <w:t>ch nákladní dopravy (silniční i</w:t>
            </w:r>
            <w:r w:rsidR="001E6441" w:rsidRPr="005E6936">
              <w:rPr>
                <w:rFonts w:cs="Arial"/>
                <w:color w:val="0D0D0D" w:themeColor="text1" w:themeTint="F2"/>
                <w:spacing w:val="-6"/>
              </w:rPr>
              <w:t> </w:t>
            </w:r>
            <w:r w:rsidRPr="005E6936">
              <w:rPr>
                <w:rFonts w:cs="Arial"/>
                <w:color w:val="0D0D0D" w:themeColor="text1" w:themeTint="F2"/>
                <w:spacing w:val="-6"/>
              </w:rPr>
              <w:t>železniční). Pozitivně se naopak v tržbách pozemní d</w:t>
            </w:r>
            <w:r w:rsidR="001E6441">
              <w:rPr>
                <w:rFonts w:cs="Arial"/>
                <w:color w:val="0D0D0D" w:themeColor="text1" w:themeTint="F2"/>
                <w:spacing w:val="-6"/>
              </w:rPr>
              <w:t>opravy projevily vyšší</w:t>
            </w:r>
            <w:r w:rsidRPr="005E6936">
              <w:rPr>
                <w:rFonts w:cs="Arial"/>
                <w:color w:val="0D0D0D" w:themeColor="text1" w:themeTint="F2"/>
                <w:spacing w:val="-6"/>
              </w:rPr>
              <w:t xml:space="preserve"> výkony osobní dopravy na železnici spojené s výraznějším posílením přeshraniční dopravy, ale i rozvojem regionální dopravy (modernizace tratí, zapojování nových oblastí do systémů integrované dopravy). Meziročně vzrostly i výkony vnitrostátní veřejné autobusové dopravy, ale podobně jako v ostatních druzích osobní dopravy zatím zaostaly z</w:t>
            </w:r>
            <w:r w:rsidR="00CD5EE0">
              <w:rPr>
                <w:rFonts w:cs="Arial"/>
                <w:color w:val="0D0D0D" w:themeColor="text1" w:themeTint="F2"/>
                <w:spacing w:val="-6"/>
              </w:rPr>
              <w:t>a „předcovidov</w:t>
            </w:r>
            <w:r w:rsidR="001E6441">
              <w:rPr>
                <w:rFonts w:cs="Arial"/>
                <w:color w:val="0D0D0D" w:themeColor="text1" w:themeTint="F2"/>
                <w:spacing w:val="-6"/>
              </w:rPr>
              <w:t>ou“ úrovní (mj. i</w:t>
            </w:r>
            <w:r w:rsidR="001E6441" w:rsidRPr="005E6936">
              <w:rPr>
                <w:rFonts w:cs="Arial"/>
                <w:color w:val="0D0D0D" w:themeColor="text1" w:themeTint="F2"/>
                <w:spacing w:val="-6"/>
              </w:rPr>
              <w:t> </w:t>
            </w:r>
            <w:r w:rsidRPr="005E6936">
              <w:rPr>
                <w:rFonts w:cs="Arial"/>
                <w:color w:val="0D0D0D" w:themeColor="text1" w:themeTint="F2"/>
                <w:spacing w:val="-6"/>
              </w:rPr>
              <w:t xml:space="preserve">vlivem většího rozšíření práce z domova). Pokračující zotavování příjezdového cestovního ruchu podpořilo tržby v letecké dopravě. Mírně se zvýšily rovněž tržby ve vodní dopravě. Naopak poštovní a kurýrní činnosti utržily meziročně o 3,9 % méně. Výkony zde klesají druhým rokem v řadě, což lze z velké části připsat dopadu poklesu poptávky v oblasti dříve se silně rozvíjejících internetových prodejů.  </w:t>
            </w:r>
          </w:p>
        </w:tc>
      </w:tr>
      <w:tr w:rsidR="007D7F4F" w14:paraId="0399772F" w14:textId="77777777" w:rsidTr="007D7F4F">
        <w:trPr>
          <w:trHeight w:val="170"/>
        </w:trPr>
        <w:tc>
          <w:tcPr>
            <w:tcW w:w="1814" w:type="dxa"/>
            <w:tcBorders>
              <w:top w:val="nil"/>
              <w:left w:val="nil"/>
              <w:bottom w:val="nil"/>
              <w:right w:val="nil"/>
            </w:tcBorders>
            <w:shd w:val="clear" w:color="auto" w:fill="auto"/>
            <w:tcMar>
              <w:left w:w="0" w:type="dxa"/>
            </w:tcMar>
          </w:tcPr>
          <w:p w14:paraId="71C36B17" w14:textId="77777777" w:rsidR="007D7F4F" w:rsidRDefault="007D7F4F" w:rsidP="007D7F4F">
            <w:pPr>
              <w:pStyle w:val="Marginlie"/>
              <w:rPr>
                <w:color w:val="0D0D0D" w:themeColor="text1" w:themeTint="F2"/>
                <w:spacing w:val="-4"/>
              </w:rPr>
            </w:pPr>
            <w:r w:rsidRPr="000B4858">
              <w:t>Celková poptávka po cestovním ruchu v ČR poprvé překonala úroveň z roku 2019.</w:t>
            </w:r>
            <w:r>
              <w:t xml:space="preserve"> </w:t>
            </w:r>
            <w:r w:rsidRPr="000B4858">
              <w:t xml:space="preserve">Meziroční růst tržeb v ubytování </w:t>
            </w:r>
            <w:r>
              <w:t xml:space="preserve">však </w:t>
            </w:r>
            <w:r w:rsidRPr="000B4858">
              <w:t>slábl</w:t>
            </w:r>
            <w:r>
              <w:t>.</w:t>
            </w:r>
          </w:p>
        </w:tc>
        <w:tc>
          <w:tcPr>
            <w:tcW w:w="229" w:type="dxa"/>
            <w:tcBorders>
              <w:top w:val="nil"/>
              <w:left w:val="nil"/>
              <w:bottom w:val="nil"/>
              <w:right w:val="nil"/>
            </w:tcBorders>
            <w:shd w:val="clear" w:color="auto" w:fill="auto"/>
            <w:tcMar>
              <w:left w:w="0" w:type="dxa"/>
            </w:tcMar>
          </w:tcPr>
          <w:p w14:paraId="70F05454" w14:textId="77777777" w:rsidR="007D7F4F" w:rsidRPr="00784EC8"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EE007D6"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 xml:space="preserve">Tržby v ubytování, stravování a pohostinství vzrostly za tři letošní čtvrtletí meziročně </w:t>
            </w:r>
            <w:r w:rsidRPr="005E6936">
              <w:rPr>
                <w:color w:val="0D0D0D" w:themeColor="text1" w:themeTint="F2"/>
                <w:spacing w:val="-6"/>
              </w:rPr>
              <w:br/>
              <w:t>o 3,9 %. Svižnější tempo vykázal segment ubytování (+9,1 %), téměř výhradně však díky nižší srovnávací základně, neboť v mezikvartálním pohledu se zde totiž růst tržeb letos zastavil</w:t>
            </w:r>
            <w:r w:rsidRPr="005E6936">
              <w:rPr>
                <w:rStyle w:val="Znakapoznpodarou"/>
                <w:color w:val="0D0D0D" w:themeColor="text1" w:themeTint="F2"/>
                <w:spacing w:val="-6"/>
              </w:rPr>
              <w:footnoteReference w:id="30"/>
            </w:r>
            <w:r w:rsidRPr="005E6936">
              <w:rPr>
                <w:color w:val="0D0D0D" w:themeColor="text1" w:themeTint="F2"/>
                <w:spacing w:val="-6"/>
              </w:rPr>
              <w:t xml:space="preserve">. Meziroční růst počtu příjezdů i přenocování hostů v HUZ v Česku však pokračoval, byť tempo postupně sláblo – jak u domácí, tak zahraniční klientely. Ve 3. čtvrtletí přijelo do Česka 7,9 mil. hostů, meziročně o 7,9 % více. Celková poptávka po cestovním ruchu v ČR </w:t>
            </w:r>
            <w:r w:rsidRPr="005E6936">
              <w:rPr>
                <w:color w:val="0D0D0D" w:themeColor="text1" w:themeTint="F2"/>
                <w:spacing w:val="-6"/>
              </w:rPr>
              <w:lastRenderedPageBreak/>
              <w:t>poprvé překonala předkrizovou úroveň – oproti 3. kvartálu 2019 přijelo o 4,3 % hostů více</w:t>
            </w:r>
            <w:r w:rsidRPr="005E6936">
              <w:rPr>
                <w:color w:val="0D0D0D" w:themeColor="text1" w:themeTint="F2"/>
                <w:spacing w:val="-6"/>
                <w:vertAlign w:val="superscript"/>
              </w:rPr>
              <w:footnoteReference w:id="31"/>
            </w:r>
            <w:r w:rsidRPr="005E6936">
              <w:rPr>
                <w:color w:val="0D0D0D" w:themeColor="text1" w:themeTint="F2"/>
                <w:spacing w:val="-6"/>
              </w:rPr>
              <w:t>, počet jejich přenocování byl vyšší o 2,4 % (z toho u zahraničních hostů však poptávka stále o více než desetinu zaostávala). Segment stravování a pohostinství více ovlivňovala slábnoucí kupní síla tuzemských domácností a tržby zde letos za 1. až 3. čtvrtletí meziročně posílily jen o 2,2 %.</w:t>
            </w:r>
          </w:p>
        </w:tc>
      </w:tr>
      <w:tr w:rsidR="007D7F4F" w14:paraId="197ACC4C" w14:textId="77777777" w:rsidTr="007D7F4F">
        <w:trPr>
          <w:trHeight w:val="170"/>
        </w:trPr>
        <w:tc>
          <w:tcPr>
            <w:tcW w:w="1814" w:type="dxa"/>
            <w:tcBorders>
              <w:top w:val="nil"/>
              <w:left w:val="nil"/>
              <w:bottom w:val="nil"/>
              <w:right w:val="nil"/>
            </w:tcBorders>
            <w:shd w:val="clear" w:color="auto" w:fill="auto"/>
            <w:tcMar>
              <w:left w:w="0" w:type="dxa"/>
            </w:tcMar>
          </w:tcPr>
          <w:p w14:paraId="317E02C4" w14:textId="77777777" w:rsidR="007D7F4F" w:rsidRDefault="007D7F4F" w:rsidP="007D7F4F">
            <w:pPr>
              <w:pStyle w:val="Marginlie"/>
            </w:pPr>
          </w:p>
        </w:tc>
        <w:tc>
          <w:tcPr>
            <w:tcW w:w="229" w:type="dxa"/>
            <w:tcBorders>
              <w:top w:val="nil"/>
              <w:left w:val="nil"/>
              <w:bottom w:val="nil"/>
              <w:right w:val="nil"/>
            </w:tcBorders>
            <w:shd w:val="clear" w:color="auto" w:fill="auto"/>
            <w:tcMar>
              <w:left w:w="0" w:type="dxa"/>
            </w:tcMar>
          </w:tcPr>
          <w:p w14:paraId="4A3CF7FD"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0027622" w14:textId="77777777" w:rsidR="007D7F4F" w:rsidRPr="005E6936" w:rsidRDefault="007D7F4F" w:rsidP="007D7F4F">
            <w:pPr>
              <w:spacing w:after="40"/>
              <w:rPr>
                <w:b/>
                <w:spacing w:val="-6"/>
              </w:rPr>
            </w:pPr>
            <w:r w:rsidRPr="005E6936">
              <w:rPr>
                <w:b/>
                <w:spacing w:val="-6"/>
              </w:rPr>
              <w:t xml:space="preserve">Graf č. 7 </w:t>
            </w:r>
            <w:r w:rsidRPr="005E6936">
              <w:rPr>
                <w:b/>
                <w:bCs/>
                <w:spacing w:val="-6"/>
              </w:rPr>
              <w:t>Příspěvky dílčích odvětví k meziroční změně tržeb ve službách*</w:t>
            </w:r>
            <w:r w:rsidRPr="005E6936">
              <w:rPr>
                <w:b/>
                <w:spacing w:val="-6"/>
              </w:rPr>
              <w:br/>
            </w:r>
            <w:r w:rsidRPr="005E6936">
              <w:rPr>
                <w:spacing w:val="-6"/>
              </w:rPr>
              <w:t>(reálně, v p. b),</w:t>
            </w:r>
            <w:r w:rsidRPr="005E6936">
              <w:rPr>
                <w:b/>
                <w:spacing w:val="-6"/>
              </w:rPr>
              <w:t xml:space="preserve"> </w:t>
            </w:r>
            <w:r w:rsidRPr="005E6936">
              <w:rPr>
                <w:b/>
                <w:bCs/>
                <w:spacing w:val="-6"/>
              </w:rPr>
              <w:t xml:space="preserve">celkové tržby ve službách* </w:t>
            </w:r>
            <w:r w:rsidRPr="005E6936">
              <w:rPr>
                <w:spacing w:val="-6"/>
              </w:rPr>
              <w:t>(báze 2015=100, pravá osa),</w:t>
            </w:r>
            <w:r w:rsidRPr="005E6936">
              <w:rPr>
                <w:b/>
                <w:spacing w:val="-6"/>
              </w:rPr>
              <w:t xml:space="preserve"> </w:t>
            </w:r>
            <w:r w:rsidRPr="005E6936">
              <w:rPr>
                <w:b/>
                <w:bCs/>
                <w:spacing w:val="-6"/>
              </w:rPr>
              <w:t>saldo důvěry podnikatelů ve službách**</w:t>
            </w:r>
            <w:r w:rsidRPr="005E6936">
              <w:rPr>
                <w:b/>
                <w:spacing w:val="-6"/>
              </w:rPr>
              <w:t xml:space="preserve"> </w:t>
            </w:r>
            <w:r w:rsidRPr="005E6936">
              <w:rPr>
                <w:spacing w:val="-6"/>
              </w:rPr>
              <w:t>(v p. b., pravá osa)</w:t>
            </w:r>
            <w:r w:rsidRPr="005E6936">
              <w:rPr>
                <w:b/>
                <w:bCs/>
                <w:spacing w:val="-6"/>
              </w:rPr>
              <w:t xml:space="preserve"> a bariéry růstu**</w:t>
            </w:r>
            <w:r w:rsidRPr="005E6936">
              <w:rPr>
                <w:b/>
                <w:spacing w:val="-6"/>
              </w:rPr>
              <w:t xml:space="preserve"> </w:t>
            </w:r>
            <w:r w:rsidRPr="005E6936">
              <w:rPr>
                <w:spacing w:val="-6"/>
              </w:rPr>
              <w:t xml:space="preserve">(v %, pravá osa) </w:t>
            </w:r>
          </w:p>
        </w:tc>
      </w:tr>
      <w:tr w:rsidR="007D7F4F" w14:paraId="35503E84" w14:textId="77777777" w:rsidTr="007D7F4F">
        <w:tblPrEx>
          <w:tblCellMar>
            <w:left w:w="70" w:type="dxa"/>
            <w:right w:w="70" w:type="dxa"/>
          </w:tblCellMar>
        </w:tblPrEx>
        <w:trPr>
          <w:trHeight w:val="170"/>
        </w:trPr>
        <w:tc>
          <w:tcPr>
            <w:tcW w:w="1814" w:type="dxa"/>
            <w:tcBorders>
              <w:top w:val="nil"/>
              <w:left w:val="nil"/>
              <w:bottom w:val="nil"/>
              <w:right w:val="nil"/>
            </w:tcBorders>
            <w:shd w:val="clear" w:color="auto" w:fill="auto"/>
          </w:tcPr>
          <w:p w14:paraId="16FC4033" w14:textId="77777777" w:rsidR="007D7F4F" w:rsidRDefault="007D7F4F" w:rsidP="007D7F4F">
            <w:pPr>
              <w:pStyle w:val="Marginlie"/>
            </w:pPr>
          </w:p>
        </w:tc>
        <w:tc>
          <w:tcPr>
            <w:tcW w:w="229" w:type="dxa"/>
            <w:tcBorders>
              <w:top w:val="nil"/>
              <w:left w:val="nil"/>
              <w:bottom w:val="nil"/>
              <w:right w:val="nil"/>
            </w:tcBorders>
            <w:shd w:val="clear" w:color="auto" w:fill="auto"/>
          </w:tcPr>
          <w:p w14:paraId="6637AE08"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Pr>
          <w:p w14:paraId="011C4A04" w14:textId="77777777" w:rsidR="007D7F4F" w:rsidRPr="005E6936" w:rsidRDefault="007D7F4F" w:rsidP="007D7F4F">
            <w:pPr>
              <w:spacing w:after="0"/>
              <w:rPr>
                <w:rFonts w:cs="Arial"/>
                <w:spacing w:val="-6"/>
                <w:sz w:val="14"/>
                <w:szCs w:val="14"/>
              </w:rPr>
            </w:pPr>
            <w:r w:rsidRPr="005E6936">
              <w:rPr>
                <w:noProof/>
                <w:spacing w:val="-6"/>
              </w:rPr>
              <w:drawing>
                <wp:inline distT="0" distB="0" distL="0" distR="0" wp14:anchorId="46D81762" wp14:editId="6B05ED94">
                  <wp:extent cx="4734560" cy="3434576"/>
                  <wp:effectExtent l="0" t="0" r="889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D7F4F" w14:paraId="4C6268DB" w14:textId="77777777" w:rsidTr="007D7F4F">
        <w:trPr>
          <w:trHeight w:val="170"/>
        </w:trPr>
        <w:tc>
          <w:tcPr>
            <w:tcW w:w="1814" w:type="dxa"/>
            <w:tcBorders>
              <w:top w:val="nil"/>
              <w:left w:val="nil"/>
              <w:bottom w:val="nil"/>
              <w:right w:val="nil"/>
            </w:tcBorders>
            <w:shd w:val="clear" w:color="auto" w:fill="auto"/>
            <w:tcMar>
              <w:left w:w="0" w:type="dxa"/>
            </w:tcMar>
          </w:tcPr>
          <w:p w14:paraId="627B173B" w14:textId="77777777" w:rsidR="007D7F4F" w:rsidRDefault="007D7F4F" w:rsidP="007D7F4F">
            <w:pPr>
              <w:pStyle w:val="Marginlie"/>
            </w:pPr>
          </w:p>
        </w:tc>
        <w:tc>
          <w:tcPr>
            <w:tcW w:w="229" w:type="dxa"/>
            <w:tcBorders>
              <w:top w:val="nil"/>
              <w:left w:val="nil"/>
              <w:bottom w:val="nil"/>
              <w:right w:val="nil"/>
            </w:tcBorders>
            <w:shd w:val="clear" w:color="auto" w:fill="auto"/>
            <w:tcMar>
              <w:left w:w="0" w:type="dxa"/>
            </w:tcMar>
          </w:tcPr>
          <w:p w14:paraId="27373081"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0B4C7C9D" w14:textId="77777777" w:rsidR="007D7F4F" w:rsidRPr="005E6936" w:rsidRDefault="007D7F4F" w:rsidP="007D7F4F">
            <w:pPr>
              <w:spacing w:after="0" w:line="240" w:lineRule="auto"/>
              <w:rPr>
                <w:rFonts w:cs="Arial"/>
                <w:spacing w:val="-6"/>
                <w:sz w:val="14"/>
                <w:szCs w:val="14"/>
              </w:rPr>
            </w:pPr>
            <w:r w:rsidRPr="005E6936">
              <w:rPr>
                <w:rFonts w:cs="Arial"/>
                <w:spacing w:val="-6"/>
                <w:sz w:val="14"/>
                <w:szCs w:val="14"/>
              </w:rPr>
              <w:t>Poznámka: všechny údaje jsou sezónně očištěny, pouze příspěvky dílčích odvětví k růstu tržeb jsou očištěny jen o kalendářní vlivy.</w:t>
            </w:r>
          </w:p>
          <w:p w14:paraId="10554BE9" w14:textId="77777777" w:rsidR="007D7F4F" w:rsidRPr="005E6936" w:rsidRDefault="007D7F4F" w:rsidP="007D7F4F">
            <w:pPr>
              <w:spacing w:after="0" w:line="240" w:lineRule="auto"/>
              <w:rPr>
                <w:rFonts w:cs="Arial"/>
                <w:spacing w:val="-6"/>
                <w:sz w:val="14"/>
                <w:szCs w:val="14"/>
              </w:rPr>
            </w:pPr>
            <w:r w:rsidRPr="005E6936">
              <w:rPr>
                <w:rFonts w:cs="Arial"/>
                <w:spacing w:val="-6"/>
                <w:sz w:val="14"/>
                <w:szCs w:val="14"/>
              </w:rPr>
              <w:t>*Bez odvětví obchodu, peněžnictví, pojišťovnictví, vědy, výzkumu a veřejných služeb.</w:t>
            </w:r>
          </w:p>
          <w:p w14:paraId="334DD7F4" w14:textId="77777777" w:rsidR="007D7F4F" w:rsidRPr="005E6936" w:rsidRDefault="007D7F4F" w:rsidP="007D7F4F">
            <w:pPr>
              <w:spacing w:after="200" w:line="240" w:lineRule="auto"/>
              <w:rPr>
                <w:rFonts w:cs="Arial"/>
                <w:spacing w:val="-6"/>
                <w:sz w:val="14"/>
                <w:szCs w:val="14"/>
              </w:rPr>
            </w:pPr>
            <w:r w:rsidRPr="005E6936">
              <w:rPr>
                <w:rFonts w:cs="Arial"/>
                <w:spacing w:val="-6"/>
                <w:sz w:val="14"/>
                <w:szCs w:val="14"/>
              </w:rPr>
              <w:t>.**Zahrnuje i finanční sektor. Saldo důvěry podnikatelů i bariéry růstu vyjadřují stav v prvním (bariéry růstu), resp. ve druhém měsíci daného čtvrtletí (saldo důvěry). Podniky mohly uvést více hlavních bariér současně.                        Zdroj: ČSÚ, Eurostat</w:t>
            </w:r>
          </w:p>
        </w:tc>
      </w:tr>
      <w:tr w:rsidR="007D7F4F" w14:paraId="7E3F3470" w14:textId="77777777" w:rsidTr="007D7F4F">
        <w:trPr>
          <w:trHeight w:val="170"/>
        </w:trPr>
        <w:tc>
          <w:tcPr>
            <w:tcW w:w="1814" w:type="dxa"/>
            <w:tcBorders>
              <w:top w:val="nil"/>
              <w:left w:val="nil"/>
              <w:bottom w:val="nil"/>
              <w:right w:val="nil"/>
            </w:tcBorders>
            <w:shd w:val="clear" w:color="auto" w:fill="auto"/>
            <w:tcMar>
              <w:left w:w="0" w:type="dxa"/>
            </w:tcMar>
          </w:tcPr>
          <w:p w14:paraId="765D82C1" w14:textId="77777777" w:rsidR="007D7F4F" w:rsidRDefault="007D7F4F" w:rsidP="007D7F4F">
            <w:pPr>
              <w:pStyle w:val="Marginlie"/>
              <w:rPr>
                <w:color w:val="0D0D0D" w:themeColor="text1" w:themeTint="F2"/>
              </w:rPr>
            </w:pPr>
            <w:r w:rsidRPr="00112739">
              <w:rPr>
                <w:color w:val="0D0D0D" w:themeColor="text1" w:themeTint="F2"/>
                <w:spacing w:val="-6"/>
              </w:rPr>
              <w:t>Růst tržeb v dlouhodobě prosperujících informačních a komunikačních činnostech se zastavil,</w:t>
            </w:r>
            <w:r>
              <w:rPr>
                <w:color w:val="0D0D0D" w:themeColor="text1" w:themeTint="F2"/>
              </w:rPr>
              <w:t xml:space="preserve"> </w:t>
            </w:r>
            <w:r w:rsidRPr="00112739">
              <w:rPr>
                <w:color w:val="0D0D0D" w:themeColor="text1" w:themeTint="F2"/>
                <w:spacing w:val="-4"/>
              </w:rPr>
              <w:t xml:space="preserve">naopak poptávka po profesních, technických </w:t>
            </w:r>
            <w:r>
              <w:rPr>
                <w:color w:val="0D0D0D" w:themeColor="text1" w:themeTint="F2"/>
                <w:spacing w:val="-4"/>
              </w:rPr>
              <w:br/>
            </w:r>
            <w:r w:rsidRPr="00112739">
              <w:rPr>
                <w:color w:val="0D0D0D" w:themeColor="text1" w:themeTint="F2"/>
                <w:spacing w:val="-4"/>
              </w:rPr>
              <w:t>a vědeckých činnostech se dále zvyšovala.</w:t>
            </w:r>
            <w:r>
              <w:rPr>
                <w:color w:val="0D0D0D" w:themeColor="text1" w:themeTint="F2"/>
              </w:rPr>
              <w:t xml:space="preserve"> </w:t>
            </w:r>
          </w:p>
          <w:p w14:paraId="7C6E2736" w14:textId="77777777" w:rsidR="007D7F4F" w:rsidRDefault="007D7F4F" w:rsidP="007D7F4F">
            <w:pPr>
              <w:pStyle w:val="Marginlie"/>
              <w:rPr>
                <w:color w:val="0D0D0D" w:themeColor="text1" w:themeTint="F2"/>
              </w:rPr>
            </w:pPr>
          </w:p>
          <w:p w14:paraId="28E3419F" w14:textId="77777777" w:rsidR="007D7F4F" w:rsidRDefault="007D7F4F" w:rsidP="007D7F4F">
            <w:pPr>
              <w:pStyle w:val="Marginlie"/>
              <w:rPr>
                <w:color w:val="0D0D0D" w:themeColor="text1" w:themeTint="F2"/>
              </w:rPr>
            </w:pPr>
          </w:p>
          <w:p w14:paraId="3159461B" w14:textId="77777777" w:rsidR="007D7F4F" w:rsidRPr="00951B5E" w:rsidRDefault="007D7F4F" w:rsidP="007D7F4F">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48E34F60" w14:textId="77777777" w:rsidR="007D7F4F" w:rsidRPr="00784EC8"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53690059" w14:textId="4834BB11" w:rsidR="007D7F4F" w:rsidRPr="005E6936" w:rsidRDefault="007D7F4F" w:rsidP="007D7F4F">
            <w:pPr>
              <w:spacing w:after="200"/>
              <w:rPr>
                <w:color w:val="0D0D0D" w:themeColor="text1" w:themeTint="F2"/>
                <w:spacing w:val="-6"/>
              </w:rPr>
            </w:pPr>
            <w:r w:rsidRPr="005E6936">
              <w:rPr>
                <w:rFonts w:cs="Arial"/>
                <w:color w:val="0D0D0D" w:themeColor="text1" w:themeTint="F2"/>
                <w:spacing w:val="-6"/>
              </w:rPr>
              <w:t xml:space="preserve">V odvětví informační a komunikační činnosti tržby se v </w:t>
            </w:r>
            <w:r w:rsidRPr="005E6936">
              <w:rPr>
                <w:color w:val="0D0D0D" w:themeColor="text1" w:themeTint="F2"/>
                <w:spacing w:val="-6"/>
              </w:rPr>
              <w:t>1. až 3. čtvrtletí 2023 meziročně snížily (o</w:t>
            </w:r>
            <w:r w:rsidRPr="005E6936">
              <w:rPr>
                <w:rFonts w:cs="Arial"/>
                <w:color w:val="0D0D0D" w:themeColor="text1" w:themeTint="F2"/>
                <w:spacing w:val="-6"/>
              </w:rPr>
              <w:t> </w:t>
            </w:r>
            <w:r w:rsidRPr="005E6936">
              <w:rPr>
                <w:color w:val="0D0D0D" w:themeColor="text1" w:themeTint="F2"/>
                <w:spacing w:val="-6"/>
              </w:rPr>
              <w:t>0,7 %), poprvé v tomto období od roku 2013</w:t>
            </w:r>
            <w:r w:rsidRPr="005E6936">
              <w:rPr>
                <w:rStyle w:val="Znakapoznpodarou"/>
                <w:color w:val="0D0D0D" w:themeColor="text1" w:themeTint="F2"/>
                <w:spacing w:val="-6"/>
              </w:rPr>
              <w:footnoteReference w:id="32"/>
            </w:r>
            <w:r w:rsidRPr="005E6936">
              <w:rPr>
                <w:color w:val="0D0D0D" w:themeColor="text1" w:themeTint="F2"/>
                <w:spacing w:val="-6"/>
              </w:rPr>
              <w:t>. K letošnímu poklesu přispěla zejména slabší poptávka v informačních činnostech</w:t>
            </w:r>
            <w:r w:rsidRPr="005E6936">
              <w:rPr>
                <w:rStyle w:val="Znakapoznpodarou"/>
                <w:color w:val="0D0D0D" w:themeColor="text1" w:themeTint="F2"/>
                <w:spacing w:val="-6"/>
              </w:rPr>
              <w:footnoteReference w:id="33"/>
            </w:r>
            <w:r w:rsidRPr="005E6936">
              <w:rPr>
                <w:color w:val="0D0D0D" w:themeColor="text1" w:themeTint="F2"/>
                <w:spacing w:val="-6"/>
              </w:rPr>
              <w:t>, klesly rovněž tržby vydavatelům či v tzv. filmovém a hudebním průmyslu</w:t>
            </w:r>
            <w:r w:rsidRPr="005E6936">
              <w:rPr>
                <w:rStyle w:val="Znakapoznpodarou"/>
                <w:color w:val="0D0D0D" w:themeColor="text1" w:themeTint="F2"/>
                <w:spacing w:val="-6"/>
              </w:rPr>
              <w:footnoteReference w:id="34"/>
            </w:r>
            <w:r w:rsidRPr="005E6936">
              <w:rPr>
                <w:color w:val="0D0D0D" w:themeColor="text1" w:themeTint="F2"/>
                <w:spacing w:val="-6"/>
              </w:rPr>
              <w:t xml:space="preserve">. V dlouhodobě rostoucích činnostech v oblasti IT (zahrnujících např. programování či správu počítačového vybavení) nebo v </w:t>
            </w:r>
            <w:r w:rsidR="001E6441">
              <w:rPr>
                <w:color w:val="0D0D0D" w:themeColor="text1" w:themeTint="F2"/>
                <w:spacing w:val="-6"/>
              </w:rPr>
              <w:t>telekomunikacích tržby letos</w:t>
            </w:r>
            <w:r w:rsidRPr="005E6936">
              <w:rPr>
                <w:color w:val="0D0D0D" w:themeColor="text1" w:themeTint="F2"/>
                <w:spacing w:val="-6"/>
              </w:rPr>
              <w:t xml:space="preserve"> stagnovaly (v samotném 3. čtvrtletí se mírně snižovaly). Mírný, ale stabilní růst poptávky přetrvá</w:t>
            </w:r>
            <w:r w:rsidR="00CD5EE0">
              <w:rPr>
                <w:color w:val="0D0D0D" w:themeColor="text1" w:themeTint="F2"/>
                <w:spacing w:val="-6"/>
              </w:rPr>
              <w:t>val</w:t>
            </w:r>
            <w:r w:rsidRPr="005E6936">
              <w:rPr>
                <w:color w:val="0D0D0D" w:themeColor="text1" w:themeTint="F2"/>
                <w:spacing w:val="-6"/>
              </w:rPr>
              <w:t xml:space="preserve"> letos v odvětví profesní, vědecké a technické činnosti. Za tři čtvrtletí zde tržby vzrostly o 2,2 %, když se dařilo takřka všem oborům. Nejvíce tak rostly tržby právním </w:t>
            </w:r>
            <w:r w:rsidRPr="005E6936">
              <w:rPr>
                <w:color w:val="0D0D0D" w:themeColor="text1" w:themeTint="F2"/>
                <w:spacing w:val="-6"/>
              </w:rPr>
              <w:lastRenderedPageBreak/>
              <w:t>a</w:t>
            </w:r>
            <w:r>
              <w:rPr>
                <w:color w:val="0D0D0D" w:themeColor="text1" w:themeTint="F2"/>
                <w:spacing w:val="-6"/>
              </w:rPr>
              <w:t> </w:t>
            </w:r>
            <w:r w:rsidRPr="005E6936">
              <w:rPr>
                <w:color w:val="0D0D0D" w:themeColor="text1" w:themeTint="F2"/>
                <w:spacing w:val="-6"/>
              </w:rPr>
              <w:t xml:space="preserve">účetnickým činnostem (+3,6 %), k růstu celého odvětví ale nejvíce přispěly architektonické a inženýrské činnosti (+2,9 %), kde se poptávka zvyšovala navzdory potížím ve stavebnictví. Po slabším loňském roku letos mírně ožila poptávka v oblasti reklamy, v kontrastu s tím pokračoval pokles v oblasti průzkumu trhu a veřejného mínění. </w:t>
            </w:r>
          </w:p>
        </w:tc>
      </w:tr>
      <w:tr w:rsidR="007D7F4F" w14:paraId="313AD35A" w14:textId="77777777" w:rsidTr="007D7F4F">
        <w:trPr>
          <w:trHeight w:val="170"/>
        </w:trPr>
        <w:tc>
          <w:tcPr>
            <w:tcW w:w="1814" w:type="dxa"/>
            <w:tcBorders>
              <w:top w:val="nil"/>
              <w:left w:val="nil"/>
              <w:bottom w:val="nil"/>
              <w:right w:val="nil"/>
            </w:tcBorders>
            <w:shd w:val="clear" w:color="auto" w:fill="auto"/>
            <w:tcMar>
              <w:left w:w="0" w:type="dxa"/>
            </w:tcMar>
          </w:tcPr>
          <w:p w14:paraId="59CBB249" w14:textId="77777777" w:rsidR="007D7F4F" w:rsidRDefault="007D7F4F" w:rsidP="007D7F4F">
            <w:pPr>
              <w:pStyle w:val="Marginlie"/>
              <w:rPr>
                <w:color w:val="0D0D0D" w:themeColor="text1" w:themeTint="F2"/>
              </w:rPr>
            </w:pPr>
            <w:r>
              <w:rPr>
                <w:color w:val="0D0D0D" w:themeColor="text1" w:themeTint="F2"/>
              </w:rPr>
              <w:lastRenderedPageBreak/>
              <w:t>Propad tržeb pracovních agentur pokračoval, cyklický útlum poptávky nastal i v řadě dalších podnikových služeb.</w:t>
            </w:r>
          </w:p>
          <w:p w14:paraId="76836F43" w14:textId="77777777" w:rsidR="007D7F4F" w:rsidRDefault="007D7F4F" w:rsidP="007D7F4F">
            <w:pPr>
              <w:pStyle w:val="Marginlie"/>
            </w:pPr>
          </w:p>
        </w:tc>
        <w:tc>
          <w:tcPr>
            <w:tcW w:w="229" w:type="dxa"/>
            <w:tcBorders>
              <w:top w:val="nil"/>
              <w:left w:val="nil"/>
              <w:bottom w:val="nil"/>
              <w:right w:val="nil"/>
            </w:tcBorders>
            <w:shd w:val="clear" w:color="auto" w:fill="auto"/>
            <w:tcMar>
              <w:left w:w="0" w:type="dxa"/>
            </w:tcMar>
          </w:tcPr>
          <w:p w14:paraId="2B5047E4"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1E2B4B1" w14:textId="77777777" w:rsidR="007D7F4F" w:rsidRPr="005E6936" w:rsidRDefault="007D7F4F" w:rsidP="007D7F4F">
            <w:pPr>
              <w:spacing w:after="200"/>
              <w:rPr>
                <w:rFonts w:cs="Arial"/>
                <w:color w:val="0D0D0D" w:themeColor="text1" w:themeTint="F2"/>
                <w:spacing w:val="-6"/>
                <w:szCs w:val="20"/>
              </w:rPr>
            </w:pPr>
            <w:r w:rsidRPr="005E6936">
              <w:rPr>
                <w:color w:val="0D0D0D" w:themeColor="text1" w:themeTint="F2"/>
                <w:spacing w:val="-6"/>
              </w:rPr>
              <w:t>Odvětví administrativní a podpůrné činnosti, poskytující často méně sofistikované služby převážně pro podniky, registrovalo v 1. až 3. čtvrtletí 2,3% pokles tržeb. Cyklický útlum poptávky zde nastal ve většině oborů. Ten byl patrný především v oblasti pronájmu a operativního leasingu, kde nejvíce klesaly tržby za stroje, zařízení a nákladní automobily, ale rovněž za výrobky pro osobní potřebu a převážně pro domácnost. Poptávka klesla také v oblasti bezpečnostních a pátracích činností nebo u úklidových činností. Pracovním agenturám se propadly tržby dvojciferným tempem druhý rok v řadě</w:t>
            </w:r>
            <w:r w:rsidRPr="005E6936">
              <w:rPr>
                <w:rStyle w:val="Znakapoznpodarou"/>
                <w:color w:val="0D0D0D" w:themeColor="text1" w:themeTint="F2"/>
                <w:spacing w:val="-6"/>
              </w:rPr>
              <w:footnoteReference w:id="35"/>
            </w:r>
            <w:r w:rsidRPr="005E6936">
              <w:rPr>
                <w:color w:val="0D0D0D" w:themeColor="text1" w:themeTint="F2"/>
                <w:spacing w:val="-6"/>
              </w:rPr>
              <w:t xml:space="preserve"> (proti roku 2019 byly letos v 1. až 3. čtvrtletí nižší o více než třetinu). Dařilo se naopak </w:t>
            </w:r>
            <w:r w:rsidRPr="005E6936">
              <w:rPr>
                <w:rFonts w:cs="Arial"/>
                <w:color w:val="0D0D0D" w:themeColor="text1" w:themeTint="F2"/>
                <w:spacing w:val="-6"/>
              </w:rPr>
              <w:t>cestovním agenturám a</w:t>
            </w:r>
            <w:r w:rsidRPr="005E6936">
              <w:rPr>
                <w:color w:val="0D0D0D" w:themeColor="text1" w:themeTint="F2"/>
                <w:spacing w:val="-6"/>
              </w:rPr>
              <w:t> </w:t>
            </w:r>
            <w:r w:rsidRPr="005E6936">
              <w:rPr>
                <w:rFonts w:cs="Arial"/>
                <w:color w:val="0D0D0D" w:themeColor="text1" w:themeTint="F2"/>
                <w:spacing w:val="-6"/>
              </w:rPr>
              <w:t>kancelářím, kde letos tržby díky příznivému vývoji v jarních i letních měsících za tři čtvrtletí meziročně vzrostly o</w:t>
            </w:r>
            <w:r w:rsidRPr="005E6936">
              <w:rPr>
                <w:color w:val="0D0D0D" w:themeColor="text1" w:themeTint="F2"/>
                <w:spacing w:val="-6"/>
              </w:rPr>
              <w:t> </w:t>
            </w:r>
            <w:r w:rsidRPr="005E6936">
              <w:rPr>
                <w:rFonts w:cs="Arial"/>
                <w:color w:val="0D0D0D" w:themeColor="text1" w:themeTint="F2"/>
                <w:spacing w:val="-6"/>
              </w:rPr>
              <w:t>6,4 % a v létě téměř dorovnaly úroveň z roku 2019.</w:t>
            </w:r>
          </w:p>
        </w:tc>
      </w:tr>
      <w:tr w:rsidR="007D7F4F" w14:paraId="29FFD3F6" w14:textId="77777777" w:rsidTr="007D7F4F">
        <w:trPr>
          <w:trHeight w:val="170"/>
        </w:trPr>
        <w:tc>
          <w:tcPr>
            <w:tcW w:w="1814" w:type="dxa"/>
            <w:tcBorders>
              <w:top w:val="nil"/>
              <w:left w:val="nil"/>
              <w:bottom w:val="nil"/>
              <w:right w:val="nil"/>
            </w:tcBorders>
            <w:shd w:val="clear" w:color="auto" w:fill="auto"/>
            <w:tcMar>
              <w:left w:w="0" w:type="dxa"/>
            </w:tcMar>
          </w:tcPr>
          <w:p w14:paraId="38CAF07F" w14:textId="77777777" w:rsidR="007D7F4F" w:rsidRDefault="007D7F4F" w:rsidP="007D7F4F">
            <w:pPr>
              <w:pStyle w:val="Marginlie"/>
            </w:pPr>
            <w:r>
              <w:t>Mezikvartální pokles tržeb nastal poosmé v řadě.</w:t>
            </w:r>
          </w:p>
          <w:p w14:paraId="5C7918F1" w14:textId="77777777" w:rsidR="007D7F4F" w:rsidRDefault="007D7F4F" w:rsidP="007D7F4F">
            <w:pPr>
              <w:pStyle w:val="Marginlie"/>
            </w:pPr>
          </w:p>
          <w:p w14:paraId="2CBEC977" w14:textId="77777777" w:rsidR="007D7F4F" w:rsidRDefault="007D7F4F" w:rsidP="007D7F4F">
            <w:pPr>
              <w:pStyle w:val="Marginlie"/>
            </w:pPr>
          </w:p>
          <w:p w14:paraId="2E43B3FF" w14:textId="77777777" w:rsidR="007D7F4F" w:rsidRDefault="007D7F4F" w:rsidP="007D7F4F">
            <w:pPr>
              <w:pStyle w:val="Marginlie"/>
            </w:pPr>
          </w:p>
          <w:p w14:paraId="765D0856" w14:textId="77777777" w:rsidR="007D7F4F" w:rsidRDefault="007D7F4F" w:rsidP="007D7F4F">
            <w:pPr>
              <w:pStyle w:val="Marginlie"/>
            </w:pPr>
          </w:p>
          <w:p w14:paraId="6A15CF1D" w14:textId="77777777" w:rsidR="007D7F4F" w:rsidRDefault="007D7F4F" w:rsidP="007D7F4F">
            <w:pPr>
              <w:pStyle w:val="Marginlie"/>
            </w:pPr>
          </w:p>
          <w:p w14:paraId="61B77FBF" w14:textId="77777777" w:rsidR="007D7F4F" w:rsidRDefault="007D7F4F" w:rsidP="007D7F4F">
            <w:pPr>
              <w:pStyle w:val="Marginlie"/>
            </w:pPr>
          </w:p>
          <w:p w14:paraId="57ACB806" w14:textId="77777777" w:rsidR="007D7F4F" w:rsidRDefault="007D7F4F" w:rsidP="007D7F4F">
            <w:pPr>
              <w:pStyle w:val="Marginlie"/>
            </w:pPr>
            <w:r>
              <w:t xml:space="preserve">Pesimismus spotřebitelů se zmírnil, optimismus obchodníků se částečně rozplynul. </w:t>
            </w:r>
          </w:p>
        </w:tc>
        <w:tc>
          <w:tcPr>
            <w:tcW w:w="229" w:type="dxa"/>
            <w:tcBorders>
              <w:top w:val="nil"/>
              <w:left w:val="nil"/>
              <w:bottom w:val="nil"/>
              <w:right w:val="nil"/>
            </w:tcBorders>
            <w:shd w:val="clear" w:color="auto" w:fill="auto"/>
            <w:tcMar>
              <w:left w:w="0" w:type="dxa"/>
            </w:tcMar>
          </w:tcPr>
          <w:p w14:paraId="181C9EC4"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1D037DDA" w14:textId="5C9B4F45" w:rsidR="007D7F4F" w:rsidRPr="005E6936" w:rsidRDefault="007D7F4F" w:rsidP="007D7F4F">
            <w:pPr>
              <w:spacing w:after="200"/>
              <w:rPr>
                <w:rFonts w:cs="Arial"/>
                <w:color w:val="0D0D0D" w:themeColor="text1" w:themeTint="F2"/>
                <w:spacing w:val="-6"/>
                <w:szCs w:val="20"/>
              </w:rPr>
            </w:pPr>
            <w:r w:rsidRPr="005E6936">
              <w:rPr>
                <w:rFonts w:cs="Arial"/>
                <w:color w:val="0D0D0D" w:themeColor="text1" w:themeTint="F2"/>
                <w:spacing w:val="-6"/>
                <w:szCs w:val="20"/>
              </w:rPr>
              <w:t>Maloobchod se stále potýkal s utlumenou poptávkou, která vyvěrala z pokračujícího poklesu reálných příjmů domácností i slabé spotřebitelské důvěry v ekonomiku</w:t>
            </w:r>
            <w:r w:rsidRPr="005E6936">
              <w:rPr>
                <w:rStyle w:val="Znakapoznpodarou"/>
                <w:color w:val="0D0D0D" w:themeColor="text1" w:themeTint="F2"/>
                <w:spacing w:val="-6"/>
                <w:szCs w:val="20"/>
              </w:rPr>
              <w:footnoteReference w:id="36"/>
            </w:r>
            <w:r w:rsidRPr="005E6936">
              <w:rPr>
                <w:rFonts w:cs="Arial"/>
                <w:color w:val="0D0D0D" w:themeColor="text1" w:themeTint="F2"/>
                <w:spacing w:val="-6"/>
                <w:szCs w:val="20"/>
              </w:rPr>
              <w:t>. Dílčí pozitivní vliv měl rostoucí počet spotřebitelů (díky příchodu uprchlíků z Ukrajiny i postupnému zotavování turismu), naopak negativně působily stále častější výjezdy tuzemských domácností na přeshraniční nákupy</w:t>
            </w:r>
            <w:r w:rsidRPr="005E6936">
              <w:rPr>
                <w:rStyle w:val="Znakapoznpodarou"/>
                <w:color w:val="0D0D0D" w:themeColor="text1" w:themeTint="F2"/>
                <w:spacing w:val="-6"/>
                <w:szCs w:val="20"/>
              </w:rPr>
              <w:footnoteReference w:id="37"/>
            </w:r>
            <w:r w:rsidRPr="005E6936">
              <w:rPr>
                <w:rFonts w:cs="Arial"/>
                <w:color w:val="0D0D0D" w:themeColor="text1" w:themeTint="F2"/>
                <w:spacing w:val="-6"/>
                <w:szCs w:val="20"/>
              </w:rPr>
              <w:t>. Ve 3. čtvrtletí 2023 se tržby v maloobchodu</w:t>
            </w:r>
            <w:r w:rsidRPr="005E6936">
              <w:rPr>
                <w:rStyle w:val="Znakapoznpodarou"/>
                <w:color w:val="0D0D0D" w:themeColor="text1" w:themeTint="F2"/>
                <w:spacing w:val="-6"/>
              </w:rPr>
              <w:footnoteReference w:id="38"/>
            </w:r>
            <w:r w:rsidRPr="005E6936">
              <w:rPr>
                <w:rFonts w:cs="Arial"/>
                <w:color w:val="0D0D0D" w:themeColor="text1" w:themeTint="F2"/>
                <w:spacing w:val="-6"/>
                <w:szCs w:val="20"/>
              </w:rPr>
              <w:t xml:space="preserve"> mezikvartálně snížily o 0,2 % a pokračovaly tak v poklesu poosmé v řadě (z velké části kopírovaly trend celkových výdajů domácností na konečnou spotřebu). Délka i hloubka poklesu tržeb</w:t>
            </w:r>
            <w:r w:rsidRPr="005E6936">
              <w:rPr>
                <w:rStyle w:val="Znakapoznpodarou"/>
                <w:color w:val="0D0D0D" w:themeColor="text1" w:themeTint="F2"/>
                <w:spacing w:val="-6"/>
                <w:szCs w:val="20"/>
              </w:rPr>
              <w:footnoteReference w:id="39"/>
            </w:r>
            <w:r w:rsidRPr="005E6936">
              <w:rPr>
                <w:rFonts w:cs="Arial"/>
                <w:color w:val="0D0D0D" w:themeColor="text1" w:themeTint="F2"/>
                <w:spacing w:val="-6"/>
                <w:szCs w:val="20"/>
              </w:rPr>
              <w:t xml:space="preserve"> neměla ve srovnatelné časové řadě (po roce 2000) obdoby. Přestože se tržby v nominálním vyjádření letos meziročně zvyšovaly takřka ve všech segmentech maloobchodu a jejich výše se zpravidla nacházela na historických maximech</w:t>
            </w:r>
            <w:r w:rsidR="001E6441">
              <w:rPr>
                <w:rFonts w:cs="Arial"/>
                <w:color w:val="0D0D0D" w:themeColor="text1" w:themeTint="F2"/>
                <w:spacing w:val="-6"/>
                <w:szCs w:val="20"/>
              </w:rPr>
              <w:t xml:space="preserve"> pro tato čtvrtletí</w:t>
            </w:r>
            <w:r w:rsidRPr="005E6936">
              <w:rPr>
                <w:rFonts w:cs="Arial"/>
                <w:color w:val="0D0D0D" w:themeColor="text1" w:themeTint="F2"/>
                <w:spacing w:val="-6"/>
                <w:szCs w:val="20"/>
              </w:rPr>
              <w:t>, reálné tržby za celý maloobchod odpovídaly ve 3. čtvrtletí úrovni z počátku roku 2018 (z toho u potravin pouze z konce roku 2014). Na nepříznivý vývoj poptávky reagovali s odstupem i podnikatelé v obchodu a důvěra v tomto odvětví tak klesla letos v říjnu na nejnižší úroveň od jara 2021</w:t>
            </w:r>
            <w:r w:rsidRPr="005E6936">
              <w:rPr>
                <w:rStyle w:val="Znakapoznpodarou"/>
                <w:color w:val="0D0D0D" w:themeColor="text1" w:themeTint="F2"/>
                <w:spacing w:val="-6"/>
                <w:szCs w:val="20"/>
              </w:rPr>
              <w:footnoteReference w:id="40"/>
            </w:r>
            <w:r w:rsidRPr="005E6936">
              <w:rPr>
                <w:rFonts w:cs="Arial"/>
                <w:color w:val="0D0D0D" w:themeColor="text1" w:themeTint="F2"/>
                <w:spacing w:val="-6"/>
                <w:szCs w:val="20"/>
              </w:rPr>
              <w:t>.</w:t>
            </w:r>
          </w:p>
        </w:tc>
      </w:tr>
      <w:tr w:rsidR="007D7F4F" w14:paraId="734F9472" w14:textId="77777777" w:rsidTr="007D7F4F">
        <w:trPr>
          <w:trHeight w:val="170"/>
        </w:trPr>
        <w:tc>
          <w:tcPr>
            <w:tcW w:w="1814" w:type="dxa"/>
            <w:tcBorders>
              <w:top w:val="nil"/>
              <w:left w:val="nil"/>
              <w:bottom w:val="nil"/>
              <w:right w:val="nil"/>
            </w:tcBorders>
            <w:shd w:val="clear" w:color="auto" w:fill="auto"/>
            <w:tcMar>
              <w:left w:w="0" w:type="dxa"/>
            </w:tcMar>
          </w:tcPr>
          <w:p w14:paraId="56734DF2" w14:textId="77777777" w:rsidR="007D7F4F" w:rsidRDefault="007D7F4F" w:rsidP="007D7F4F">
            <w:pPr>
              <w:pStyle w:val="Marginlie"/>
            </w:pPr>
            <w:r>
              <w:t>Za meziročním poklesem tržeb maloobchodu stála slabá poptávka po nepotravinářském zboží, zejména po výrobcích pro domácnost.</w:t>
            </w:r>
          </w:p>
          <w:p w14:paraId="208224FE" w14:textId="77777777" w:rsidR="007D7F4F" w:rsidRDefault="007D7F4F" w:rsidP="007D7F4F">
            <w:pPr>
              <w:pStyle w:val="Marginlie"/>
            </w:pPr>
            <w:r>
              <w:lastRenderedPageBreak/>
              <w:t>Tržby v internetovém prodeji klesly druhý rok v řadě.</w:t>
            </w:r>
          </w:p>
          <w:p w14:paraId="3BD1E337" w14:textId="77777777" w:rsidR="007D7F4F" w:rsidRDefault="007D7F4F" w:rsidP="007D7F4F">
            <w:pPr>
              <w:pStyle w:val="Marginlie"/>
            </w:pPr>
          </w:p>
          <w:p w14:paraId="7E067EA2" w14:textId="77777777" w:rsidR="007D7F4F" w:rsidRDefault="007D7F4F" w:rsidP="007D7F4F">
            <w:pPr>
              <w:pStyle w:val="Marginlie"/>
            </w:pPr>
          </w:p>
          <w:p w14:paraId="5A34FBE5" w14:textId="77777777" w:rsidR="007D7F4F" w:rsidRDefault="007D7F4F" w:rsidP="007D7F4F">
            <w:pPr>
              <w:pStyle w:val="Marginlie"/>
            </w:pPr>
          </w:p>
          <w:p w14:paraId="3DB06186" w14:textId="77777777" w:rsidR="007D7F4F" w:rsidRDefault="007D7F4F" w:rsidP="007D7F4F">
            <w:pPr>
              <w:pStyle w:val="Marginlie"/>
            </w:pPr>
          </w:p>
          <w:p w14:paraId="329A29A6" w14:textId="77777777" w:rsidR="007D7F4F" w:rsidRDefault="007D7F4F" w:rsidP="007D7F4F">
            <w:pPr>
              <w:pStyle w:val="Marginlie"/>
            </w:pPr>
          </w:p>
          <w:p w14:paraId="5F3C8238" w14:textId="77777777" w:rsidR="007D7F4F" w:rsidRDefault="007D7F4F" w:rsidP="007D7F4F">
            <w:pPr>
              <w:pStyle w:val="Marginlie"/>
            </w:pPr>
          </w:p>
          <w:p w14:paraId="2F5C9209" w14:textId="77777777" w:rsidR="007D7F4F" w:rsidRDefault="007D7F4F" w:rsidP="007D7F4F">
            <w:pPr>
              <w:pStyle w:val="Marginlie"/>
            </w:pPr>
          </w:p>
          <w:p w14:paraId="0D5B2822" w14:textId="77777777" w:rsidR="007D7F4F" w:rsidRDefault="007D7F4F" w:rsidP="007D7F4F">
            <w:pPr>
              <w:pStyle w:val="Marginlie"/>
            </w:pPr>
            <w:r>
              <w:t>Na rekordním poklesu tržeb za potraviny se podílely velké řetězce i menší specializované prodejny.</w:t>
            </w:r>
          </w:p>
        </w:tc>
        <w:tc>
          <w:tcPr>
            <w:tcW w:w="229" w:type="dxa"/>
            <w:tcBorders>
              <w:top w:val="nil"/>
              <w:left w:val="nil"/>
              <w:bottom w:val="nil"/>
              <w:right w:val="nil"/>
            </w:tcBorders>
            <w:shd w:val="clear" w:color="auto" w:fill="auto"/>
            <w:tcMar>
              <w:left w:w="0" w:type="dxa"/>
            </w:tcMar>
          </w:tcPr>
          <w:p w14:paraId="7D1F510D"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35756279" w14:textId="6AFA6753" w:rsidR="007D7F4F" w:rsidRPr="005E6936" w:rsidRDefault="007D7F4F" w:rsidP="007D7F4F">
            <w:pPr>
              <w:spacing w:after="200"/>
              <w:rPr>
                <w:rFonts w:cs="Arial"/>
                <w:color w:val="0D0D0D" w:themeColor="text1" w:themeTint="F2"/>
                <w:spacing w:val="-6"/>
                <w:szCs w:val="20"/>
              </w:rPr>
            </w:pPr>
            <w:r w:rsidRPr="005E6936">
              <w:rPr>
                <w:rFonts w:cs="Arial"/>
                <w:color w:val="0D0D0D" w:themeColor="text1" w:themeTint="F2"/>
                <w:spacing w:val="-6"/>
                <w:szCs w:val="20"/>
              </w:rPr>
              <w:t>Za 1. až 3. čtvrtletí se maloobchodní tržby meziročně snížily o 5,7 %</w:t>
            </w:r>
            <w:r w:rsidRPr="005E6936">
              <w:rPr>
                <w:rStyle w:val="Znakapoznpodarou"/>
                <w:color w:val="0D0D0D" w:themeColor="text1" w:themeTint="F2"/>
                <w:spacing w:val="-6"/>
                <w:szCs w:val="20"/>
              </w:rPr>
              <w:footnoteReference w:id="41"/>
            </w:r>
            <w:r w:rsidRPr="005E6936">
              <w:rPr>
                <w:rFonts w:cs="Arial"/>
                <w:color w:val="0D0D0D" w:themeColor="text1" w:themeTint="F2"/>
                <w:spacing w:val="-6"/>
                <w:szCs w:val="20"/>
              </w:rPr>
              <w:t>. K tomu nejvíce přispěla nižší poptávka v segm</w:t>
            </w:r>
            <w:r w:rsidR="001E6441">
              <w:rPr>
                <w:rFonts w:cs="Arial"/>
                <w:color w:val="0D0D0D" w:themeColor="text1" w:themeTint="F2"/>
                <w:spacing w:val="-6"/>
                <w:szCs w:val="20"/>
              </w:rPr>
              <w:t>entu nepotravinářského zboží (−4,0</w:t>
            </w:r>
            <w:r w:rsidRPr="005E6936">
              <w:rPr>
                <w:rFonts w:cs="Arial"/>
                <w:color w:val="0D0D0D" w:themeColor="text1" w:themeTint="F2"/>
                <w:spacing w:val="-6"/>
                <w:szCs w:val="20"/>
              </w:rPr>
              <w:t xml:space="preserve"> p. b., při poklesu tržeb o</w:t>
            </w:r>
            <w:r>
              <w:rPr>
                <w:rFonts w:cs="Arial"/>
                <w:color w:val="0D0D0D" w:themeColor="text1" w:themeTint="F2"/>
                <w:spacing w:val="-6"/>
                <w:szCs w:val="20"/>
              </w:rPr>
              <w:t> </w:t>
            </w:r>
            <w:r w:rsidRPr="005E6936">
              <w:rPr>
                <w:rFonts w:cs="Arial"/>
                <w:color w:val="0D0D0D" w:themeColor="text1" w:themeTint="F2"/>
                <w:spacing w:val="-6"/>
                <w:szCs w:val="20"/>
              </w:rPr>
              <w:t xml:space="preserve">7,5 %). Opačně působily v první řadě vyšší tržby prodejců pohonných hmot (+6,2 %), které však tlumily pokles celého maloobchodu jen silou 0,7 p. b. Ve slabší poptávce po </w:t>
            </w:r>
            <w:r w:rsidRPr="005E6936">
              <w:rPr>
                <w:rFonts w:cs="Arial"/>
                <w:color w:val="0D0D0D" w:themeColor="text1" w:themeTint="F2"/>
                <w:spacing w:val="-6"/>
                <w:szCs w:val="20"/>
              </w:rPr>
              <w:lastRenderedPageBreak/>
              <w:t>nepotravinářském zboží se nejzřetelněji projevil více než 14%</w:t>
            </w:r>
            <w:r w:rsidRPr="005E6936">
              <w:rPr>
                <w:rStyle w:val="normaltextrun"/>
                <w:rFonts w:eastAsia="MS Gothic" w:cs="Arial"/>
                <w:spacing w:val="-6"/>
                <w:szCs w:val="20"/>
              </w:rPr>
              <w:t xml:space="preserve"> propad tržeb za výrobky převážně pro domácnost (zahrnující hlavně železářské zboží, barvy, sklo, potřeby pro kutily, elektro, nábytek a svítidla). Významný byl také </w:t>
            </w:r>
            <w:r w:rsidR="00032C3C">
              <w:rPr>
                <w:rStyle w:val="normaltextrun"/>
                <w:rFonts w:eastAsia="MS Gothic" w:cs="Arial"/>
                <w:spacing w:val="-6"/>
                <w:szCs w:val="20"/>
              </w:rPr>
              <w:t xml:space="preserve">meziroční </w:t>
            </w:r>
            <w:r w:rsidRPr="005E6936">
              <w:rPr>
                <w:rStyle w:val="normaltextrun"/>
                <w:rFonts w:eastAsia="MS Gothic" w:cs="Arial"/>
                <w:spacing w:val="-6"/>
                <w:szCs w:val="20"/>
              </w:rPr>
              <w:t>pokles tržeb internetových prodejců (−5,1</w:t>
            </w:r>
            <w:r w:rsidRPr="005E6936">
              <w:rPr>
                <w:rFonts w:cs="Arial"/>
                <w:color w:val="0D0D0D" w:themeColor="text1" w:themeTint="F2"/>
                <w:spacing w:val="-6"/>
                <w:szCs w:val="20"/>
              </w:rPr>
              <w:t> </w:t>
            </w:r>
            <w:r w:rsidR="00032C3C">
              <w:rPr>
                <w:rStyle w:val="normaltextrun"/>
                <w:rFonts w:eastAsia="MS Gothic" w:cs="Arial"/>
                <w:spacing w:val="-6"/>
                <w:szCs w:val="20"/>
              </w:rPr>
              <w:t xml:space="preserve">%), k němuž </w:t>
            </w:r>
            <w:r w:rsidRPr="005E6936">
              <w:rPr>
                <w:rStyle w:val="normaltextrun"/>
                <w:rFonts w:eastAsia="MS Gothic" w:cs="Arial"/>
                <w:spacing w:val="-6"/>
                <w:szCs w:val="20"/>
              </w:rPr>
              <w:t>došlo druhý</w:t>
            </w:r>
            <w:r w:rsidR="00032C3C">
              <w:rPr>
                <w:rStyle w:val="normaltextrun"/>
                <w:rFonts w:eastAsia="MS Gothic" w:cs="Arial"/>
                <w:spacing w:val="-6"/>
                <w:szCs w:val="20"/>
              </w:rPr>
              <w:t>m</w:t>
            </w:r>
            <w:r w:rsidRPr="005E6936">
              <w:rPr>
                <w:rStyle w:val="normaltextrun"/>
                <w:rFonts w:eastAsia="MS Gothic" w:cs="Arial"/>
                <w:spacing w:val="-6"/>
                <w:szCs w:val="20"/>
              </w:rPr>
              <w:t xml:space="preserve"> rok</w:t>
            </w:r>
            <w:r w:rsidR="00032C3C">
              <w:rPr>
                <w:rStyle w:val="normaltextrun"/>
                <w:rFonts w:eastAsia="MS Gothic" w:cs="Arial"/>
                <w:spacing w:val="-6"/>
                <w:szCs w:val="20"/>
              </w:rPr>
              <w:t>em</w:t>
            </w:r>
            <w:r w:rsidRPr="005E6936">
              <w:rPr>
                <w:rStyle w:val="normaltextrun"/>
                <w:rFonts w:eastAsia="MS Gothic" w:cs="Arial"/>
                <w:spacing w:val="-6"/>
                <w:szCs w:val="20"/>
              </w:rPr>
              <w:t xml:space="preserve"> v řadě</w:t>
            </w:r>
            <w:r w:rsidRPr="005E6936">
              <w:rPr>
                <w:rStyle w:val="Znakapoznpodarou"/>
                <w:rFonts w:eastAsia="MS Gothic"/>
                <w:spacing w:val="-6"/>
                <w:szCs w:val="20"/>
              </w:rPr>
              <w:footnoteReference w:id="42"/>
            </w:r>
            <w:r w:rsidRPr="005E6936">
              <w:rPr>
                <w:rStyle w:val="normaltextrun"/>
                <w:rFonts w:eastAsia="MS Gothic" w:cs="Arial"/>
                <w:spacing w:val="-6"/>
                <w:szCs w:val="20"/>
              </w:rPr>
              <w:t>. Méně letos utržili i prodejci oděvů, obuvi a</w:t>
            </w:r>
            <w:r w:rsidRPr="005E6936">
              <w:rPr>
                <w:rFonts w:cs="Arial"/>
                <w:color w:val="0D0D0D" w:themeColor="text1" w:themeTint="F2"/>
                <w:spacing w:val="-6"/>
                <w:szCs w:val="20"/>
              </w:rPr>
              <w:t> </w:t>
            </w:r>
            <w:r w:rsidRPr="005E6936">
              <w:rPr>
                <w:rStyle w:val="normaltextrun"/>
                <w:rFonts w:eastAsia="MS Gothic" w:cs="Arial"/>
                <w:spacing w:val="-6"/>
                <w:szCs w:val="20"/>
              </w:rPr>
              <w:t>koženého zboží (−6,5 %</w:t>
            </w:r>
            <w:r w:rsidRPr="005E6936">
              <w:rPr>
                <w:rStyle w:val="Znakapoznpodarou"/>
                <w:rFonts w:eastAsia="MS Gothic"/>
                <w:spacing w:val="-6"/>
                <w:szCs w:val="20"/>
              </w:rPr>
              <w:footnoteReference w:id="43"/>
            </w:r>
            <w:r w:rsidRPr="005E6936">
              <w:rPr>
                <w:rStyle w:val="normaltextrun"/>
                <w:rFonts w:eastAsia="MS Gothic" w:cs="Arial"/>
                <w:spacing w:val="-6"/>
                <w:szCs w:val="20"/>
              </w:rPr>
              <w:t>, proti roku 2019 poptávka zaostala skoro o čtvrtinu). Mírněji klesly meziročně tržby</w:t>
            </w:r>
            <w:r w:rsidRPr="005E6936">
              <w:rPr>
                <w:rFonts w:cs="Arial"/>
                <w:color w:val="0D0D0D" w:themeColor="text1" w:themeTint="F2"/>
                <w:spacing w:val="-6"/>
                <w:szCs w:val="20"/>
              </w:rPr>
              <w:t xml:space="preserve"> specializovaným </w:t>
            </w:r>
            <w:r w:rsidRPr="005E6936">
              <w:rPr>
                <w:rStyle w:val="normaltextrun"/>
                <w:rFonts w:eastAsia="MS Gothic" w:cs="Arial"/>
                <w:spacing w:val="-6"/>
                <w:szCs w:val="20"/>
              </w:rPr>
              <w:t>prodejnám s počítačovým a komunikačním zařízením či s</w:t>
            </w:r>
            <w:r w:rsidRPr="005E6936">
              <w:rPr>
                <w:rFonts w:cs="Arial"/>
                <w:color w:val="0D0D0D" w:themeColor="text1" w:themeTint="F2"/>
                <w:spacing w:val="-6"/>
                <w:szCs w:val="20"/>
              </w:rPr>
              <w:t> </w:t>
            </w:r>
            <w:r w:rsidRPr="005E6936">
              <w:rPr>
                <w:rStyle w:val="normaltextrun"/>
                <w:rFonts w:eastAsia="MS Gothic" w:cs="Arial"/>
                <w:spacing w:val="-6"/>
                <w:szCs w:val="20"/>
              </w:rPr>
              <w:t>farmaceutickým a</w:t>
            </w:r>
            <w:r w:rsidRPr="005E6936">
              <w:rPr>
                <w:rFonts w:cs="Arial"/>
                <w:color w:val="0D0D0D" w:themeColor="text1" w:themeTint="F2"/>
                <w:spacing w:val="-6"/>
                <w:szCs w:val="20"/>
              </w:rPr>
              <w:t> </w:t>
            </w:r>
            <w:r w:rsidRPr="005E6936">
              <w:rPr>
                <w:rStyle w:val="normaltextrun"/>
                <w:rFonts w:eastAsia="MS Gothic" w:cs="Arial"/>
                <w:spacing w:val="-6"/>
                <w:szCs w:val="20"/>
              </w:rPr>
              <w:t>zdravotnickým zbožím (proti roku 2019 však v nich byly vyšší o více než desetinu). Dařilo se prodejcům kosmetických a toaletních výrobků, kde tržby meziročně vzrostly o</w:t>
            </w:r>
            <w:r w:rsidRPr="005E6936">
              <w:rPr>
                <w:rFonts w:cs="Arial"/>
                <w:color w:val="0D0D0D" w:themeColor="text1" w:themeTint="F2"/>
                <w:spacing w:val="-6"/>
                <w:szCs w:val="20"/>
              </w:rPr>
              <w:t> </w:t>
            </w:r>
            <w:r w:rsidRPr="005E6936">
              <w:rPr>
                <w:rStyle w:val="normaltextrun"/>
                <w:rFonts w:eastAsia="MS Gothic" w:cs="Arial"/>
                <w:spacing w:val="-6"/>
                <w:szCs w:val="20"/>
              </w:rPr>
              <w:t>1,5 %</w:t>
            </w:r>
            <w:r w:rsidRPr="005E6936">
              <w:rPr>
                <w:rStyle w:val="Znakapoznpodarou"/>
                <w:rFonts w:eastAsia="MS Gothic"/>
                <w:spacing w:val="-6"/>
                <w:szCs w:val="20"/>
              </w:rPr>
              <w:footnoteReference w:id="44"/>
            </w:r>
            <w:r w:rsidRPr="005E6936">
              <w:rPr>
                <w:rStyle w:val="normaltextrun"/>
                <w:rFonts w:eastAsia="MS Gothic" w:cs="Arial"/>
                <w:spacing w:val="-6"/>
                <w:szCs w:val="20"/>
              </w:rPr>
              <w:t xml:space="preserve">. Třetí rok v řadě se zvýšila poptávka v </w:t>
            </w:r>
            <w:r w:rsidRPr="005E6936">
              <w:rPr>
                <w:rFonts w:cs="Arial"/>
                <w:color w:val="0D0D0D" w:themeColor="text1" w:themeTint="F2"/>
                <w:spacing w:val="-6"/>
                <w:szCs w:val="20"/>
              </w:rPr>
              <w:t>malém</w:t>
            </w:r>
            <w:r>
              <w:rPr>
                <w:rFonts w:cs="Arial"/>
                <w:color w:val="0D0D0D" w:themeColor="text1" w:themeTint="F2"/>
                <w:spacing w:val="-6"/>
                <w:szCs w:val="20"/>
              </w:rPr>
              <w:t xml:space="preserve"> segmentu ostatního maloobchodu </w:t>
            </w:r>
            <w:r w:rsidRPr="005E6936">
              <w:rPr>
                <w:rFonts w:cs="Arial"/>
                <w:color w:val="0D0D0D" w:themeColor="text1" w:themeTint="F2"/>
                <w:spacing w:val="-6"/>
                <w:szCs w:val="20"/>
              </w:rPr>
              <w:t>v nespecializovaných prodejnách (zahrnujícího typicky menší provozovny orientované na prodej různorodého drobného zboží, zpravidla ve slevových akcích). Prodejci potravin utržili meziročně o 6,6 % méně (v</w:t>
            </w:r>
            <w:r w:rsidRPr="005E6936">
              <w:rPr>
                <w:rStyle w:val="normaltextrun"/>
                <w:rFonts w:eastAsia="MS Gothic" w:cs="Arial"/>
                <w:spacing w:val="-6"/>
                <w:szCs w:val="20"/>
              </w:rPr>
              <w:t> </w:t>
            </w:r>
            <w:r w:rsidRPr="005E6936">
              <w:rPr>
                <w:rFonts w:cs="Arial"/>
                <w:color w:val="0D0D0D" w:themeColor="text1" w:themeTint="F2"/>
                <w:spacing w:val="-6"/>
                <w:szCs w:val="20"/>
              </w:rPr>
              <w:t xml:space="preserve">rámci 1. až 3. čtvrtletí šlo o nejhlubší pokles ve srovnatelné řadě od roku 2000). Slabší poptávku zde pocítily jak velké řetězce, tak malé specializované prodejny </w:t>
            </w:r>
            <w:r w:rsidRPr="005E6936">
              <w:rPr>
                <w:rFonts w:cs="Arial"/>
                <w:color w:val="0D0D0D" w:themeColor="text1" w:themeTint="F2"/>
                <w:spacing w:val="-6"/>
              </w:rPr>
              <w:t xml:space="preserve">(v nichž mají nejvyšší váhu prodejci tabákových výrobků a také masa a masných výrobků). </w:t>
            </w:r>
          </w:p>
        </w:tc>
      </w:tr>
      <w:tr w:rsidR="007D7F4F" w14:paraId="11C3899B" w14:textId="77777777" w:rsidTr="007D7F4F">
        <w:trPr>
          <w:trHeight w:val="170"/>
        </w:trPr>
        <w:tc>
          <w:tcPr>
            <w:tcW w:w="1814" w:type="dxa"/>
            <w:tcBorders>
              <w:top w:val="nil"/>
              <w:left w:val="nil"/>
              <w:bottom w:val="nil"/>
              <w:right w:val="nil"/>
            </w:tcBorders>
            <w:shd w:val="clear" w:color="auto" w:fill="auto"/>
            <w:tcMar>
              <w:left w:w="0" w:type="dxa"/>
            </w:tcMar>
          </w:tcPr>
          <w:p w14:paraId="4EFEC71C" w14:textId="77777777" w:rsidR="007D7F4F" w:rsidRDefault="007D7F4F" w:rsidP="007D7F4F">
            <w:pPr>
              <w:pStyle w:val="Marginlie"/>
            </w:pPr>
            <w:r>
              <w:lastRenderedPageBreak/>
              <w:t>Mírný růst tržeb v motoristickém segmentu obchodu byl tažen hlavně vyšší poptávkou po automobilech.</w:t>
            </w:r>
          </w:p>
        </w:tc>
        <w:tc>
          <w:tcPr>
            <w:tcW w:w="229" w:type="dxa"/>
            <w:tcBorders>
              <w:top w:val="nil"/>
              <w:left w:val="nil"/>
              <w:bottom w:val="nil"/>
              <w:right w:val="nil"/>
            </w:tcBorders>
            <w:shd w:val="clear" w:color="auto" w:fill="auto"/>
            <w:tcMar>
              <w:left w:w="0" w:type="dxa"/>
            </w:tcMar>
          </w:tcPr>
          <w:p w14:paraId="1F295404"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0F88E4F0" w14:textId="77777777" w:rsidR="007D7F4F" w:rsidRPr="005E6936" w:rsidRDefault="007D7F4F" w:rsidP="007D7F4F">
            <w:pPr>
              <w:spacing w:after="200"/>
              <w:rPr>
                <w:rFonts w:cs="Arial"/>
                <w:color w:val="0D0D0D" w:themeColor="text1" w:themeTint="F2"/>
                <w:spacing w:val="-6"/>
                <w:szCs w:val="20"/>
              </w:rPr>
            </w:pPr>
            <w:r w:rsidRPr="005E6936">
              <w:rPr>
                <w:rFonts w:cs="Arial"/>
                <w:color w:val="0D0D0D" w:themeColor="text1" w:themeTint="F2"/>
                <w:spacing w:val="-6"/>
                <w:szCs w:val="20"/>
              </w:rPr>
              <w:t>Na růstu tržeb v motoristickém segmentu obchodu v 1. až 3. čtvrtletí (+3,9 % meziročně) se podílela zejména vyšší poptávka po motorových vozidlech, což souviselo s relativně příznivou situací celého automobilového průmyslu v Česku i EU. Snížily se naopak tržby za obchod s díly a příslušenstvím či za obchod, opravy a údržbu motocyklů. Oproti roku 2019 byly letos tržby v celém motoristickém segmentu obchodu stále mírně nižší (o 7,0 %) a zaostaly ve všech oborech (nejvíce v obchodu s díly a příslušenstvím).</w:t>
            </w:r>
          </w:p>
        </w:tc>
      </w:tr>
      <w:tr w:rsidR="007D7F4F" w14:paraId="2ADFF15D" w14:textId="77777777" w:rsidTr="007D7F4F">
        <w:trPr>
          <w:trHeight w:val="170"/>
        </w:trPr>
        <w:tc>
          <w:tcPr>
            <w:tcW w:w="1814" w:type="dxa"/>
            <w:tcBorders>
              <w:top w:val="nil"/>
              <w:left w:val="nil"/>
              <w:bottom w:val="nil"/>
              <w:right w:val="nil"/>
            </w:tcBorders>
            <w:shd w:val="clear" w:color="auto" w:fill="auto"/>
            <w:tcMar>
              <w:left w:w="0" w:type="dxa"/>
            </w:tcMar>
          </w:tcPr>
          <w:p w14:paraId="1582BE8D" w14:textId="77777777" w:rsidR="007D7F4F" w:rsidRPr="00BD3BE9" w:rsidRDefault="007D7F4F" w:rsidP="007D7F4F">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53D4E663" w14:textId="77777777" w:rsidR="007D7F4F" w:rsidRPr="00BD3BE9" w:rsidRDefault="007D7F4F" w:rsidP="007D7F4F">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9974287" w14:textId="77777777" w:rsidR="007D7F4F" w:rsidRPr="00C73A63" w:rsidRDefault="007D7F4F" w:rsidP="007D7F4F">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(reálně, ú</w:t>
            </w:r>
            <w:r>
              <w:rPr>
                <w:rFonts w:cs="Arial"/>
                <w:color w:val="0D0D0D" w:themeColor="text1" w:themeTint="F2"/>
                <w:spacing w:val="-6"/>
              </w:rPr>
              <w:t xml:space="preserve">roveň roku 2015=100, pravá osa), </w:t>
            </w:r>
            <w:r w:rsidRPr="004405E2">
              <w:rPr>
                <w:rFonts w:cs="Arial"/>
                <w:b/>
                <w:bCs/>
                <w:color w:val="0D0D0D" w:themeColor="text1" w:themeTint="F2"/>
                <w:spacing w:val="-6"/>
              </w:rPr>
              <w:t>s</w:t>
            </w:r>
            <w:r>
              <w:rPr>
                <w:rFonts w:cs="Arial"/>
                <w:b/>
                <w:bCs/>
                <w:color w:val="0D0D0D" w:themeColor="text1" w:themeTint="F2"/>
                <w:spacing w:val="-6"/>
              </w:rPr>
              <w:t xml:space="preserve">aldo důvěry </w:t>
            </w:r>
            <w:r w:rsidRPr="00BC34D2">
              <w:rPr>
                <w:rFonts w:cs="Arial"/>
                <w:b/>
                <w:bCs/>
                <w:color w:val="0D0D0D" w:themeColor="text1" w:themeTint="F2"/>
                <w:spacing w:val="-6"/>
              </w:rPr>
              <w:t>spotřebitelů i obchodníků</w:t>
            </w:r>
            <w:r w:rsidRPr="004405E2">
              <w:rPr>
                <w:rFonts w:cs="Arial"/>
                <w:b/>
                <w:bCs/>
                <w:color w:val="0D0D0D" w:themeColor="text1" w:themeTint="F2"/>
                <w:spacing w:val="-6"/>
              </w:rPr>
              <w:t xml:space="preserve">*** </w:t>
            </w:r>
            <w:r w:rsidRPr="004405E2">
              <w:rPr>
                <w:rFonts w:cs="Arial"/>
                <w:color w:val="0D0D0D" w:themeColor="text1" w:themeTint="F2"/>
                <w:spacing w:val="-6"/>
              </w:rPr>
              <w:t>(v p. b., pravá osa)</w:t>
            </w:r>
          </w:p>
        </w:tc>
      </w:tr>
      <w:tr w:rsidR="007D7F4F" w14:paraId="10F4CBB2" w14:textId="77777777" w:rsidTr="007D7F4F">
        <w:tblPrEx>
          <w:tblCellMar>
            <w:left w:w="70" w:type="dxa"/>
            <w:right w:w="70" w:type="dxa"/>
          </w:tblCellMar>
        </w:tblPrEx>
        <w:trPr>
          <w:trHeight w:val="170"/>
        </w:trPr>
        <w:tc>
          <w:tcPr>
            <w:tcW w:w="1814" w:type="dxa"/>
            <w:tcBorders>
              <w:top w:val="nil"/>
              <w:left w:val="nil"/>
              <w:bottom w:val="nil"/>
              <w:right w:val="nil"/>
            </w:tcBorders>
            <w:shd w:val="clear" w:color="auto" w:fill="auto"/>
          </w:tcPr>
          <w:p w14:paraId="6C3B38BA" w14:textId="77777777" w:rsidR="007D7F4F" w:rsidRDefault="007D7F4F" w:rsidP="007D7F4F">
            <w:pPr>
              <w:pStyle w:val="Marginlie"/>
            </w:pPr>
          </w:p>
        </w:tc>
        <w:tc>
          <w:tcPr>
            <w:tcW w:w="229" w:type="dxa"/>
            <w:tcBorders>
              <w:top w:val="nil"/>
              <w:left w:val="nil"/>
              <w:bottom w:val="nil"/>
              <w:right w:val="nil"/>
            </w:tcBorders>
            <w:shd w:val="clear" w:color="auto" w:fill="auto"/>
          </w:tcPr>
          <w:p w14:paraId="36FC1D66"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Pr>
          <w:p w14:paraId="0100A634" w14:textId="77777777" w:rsidR="007D7F4F" w:rsidRPr="004C1143" w:rsidRDefault="007D7F4F" w:rsidP="007D7F4F">
            <w:pPr>
              <w:spacing w:after="0"/>
              <w:rPr>
                <w:rFonts w:cs="Arial"/>
                <w:sz w:val="14"/>
                <w:szCs w:val="14"/>
              </w:rPr>
            </w:pPr>
            <w:r>
              <w:rPr>
                <w:noProof/>
              </w:rPr>
              <w:drawing>
                <wp:inline distT="0" distB="0" distL="0" distR="0" wp14:anchorId="5D7844F2" wp14:editId="69F9CD41">
                  <wp:extent cx="4734560" cy="3456000"/>
                  <wp:effectExtent l="0" t="0" r="889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D7F4F" w14:paraId="4AA15CEE" w14:textId="77777777" w:rsidTr="007D7F4F">
        <w:trPr>
          <w:trHeight w:val="170"/>
        </w:trPr>
        <w:tc>
          <w:tcPr>
            <w:tcW w:w="1814" w:type="dxa"/>
            <w:tcBorders>
              <w:top w:val="nil"/>
              <w:left w:val="nil"/>
              <w:bottom w:val="nil"/>
              <w:right w:val="nil"/>
            </w:tcBorders>
            <w:shd w:val="clear" w:color="auto" w:fill="auto"/>
            <w:tcMar>
              <w:left w:w="0" w:type="dxa"/>
            </w:tcMar>
          </w:tcPr>
          <w:p w14:paraId="1A3724FD" w14:textId="77777777" w:rsidR="007D7F4F" w:rsidRDefault="007D7F4F" w:rsidP="007D7F4F">
            <w:pPr>
              <w:pStyle w:val="Marginlie"/>
            </w:pPr>
          </w:p>
        </w:tc>
        <w:tc>
          <w:tcPr>
            <w:tcW w:w="229" w:type="dxa"/>
            <w:tcBorders>
              <w:top w:val="nil"/>
              <w:left w:val="nil"/>
              <w:bottom w:val="nil"/>
              <w:right w:val="nil"/>
            </w:tcBorders>
            <w:shd w:val="clear" w:color="auto" w:fill="auto"/>
            <w:tcMar>
              <w:left w:w="0" w:type="dxa"/>
            </w:tcMar>
          </w:tcPr>
          <w:p w14:paraId="5092BB2A" w14:textId="77777777" w:rsidR="007D7F4F" w:rsidRDefault="007D7F4F" w:rsidP="007D7F4F">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82313C3" w14:textId="77777777" w:rsidR="007D7F4F" w:rsidRPr="00052ADA" w:rsidRDefault="007D7F4F" w:rsidP="007D7F4F">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64B9E55F" w14:textId="77777777" w:rsidR="007D7F4F" w:rsidRPr="004C1143" w:rsidRDefault="007D7F4F" w:rsidP="007D7F4F">
            <w:pPr>
              <w:spacing w:after="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bl>
    <w:p w14:paraId="47B88B4F" w14:textId="77777777" w:rsidR="00B97F3A" w:rsidRPr="00E42054" w:rsidRDefault="00B97F3A" w:rsidP="00B97F3A">
      <w:pPr>
        <w:pStyle w:val="Nadpis11"/>
        <w:rPr>
          <w:b w:val="0"/>
          <w:sz w:val="2"/>
          <w:szCs w:val="2"/>
        </w:rPr>
      </w:pPr>
    </w:p>
    <w:p w14:paraId="0DC528DF" w14:textId="77777777" w:rsidR="00B97F3A" w:rsidRPr="001C3855" w:rsidRDefault="00B97F3A" w:rsidP="00B97F3A">
      <w:pPr>
        <w:pStyle w:val="Nadpis11"/>
        <w:rPr>
          <w:sz w:val="2"/>
          <w:szCs w:val="2"/>
        </w:rPr>
      </w:pPr>
      <w:bookmarkStart w:id="4" w:name="_GoBack"/>
      <w:bookmarkEnd w:id="0"/>
      <w:bookmarkEnd w:id="3"/>
      <w:bookmarkEnd w:id="4"/>
    </w:p>
    <w:sectPr w:rsidR="00B97F3A" w:rsidRPr="001C3855" w:rsidSect="00DC50DD">
      <w:headerReference w:type="even" r:id="rId17"/>
      <w:headerReference w:type="default" r:id="rId18"/>
      <w:footerReference w:type="even" r:id="rId19"/>
      <w:footerReference w:type="default" r:id="rId20"/>
      <w:pgSz w:w="11906" w:h="16838" w:code="9"/>
      <w:pgMar w:top="1134" w:right="1134" w:bottom="1418" w:left="1134" w:header="680" w:footer="73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6EC4" w14:textId="77777777" w:rsidR="0051626C" w:rsidRDefault="0051626C" w:rsidP="00E71A58">
      <w:r>
        <w:separator/>
      </w:r>
    </w:p>
  </w:endnote>
  <w:endnote w:type="continuationSeparator" w:id="0">
    <w:p w14:paraId="7607474D" w14:textId="77777777" w:rsidR="0051626C" w:rsidRDefault="0051626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9BD5A7E" w:rsidR="000D7C6F" w:rsidRPr="00932443" w:rsidRDefault="000D7C6F"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C50DD">
      <w:rPr>
        <w:szCs w:val="16"/>
      </w:rPr>
      <w:t>18</w:t>
    </w:r>
    <w:r w:rsidRPr="00932443">
      <w:rPr>
        <w:szCs w:val="16"/>
      </w:rPr>
      <w:fldChar w:fldCharType="end"/>
    </w:r>
    <w:r w:rsidRPr="00932443">
      <w:rPr>
        <w:szCs w:val="16"/>
      </w:rPr>
      <w:tab/>
    </w:r>
    <w:r>
      <w:rPr>
        <w:szCs w:val="16"/>
      </w:rPr>
      <w:t>1. až 3.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1130E478" w:rsidR="000D7C6F" w:rsidRPr="00932443" w:rsidRDefault="000D7C6F" w:rsidP="00FA6CB6">
    <w:pPr>
      <w:pStyle w:val="Zpat"/>
      <w:rPr>
        <w:szCs w:val="16"/>
      </w:rPr>
    </w:pPr>
    <w:r w:rsidRPr="00FA6CB6">
      <w:rPr>
        <w:szCs w:val="16"/>
      </w:rPr>
      <w:tab/>
    </w:r>
    <w:r>
      <w:rPr>
        <w:szCs w:val="16"/>
      </w:rPr>
      <w:t>1. až 3.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C50DD">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26237" w14:textId="77777777" w:rsidR="0051626C" w:rsidRDefault="0051626C" w:rsidP="00A21B4D">
      <w:pPr>
        <w:spacing w:after="0"/>
      </w:pPr>
      <w:r>
        <w:separator/>
      </w:r>
    </w:p>
  </w:footnote>
  <w:footnote w:type="continuationSeparator" w:id="0">
    <w:p w14:paraId="57CBF95C" w14:textId="77777777" w:rsidR="0051626C" w:rsidRDefault="0051626C" w:rsidP="00E71A58">
      <w:r>
        <w:continuationSeparator/>
      </w:r>
    </w:p>
  </w:footnote>
  <w:footnote w:id="1">
    <w:p w14:paraId="2F44328C" w14:textId="77777777" w:rsidR="000D7C6F" w:rsidRPr="007163BD" w:rsidRDefault="000D7C6F" w:rsidP="007D7F4F">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2">
    <w:p w14:paraId="6653E8F8" w14:textId="77777777" w:rsidR="000D7C6F" w:rsidRPr="002964C4" w:rsidRDefault="000D7C6F" w:rsidP="007D7F4F">
      <w:pPr>
        <w:pStyle w:val="Textpoznpodarou"/>
        <w:rPr>
          <w:sz w:val="16"/>
          <w:szCs w:val="16"/>
        </w:rPr>
      </w:pPr>
      <w:r w:rsidRPr="002964C4">
        <w:rPr>
          <w:rStyle w:val="Znakapoznpodarou"/>
          <w:sz w:val="16"/>
          <w:szCs w:val="16"/>
        </w:rPr>
        <w:footnoteRef/>
      </w:r>
      <w:r w:rsidRPr="002964C4">
        <w:rPr>
          <w:sz w:val="16"/>
          <w:szCs w:val="16"/>
        </w:rPr>
        <w:t xml:space="preserve"> Zahrnují skupinu veřejná správa a obrana, vzdělávání, zdravotní a sociální péče.</w:t>
      </w:r>
    </w:p>
  </w:footnote>
  <w:footnote w:id="3">
    <w:p w14:paraId="3C1D5034" w14:textId="77777777" w:rsidR="000D7C6F" w:rsidRPr="00133104" w:rsidRDefault="000D7C6F" w:rsidP="007D7F4F">
      <w:pPr>
        <w:pStyle w:val="Textpoznpodarou"/>
        <w:rPr>
          <w:sz w:val="16"/>
          <w:szCs w:val="16"/>
        </w:rPr>
      </w:pPr>
      <w:r w:rsidRPr="00133104">
        <w:rPr>
          <w:rStyle w:val="Znakapoznpodarou"/>
          <w:sz w:val="16"/>
          <w:szCs w:val="16"/>
        </w:rPr>
        <w:footnoteRef/>
      </w:r>
      <w:r w:rsidRPr="00133104">
        <w:rPr>
          <w:sz w:val="16"/>
          <w:szCs w:val="16"/>
        </w:rPr>
        <w:t xml:space="preserve"> Přímý nákup mléka od producentů vzrostl (v naturálním vyjádření) za 1. až 3. čtvrtletí </w:t>
      </w:r>
      <w:r>
        <w:rPr>
          <w:sz w:val="16"/>
          <w:szCs w:val="16"/>
        </w:rPr>
        <w:t xml:space="preserve">2023 </w:t>
      </w:r>
      <w:r w:rsidRPr="00133104">
        <w:rPr>
          <w:sz w:val="16"/>
          <w:szCs w:val="16"/>
        </w:rPr>
        <w:t>meziročně o rovn</w:t>
      </w:r>
      <w:r>
        <w:rPr>
          <w:sz w:val="16"/>
          <w:szCs w:val="16"/>
        </w:rPr>
        <w:t>é</w:t>
      </w:r>
      <w:r w:rsidRPr="00133104">
        <w:rPr>
          <w:sz w:val="16"/>
          <w:szCs w:val="16"/>
        </w:rPr>
        <w:t xml:space="preserve"> 1 %. </w:t>
      </w:r>
      <w:r>
        <w:rPr>
          <w:sz w:val="16"/>
          <w:szCs w:val="16"/>
        </w:rPr>
        <w:t>Na 3,5% p</w:t>
      </w:r>
      <w:r w:rsidRPr="002942D7">
        <w:rPr>
          <w:spacing w:val="-2"/>
          <w:sz w:val="16"/>
          <w:szCs w:val="16"/>
        </w:rPr>
        <w:t>oklesu výroby masa na jatkách ve stejném období se zásadně podílel</w:t>
      </w:r>
      <w:r>
        <w:rPr>
          <w:spacing w:val="-2"/>
          <w:sz w:val="16"/>
          <w:szCs w:val="16"/>
        </w:rPr>
        <w:t>a</w:t>
      </w:r>
      <w:r w:rsidRPr="002942D7">
        <w:rPr>
          <w:spacing w:val="-2"/>
          <w:sz w:val="16"/>
          <w:szCs w:val="16"/>
        </w:rPr>
        <w:t xml:space="preserve"> nižší výroba vepřového (</w:t>
      </w:r>
      <w:r>
        <w:rPr>
          <w:spacing w:val="-2"/>
          <w:sz w:val="16"/>
          <w:szCs w:val="16"/>
        </w:rPr>
        <w:t>−</w:t>
      </w:r>
      <w:r w:rsidRPr="002942D7">
        <w:rPr>
          <w:spacing w:val="-2"/>
          <w:sz w:val="16"/>
          <w:szCs w:val="16"/>
        </w:rPr>
        <w:t>6,7 %), v menší míře i drůbežího (</w:t>
      </w:r>
      <w:r>
        <w:rPr>
          <w:spacing w:val="-2"/>
          <w:sz w:val="16"/>
          <w:szCs w:val="16"/>
        </w:rPr>
        <w:t>−</w:t>
      </w:r>
      <w:r w:rsidRPr="002942D7">
        <w:rPr>
          <w:spacing w:val="-2"/>
          <w:sz w:val="16"/>
          <w:szCs w:val="16"/>
        </w:rPr>
        <w:t>1,7</w:t>
      </w:r>
      <w:r w:rsidRPr="002942D7">
        <w:rPr>
          <w:rFonts w:cs="Arial"/>
          <w:color w:val="0D0D0D" w:themeColor="text1" w:themeTint="F2"/>
          <w:spacing w:val="-2"/>
          <w:sz w:val="16"/>
          <w:szCs w:val="16"/>
        </w:rPr>
        <w:t> </w:t>
      </w:r>
      <w:r w:rsidRPr="002942D7">
        <w:rPr>
          <w:spacing w:val="-2"/>
          <w:sz w:val="16"/>
          <w:szCs w:val="16"/>
        </w:rPr>
        <w:t>%).</w:t>
      </w:r>
      <w:r>
        <w:rPr>
          <w:spacing w:val="-2"/>
          <w:sz w:val="16"/>
          <w:szCs w:val="16"/>
        </w:rPr>
        <w:t xml:space="preserve"> Naopak u hovězího masa d</w:t>
      </w:r>
      <w:r w:rsidRPr="002942D7">
        <w:rPr>
          <w:sz w:val="16"/>
          <w:szCs w:val="16"/>
        </w:rPr>
        <w:t xml:space="preserve">ošlo k mírnému růstu (loňská základna byla však nízká – výroba </w:t>
      </w:r>
      <w:r>
        <w:rPr>
          <w:sz w:val="16"/>
          <w:szCs w:val="16"/>
        </w:rPr>
        <w:t xml:space="preserve">tehdy </w:t>
      </w:r>
      <w:r w:rsidRPr="002942D7">
        <w:rPr>
          <w:sz w:val="16"/>
          <w:szCs w:val="16"/>
        </w:rPr>
        <w:t>klesla na pětileté minimum). Za poklesy výroby stály rostoucí náklady prvovýrobců (krmiva, energie), zčásti i nižší poptávka spotřebite</w:t>
      </w:r>
      <w:r>
        <w:rPr>
          <w:sz w:val="16"/>
          <w:szCs w:val="16"/>
        </w:rPr>
        <w:t>lů (vlivem prudkého růstu cen v</w:t>
      </w:r>
      <w:r w:rsidRPr="002942D7">
        <w:rPr>
          <w:sz w:val="16"/>
          <w:szCs w:val="16"/>
        </w:rPr>
        <w:t xml:space="preserve"> obchodech). Ceny prvovýrobců u hovězího a drůbežího masa se po prudkém loňském růstu </w:t>
      </w:r>
      <w:r>
        <w:rPr>
          <w:sz w:val="16"/>
          <w:szCs w:val="16"/>
        </w:rPr>
        <w:t xml:space="preserve">letos </w:t>
      </w:r>
      <w:r w:rsidRPr="002942D7">
        <w:rPr>
          <w:sz w:val="16"/>
          <w:szCs w:val="16"/>
        </w:rPr>
        <w:t xml:space="preserve">stabilizovaly, naopak u vepřového dál strmě rostly (zčásti šlo o ovšem o </w:t>
      </w:r>
      <w:r>
        <w:rPr>
          <w:sz w:val="16"/>
          <w:szCs w:val="16"/>
        </w:rPr>
        <w:t>„</w:t>
      </w:r>
      <w:r w:rsidRPr="002942D7">
        <w:rPr>
          <w:sz w:val="16"/>
          <w:szCs w:val="16"/>
        </w:rPr>
        <w:t>kompenzaci</w:t>
      </w:r>
      <w:r>
        <w:rPr>
          <w:sz w:val="16"/>
          <w:szCs w:val="16"/>
        </w:rPr>
        <w:t>“</w:t>
      </w:r>
      <w:r w:rsidRPr="002942D7">
        <w:rPr>
          <w:sz w:val="16"/>
          <w:szCs w:val="16"/>
        </w:rPr>
        <w:t xml:space="preserve"> velmi nízkých cen z roku 2021).</w:t>
      </w:r>
    </w:p>
  </w:footnote>
  <w:footnote w:id="4">
    <w:p w14:paraId="4B9ABA20" w14:textId="77777777" w:rsidR="000D7C6F" w:rsidRPr="00C24490" w:rsidRDefault="000D7C6F" w:rsidP="007D7F4F">
      <w:pPr>
        <w:pStyle w:val="Textpoznpodarou"/>
        <w:rPr>
          <w:rFonts w:cs="Arial"/>
          <w:sz w:val="16"/>
          <w:szCs w:val="16"/>
        </w:rPr>
      </w:pPr>
      <w:r w:rsidRPr="00C24490">
        <w:rPr>
          <w:rStyle w:val="Znakapoznpodarou"/>
          <w:sz w:val="16"/>
          <w:szCs w:val="16"/>
        </w:rPr>
        <w:footnoteRef/>
      </w:r>
      <w:r w:rsidRPr="00C24490">
        <w:rPr>
          <w:rStyle w:val="Znakapoznpodarou"/>
          <w:sz w:val="16"/>
          <w:szCs w:val="16"/>
        </w:rPr>
        <w:t xml:space="preserve"> </w:t>
      </w:r>
      <w:r>
        <w:rPr>
          <w:sz w:val="16"/>
          <w:szCs w:val="16"/>
        </w:rPr>
        <w:t>Poslední letošní odhad</w:t>
      </w:r>
      <w:r w:rsidRPr="00C24490">
        <w:rPr>
          <w:sz w:val="16"/>
          <w:szCs w:val="16"/>
        </w:rPr>
        <w:t xml:space="preserve"> (k 30.</w:t>
      </w:r>
      <w:r>
        <w:rPr>
          <w:sz w:val="16"/>
          <w:szCs w:val="16"/>
        </w:rPr>
        <w:t xml:space="preserve"> </w:t>
      </w:r>
      <w:r w:rsidRPr="00C24490">
        <w:rPr>
          <w:sz w:val="16"/>
          <w:szCs w:val="16"/>
        </w:rPr>
        <w:t xml:space="preserve">9.) potvrdil dobrou sklizeň hlavních zemědělských plodin. Sklizeň všech obilovin je odhadována na </w:t>
      </w:r>
      <w:r>
        <w:rPr>
          <w:sz w:val="16"/>
          <w:szCs w:val="16"/>
        </w:rPr>
        <w:br/>
      </w:r>
      <w:r w:rsidRPr="00C24490">
        <w:rPr>
          <w:sz w:val="16"/>
          <w:szCs w:val="16"/>
        </w:rPr>
        <w:t xml:space="preserve">7,93 mil. tun při výnosu 6,0 t/ha. Meziročně je sklizeň nižší o 3,4 %, 5letý průměr ale převyšuje (+1,3 %). Velmi dobrá byla hlavně úroda pšenice překračující nejen 5letý průměr (+6,9 %), ale nepatrně i loňskou sklizeň. Naopak kukuřice na zrno se letos urodilo nejméně za posledních 5 let (a za dlouhodobým průměrem úroda zaostala o čtvrtinu). K citelnému poklesu došlo u pícnin, sklizeň v předchozích letech u nich však patřila k nadprůměrným. Kukuřice na zeleno se </w:t>
      </w:r>
      <w:r>
        <w:rPr>
          <w:sz w:val="16"/>
          <w:szCs w:val="16"/>
        </w:rPr>
        <w:t>letos urodilo</w:t>
      </w:r>
      <w:r w:rsidRPr="00C24490">
        <w:rPr>
          <w:sz w:val="16"/>
          <w:szCs w:val="16"/>
        </w:rPr>
        <w:t xml:space="preserve"> meziročně o 14,3 % méně, voj</w:t>
      </w:r>
      <w:r>
        <w:rPr>
          <w:sz w:val="16"/>
          <w:szCs w:val="16"/>
        </w:rPr>
        <w:t>těšky a jetele o 22 %</w:t>
      </w:r>
      <w:r w:rsidRPr="00C24490">
        <w:rPr>
          <w:sz w:val="16"/>
          <w:szCs w:val="16"/>
        </w:rPr>
        <w:t xml:space="preserve"> méně. Hlavně díky nárůstu osevních ploch se sklidilo více řepky (meziročně +10,9 %). Úroda většiny ostatních olejnin sice meziročně klesla, ale díky rozšiřování ploch osevů se sklizeň drží nad úrovní dlouhodobého průměru. Cukrové řepy se sklidilo meziročně o 7,2 % méně. Negativní dopad sucha a horka na úrodu cukrovky částečně eliminovaly následné srpnové deště, slunné a teplé září. Vlhčí srpen zčásti pomohl mírně vylepšit původně pesimistické odhady sklizně brambor. I tak je jejich úroda meziročně o 18,6 % nižší, podobně zaostává i za víceletým průměrem (zčásti i kvůli poklesu ploch). Naopak trend rozšiřování osevů pomáhá úrodě luskovin. U hlavních druhů zeleniny (cibule, květák, zelí, rajčata) je letošní úroda meziročně významně vyšší (a zpravidla převyšuje i 5letý průměr). Úroda mrkve byla ale slabší (meziročně o 10 %). </w:t>
      </w:r>
      <w:r>
        <w:rPr>
          <w:sz w:val="16"/>
          <w:szCs w:val="16"/>
        </w:rPr>
        <w:t>U chmele lze letos (po velmi špatném loňském roce) očekávat mírně nadprůměrnou sklizeň.</w:t>
      </w:r>
    </w:p>
  </w:footnote>
  <w:footnote w:id="5">
    <w:p w14:paraId="09E3324C" w14:textId="77777777" w:rsidR="000D7C6F" w:rsidRPr="008C2F46" w:rsidRDefault="000D7C6F" w:rsidP="007D7F4F">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8C2F46">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6">
    <w:p w14:paraId="6C0D4AD3" w14:textId="77777777" w:rsidR="000D7C6F" w:rsidRPr="00201E70" w:rsidRDefault="000D7C6F" w:rsidP="007D7F4F">
      <w:pPr>
        <w:pStyle w:val="Textpoznpodarou"/>
        <w:rPr>
          <w:color w:val="0D0D0D" w:themeColor="text1" w:themeTint="F2"/>
          <w:spacing w:val="-3"/>
          <w:sz w:val="16"/>
          <w:szCs w:val="16"/>
        </w:rPr>
      </w:pPr>
      <w:r w:rsidRPr="00BF5830">
        <w:rPr>
          <w:rStyle w:val="Znakapoznpodarou"/>
          <w:spacing w:val="-4"/>
          <w:sz w:val="16"/>
          <w:szCs w:val="16"/>
        </w:rPr>
        <w:footnoteRef/>
      </w:r>
      <w:r w:rsidRPr="00BF5830">
        <w:rPr>
          <w:spacing w:val="-4"/>
          <w:sz w:val="16"/>
          <w:szCs w:val="16"/>
        </w:rPr>
        <w:t xml:space="preserve"> </w:t>
      </w:r>
      <w:r w:rsidRPr="00201E70">
        <w:rPr>
          <w:color w:val="0D0D0D" w:themeColor="text1" w:themeTint="F2"/>
          <w:spacing w:val="-4"/>
          <w:sz w:val="16"/>
          <w:szCs w:val="16"/>
        </w:rPr>
        <w:t>Dle údajů energetického regulačního úřadu se letos za tři čtvrtletí hrubá tuzemská spotřeba elektřiny meziročně snížila o 5,9 % a prohloubila svůj pokles z předchozího roku (</w:t>
      </w:r>
      <w:r>
        <w:rPr>
          <w:color w:val="0D0D0D" w:themeColor="text1" w:themeTint="F2"/>
          <w:spacing w:val="-4"/>
          <w:sz w:val="16"/>
          <w:szCs w:val="16"/>
        </w:rPr>
        <w:t>−</w:t>
      </w:r>
      <w:r w:rsidRPr="00201E70">
        <w:rPr>
          <w:color w:val="0D0D0D" w:themeColor="text1" w:themeTint="F2"/>
          <w:spacing w:val="-4"/>
          <w:sz w:val="16"/>
          <w:szCs w:val="16"/>
        </w:rPr>
        <w:t xml:space="preserve">1,5 %). K úspoře došlo letos </w:t>
      </w:r>
      <w:r w:rsidRPr="00201E70">
        <w:rPr>
          <w:color w:val="0D0D0D" w:themeColor="text1" w:themeTint="F2"/>
          <w:spacing w:val="-3"/>
          <w:sz w:val="16"/>
          <w:szCs w:val="16"/>
        </w:rPr>
        <w:t xml:space="preserve">u všech hlavních kategorií spotřeby – nejvíce u domácností (o 4,7 %, </w:t>
      </w:r>
      <w:r w:rsidRPr="00201E70">
        <w:rPr>
          <w:color w:val="0D0D0D" w:themeColor="text1" w:themeTint="F2"/>
          <w:spacing w:val="-4"/>
          <w:sz w:val="16"/>
          <w:szCs w:val="16"/>
        </w:rPr>
        <w:t>za dva roky dokonce o 13,2 %</w:t>
      </w:r>
      <w:r w:rsidRPr="00201E70">
        <w:rPr>
          <w:color w:val="0D0D0D" w:themeColor="text1" w:themeTint="F2"/>
          <w:spacing w:val="-3"/>
          <w:sz w:val="16"/>
          <w:szCs w:val="16"/>
        </w:rPr>
        <w:t>), nejméně u</w:t>
      </w:r>
      <w:r w:rsidRPr="00201E70">
        <w:rPr>
          <w:color w:val="0D0D0D" w:themeColor="text1" w:themeTint="F2"/>
          <w:spacing w:val="-4"/>
          <w:sz w:val="16"/>
          <w:szCs w:val="16"/>
        </w:rPr>
        <w:t> </w:t>
      </w:r>
      <w:r w:rsidRPr="00201E70">
        <w:rPr>
          <w:color w:val="0D0D0D" w:themeColor="text1" w:themeTint="F2"/>
          <w:spacing w:val="-3"/>
          <w:sz w:val="16"/>
          <w:szCs w:val="16"/>
        </w:rPr>
        <w:t>velkoodběratelů</w:t>
      </w:r>
      <w:r w:rsidRPr="00201E70">
        <w:rPr>
          <w:color w:val="0D0D0D" w:themeColor="text1" w:themeTint="F2"/>
          <w:spacing w:val="-2"/>
          <w:sz w:val="16"/>
          <w:szCs w:val="16"/>
        </w:rPr>
        <w:t xml:space="preserve"> </w:t>
      </w:r>
      <w:r w:rsidRPr="00201E70">
        <w:rPr>
          <w:color w:val="0D0D0D" w:themeColor="text1" w:themeTint="F2"/>
          <w:spacing w:val="-4"/>
          <w:sz w:val="16"/>
          <w:szCs w:val="16"/>
        </w:rPr>
        <w:t>(</w:t>
      </w:r>
      <w:r>
        <w:rPr>
          <w:color w:val="0D0D0D" w:themeColor="text1" w:themeTint="F2"/>
          <w:spacing w:val="-4"/>
          <w:sz w:val="16"/>
          <w:szCs w:val="16"/>
        </w:rPr>
        <w:t>−</w:t>
      </w:r>
      <w:r w:rsidRPr="00201E70">
        <w:rPr>
          <w:color w:val="0D0D0D" w:themeColor="text1" w:themeTint="F2"/>
          <w:spacing w:val="-4"/>
          <w:sz w:val="16"/>
          <w:szCs w:val="16"/>
        </w:rPr>
        <w:t>3,9 %).</w:t>
      </w:r>
      <w:r w:rsidRPr="00201E70">
        <w:rPr>
          <w:color w:val="0D0D0D" w:themeColor="text1" w:themeTint="F2"/>
          <w:spacing w:val="-3"/>
          <w:sz w:val="16"/>
          <w:szCs w:val="16"/>
        </w:rPr>
        <w:t xml:space="preserve"> </w:t>
      </w:r>
      <w:r w:rsidRPr="00201E70">
        <w:rPr>
          <w:color w:val="0D0D0D" w:themeColor="text1" w:themeTint="F2"/>
          <w:spacing w:val="-4"/>
          <w:sz w:val="16"/>
          <w:szCs w:val="16"/>
        </w:rPr>
        <w:t>Citelně, byť mírněji než loni</w:t>
      </w:r>
      <w:r>
        <w:rPr>
          <w:color w:val="0D0D0D" w:themeColor="text1" w:themeTint="F2"/>
          <w:spacing w:val="-4"/>
          <w:sz w:val="16"/>
          <w:szCs w:val="16"/>
        </w:rPr>
        <w:t>,</w:t>
      </w:r>
      <w:r w:rsidRPr="00201E70">
        <w:rPr>
          <w:color w:val="0D0D0D" w:themeColor="text1" w:themeTint="F2"/>
          <w:spacing w:val="-4"/>
          <w:sz w:val="16"/>
          <w:szCs w:val="16"/>
        </w:rPr>
        <w:t xml:space="preserve"> klesla v 1. až 3. čtvrtletí i celková spotřeba plynu (vyjádřená v m</w:t>
      </w:r>
      <w:r w:rsidRPr="00201E70">
        <w:rPr>
          <w:color w:val="0D0D0D" w:themeColor="text1" w:themeTint="F2"/>
          <w:spacing w:val="-4"/>
          <w:sz w:val="16"/>
          <w:szCs w:val="16"/>
          <w:vertAlign w:val="superscript"/>
        </w:rPr>
        <w:t>3</w:t>
      </w:r>
      <w:r w:rsidRPr="00201E70">
        <w:rPr>
          <w:color w:val="0D0D0D" w:themeColor="text1" w:themeTint="F2"/>
          <w:spacing w:val="-4"/>
          <w:sz w:val="16"/>
          <w:szCs w:val="16"/>
        </w:rPr>
        <w:t>) v ČR – meziročně o 12,1 % (po přepočtu na teplotní normál o 10,3 %). Znatelné snížení spotřeby nastalo u všech hlavních kategorií odběratelů, nejvyšší bylo u domácnosti, které odebraly meziročně o 14,2 % plynu méně (za dva roky o 30,7 % méně), nejmenší pokles pak u velkoodběratelů (</w:t>
      </w:r>
      <w:r>
        <w:rPr>
          <w:color w:val="0D0D0D" w:themeColor="text1" w:themeTint="F2"/>
          <w:spacing w:val="-4"/>
          <w:sz w:val="16"/>
          <w:szCs w:val="16"/>
        </w:rPr>
        <w:t>−</w:t>
      </w:r>
      <w:r w:rsidRPr="00201E70">
        <w:rPr>
          <w:color w:val="0D0D0D" w:themeColor="text1" w:themeTint="F2"/>
          <w:spacing w:val="-4"/>
          <w:sz w:val="16"/>
          <w:szCs w:val="16"/>
        </w:rPr>
        <w:t>10,6 %, za dva roky ale 29,9 %). K celkovému meziročnímu poklesu spotřeby elektřiny i plynu došlo dosud letos ve všech měsících (leden až září). Aktuální data za 1. pololetí 2023 ukazují i na plošný meziroční pokles spotřeby tepla (vyjádřené v TJ) – v domácnostech o 3,1 %, v odvětví obchodu, službách, školství, zdravotnictví o 6,9 %, v průmyslu o 11,9 %.</w:t>
      </w:r>
    </w:p>
  </w:footnote>
  <w:footnote w:id="7">
    <w:p w14:paraId="54FC69DA" w14:textId="77777777" w:rsidR="000D7C6F" w:rsidRPr="00201E70" w:rsidRDefault="000D7C6F" w:rsidP="007D7F4F">
      <w:pPr>
        <w:pStyle w:val="Textpoznpodarou"/>
        <w:rPr>
          <w:color w:val="0D0D0D" w:themeColor="text1" w:themeTint="F2"/>
          <w:sz w:val="16"/>
          <w:szCs w:val="16"/>
        </w:rPr>
      </w:pPr>
      <w:r w:rsidRPr="00201E70">
        <w:rPr>
          <w:rStyle w:val="Znakapoznpodarou"/>
          <w:color w:val="0D0D0D" w:themeColor="text1" w:themeTint="F2"/>
          <w:sz w:val="16"/>
          <w:szCs w:val="16"/>
        </w:rPr>
        <w:footnoteRef/>
      </w:r>
      <w:r w:rsidRPr="00201E70">
        <w:rPr>
          <w:color w:val="0D0D0D" w:themeColor="text1" w:themeTint="F2"/>
          <w:sz w:val="16"/>
          <w:szCs w:val="16"/>
        </w:rPr>
        <w:t xml:space="preserve"> Průměrná teplota ovzduší v ČR vystoupala letos </w:t>
      </w:r>
      <w:r>
        <w:rPr>
          <w:color w:val="0D0D0D" w:themeColor="text1" w:themeTint="F2"/>
          <w:sz w:val="16"/>
          <w:szCs w:val="16"/>
        </w:rPr>
        <w:t xml:space="preserve">v </w:t>
      </w:r>
      <w:r w:rsidRPr="00201E70">
        <w:rPr>
          <w:color w:val="0D0D0D" w:themeColor="text1" w:themeTint="F2"/>
          <w:sz w:val="16"/>
          <w:szCs w:val="16"/>
        </w:rPr>
        <w:t>le</w:t>
      </w:r>
      <w:r>
        <w:rPr>
          <w:color w:val="0D0D0D" w:themeColor="text1" w:themeTint="F2"/>
          <w:sz w:val="16"/>
          <w:szCs w:val="16"/>
        </w:rPr>
        <w:t>dnu i září nad</w:t>
      </w:r>
      <w:r w:rsidRPr="00201E70">
        <w:rPr>
          <w:color w:val="0D0D0D" w:themeColor="text1" w:themeTint="F2"/>
          <w:sz w:val="16"/>
          <w:szCs w:val="16"/>
        </w:rPr>
        <w:t xml:space="preserve"> dlouhodobý normál</w:t>
      </w:r>
      <w:r>
        <w:rPr>
          <w:color w:val="0D0D0D" w:themeColor="text1" w:themeTint="F2"/>
          <w:sz w:val="16"/>
          <w:szCs w:val="16"/>
        </w:rPr>
        <w:t xml:space="preserve"> o 3,4 stupně, v únoru i březnu</w:t>
      </w:r>
      <w:r w:rsidRPr="00201E70">
        <w:rPr>
          <w:color w:val="0D0D0D" w:themeColor="text1" w:themeTint="F2"/>
          <w:sz w:val="16"/>
          <w:szCs w:val="16"/>
        </w:rPr>
        <w:t xml:space="preserve"> o 1,5 stupně.</w:t>
      </w:r>
    </w:p>
  </w:footnote>
  <w:footnote w:id="8">
    <w:p w14:paraId="7275AAEE" w14:textId="77777777" w:rsidR="000D7C6F" w:rsidRPr="00F125DF" w:rsidRDefault="000D7C6F" w:rsidP="007D7F4F">
      <w:pPr>
        <w:pStyle w:val="Textpoznpodarou"/>
        <w:rPr>
          <w:sz w:val="16"/>
          <w:szCs w:val="16"/>
        </w:rPr>
      </w:pPr>
      <w:r w:rsidRPr="00201E70">
        <w:rPr>
          <w:rStyle w:val="Znakapoznpodarou"/>
          <w:color w:val="0D0D0D" w:themeColor="text1" w:themeTint="F2"/>
          <w:sz w:val="16"/>
          <w:szCs w:val="16"/>
        </w:rPr>
        <w:footnoteRef/>
      </w:r>
      <w:r w:rsidRPr="00201E70">
        <w:rPr>
          <w:color w:val="0D0D0D" w:themeColor="text1" w:themeTint="F2"/>
          <w:sz w:val="16"/>
          <w:szCs w:val="16"/>
        </w:rPr>
        <w:t xml:space="preserve"> Za výrazným útlumem tohoto odvětví stojí i vyšší srovnávací základna. Na počátku roku 2022 zde dosáhl objem produkce rekordní úrovně (ve srovnatelné řadě od roku 2001).</w:t>
      </w:r>
    </w:p>
  </w:footnote>
  <w:footnote w:id="9">
    <w:p w14:paraId="272B6B64" w14:textId="77777777" w:rsidR="000D7C6F" w:rsidRPr="00201E70" w:rsidRDefault="000D7C6F" w:rsidP="007D7F4F">
      <w:pPr>
        <w:pStyle w:val="Textpoznpodarou"/>
        <w:rPr>
          <w:sz w:val="16"/>
          <w:szCs w:val="16"/>
        </w:rPr>
      </w:pPr>
      <w:r w:rsidRPr="00201E70">
        <w:rPr>
          <w:rStyle w:val="Znakapoznpodarou"/>
          <w:sz w:val="16"/>
          <w:szCs w:val="16"/>
        </w:rPr>
        <w:footnoteRef/>
      </w:r>
      <w:r w:rsidRPr="00201E70">
        <w:rPr>
          <w:sz w:val="16"/>
          <w:szCs w:val="16"/>
        </w:rPr>
        <w:t xml:space="preserve"> </w:t>
      </w:r>
      <w:r w:rsidRPr="00201E70">
        <w:rPr>
          <w:color w:val="0D0D0D" w:themeColor="text1" w:themeTint="F2"/>
          <w:spacing w:val="-4"/>
          <w:sz w:val="16"/>
          <w:szCs w:val="16"/>
        </w:rPr>
        <w:t xml:space="preserve">Několikaletý růst spotřeby potravin </w:t>
      </w:r>
      <w:r>
        <w:rPr>
          <w:color w:val="0D0D0D" w:themeColor="text1" w:themeTint="F2"/>
          <w:spacing w:val="-4"/>
          <w:sz w:val="16"/>
          <w:szCs w:val="16"/>
        </w:rPr>
        <w:t xml:space="preserve">v ČR </w:t>
      </w:r>
      <w:r w:rsidRPr="00201E70">
        <w:rPr>
          <w:color w:val="0D0D0D" w:themeColor="text1" w:themeTint="F2"/>
          <w:spacing w:val="-4"/>
          <w:sz w:val="16"/>
          <w:szCs w:val="16"/>
        </w:rPr>
        <w:t xml:space="preserve">(vyjádřený v naturálních jednotkách) se zastavil již v roce 2022. Celková spotřeba potravin na jednoho obyvatele v roce 2022 </w:t>
      </w:r>
      <w:r>
        <w:rPr>
          <w:color w:val="0D0D0D" w:themeColor="text1" w:themeTint="F2"/>
          <w:spacing w:val="-4"/>
          <w:sz w:val="16"/>
          <w:szCs w:val="16"/>
        </w:rPr>
        <w:t xml:space="preserve">činila </w:t>
      </w:r>
      <w:r w:rsidRPr="00201E70">
        <w:rPr>
          <w:color w:val="0D0D0D" w:themeColor="text1" w:themeTint="F2"/>
          <w:spacing w:val="-4"/>
          <w:sz w:val="16"/>
          <w:szCs w:val="16"/>
        </w:rPr>
        <w:t>793 kg</w:t>
      </w:r>
      <w:r>
        <w:rPr>
          <w:color w:val="0D0D0D" w:themeColor="text1" w:themeTint="F2"/>
          <w:spacing w:val="-4"/>
          <w:sz w:val="16"/>
          <w:szCs w:val="16"/>
        </w:rPr>
        <w:t xml:space="preserve"> a</w:t>
      </w:r>
      <w:r w:rsidRPr="00201E70">
        <w:rPr>
          <w:color w:val="0D0D0D" w:themeColor="text1" w:themeTint="F2"/>
          <w:spacing w:val="-4"/>
          <w:sz w:val="16"/>
          <w:szCs w:val="16"/>
        </w:rPr>
        <w:t xml:space="preserve"> </w:t>
      </w:r>
      <w:r>
        <w:rPr>
          <w:color w:val="0D0D0D" w:themeColor="text1" w:themeTint="F2"/>
          <w:spacing w:val="-4"/>
          <w:sz w:val="16"/>
          <w:szCs w:val="16"/>
        </w:rPr>
        <w:t>byla meziročně nižší o 32 kg, když klesla</w:t>
      </w:r>
      <w:r w:rsidRPr="00201E70">
        <w:rPr>
          <w:color w:val="0D0D0D" w:themeColor="text1" w:themeTint="F2"/>
          <w:spacing w:val="-4"/>
          <w:sz w:val="16"/>
          <w:szCs w:val="16"/>
        </w:rPr>
        <w:t xml:space="preserve"> na úroveň posledních předcovidových</w:t>
      </w:r>
      <w:r>
        <w:rPr>
          <w:color w:val="0D0D0D" w:themeColor="text1" w:themeTint="F2"/>
          <w:spacing w:val="-4"/>
          <w:sz w:val="16"/>
          <w:szCs w:val="16"/>
        </w:rPr>
        <w:t> let. Proti roku</w:t>
      </w:r>
      <w:r w:rsidRPr="00201E70">
        <w:rPr>
          <w:color w:val="0D0D0D" w:themeColor="text1" w:themeTint="F2"/>
          <w:spacing w:val="-4"/>
          <w:sz w:val="16"/>
          <w:szCs w:val="16"/>
        </w:rPr>
        <w:t xml:space="preserve"> 2021 se spotřebovalo méně mléka a mléčných výrobků, masa, vajec, tuků, brambor, ovoce i zeleniny.</w:t>
      </w:r>
      <w:r w:rsidRPr="00A97171">
        <w:rPr>
          <w:color w:val="0D0D0D" w:themeColor="text1" w:themeTint="F2"/>
          <w:spacing w:val="-4"/>
          <w:sz w:val="16"/>
          <w:szCs w:val="16"/>
        </w:rPr>
        <w:t> Po deseti letech se zastavil růst spotřeby masa</w:t>
      </w:r>
      <w:r>
        <w:rPr>
          <w:color w:val="0D0D0D" w:themeColor="text1" w:themeTint="F2"/>
          <w:spacing w:val="-4"/>
          <w:sz w:val="16"/>
          <w:szCs w:val="16"/>
        </w:rPr>
        <w:t xml:space="preserve"> (relativně nejvyšší pokles nastal o hovězího).</w:t>
      </w:r>
    </w:p>
  </w:footnote>
  <w:footnote w:id="10">
    <w:p w14:paraId="47C3A9C7" w14:textId="77777777" w:rsidR="000D7C6F" w:rsidRPr="00926FB6" w:rsidRDefault="000D7C6F" w:rsidP="007D7F4F">
      <w:pPr>
        <w:pStyle w:val="Textpoznpodarou"/>
        <w:rPr>
          <w:sz w:val="16"/>
          <w:szCs w:val="16"/>
        </w:rPr>
      </w:pPr>
      <w:r w:rsidRPr="00926FB6">
        <w:rPr>
          <w:rStyle w:val="Znakapoznpodarou"/>
          <w:color w:val="0D0D0D" w:themeColor="text1" w:themeTint="F2"/>
          <w:sz w:val="16"/>
          <w:szCs w:val="16"/>
        </w:rPr>
        <w:footnoteRef/>
      </w:r>
      <w:r w:rsidRPr="00926FB6">
        <w:rPr>
          <w:color w:val="0D0D0D" w:themeColor="text1" w:themeTint="F2"/>
          <w:sz w:val="16"/>
          <w:szCs w:val="16"/>
        </w:rPr>
        <w:t xml:space="preserve"> Za celý rok 2022 vzrostla v tomto odvětví produkce o 13 %. Spolu s kožedělným </w:t>
      </w:r>
      <w:r>
        <w:rPr>
          <w:color w:val="0D0D0D" w:themeColor="text1" w:themeTint="F2"/>
          <w:sz w:val="16"/>
          <w:szCs w:val="16"/>
        </w:rPr>
        <w:t xml:space="preserve">a obuvnickým </w:t>
      </w:r>
      <w:r w:rsidRPr="00926FB6">
        <w:rPr>
          <w:color w:val="0D0D0D" w:themeColor="text1" w:themeTint="F2"/>
          <w:sz w:val="16"/>
          <w:szCs w:val="16"/>
        </w:rPr>
        <w:t xml:space="preserve">průmyslem šlo o nejvyšší růst mezi hlavními průmyslovými obory. </w:t>
      </w:r>
    </w:p>
  </w:footnote>
  <w:footnote w:id="11">
    <w:p w14:paraId="385517F4" w14:textId="77777777" w:rsidR="000D7C6F" w:rsidRPr="005C7A8D" w:rsidRDefault="000D7C6F" w:rsidP="007D7F4F">
      <w:pPr>
        <w:pStyle w:val="Textpoznpodarou"/>
        <w:rPr>
          <w:sz w:val="16"/>
          <w:szCs w:val="16"/>
        </w:rPr>
      </w:pPr>
      <w:r w:rsidRPr="005C7A8D">
        <w:rPr>
          <w:rStyle w:val="Znakapoznpodarou"/>
          <w:sz w:val="16"/>
          <w:szCs w:val="16"/>
        </w:rPr>
        <w:footnoteRef/>
      </w:r>
      <w:r w:rsidRPr="005C7A8D">
        <w:rPr>
          <w:sz w:val="16"/>
          <w:szCs w:val="16"/>
        </w:rPr>
        <w:t xml:space="preserve"> Tento obor zahrnuje (vedle váhově dominantní skupiny výroby lékařských a dentálních nástrojů a potřeb) také výrobu her, hraček, hudebních nástrojů, sportovních potřeb či klenotů a bižuterie.</w:t>
      </w:r>
    </w:p>
  </w:footnote>
  <w:footnote w:id="12">
    <w:p w14:paraId="3384AB41" w14:textId="77777777" w:rsidR="000D7C6F" w:rsidRPr="00967BDB" w:rsidRDefault="000D7C6F" w:rsidP="007D7F4F">
      <w:pPr>
        <w:pStyle w:val="Textpoznpodarou"/>
        <w:rPr>
          <w:sz w:val="16"/>
          <w:szCs w:val="16"/>
        </w:rPr>
      </w:pPr>
      <w:r w:rsidRPr="00967BDB">
        <w:rPr>
          <w:rStyle w:val="Znakapoznpodarou"/>
          <w:sz w:val="16"/>
          <w:szCs w:val="16"/>
        </w:rPr>
        <w:footnoteRef/>
      </w:r>
      <w:r w:rsidRPr="00967BDB">
        <w:rPr>
          <w:sz w:val="16"/>
          <w:szCs w:val="16"/>
        </w:rPr>
        <w:t xml:space="preserve"> </w:t>
      </w:r>
      <w:r w:rsidRPr="00967BDB">
        <w:rPr>
          <w:spacing w:val="-5"/>
          <w:sz w:val="16"/>
          <w:szCs w:val="16"/>
        </w:rPr>
        <w:t>Z</w:t>
      </w:r>
      <w:r>
        <w:rPr>
          <w:spacing w:val="-5"/>
          <w:sz w:val="16"/>
          <w:szCs w:val="16"/>
        </w:rPr>
        <w:t>č</w:t>
      </w:r>
      <w:r w:rsidRPr="00967BDB">
        <w:rPr>
          <w:spacing w:val="-5"/>
          <w:sz w:val="16"/>
          <w:szCs w:val="16"/>
        </w:rPr>
        <w:t>ásti šlo ovšem o kompenzaci nižší výroby z období na počá</w:t>
      </w:r>
      <w:r>
        <w:rPr>
          <w:spacing w:val="-5"/>
          <w:sz w:val="16"/>
          <w:szCs w:val="16"/>
        </w:rPr>
        <w:t xml:space="preserve">tku </w:t>
      </w:r>
      <w:r w:rsidRPr="00967BDB">
        <w:rPr>
          <w:spacing w:val="-5"/>
          <w:sz w:val="16"/>
          <w:szCs w:val="16"/>
        </w:rPr>
        <w:t>roku</w:t>
      </w:r>
      <w:r>
        <w:rPr>
          <w:spacing w:val="-5"/>
          <w:sz w:val="16"/>
          <w:szCs w:val="16"/>
        </w:rPr>
        <w:t xml:space="preserve"> 2022, </w:t>
      </w:r>
      <w:r w:rsidRPr="00967BDB">
        <w:rPr>
          <w:spacing w:val="-5"/>
          <w:sz w:val="16"/>
          <w:szCs w:val="16"/>
        </w:rPr>
        <w:t xml:space="preserve">kdy problémy v dodavatelských řetězcích eskalovaly vinou </w:t>
      </w:r>
      <w:r w:rsidRPr="00967BDB">
        <w:rPr>
          <w:color w:val="0D0D0D" w:themeColor="text1" w:themeTint="F2"/>
          <w:spacing w:val="-5"/>
          <w:sz w:val="16"/>
          <w:szCs w:val="16"/>
        </w:rPr>
        <w:t>zmrazení výroby některých zdrojových</w:t>
      </w:r>
      <w:r>
        <w:rPr>
          <w:color w:val="0D0D0D" w:themeColor="text1" w:themeTint="F2"/>
          <w:spacing w:val="-5"/>
          <w:sz w:val="16"/>
          <w:szCs w:val="16"/>
        </w:rPr>
        <w:t xml:space="preserve"> komponent v Číně i na Ukrajině</w:t>
      </w:r>
      <w:r w:rsidRPr="00967BDB">
        <w:rPr>
          <w:color w:val="0D0D0D" w:themeColor="text1" w:themeTint="F2"/>
          <w:spacing w:val="-5"/>
          <w:sz w:val="16"/>
          <w:szCs w:val="16"/>
        </w:rPr>
        <w:t>.</w:t>
      </w:r>
    </w:p>
  </w:footnote>
  <w:footnote w:id="13">
    <w:p w14:paraId="03AABEA0" w14:textId="77777777" w:rsidR="000D7C6F" w:rsidRPr="00967BDB" w:rsidRDefault="000D7C6F" w:rsidP="007D7F4F">
      <w:pPr>
        <w:pStyle w:val="Textpoznpodarou"/>
        <w:rPr>
          <w:sz w:val="16"/>
          <w:szCs w:val="16"/>
        </w:rPr>
      </w:pPr>
      <w:r w:rsidRPr="00967BDB">
        <w:rPr>
          <w:rStyle w:val="Znakapoznpodarou"/>
          <w:sz w:val="16"/>
          <w:szCs w:val="16"/>
        </w:rPr>
        <w:footnoteRef/>
      </w:r>
      <w:r w:rsidRPr="00967BDB">
        <w:rPr>
          <w:sz w:val="16"/>
          <w:szCs w:val="16"/>
        </w:rPr>
        <w:t xml:space="preserve"> K mezikvartálním</w:t>
      </w:r>
      <w:r>
        <w:rPr>
          <w:sz w:val="16"/>
          <w:szCs w:val="16"/>
        </w:rPr>
        <w:t>u</w:t>
      </w:r>
      <w:r w:rsidRPr="00967BDB">
        <w:rPr>
          <w:sz w:val="16"/>
          <w:szCs w:val="16"/>
        </w:rPr>
        <w:t xml:space="preserve"> poklesu produkce došlo poprvé od 3. čtvrtletí 2021.</w:t>
      </w:r>
      <w:r>
        <w:rPr>
          <w:sz w:val="16"/>
          <w:szCs w:val="16"/>
        </w:rPr>
        <w:t xml:space="preserve"> Částečně se zde projevil dopad narušení výroby u některých významných producentů kvůli dočasným problémům u tuzemských i zahraničních dodavatelů (v důsledku zasažení živelními vlivy).</w:t>
      </w:r>
    </w:p>
  </w:footnote>
  <w:footnote w:id="14">
    <w:p w14:paraId="485FA3B7" w14:textId="77777777" w:rsidR="000D7C6F" w:rsidRPr="00AF5F38" w:rsidRDefault="000D7C6F" w:rsidP="007D7F4F">
      <w:pPr>
        <w:pStyle w:val="Textpoznpodarou"/>
        <w:rPr>
          <w:sz w:val="16"/>
          <w:szCs w:val="16"/>
        </w:rPr>
      </w:pPr>
      <w:r w:rsidRPr="008C2F46">
        <w:rPr>
          <w:rStyle w:val="Znakapoznpodarou"/>
          <w:sz w:val="16"/>
          <w:szCs w:val="16"/>
        </w:rPr>
        <w:footnoteRef/>
      </w:r>
      <w:r w:rsidRPr="008C2F46">
        <w:rPr>
          <w:sz w:val="16"/>
          <w:szCs w:val="16"/>
        </w:rPr>
        <w:t xml:space="preserve"> Dle Sdružení</w:t>
      </w:r>
      <w:r w:rsidRPr="00033208">
        <w:rPr>
          <w:sz w:val="16"/>
          <w:szCs w:val="16"/>
        </w:rPr>
        <w:t xml:space="preserve"> automobilového pr</w:t>
      </w:r>
      <w:r>
        <w:rPr>
          <w:sz w:val="16"/>
          <w:szCs w:val="16"/>
        </w:rPr>
        <w:t xml:space="preserve">ůmyslu bylo letos </w:t>
      </w:r>
      <w:r w:rsidRPr="00033208">
        <w:rPr>
          <w:sz w:val="16"/>
          <w:szCs w:val="16"/>
        </w:rPr>
        <w:t xml:space="preserve">v Česku </w:t>
      </w:r>
      <w:r>
        <w:rPr>
          <w:sz w:val="16"/>
          <w:szCs w:val="16"/>
        </w:rPr>
        <w:t>za prvních deset měsíců</w:t>
      </w:r>
      <w:r w:rsidRPr="00033208">
        <w:rPr>
          <w:sz w:val="16"/>
          <w:szCs w:val="16"/>
        </w:rPr>
        <w:t xml:space="preserve"> </w:t>
      </w:r>
      <w:r>
        <w:rPr>
          <w:sz w:val="16"/>
          <w:szCs w:val="16"/>
        </w:rPr>
        <w:t xml:space="preserve">vyrobeno 1,162 mil. osobních automobilů (nejvíce v tomto období za poslední čtyři roky a pouze o 3 % méně než za leden až říjen 2018). Výroba meziročně posílila o 16 %. </w:t>
      </w:r>
      <w:r>
        <w:rPr>
          <w:spacing w:val="-3"/>
          <w:sz w:val="16"/>
          <w:szCs w:val="16"/>
        </w:rPr>
        <w:t>Březnová, červnová, červencová a říjnová výroba byla v rámci shodných měsíců dokonce nejvyšší v historii. Na elektrická vozidla (vč. vozů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r w:rsidRPr="00E04667">
        <w:rPr>
          <w:spacing w:val="-3"/>
          <w:sz w:val="16"/>
          <w:szCs w:val="16"/>
        </w:rPr>
        <w:t xml:space="preserve"> </w:t>
      </w:r>
      <w:r>
        <w:rPr>
          <w:spacing w:val="-3"/>
          <w:sz w:val="16"/>
          <w:szCs w:val="16"/>
        </w:rPr>
        <w:t>připadalo</w:t>
      </w:r>
      <w:r w:rsidRPr="00327346">
        <w:rPr>
          <w:spacing w:val="-3"/>
          <w:sz w:val="16"/>
          <w:szCs w:val="16"/>
        </w:rPr>
        <w:t xml:space="preserve"> </w:t>
      </w:r>
      <w:r>
        <w:rPr>
          <w:spacing w:val="-3"/>
          <w:sz w:val="16"/>
          <w:szCs w:val="16"/>
        </w:rPr>
        <w:t>dosud letos již 13,6 % všech v tuzemsku vyrobených osobních automobilů. Meziročně nižší produkci zaznamenali naopak výrobci ostatních druhů motorových silničních vozidel.</w:t>
      </w:r>
    </w:p>
  </w:footnote>
  <w:footnote w:id="15">
    <w:p w14:paraId="18188809" w14:textId="77777777" w:rsidR="000D7C6F" w:rsidRPr="00F33536" w:rsidRDefault="000D7C6F" w:rsidP="007D7F4F">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w:t>
      </w:r>
      <w:r>
        <w:rPr>
          <w:spacing w:val="-2"/>
          <w:sz w:val="16"/>
          <w:szCs w:val="16"/>
        </w:rPr>
        <w:t xml:space="preserve">Jde o tržby z průmyslové činnosti. </w:t>
      </w:r>
      <w:r w:rsidRPr="00F33536">
        <w:rPr>
          <w:rFonts w:cs="Arial"/>
          <w:color w:val="0D0D0D" w:themeColor="text1" w:themeTint="F2"/>
          <w:spacing w:val="-2"/>
          <w:sz w:val="16"/>
          <w:szCs w:val="16"/>
        </w:rPr>
        <w:t>Meziroční tempa tržeb jsou očištěna o kalendářní vlivy.</w:t>
      </w:r>
    </w:p>
  </w:footnote>
  <w:footnote w:id="16">
    <w:p w14:paraId="002791F9" w14:textId="77777777" w:rsidR="000D7C6F" w:rsidRPr="00FB58F4" w:rsidRDefault="000D7C6F" w:rsidP="007D7F4F">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sou očištěna o kalendářní vlivy, mezikvartální tempa také o vliv sezónnosti.</w:t>
      </w:r>
    </w:p>
  </w:footnote>
  <w:footnote w:id="17">
    <w:p w14:paraId="0917A2A0" w14:textId="77777777" w:rsidR="000D7C6F" w:rsidRPr="003728A3" w:rsidRDefault="000D7C6F" w:rsidP="007D7F4F">
      <w:pPr>
        <w:pStyle w:val="Textpoznpodarou"/>
        <w:rPr>
          <w:sz w:val="16"/>
          <w:szCs w:val="16"/>
        </w:rPr>
      </w:pPr>
      <w:r w:rsidRPr="003728A3">
        <w:rPr>
          <w:rStyle w:val="Znakapoznpodarou"/>
          <w:sz w:val="16"/>
          <w:szCs w:val="16"/>
        </w:rPr>
        <w:footnoteRef/>
      </w:r>
      <w:r w:rsidRPr="003728A3">
        <w:rPr>
          <w:sz w:val="16"/>
          <w:szCs w:val="16"/>
        </w:rPr>
        <w:t xml:space="preserve"> V</w:t>
      </w:r>
      <w:r>
        <w:rPr>
          <w:sz w:val="16"/>
          <w:szCs w:val="16"/>
        </w:rPr>
        <w:t>e 3. čtvrtletí klesly nové tuzemské zakázky meziročně o 7,2 % a pokles v mezikvartálním srovnání registrovaly počtvrté v řadě.</w:t>
      </w:r>
    </w:p>
  </w:footnote>
  <w:footnote w:id="18">
    <w:p w14:paraId="6AC68B32" w14:textId="77777777" w:rsidR="000D7C6F" w:rsidRPr="002F35D0" w:rsidRDefault="000D7C6F" w:rsidP="007D7F4F">
      <w:pPr>
        <w:pStyle w:val="Textpoznpodarou"/>
        <w:rPr>
          <w:spacing w:val="-2"/>
          <w:sz w:val="16"/>
          <w:szCs w:val="16"/>
        </w:rPr>
      </w:pPr>
      <w:r w:rsidRPr="002F35D0">
        <w:rPr>
          <w:rStyle w:val="Znakapoznpodarou"/>
          <w:spacing w:val="-2"/>
          <w:sz w:val="16"/>
          <w:szCs w:val="16"/>
        </w:rPr>
        <w:footnoteRef/>
      </w:r>
      <w:r>
        <w:rPr>
          <w:spacing w:val="-2"/>
          <w:sz w:val="16"/>
          <w:szCs w:val="16"/>
        </w:rPr>
        <w:t xml:space="preserve"> Ty přetrvávají od </w:t>
      </w:r>
      <w:r w:rsidRPr="002F35D0">
        <w:rPr>
          <w:spacing w:val="-2"/>
          <w:sz w:val="16"/>
          <w:szCs w:val="16"/>
        </w:rPr>
        <w:t xml:space="preserve">loňského října. </w:t>
      </w:r>
      <w:r w:rsidRPr="002F35D0">
        <w:rPr>
          <w:sz w:val="16"/>
          <w:szCs w:val="16"/>
        </w:rPr>
        <w:t>To se již začalo projevovat na „tvrdých“ datech – evidenční počet zaměstnanců v</w:t>
      </w:r>
      <w:r>
        <w:rPr>
          <w:sz w:val="16"/>
          <w:szCs w:val="16"/>
        </w:rPr>
        <w:t> průmyslu se ve 3</w:t>
      </w:r>
      <w:r w:rsidRPr="002F35D0">
        <w:rPr>
          <w:sz w:val="16"/>
          <w:szCs w:val="16"/>
        </w:rPr>
        <w:t xml:space="preserve">. čtvrtletí 2023 </w:t>
      </w:r>
      <w:r>
        <w:rPr>
          <w:sz w:val="16"/>
          <w:szCs w:val="16"/>
        </w:rPr>
        <w:t>meziročně snížil o 1,6 % (v úhrnu od počátku letošního roku o 1,2 %).</w:t>
      </w:r>
    </w:p>
  </w:footnote>
  <w:footnote w:id="19">
    <w:p w14:paraId="5DD6F8C9" w14:textId="77777777" w:rsidR="000D7C6F" w:rsidRPr="00AF44D9" w:rsidRDefault="000D7C6F" w:rsidP="007D7F4F">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 Slabá poptávka představovala zásadní růstový limit především pro většinu energeticky náročných průmyslových oborů (hutnictví, výroba stavebních hmot, gumárenství a plastikářství, </w:t>
      </w:r>
      <w:r w:rsidRPr="001D37AB">
        <w:rPr>
          <w:sz w:val="16"/>
          <w:szCs w:val="16"/>
        </w:rPr>
        <w:t>dřevozpracující a papírenský průmysl), dále pro textilní či nápojový průmysl. Tuto bariéru uvedl i vysoký podíl podniků v</w:t>
      </w:r>
      <w:r>
        <w:rPr>
          <w:sz w:val="16"/>
          <w:szCs w:val="16"/>
        </w:rPr>
        <w:t>e výrobě elektrických zařízení</w:t>
      </w:r>
      <w:r w:rsidRPr="001D37AB">
        <w:rPr>
          <w:sz w:val="16"/>
          <w:szCs w:val="16"/>
        </w:rPr>
        <w:t>.</w:t>
      </w:r>
    </w:p>
  </w:footnote>
  <w:footnote w:id="20">
    <w:p w14:paraId="1B131CDA" w14:textId="77777777" w:rsidR="000D7C6F" w:rsidRPr="002A5130" w:rsidRDefault="000D7C6F" w:rsidP="007D7F4F">
      <w:pPr>
        <w:pStyle w:val="Textpoznpodarou"/>
        <w:rPr>
          <w:sz w:val="16"/>
          <w:szCs w:val="16"/>
        </w:rPr>
      </w:pPr>
      <w:r w:rsidRPr="002A5130">
        <w:rPr>
          <w:rStyle w:val="Znakapoznpodarou"/>
          <w:sz w:val="16"/>
          <w:szCs w:val="16"/>
        </w:rPr>
        <w:footnoteRef/>
      </w:r>
      <w:r>
        <w:rPr>
          <w:sz w:val="16"/>
          <w:szCs w:val="16"/>
        </w:rPr>
        <w:t xml:space="preserve"> U</w:t>
      </w:r>
      <w:r w:rsidRPr="002A5130">
        <w:rPr>
          <w:sz w:val="16"/>
          <w:szCs w:val="16"/>
        </w:rPr>
        <w:t xml:space="preserve"> n</w:t>
      </w:r>
      <w:r>
        <w:rPr>
          <w:sz w:val="16"/>
          <w:szCs w:val="16"/>
        </w:rPr>
        <w:t>edostatku zaměstnanců šlo o strojírenství, kožedělný i obuvnický průmysl či výrobu dopravních prostředků (mimo automobily).</w:t>
      </w:r>
    </w:p>
  </w:footnote>
  <w:footnote w:id="21">
    <w:p w14:paraId="474684E7" w14:textId="77777777" w:rsidR="000D7C6F" w:rsidRPr="00291A49" w:rsidRDefault="000D7C6F" w:rsidP="007D7F4F">
      <w:pPr>
        <w:pStyle w:val="Textpoznpodarou"/>
        <w:rPr>
          <w:sz w:val="16"/>
          <w:szCs w:val="16"/>
        </w:rPr>
      </w:pPr>
      <w:r w:rsidRPr="00291A49">
        <w:rPr>
          <w:rStyle w:val="Znakapoznpodarou"/>
          <w:sz w:val="16"/>
          <w:szCs w:val="16"/>
        </w:rPr>
        <w:footnoteRef/>
      </w:r>
      <w:r w:rsidRPr="00291A49">
        <w:rPr>
          <w:sz w:val="16"/>
          <w:szCs w:val="16"/>
        </w:rPr>
        <w:t xml:space="preserve"> Dle kon</w:t>
      </w:r>
      <w:r>
        <w:rPr>
          <w:sz w:val="16"/>
          <w:szCs w:val="16"/>
        </w:rPr>
        <w:t xml:space="preserve">junkturálních průzkumů z letošního listopadu očekávalo </w:t>
      </w:r>
      <w:r w:rsidRPr="00291A49">
        <w:rPr>
          <w:sz w:val="16"/>
          <w:szCs w:val="16"/>
        </w:rPr>
        <w:t xml:space="preserve">růst cen vlastní produkce </w:t>
      </w:r>
      <w:r>
        <w:rPr>
          <w:sz w:val="16"/>
          <w:szCs w:val="16"/>
        </w:rPr>
        <w:t xml:space="preserve">(v horizontu tří měsíců) stále bezmála 40 % tuzemských </w:t>
      </w:r>
      <w:r w:rsidRPr="00291A49">
        <w:rPr>
          <w:sz w:val="16"/>
          <w:szCs w:val="16"/>
        </w:rPr>
        <w:t>stavebních p</w:t>
      </w:r>
      <w:r>
        <w:rPr>
          <w:sz w:val="16"/>
          <w:szCs w:val="16"/>
        </w:rPr>
        <w:t xml:space="preserve">odniků. I přes postupný pokles, </w:t>
      </w:r>
      <w:r w:rsidRPr="00291A49">
        <w:rPr>
          <w:sz w:val="16"/>
          <w:szCs w:val="16"/>
        </w:rPr>
        <w:t>který je však mírněj</w:t>
      </w:r>
      <w:r>
        <w:rPr>
          <w:sz w:val="16"/>
          <w:szCs w:val="16"/>
        </w:rPr>
        <w:t xml:space="preserve">ší než v průmyslu, šlo </w:t>
      </w:r>
      <w:r w:rsidRPr="00291A49">
        <w:rPr>
          <w:sz w:val="16"/>
          <w:szCs w:val="16"/>
        </w:rPr>
        <w:t>o nejvyšší podíl me</w:t>
      </w:r>
      <w:r>
        <w:rPr>
          <w:sz w:val="16"/>
          <w:szCs w:val="16"/>
        </w:rPr>
        <w:t>zi všemi hlavními odvětvími</w:t>
      </w:r>
      <w:r w:rsidRPr="00291A49">
        <w:rPr>
          <w:sz w:val="16"/>
          <w:szCs w:val="16"/>
        </w:rPr>
        <w:t>.</w:t>
      </w:r>
    </w:p>
  </w:footnote>
  <w:footnote w:id="22">
    <w:p w14:paraId="7765641C" w14:textId="77777777" w:rsidR="000D7C6F" w:rsidRPr="00C6587B" w:rsidRDefault="000D7C6F" w:rsidP="007D7F4F">
      <w:pPr>
        <w:pStyle w:val="Textpoznpodarou"/>
        <w:rPr>
          <w:sz w:val="16"/>
          <w:szCs w:val="16"/>
        </w:rPr>
      </w:pPr>
      <w:r w:rsidRPr="00C6587B">
        <w:rPr>
          <w:rStyle w:val="Znakapoznpodarou"/>
          <w:sz w:val="16"/>
          <w:szCs w:val="16"/>
        </w:rPr>
        <w:footnoteRef/>
      </w:r>
      <w:r w:rsidRPr="00C6587B">
        <w:rPr>
          <w:sz w:val="16"/>
          <w:szCs w:val="16"/>
        </w:rPr>
        <w:t xml:space="preserve"> Ta souvisela </w:t>
      </w:r>
      <w:r>
        <w:rPr>
          <w:sz w:val="16"/>
          <w:szCs w:val="16"/>
        </w:rPr>
        <w:t>s poklesem reálných příjmů domácností i s vysokými úrokovými sazbami hypoték (jejichž úroveň se během letošního roku příliš nezměnila).</w:t>
      </w:r>
      <w:r w:rsidRPr="00C6587B">
        <w:rPr>
          <w:sz w:val="16"/>
          <w:szCs w:val="16"/>
        </w:rPr>
        <w:t xml:space="preserve"> </w:t>
      </w:r>
      <w:r>
        <w:rPr>
          <w:sz w:val="16"/>
          <w:szCs w:val="16"/>
        </w:rPr>
        <w:t>Situaci by v nejbližší době mohlo zlepšit omezení regulací. Od ledna 2024</w:t>
      </w:r>
      <w:r w:rsidRPr="00C6587B">
        <w:rPr>
          <w:sz w:val="16"/>
          <w:szCs w:val="16"/>
        </w:rPr>
        <w:t xml:space="preserve"> </w:t>
      </w:r>
      <w:r>
        <w:rPr>
          <w:sz w:val="16"/>
          <w:szCs w:val="16"/>
        </w:rPr>
        <w:t>přistoupila</w:t>
      </w:r>
      <w:r w:rsidRPr="00C6587B">
        <w:rPr>
          <w:sz w:val="16"/>
          <w:szCs w:val="16"/>
        </w:rPr>
        <w:t xml:space="preserve"> ČNB </w:t>
      </w:r>
      <w:r>
        <w:rPr>
          <w:sz w:val="16"/>
          <w:szCs w:val="16"/>
        </w:rPr>
        <w:t>k deaktivaci některých limitů pro poskytování hypotečních úvěrů (poměr celkové výše dluhu, resp. výše dluhové služby k ročnímu čistému příjmu domácnosti).</w:t>
      </w:r>
    </w:p>
  </w:footnote>
  <w:footnote w:id="23">
    <w:p w14:paraId="07BE9058" w14:textId="77777777" w:rsidR="000D7C6F" w:rsidRPr="000F6F33" w:rsidRDefault="000D7C6F" w:rsidP="007D7F4F">
      <w:pPr>
        <w:pStyle w:val="Textpoznpodarou"/>
        <w:rPr>
          <w:sz w:val="16"/>
          <w:szCs w:val="16"/>
        </w:rPr>
      </w:pPr>
      <w:r w:rsidRPr="000F6F33">
        <w:rPr>
          <w:rStyle w:val="Znakapoznpodarou"/>
          <w:sz w:val="16"/>
          <w:szCs w:val="16"/>
        </w:rPr>
        <w:footnoteRef/>
      </w:r>
      <w:r w:rsidRPr="000F6F33">
        <w:rPr>
          <w:sz w:val="16"/>
          <w:szCs w:val="16"/>
        </w:rPr>
        <w:t xml:space="preserve"> </w:t>
      </w:r>
      <w:r>
        <w:rPr>
          <w:sz w:val="16"/>
          <w:szCs w:val="16"/>
        </w:rPr>
        <w:t>Např. k</w:t>
      </w:r>
      <w:r w:rsidRPr="000F6F33">
        <w:rPr>
          <w:sz w:val="16"/>
          <w:szCs w:val="16"/>
        </w:rPr>
        <w:t xml:space="preserve">apitálové výdaje státního rozpočtu ČR vzrostly letos od ledna do listopadu meziročně o 22 %, resp. </w:t>
      </w:r>
      <w:r>
        <w:rPr>
          <w:sz w:val="16"/>
          <w:szCs w:val="16"/>
        </w:rPr>
        <w:t xml:space="preserve">o </w:t>
      </w:r>
      <w:r w:rsidRPr="000F6F33">
        <w:rPr>
          <w:sz w:val="16"/>
          <w:szCs w:val="16"/>
        </w:rPr>
        <w:t>32,4 mld. korun.</w:t>
      </w:r>
    </w:p>
  </w:footnote>
  <w:footnote w:id="24">
    <w:p w14:paraId="34B43159" w14:textId="77777777" w:rsidR="000D7C6F" w:rsidRPr="002D2942" w:rsidRDefault="000D7C6F" w:rsidP="007D7F4F">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25">
    <w:p w14:paraId="7FD5F1B4" w14:textId="77777777" w:rsidR="000D7C6F" w:rsidRPr="005A580E" w:rsidRDefault="000D7C6F" w:rsidP="007D7F4F">
      <w:pPr>
        <w:pStyle w:val="Textpoznpodarou"/>
        <w:rPr>
          <w:sz w:val="16"/>
          <w:szCs w:val="16"/>
        </w:rPr>
      </w:pPr>
      <w:r w:rsidRPr="005A580E">
        <w:rPr>
          <w:rStyle w:val="Znakapoznpodarou"/>
          <w:sz w:val="16"/>
          <w:szCs w:val="16"/>
        </w:rPr>
        <w:footnoteRef/>
      </w:r>
      <w:r w:rsidRPr="005A580E">
        <w:rPr>
          <w:sz w:val="16"/>
          <w:szCs w:val="16"/>
        </w:rPr>
        <w:t xml:space="preserve"> </w:t>
      </w:r>
      <w:r w:rsidRPr="005A580E">
        <w:rPr>
          <w:rFonts w:cs="Arial"/>
          <w:color w:val="0D0D0D" w:themeColor="text1" w:themeTint="F2"/>
          <w:spacing w:val="-4"/>
          <w:sz w:val="16"/>
          <w:szCs w:val="16"/>
        </w:rPr>
        <w:t xml:space="preserve">V růstu </w:t>
      </w:r>
      <w:r>
        <w:rPr>
          <w:rFonts w:cs="Arial"/>
          <w:color w:val="0D0D0D" w:themeColor="text1" w:themeTint="F2"/>
          <w:spacing w:val="-4"/>
          <w:sz w:val="16"/>
          <w:szCs w:val="16"/>
        </w:rPr>
        <w:t xml:space="preserve">nominální </w:t>
      </w:r>
      <w:r w:rsidRPr="005A580E">
        <w:rPr>
          <w:rFonts w:cs="Arial"/>
          <w:color w:val="0D0D0D" w:themeColor="text1" w:themeTint="F2"/>
          <w:spacing w:val="-4"/>
          <w:sz w:val="16"/>
          <w:szCs w:val="16"/>
        </w:rPr>
        <w:t xml:space="preserve">hodnoty povolení se odrážela vyšší očekávaná aktivita firem v oblasti změn dokončených staveb (ve </w:t>
      </w:r>
      <w:r w:rsidRPr="005A580E">
        <w:rPr>
          <w:rFonts w:cs="Arial"/>
          <w:color w:val="0D0D0D" w:themeColor="text1" w:themeTint="F2"/>
          <w:spacing w:val="-5"/>
          <w:sz w:val="16"/>
          <w:szCs w:val="16"/>
        </w:rPr>
        <w:t>všech klíčových směrech výstavby) a též nová výstavba inženýrských (primárně dopravních)</w:t>
      </w:r>
      <w:r w:rsidRPr="005A580E">
        <w:rPr>
          <w:rFonts w:cs="Arial"/>
          <w:color w:val="0D0D0D" w:themeColor="text1" w:themeTint="F2"/>
          <w:spacing w:val="-4"/>
          <w:sz w:val="16"/>
          <w:szCs w:val="16"/>
        </w:rPr>
        <w:t xml:space="preserve"> staveb. Naopak hodnota povolení u nov</w:t>
      </w:r>
      <w:r>
        <w:rPr>
          <w:rFonts w:cs="Arial"/>
          <w:color w:val="0D0D0D" w:themeColor="text1" w:themeTint="F2"/>
          <w:spacing w:val="-4"/>
          <w:sz w:val="16"/>
          <w:szCs w:val="16"/>
        </w:rPr>
        <w:t>é výstavby bytů propadla o</w:t>
      </w:r>
      <w:r w:rsidRPr="002D2942">
        <w:rPr>
          <w:rFonts w:cs="Arial"/>
          <w:color w:val="0D0D0D" w:themeColor="text1" w:themeTint="F2"/>
          <w:sz w:val="16"/>
          <w:szCs w:val="16"/>
        </w:rPr>
        <w:t> </w:t>
      </w:r>
      <w:r>
        <w:rPr>
          <w:rFonts w:cs="Arial"/>
          <w:color w:val="0D0D0D" w:themeColor="text1" w:themeTint="F2"/>
          <w:spacing w:val="-4"/>
          <w:sz w:val="16"/>
          <w:szCs w:val="16"/>
        </w:rPr>
        <w:t>16 % (na 96</w:t>
      </w:r>
      <w:r w:rsidRPr="005A580E">
        <w:rPr>
          <w:rFonts w:cs="Arial"/>
          <w:color w:val="0D0D0D" w:themeColor="text1" w:themeTint="F2"/>
          <w:spacing w:val="-4"/>
          <w:sz w:val="16"/>
          <w:szCs w:val="16"/>
        </w:rPr>
        <w:t xml:space="preserve"> mld. korun –</w:t>
      </w:r>
      <w:r>
        <w:rPr>
          <w:rFonts w:cs="Arial"/>
          <w:color w:val="0D0D0D" w:themeColor="text1" w:themeTint="F2"/>
          <w:spacing w:val="-4"/>
          <w:sz w:val="16"/>
          <w:szCs w:val="16"/>
        </w:rPr>
        <w:t xml:space="preserve"> nejnižší úroveň za poslední tři</w:t>
      </w:r>
      <w:r w:rsidRPr="005A580E">
        <w:rPr>
          <w:rFonts w:cs="Arial"/>
          <w:color w:val="0D0D0D" w:themeColor="text1" w:themeTint="F2"/>
          <w:spacing w:val="-4"/>
          <w:sz w:val="16"/>
          <w:szCs w:val="16"/>
        </w:rPr>
        <w:t xml:space="preserve"> roky).</w:t>
      </w:r>
    </w:p>
  </w:footnote>
  <w:footnote w:id="26">
    <w:p w14:paraId="4DA68671" w14:textId="77777777" w:rsidR="000D7C6F" w:rsidRPr="00E254E1" w:rsidRDefault="000D7C6F" w:rsidP="007D7F4F">
      <w:pPr>
        <w:pStyle w:val="Textpoznpodarou"/>
        <w:rPr>
          <w:sz w:val="16"/>
          <w:szCs w:val="16"/>
        </w:rPr>
      </w:pPr>
      <w:r w:rsidRPr="00E254E1">
        <w:rPr>
          <w:rStyle w:val="Znakapoznpodarou"/>
          <w:sz w:val="16"/>
          <w:szCs w:val="16"/>
        </w:rPr>
        <w:footnoteRef/>
      </w:r>
      <w:r w:rsidRPr="00E254E1">
        <w:rPr>
          <w:sz w:val="16"/>
          <w:szCs w:val="16"/>
        </w:rPr>
        <w:t xml:space="preserve"> Podniky mohly uvést více bariér současně.</w:t>
      </w:r>
    </w:p>
  </w:footnote>
  <w:footnote w:id="27">
    <w:p w14:paraId="0880873A" w14:textId="77777777" w:rsidR="000D7C6F" w:rsidRPr="00E62461" w:rsidRDefault="000D7C6F" w:rsidP="007D7F4F">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28">
    <w:p w14:paraId="45D07E4F" w14:textId="734D8B5C" w:rsidR="000D7C6F" w:rsidRPr="000A0F03" w:rsidRDefault="000D7C6F" w:rsidP="007D7F4F">
      <w:pPr>
        <w:pStyle w:val="Textpoznpodarou"/>
        <w:rPr>
          <w:sz w:val="16"/>
          <w:szCs w:val="16"/>
        </w:rPr>
      </w:pPr>
      <w:r w:rsidRPr="000A0F03">
        <w:rPr>
          <w:rStyle w:val="Znakapoznpodarou"/>
          <w:sz w:val="16"/>
          <w:szCs w:val="16"/>
        </w:rPr>
        <w:footnoteRef/>
      </w:r>
      <w:r w:rsidRPr="000A0F03">
        <w:rPr>
          <w:sz w:val="16"/>
          <w:szCs w:val="16"/>
        </w:rPr>
        <w:t xml:space="preserve"> Z hlavních odvětví </w:t>
      </w:r>
      <w:r>
        <w:rPr>
          <w:sz w:val="16"/>
          <w:szCs w:val="16"/>
        </w:rPr>
        <w:t xml:space="preserve">zaostávaly </w:t>
      </w:r>
      <w:r w:rsidRPr="000A0F03">
        <w:rPr>
          <w:sz w:val="16"/>
          <w:szCs w:val="16"/>
        </w:rPr>
        <w:t xml:space="preserve">za předkrizovou úrovní </w:t>
      </w:r>
      <w:r>
        <w:rPr>
          <w:sz w:val="16"/>
          <w:szCs w:val="16"/>
        </w:rPr>
        <w:t>nejvíce</w:t>
      </w:r>
      <w:r w:rsidRPr="000A0F03">
        <w:rPr>
          <w:sz w:val="16"/>
          <w:szCs w:val="16"/>
        </w:rPr>
        <w:t xml:space="preserve"> tržby v ubytování, stravování a pohostinství (</w:t>
      </w:r>
      <w:r>
        <w:rPr>
          <w:sz w:val="16"/>
          <w:szCs w:val="16"/>
        </w:rPr>
        <w:t xml:space="preserve">skoro </w:t>
      </w:r>
      <w:r w:rsidRPr="000A0F03">
        <w:rPr>
          <w:sz w:val="16"/>
          <w:szCs w:val="16"/>
        </w:rPr>
        <w:t xml:space="preserve">o pětinu) </w:t>
      </w:r>
      <w:r>
        <w:rPr>
          <w:sz w:val="16"/>
          <w:szCs w:val="16"/>
        </w:rPr>
        <w:br/>
      </w:r>
      <w:r w:rsidRPr="000A0F03">
        <w:rPr>
          <w:sz w:val="16"/>
          <w:szCs w:val="16"/>
        </w:rPr>
        <w:t xml:space="preserve">a v </w:t>
      </w:r>
      <w:r w:rsidRPr="000A0F03">
        <w:rPr>
          <w:rFonts w:cs="Arial"/>
          <w:color w:val="0D0D0D" w:themeColor="text1" w:themeTint="F2"/>
          <w:spacing w:val="-6"/>
          <w:sz w:val="16"/>
          <w:szCs w:val="16"/>
        </w:rPr>
        <w:t>administrativních a podpůrných činnostech (o desetinu). Naproti tomu profesní, vědecké a technické činnosti</w:t>
      </w:r>
      <w:r>
        <w:rPr>
          <w:rFonts w:cs="Arial"/>
          <w:color w:val="0D0D0D" w:themeColor="text1" w:themeTint="F2"/>
          <w:spacing w:val="-6"/>
          <w:sz w:val="16"/>
          <w:szCs w:val="16"/>
        </w:rPr>
        <w:t xml:space="preserve">, </w:t>
      </w:r>
      <w:r w:rsidRPr="000A0F03">
        <w:rPr>
          <w:rFonts w:cs="Arial"/>
          <w:color w:val="0D0D0D" w:themeColor="text1" w:themeTint="F2"/>
          <w:spacing w:val="-6"/>
          <w:sz w:val="16"/>
          <w:szCs w:val="16"/>
        </w:rPr>
        <w:t>činnosti</w:t>
      </w:r>
      <w:r>
        <w:rPr>
          <w:rFonts w:cs="Arial"/>
          <w:color w:val="0D0D0D" w:themeColor="text1" w:themeTint="F2"/>
          <w:spacing w:val="-6"/>
          <w:sz w:val="16"/>
          <w:szCs w:val="16"/>
        </w:rPr>
        <w:t xml:space="preserve"> v oblasti nemovitostí</w:t>
      </w:r>
      <w:r w:rsidRPr="000A0F03">
        <w:rPr>
          <w:rFonts w:cs="Arial"/>
          <w:color w:val="0D0D0D" w:themeColor="text1" w:themeTint="F2"/>
          <w:spacing w:val="-6"/>
          <w:sz w:val="16"/>
          <w:szCs w:val="16"/>
        </w:rPr>
        <w:t xml:space="preserve"> a také informační a komunikační čin</w:t>
      </w:r>
      <w:r>
        <w:rPr>
          <w:rFonts w:cs="Arial"/>
          <w:color w:val="0D0D0D" w:themeColor="text1" w:themeTint="F2"/>
          <w:spacing w:val="-6"/>
          <w:sz w:val="16"/>
          <w:szCs w:val="16"/>
        </w:rPr>
        <w:t>nosti tuto úroveň</w:t>
      </w:r>
      <w:r w:rsidRPr="000A0F03">
        <w:rPr>
          <w:rFonts w:cs="Arial"/>
          <w:color w:val="0D0D0D" w:themeColor="text1" w:themeTint="F2"/>
          <w:spacing w:val="-6"/>
          <w:sz w:val="16"/>
          <w:szCs w:val="16"/>
        </w:rPr>
        <w:t xml:space="preserve"> překonaly.</w:t>
      </w:r>
    </w:p>
  </w:footnote>
  <w:footnote w:id="29">
    <w:p w14:paraId="6A8A660D" w14:textId="77777777" w:rsidR="000D7C6F" w:rsidRPr="004272FC" w:rsidRDefault="000D7C6F" w:rsidP="007D7F4F">
      <w:pPr>
        <w:pStyle w:val="Textpoznpodarou"/>
        <w:rPr>
          <w:sz w:val="16"/>
          <w:szCs w:val="16"/>
        </w:rPr>
      </w:pPr>
      <w:r w:rsidRPr="004272FC">
        <w:rPr>
          <w:rStyle w:val="Znakapoznpodarou"/>
          <w:sz w:val="16"/>
          <w:szCs w:val="16"/>
        </w:rPr>
        <w:footnoteRef/>
      </w:r>
      <w:r w:rsidRPr="004272FC">
        <w:rPr>
          <w:sz w:val="16"/>
          <w:szCs w:val="16"/>
        </w:rPr>
        <w:t xml:space="preserve"> Obrat zbožového zahraničního obchodu ve stálých cenách (dle metodiky národního účetnictví) se letos ve 3. čtvrtletí meziročně snížil o 3,4 %, z toho u dovozu zboží došlo k poklesu již i v předcházejícím čtvrtletí.</w:t>
      </w:r>
    </w:p>
  </w:footnote>
  <w:footnote w:id="30">
    <w:p w14:paraId="5A79FA41" w14:textId="77777777" w:rsidR="000D7C6F" w:rsidRPr="00923BCB" w:rsidRDefault="000D7C6F" w:rsidP="007D7F4F">
      <w:pPr>
        <w:pStyle w:val="Textpoznpodarou"/>
        <w:rPr>
          <w:spacing w:val="-4"/>
          <w:sz w:val="16"/>
          <w:szCs w:val="16"/>
        </w:rPr>
      </w:pPr>
      <w:r w:rsidRPr="00923BCB">
        <w:rPr>
          <w:rStyle w:val="Znakapoznpodarou"/>
          <w:spacing w:val="-4"/>
          <w:sz w:val="16"/>
          <w:szCs w:val="16"/>
        </w:rPr>
        <w:footnoteRef/>
      </w:r>
      <w:r w:rsidRPr="00923BCB">
        <w:rPr>
          <w:spacing w:val="-4"/>
          <w:sz w:val="16"/>
          <w:szCs w:val="16"/>
        </w:rPr>
        <w:t xml:space="preserve"> S tím souvisely tržby tuzemských leteckých dopravců, které se během 3. čtvrtletí mírně snížily – meziročně (</w:t>
      </w:r>
      <w:r>
        <w:rPr>
          <w:spacing w:val="-4"/>
          <w:sz w:val="16"/>
          <w:szCs w:val="16"/>
        </w:rPr>
        <w:t>−</w:t>
      </w:r>
      <w:r w:rsidRPr="00923BCB">
        <w:rPr>
          <w:spacing w:val="-4"/>
          <w:sz w:val="16"/>
          <w:szCs w:val="16"/>
        </w:rPr>
        <w:t>2,0 %) i mezikvartálně (</w:t>
      </w:r>
      <w:r>
        <w:rPr>
          <w:spacing w:val="-4"/>
          <w:sz w:val="16"/>
          <w:szCs w:val="16"/>
        </w:rPr>
        <w:t>−</w:t>
      </w:r>
      <w:r w:rsidRPr="00923BCB">
        <w:rPr>
          <w:spacing w:val="-4"/>
          <w:sz w:val="16"/>
          <w:szCs w:val="16"/>
        </w:rPr>
        <w:t>3,4 %).</w:t>
      </w:r>
    </w:p>
  </w:footnote>
  <w:footnote w:id="31">
    <w:p w14:paraId="14828148" w14:textId="77777777" w:rsidR="000D7C6F" w:rsidRDefault="000D7C6F" w:rsidP="007D7F4F">
      <w:pPr>
        <w:pStyle w:val="paragraph"/>
        <w:spacing w:before="0" w:beforeAutospacing="0" w:after="0" w:afterAutospacing="0"/>
        <w:jc w:val="both"/>
        <w:textAlignment w:val="baseline"/>
        <w:rPr>
          <w:rStyle w:val="normaltextrun"/>
          <w:rFonts w:eastAsia="MS Gothic" w:cs="Arial"/>
          <w:sz w:val="20"/>
          <w:szCs w:val="20"/>
        </w:rPr>
      </w:pPr>
      <w:r w:rsidRPr="00377378">
        <w:rPr>
          <w:rStyle w:val="Znakapoznpodarou"/>
          <w:rFonts w:ascii="Arial" w:hAnsi="Arial" w:cs="Arial"/>
          <w:sz w:val="16"/>
          <w:szCs w:val="16"/>
        </w:rPr>
        <w:footnoteRef/>
      </w:r>
      <w:r w:rsidRPr="00377378">
        <w:rPr>
          <w:rFonts w:ascii="Arial" w:hAnsi="Arial" w:cs="Arial"/>
          <w:sz w:val="16"/>
          <w:szCs w:val="16"/>
        </w:rPr>
        <w:t xml:space="preserve"> </w:t>
      </w:r>
      <w:r w:rsidRPr="00377378">
        <w:rPr>
          <w:rFonts w:ascii="Arial" w:eastAsia="Calibri" w:hAnsi="Arial" w:cs="Arial"/>
          <w:spacing w:val="-2"/>
          <w:sz w:val="16"/>
          <w:szCs w:val="16"/>
        </w:rPr>
        <w:t>Růst</w:t>
      </w:r>
      <w:r>
        <w:rPr>
          <w:rFonts w:ascii="Arial" w:eastAsia="Calibri" w:hAnsi="Arial"/>
          <w:spacing w:val="-2"/>
          <w:sz w:val="16"/>
          <w:szCs w:val="16"/>
        </w:rPr>
        <w:t xml:space="preserve"> v samotném</w:t>
      </w:r>
      <w:r w:rsidRPr="00377378">
        <w:rPr>
          <w:rFonts w:ascii="Arial" w:eastAsia="Calibri" w:hAnsi="Arial"/>
          <w:spacing w:val="-2"/>
          <w:sz w:val="16"/>
          <w:szCs w:val="16"/>
        </w:rPr>
        <w:t xml:space="preserve"> 3. čtvrtletí 2023 byl z drtivé části t</w:t>
      </w:r>
      <w:r>
        <w:rPr>
          <w:rFonts w:ascii="Arial" w:eastAsia="Calibri" w:hAnsi="Arial"/>
          <w:spacing w:val="-2"/>
          <w:sz w:val="16"/>
          <w:szCs w:val="16"/>
        </w:rPr>
        <w:t>ažen rostoucí poptávkou nerezid</w:t>
      </w:r>
      <w:r w:rsidRPr="00377378">
        <w:rPr>
          <w:rFonts w:ascii="Arial" w:eastAsia="Calibri" w:hAnsi="Arial"/>
          <w:spacing w:val="-2"/>
          <w:sz w:val="16"/>
          <w:szCs w:val="16"/>
        </w:rPr>
        <w:t>e</w:t>
      </w:r>
      <w:r>
        <w:rPr>
          <w:rFonts w:ascii="Arial" w:eastAsia="Calibri" w:hAnsi="Arial"/>
          <w:spacing w:val="-2"/>
          <w:sz w:val="16"/>
          <w:szCs w:val="16"/>
        </w:rPr>
        <w:t>n</w:t>
      </w:r>
      <w:r w:rsidRPr="00377378">
        <w:rPr>
          <w:rFonts w:ascii="Arial" w:eastAsia="Calibri" w:hAnsi="Arial"/>
          <w:spacing w:val="-2"/>
          <w:sz w:val="16"/>
          <w:szCs w:val="16"/>
        </w:rPr>
        <w:t>tů (meziročně o pětinu vyšší), domácích hostů přibylo meziročně jen o 1,1 %. Rostoucí ceny za ubytování i stravování v tuzemsku mohly část domácí klientely přimět k častější volbě zahraničních dovolených (tržby cestovních agentur a kanceláří ve 3. čtvrtletí</w:t>
      </w:r>
      <w:r>
        <w:rPr>
          <w:rFonts w:ascii="Arial" w:eastAsia="Calibri" w:hAnsi="Arial"/>
          <w:spacing w:val="-2"/>
          <w:sz w:val="16"/>
          <w:szCs w:val="16"/>
        </w:rPr>
        <w:t xml:space="preserve"> dále rostly</w:t>
      </w:r>
      <w:r w:rsidRPr="00377378">
        <w:rPr>
          <w:rFonts w:ascii="Arial" w:eastAsia="Calibri" w:hAnsi="Arial"/>
          <w:spacing w:val="-2"/>
          <w:sz w:val="16"/>
          <w:szCs w:val="16"/>
        </w:rPr>
        <w:t>), roli m</w:t>
      </w:r>
      <w:r>
        <w:rPr>
          <w:rFonts w:ascii="Arial" w:eastAsia="Calibri" w:hAnsi="Arial"/>
          <w:spacing w:val="-2"/>
          <w:sz w:val="16"/>
          <w:szCs w:val="16"/>
        </w:rPr>
        <w:t>ohl hrát i deštivější srpen v Česku</w:t>
      </w:r>
      <w:r w:rsidRPr="00377378">
        <w:rPr>
          <w:rFonts w:ascii="Arial" w:eastAsia="Calibri" w:hAnsi="Arial"/>
          <w:spacing w:val="-2"/>
          <w:sz w:val="16"/>
          <w:szCs w:val="16"/>
        </w:rPr>
        <w:t>. Zotavování zahraniční poptávky se ve 3. čtvrtletí projevilo ve svižném celkovém růstu výkonu HUZ v Praze (meziročně +15 % všech hostů, v úhrnu od počátku roku +28 %) i ve</w:t>
      </w:r>
      <w:r>
        <w:rPr>
          <w:rFonts w:ascii="Arial" w:eastAsia="Calibri" w:hAnsi="Arial"/>
          <w:spacing w:val="-2"/>
          <w:sz w:val="16"/>
          <w:szCs w:val="16"/>
        </w:rPr>
        <w:t xml:space="preserve"> středních Čechách (+11 % ve 3. čtvrtletí). Naopak v polovině krajů</w:t>
      </w:r>
      <w:r w:rsidRPr="00377378">
        <w:rPr>
          <w:rFonts w:ascii="Arial" w:eastAsia="Calibri" w:hAnsi="Arial"/>
          <w:spacing w:val="-2"/>
          <w:sz w:val="16"/>
          <w:szCs w:val="16"/>
        </w:rPr>
        <w:t xml:space="preserve">, zejména těch tradičně zaměřených na tuzemské hosty, celkový počet návštěvníků rostl jen mírně (do 4 %). Alespoň minimální růst poptávky zaznamenaly </w:t>
      </w:r>
      <w:r>
        <w:rPr>
          <w:rFonts w:ascii="Arial" w:eastAsia="Calibri" w:hAnsi="Arial"/>
          <w:spacing w:val="-2"/>
          <w:sz w:val="16"/>
          <w:szCs w:val="16"/>
        </w:rPr>
        <w:t xml:space="preserve">ovšem </w:t>
      </w:r>
      <w:r w:rsidRPr="00377378">
        <w:rPr>
          <w:rFonts w:ascii="Arial" w:eastAsia="Calibri" w:hAnsi="Arial"/>
          <w:spacing w:val="-2"/>
          <w:sz w:val="16"/>
          <w:szCs w:val="16"/>
        </w:rPr>
        <w:t>všechny kraje.</w:t>
      </w:r>
      <w:r>
        <w:rPr>
          <w:rStyle w:val="normaltextrun"/>
          <w:rFonts w:eastAsia="MS Gothic" w:cs="Arial"/>
          <w:sz w:val="20"/>
          <w:szCs w:val="20"/>
        </w:rPr>
        <w:t xml:space="preserve"> </w:t>
      </w:r>
    </w:p>
    <w:p w14:paraId="6DA66FAF" w14:textId="77777777" w:rsidR="000D7C6F" w:rsidRPr="00377378" w:rsidRDefault="000D7C6F" w:rsidP="007D7F4F">
      <w:pPr>
        <w:pStyle w:val="paragraph"/>
        <w:spacing w:before="0" w:beforeAutospacing="0" w:after="0" w:afterAutospacing="0"/>
        <w:jc w:val="both"/>
        <w:textAlignment w:val="baseline"/>
        <w:rPr>
          <w:rFonts w:ascii="Arial" w:eastAsia="Calibri" w:hAnsi="Arial"/>
          <w:spacing w:val="-2"/>
          <w:sz w:val="16"/>
          <w:szCs w:val="16"/>
        </w:rPr>
      </w:pPr>
      <w:r w:rsidRPr="00377378">
        <w:rPr>
          <w:rFonts w:ascii="Arial" w:eastAsia="Calibri" w:hAnsi="Arial"/>
          <w:spacing w:val="-2"/>
          <w:sz w:val="16"/>
          <w:szCs w:val="16"/>
        </w:rPr>
        <w:t xml:space="preserve">Růst návštěvnosti </w:t>
      </w:r>
      <w:r>
        <w:rPr>
          <w:rFonts w:ascii="Arial" w:eastAsia="Calibri" w:hAnsi="Arial"/>
          <w:spacing w:val="-2"/>
          <w:sz w:val="16"/>
          <w:szCs w:val="16"/>
        </w:rPr>
        <w:t xml:space="preserve">nerezidentů byl nadále tažen </w:t>
      </w:r>
      <w:r w:rsidRPr="00377378">
        <w:rPr>
          <w:rFonts w:ascii="Arial" w:eastAsia="Calibri" w:hAnsi="Arial"/>
          <w:spacing w:val="-2"/>
          <w:sz w:val="16"/>
          <w:szCs w:val="16"/>
        </w:rPr>
        <w:t>hosty ze sousedních států (jejich počty již dříve převýšily předc</w:t>
      </w:r>
      <w:r>
        <w:rPr>
          <w:rFonts w:ascii="Arial" w:eastAsia="Calibri" w:hAnsi="Arial"/>
          <w:spacing w:val="-2"/>
          <w:sz w:val="16"/>
          <w:szCs w:val="16"/>
        </w:rPr>
        <w:t>ovidovou úroveň). Počet hostů z</w:t>
      </w:r>
      <w:r w:rsidRPr="00E62461">
        <w:rPr>
          <w:color w:val="0D0D0D" w:themeColor="text1" w:themeTint="F2"/>
          <w:spacing w:val="-2"/>
          <w:sz w:val="16"/>
          <w:szCs w:val="16"/>
        </w:rPr>
        <w:t> </w:t>
      </w:r>
      <w:r w:rsidRPr="00377378">
        <w:rPr>
          <w:rFonts w:ascii="Arial" w:eastAsia="Calibri" w:hAnsi="Arial"/>
          <w:spacing w:val="-2"/>
          <w:sz w:val="16"/>
          <w:szCs w:val="16"/>
        </w:rPr>
        <w:t xml:space="preserve">Německa a Polska vzrostl oproti 3. čtvrtletí 2022 skoro o pětinu. Svižně se zvyšovaly i počty hostů z dalších lidnatých států EU, ale </w:t>
      </w:r>
      <w:r>
        <w:rPr>
          <w:rFonts w:ascii="Arial" w:eastAsia="Calibri" w:hAnsi="Arial"/>
          <w:spacing w:val="-2"/>
          <w:sz w:val="16"/>
          <w:szCs w:val="16"/>
        </w:rPr>
        <w:br/>
      </w:r>
      <w:r w:rsidRPr="00377378">
        <w:rPr>
          <w:rFonts w:ascii="Arial" w:eastAsia="Calibri" w:hAnsi="Arial"/>
          <w:spacing w:val="-2"/>
          <w:sz w:val="16"/>
          <w:szCs w:val="16"/>
        </w:rPr>
        <w:t>i z USA (ti už tvořili čtvrtou nejpočetnější skupinu nerezidentů v ČR). Překvapivě zatím relativně malý úbytek postihl poptávku ze strany izraelských turistů (ve 3. čtvrtletí jich</w:t>
      </w:r>
      <w:r>
        <w:rPr>
          <w:rFonts w:ascii="Arial" w:eastAsia="Calibri" w:hAnsi="Arial"/>
          <w:spacing w:val="-2"/>
          <w:sz w:val="16"/>
          <w:szCs w:val="16"/>
        </w:rPr>
        <w:t xml:space="preserve"> v ČR přenocovalo meziročně </w:t>
      </w:r>
      <w:r w:rsidRPr="00377378">
        <w:rPr>
          <w:rFonts w:ascii="Arial" w:eastAsia="Calibri" w:hAnsi="Arial"/>
          <w:spacing w:val="-2"/>
          <w:sz w:val="16"/>
          <w:szCs w:val="16"/>
        </w:rPr>
        <w:t xml:space="preserve">o 5 % méně a v úhrnu od počátku roku byla jejich poptávka dokonce </w:t>
      </w:r>
      <w:r>
        <w:rPr>
          <w:rFonts w:ascii="Arial" w:eastAsia="Calibri" w:hAnsi="Arial"/>
          <w:spacing w:val="-2"/>
          <w:sz w:val="16"/>
          <w:szCs w:val="16"/>
        </w:rPr>
        <w:br/>
      </w:r>
      <w:r w:rsidRPr="00377378">
        <w:rPr>
          <w:rFonts w:ascii="Arial" w:eastAsia="Calibri" w:hAnsi="Arial"/>
          <w:spacing w:val="-2"/>
          <w:sz w:val="16"/>
          <w:szCs w:val="16"/>
        </w:rPr>
        <w:t>o 3 % vyšší). Zatím pomalu ožívá silně utlumená poptávka z</w:t>
      </w:r>
      <w:r>
        <w:rPr>
          <w:rFonts w:ascii="Arial" w:eastAsia="Calibri" w:hAnsi="Arial"/>
          <w:spacing w:val="-2"/>
          <w:sz w:val="16"/>
          <w:szCs w:val="16"/>
        </w:rPr>
        <w:t xml:space="preserve"> Asie, byť zde částečně pomohlo</w:t>
      </w:r>
      <w:r w:rsidRPr="00377378">
        <w:rPr>
          <w:rFonts w:ascii="Arial" w:eastAsia="Calibri" w:hAnsi="Arial"/>
          <w:spacing w:val="-2"/>
          <w:sz w:val="16"/>
          <w:szCs w:val="16"/>
        </w:rPr>
        <w:t xml:space="preserve"> zavedení </w:t>
      </w:r>
      <w:r>
        <w:rPr>
          <w:rFonts w:ascii="Arial" w:eastAsia="Calibri" w:hAnsi="Arial"/>
          <w:spacing w:val="-2"/>
          <w:sz w:val="16"/>
          <w:szCs w:val="16"/>
        </w:rPr>
        <w:t xml:space="preserve">nových </w:t>
      </w:r>
      <w:r w:rsidRPr="00377378">
        <w:rPr>
          <w:rFonts w:ascii="Arial" w:eastAsia="Calibri" w:hAnsi="Arial"/>
          <w:spacing w:val="-2"/>
          <w:sz w:val="16"/>
          <w:szCs w:val="16"/>
        </w:rPr>
        <w:t xml:space="preserve">přímých leteckých linek </w:t>
      </w:r>
      <w:r>
        <w:rPr>
          <w:rFonts w:ascii="Arial" w:eastAsia="Calibri" w:hAnsi="Arial"/>
          <w:spacing w:val="-2"/>
          <w:sz w:val="16"/>
          <w:szCs w:val="16"/>
        </w:rPr>
        <w:br/>
      </w:r>
      <w:r w:rsidRPr="00377378">
        <w:rPr>
          <w:rFonts w:ascii="Arial" w:eastAsia="Calibri" w:hAnsi="Arial"/>
          <w:spacing w:val="-2"/>
          <w:sz w:val="16"/>
          <w:szCs w:val="16"/>
        </w:rPr>
        <w:t>s Prahou.</w:t>
      </w:r>
    </w:p>
  </w:footnote>
  <w:footnote w:id="32">
    <w:p w14:paraId="2517862F" w14:textId="77777777" w:rsidR="000D7C6F" w:rsidRPr="00951B5E" w:rsidRDefault="000D7C6F" w:rsidP="007D7F4F">
      <w:pPr>
        <w:pStyle w:val="Textpoznpodarou"/>
        <w:rPr>
          <w:sz w:val="16"/>
          <w:szCs w:val="16"/>
        </w:rPr>
      </w:pPr>
      <w:r w:rsidRPr="00951B5E">
        <w:rPr>
          <w:rStyle w:val="Znakapoznpodarou"/>
          <w:sz w:val="16"/>
          <w:szCs w:val="16"/>
        </w:rPr>
        <w:footnoteRef/>
      </w:r>
      <w:r w:rsidRPr="00951B5E">
        <w:rPr>
          <w:sz w:val="16"/>
          <w:szCs w:val="16"/>
        </w:rPr>
        <w:t xml:space="preserve"> Z toho ve 3. čtvrtletí 2023 se mez</w:t>
      </w:r>
      <w:r>
        <w:rPr>
          <w:sz w:val="16"/>
          <w:szCs w:val="16"/>
        </w:rPr>
        <w:t>iroční tempo prohloubilo na −3,6</w:t>
      </w:r>
      <w:r w:rsidRPr="00951B5E">
        <w:rPr>
          <w:sz w:val="16"/>
          <w:szCs w:val="16"/>
        </w:rPr>
        <w:t xml:space="preserve"> %, což znamenalo největší pokles od konce roku 2009.</w:t>
      </w:r>
    </w:p>
  </w:footnote>
  <w:footnote w:id="33">
    <w:p w14:paraId="12838B6C" w14:textId="77777777" w:rsidR="000D7C6F" w:rsidRPr="00B86BDD" w:rsidRDefault="000D7C6F" w:rsidP="007D7F4F">
      <w:pPr>
        <w:pStyle w:val="Textpoznpodarou"/>
        <w:rPr>
          <w:sz w:val="16"/>
          <w:szCs w:val="16"/>
        </w:rPr>
      </w:pPr>
      <w:r w:rsidRPr="00B86BDD">
        <w:rPr>
          <w:rStyle w:val="Znakapoznpodarou"/>
          <w:sz w:val="16"/>
          <w:szCs w:val="16"/>
        </w:rPr>
        <w:footnoteRef/>
      </w:r>
      <w:r w:rsidRPr="00B86BDD">
        <w:rPr>
          <w:sz w:val="16"/>
          <w:szCs w:val="16"/>
        </w:rPr>
        <w:t xml:space="preserve"> Zahrnují zejména činnosti webových portálů, zpravodajských tiskových kanceláří a agentur či zpracování dat a hosting.</w:t>
      </w:r>
    </w:p>
  </w:footnote>
  <w:footnote w:id="34">
    <w:p w14:paraId="5B88799C" w14:textId="1CA7FFAF" w:rsidR="000D7C6F" w:rsidRPr="00590597" w:rsidRDefault="000D7C6F" w:rsidP="007D7F4F">
      <w:pPr>
        <w:pStyle w:val="Textpoznpodarou"/>
        <w:rPr>
          <w:sz w:val="16"/>
          <w:szCs w:val="16"/>
        </w:rPr>
      </w:pPr>
      <w:r w:rsidRPr="00590597">
        <w:rPr>
          <w:rStyle w:val="Znakapoznpodarou"/>
          <w:sz w:val="16"/>
          <w:szCs w:val="16"/>
        </w:rPr>
        <w:footnoteRef/>
      </w:r>
      <w:r w:rsidRPr="00590597">
        <w:rPr>
          <w:sz w:val="16"/>
          <w:szCs w:val="16"/>
        </w:rPr>
        <w:t xml:space="preserve"> </w:t>
      </w:r>
      <w:r>
        <w:rPr>
          <w:sz w:val="16"/>
          <w:szCs w:val="16"/>
        </w:rPr>
        <w:t>Lépe si vedl segment</w:t>
      </w:r>
      <w:r w:rsidRPr="00590597">
        <w:rPr>
          <w:sz w:val="16"/>
          <w:szCs w:val="16"/>
        </w:rPr>
        <w:t xml:space="preserve"> filmové distribuce. </w:t>
      </w:r>
      <w:r w:rsidRPr="00590597">
        <w:rPr>
          <w:rFonts w:cs="Arial"/>
          <w:color w:val="0D0D0D" w:themeColor="text1" w:themeTint="F2"/>
          <w:spacing w:val="-3"/>
          <w:sz w:val="16"/>
          <w:szCs w:val="16"/>
        </w:rPr>
        <w:t xml:space="preserve">Dle údajů </w:t>
      </w:r>
      <w:r w:rsidRPr="00590597">
        <w:rPr>
          <w:spacing w:val="-3"/>
          <w:sz w:val="16"/>
          <w:szCs w:val="16"/>
        </w:rPr>
        <w:t xml:space="preserve">Unie filmových distributorů vzrostly v 1. až 3. čtvrtletí 2023 hrubé nominální tržby provozovatelů tuzemských kin meziročně o 11,8 %. Celková návštěvnost však vzrostla jen o 0,9 % (počet odehraných představení se dokonce mírně snížil – o 2,5 %). Ve srovnání s rekordním rokem 2019 </w:t>
      </w:r>
      <w:r>
        <w:rPr>
          <w:spacing w:val="-3"/>
          <w:sz w:val="16"/>
          <w:szCs w:val="16"/>
        </w:rPr>
        <w:t>zatím letos scházela skoro</w:t>
      </w:r>
      <w:r w:rsidRPr="00590597">
        <w:rPr>
          <w:spacing w:val="-3"/>
          <w:sz w:val="16"/>
          <w:szCs w:val="16"/>
        </w:rPr>
        <w:t xml:space="preserve"> čtvrtina diváků.</w:t>
      </w:r>
    </w:p>
  </w:footnote>
  <w:footnote w:id="35">
    <w:p w14:paraId="1DAE4B89" w14:textId="77777777" w:rsidR="000D7C6F" w:rsidRPr="00052DD9" w:rsidRDefault="000D7C6F" w:rsidP="007D7F4F">
      <w:pPr>
        <w:pStyle w:val="Textpoznpodarou"/>
        <w:rPr>
          <w:sz w:val="16"/>
          <w:szCs w:val="16"/>
        </w:rPr>
      </w:pPr>
      <w:r w:rsidRPr="00052DD9">
        <w:rPr>
          <w:rStyle w:val="Znakapoznpodarou"/>
          <w:sz w:val="16"/>
          <w:szCs w:val="16"/>
        </w:rPr>
        <w:footnoteRef/>
      </w:r>
      <w:r w:rsidRPr="00052DD9">
        <w:rPr>
          <w:sz w:val="16"/>
          <w:szCs w:val="16"/>
        </w:rPr>
        <w:t xml:space="preserve"> K poklesu tržeb </w:t>
      </w:r>
      <w:r>
        <w:rPr>
          <w:sz w:val="16"/>
          <w:szCs w:val="16"/>
        </w:rPr>
        <w:t xml:space="preserve">zde </w:t>
      </w:r>
      <w:r w:rsidRPr="00052DD9">
        <w:rPr>
          <w:sz w:val="16"/>
          <w:szCs w:val="16"/>
        </w:rPr>
        <w:t>došlo i při vysokém růstu počtu pracujících cizinců v ČR. Na něm se v posledních dvou letech významně podíleli uprchlíci z Ukrajiny. Vzhledem ke statu</w:t>
      </w:r>
      <w:r>
        <w:rPr>
          <w:sz w:val="16"/>
          <w:szCs w:val="16"/>
        </w:rPr>
        <w:t>s</w:t>
      </w:r>
      <w:r w:rsidRPr="00052DD9">
        <w:rPr>
          <w:sz w:val="16"/>
          <w:szCs w:val="16"/>
        </w:rPr>
        <w:t>u dočasné ochrany, který byl těmto osobám přiznán, je j</w:t>
      </w:r>
      <w:r>
        <w:rPr>
          <w:sz w:val="16"/>
          <w:szCs w:val="16"/>
        </w:rPr>
        <w:t>ej</w:t>
      </w:r>
      <w:r w:rsidRPr="00052DD9">
        <w:rPr>
          <w:sz w:val="16"/>
          <w:szCs w:val="16"/>
        </w:rPr>
        <w:t xml:space="preserve">ich zaměstnávání v tuzemsku administrativně jednodušší (oproti ostatním skupinám migrantů z tzv. třetích zemí) a </w:t>
      </w:r>
      <w:r>
        <w:rPr>
          <w:sz w:val="16"/>
          <w:szCs w:val="16"/>
        </w:rPr>
        <w:t>ti tak mohou</w:t>
      </w:r>
      <w:r w:rsidRPr="00052DD9">
        <w:rPr>
          <w:sz w:val="16"/>
          <w:szCs w:val="16"/>
        </w:rPr>
        <w:t xml:space="preserve"> snáze nalézt práci „napřímo“ (bez zprostředkovatele). Kromě výše uvedeného se na poklesu tržeb v letošním roce může podílet i snížená poptávka</w:t>
      </w:r>
      <w:r>
        <w:rPr>
          <w:sz w:val="16"/>
          <w:szCs w:val="16"/>
        </w:rPr>
        <w:t xml:space="preserve"> po</w:t>
      </w:r>
      <w:r w:rsidRPr="00052DD9">
        <w:rPr>
          <w:sz w:val="16"/>
          <w:szCs w:val="16"/>
        </w:rPr>
        <w:t xml:space="preserve"> agenturních pracovní</w:t>
      </w:r>
      <w:r>
        <w:rPr>
          <w:sz w:val="16"/>
          <w:szCs w:val="16"/>
        </w:rPr>
        <w:t>cí</w:t>
      </w:r>
      <w:r w:rsidRPr="00052DD9">
        <w:rPr>
          <w:sz w:val="16"/>
          <w:szCs w:val="16"/>
        </w:rPr>
        <w:t>ch ze strany klí</w:t>
      </w:r>
      <w:r>
        <w:rPr>
          <w:sz w:val="16"/>
          <w:szCs w:val="16"/>
        </w:rPr>
        <w:t xml:space="preserve">čových výrobních odvětví </w:t>
      </w:r>
      <w:r w:rsidRPr="00052DD9">
        <w:rPr>
          <w:sz w:val="16"/>
          <w:szCs w:val="16"/>
        </w:rPr>
        <w:t>procház</w:t>
      </w:r>
      <w:r>
        <w:rPr>
          <w:sz w:val="16"/>
          <w:szCs w:val="16"/>
        </w:rPr>
        <w:t>ej</w:t>
      </w:r>
      <w:r w:rsidRPr="00052DD9">
        <w:rPr>
          <w:sz w:val="16"/>
          <w:szCs w:val="16"/>
        </w:rPr>
        <w:t>í</w:t>
      </w:r>
      <w:r>
        <w:rPr>
          <w:sz w:val="16"/>
          <w:szCs w:val="16"/>
        </w:rPr>
        <w:t>cích</w:t>
      </w:r>
      <w:r w:rsidRPr="00052DD9">
        <w:rPr>
          <w:sz w:val="16"/>
          <w:szCs w:val="16"/>
        </w:rPr>
        <w:t xml:space="preserve"> recesí (např. průmysl</w:t>
      </w:r>
      <w:r>
        <w:rPr>
          <w:sz w:val="16"/>
          <w:szCs w:val="16"/>
        </w:rPr>
        <w:t>u</w:t>
      </w:r>
      <w:r w:rsidRPr="00052DD9">
        <w:rPr>
          <w:sz w:val="16"/>
          <w:szCs w:val="16"/>
        </w:rPr>
        <w:t>).</w:t>
      </w:r>
    </w:p>
  </w:footnote>
  <w:footnote w:id="36">
    <w:p w14:paraId="429495E5" w14:textId="77777777" w:rsidR="000D7C6F" w:rsidRPr="00E53523" w:rsidRDefault="000D7C6F" w:rsidP="007D7F4F">
      <w:pPr>
        <w:pStyle w:val="Textpoznpodarou"/>
        <w:rPr>
          <w:sz w:val="16"/>
          <w:szCs w:val="16"/>
        </w:rPr>
      </w:pPr>
      <w:r w:rsidRPr="00E53523">
        <w:rPr>
          <w:rStyle w:val="Znakapoznpodarou"/>
          <w:sz w:val="16"/>
          <w:szCs w:val="16"/>
        </w:rPr>
        <w:footnoteRef/>
      </w:r>
      <w:r w:rsidRPr="00E53523">
        <w:rPr>
          <w:sz w:val="16"/>
          <w:szCs w:val="16"/>
        </w:rPr>
        <w:t xml:space="preserve"> Pesimismus tuzemských spotřebitelů se oproti loňskému podzimu (kdy byl nejvyšší od konce 90. let) sice zmírnil, i tak se důvěra domácností v listopadu 2023 nacházela o desetinu pod dlouhodobým průměrem. </w:t>
      </w:r>
      <w:r w:rsidRPr="000119B3">
        <w:rPr>
          <w:sz w:val="16"/>
          <w:szCs w:val="16"/>
        </w:rPr>
        <w:t>Obavy lidí z cenového růstu se letos během jara</w:t>
      </w:r>
      <w:r>
        <w:rPr>
          <w:sz w:val="16"/>
          <w:szCs w:val="16"/>
        </w:rPr>
        <w:t xml:space="preserve"> z velké části rozpustily (na podzim</w:t>
      </w:r>
      <w:r w:rsidRPr="000119B3">
        <w:rPr>
          <w:sz w:val="16"/>
          <w:szCs w:val="16"/>
        </w:rPr>
        <w:t xml:space="preserve"> se opět zvýšily, byť jen mírně) a strach z nezaměstnanosti klesl pod dlouhodobý průměr. Většina domácnost</w:t>
      </w:r>
      <w:r>
        <w:rPr>
          <w:sz w:val="16"/>
          <w:szCs w:val="16"/>
        </w:rPr>
        <w:t>í</w:t>
      </w:r>
      <w:r w:rsidRPr="000119B3">
        <w:rPr>
          <w:sz w:val="16"/>
          <w:szCs w:val="16"/>
        </w:rPr>
        <w:t xml:space="preserve"> nicméně stále očekávala, ž</w:t>
      </w:r>
      <w:r>
        <w:rPr>
          <w:sz w:val="16"/>
          <w:szCs w:val="16"/>
        </w:rPr>
        <w:t>e jejich finanční situace, stej</w:t>
      </w:r>
      <w:r w:rsidRPr="000119B3">
        <w:rPr>
          <w:sz w:val="16"/>
          <w:szCs w:val="16"/>
        </w:rPr>
        <w:t>ně jako celková hospodářská situace v </w:t>
      </w:r>
      <w:r>
        <w:rPr>
          <w:sz w:val="16"/>
          <w:szCs w:val="16"/>
        </w:rPr>
        <w:t xml:space="preserve">Česku, se v nejbližších </w:t>
      </w:r>
      <w:r>
        <w:rPr>
          <w:sz w:val="16"/>
          <w:szCs w:val="16"/>
        </w:rPr>
        <w:br/>
        <w:t>12 měsících zhorší. Lidé tak stále zůstávali</w:t>
      </w:r>
      <w:r w:rsidRPr="000119B3">
        <w:rPr>
          <w:sz w:val="16"/>
          <w:szCs w:val="16"/>
        </w:rPr>
        <w:t xml:space="preserve"> opatrní v oblasti plánování velkých nákupů (zejména zboží dlouhodobé spotřeby či investic).</w:t>
      </w:r>
    </w:p>
  </w:footnote>
  <w:footnote w:id="37">
    <w:p w14:paraId="594744D6" w14:textId="77777777" w:rsidR="000D7C6F" w:rsidRPr="00712854" w:rsidRDefault="000D7C6F" w:rsidP="007D7F4F">
      <w:pPr>
        <w:pStyle w:val="Textpoznpodarou"/>
        <w:rPr>
          <w:sz w:val="16"/>
          <w:szCs w:val="16"/>
        </w:rPr>
      </w:pPr>
      <w:r w:rsidRPr="00712854">
        <w:rPr>
          <w:rStyle w:val="Znakapoznpodarou"/>
          <w:sz w:val="16"/>
          <w:szCs w:val="16"/>
        </w:rPr>
        <w:footnoteRef/>
      </w:r>
      <w:r w:rsidRPr="00712854">
        <w:rPr>
          <w:sz w:val="16"/>
          <w:szCs w:val="16"/>
        </w:rPr>
        <w:t xml:space="preserve"> Zvlášť příhodné podmínky k těmto nákupům skýtalo letos jarní období, a to díky </w:t>
      </w:r>
      <w:r>
        <w:rPr>
          <w:sz w:val="16"/>
          <w:szCs w:val="16"/>
        </w:rPr>
        <w:t>souběhu poklesu cen pohonných hmot a</w:t>
      </w:r>
      <w:r w:rsidRPr="00712854">
        <w:rPr>
          <w:sz w:val="16"/>
          <w:szCs w:val="16"/>
        </w:rPr>
        <w:t xml:space="preserve"> velmi příhodnému kurzu koruny vůči euru i polskému zlotému.</w:t>
      </w:r>
    </w:p>
  </w:footnote>
  <w:footnote w:id="38">
    <w:p w14:paraId="1E28ACFF" w14:textId="77777777" w:rsidR="000D7C6F" w:rsidRPr="00EB7D87" w:rsidRDefault="000D7C6F" w:rsidP="007D7F4F">
      <w:pPr>
        <w:spacing w:after="0" w:line="240" w:lineRule="auto"/>
        <w:rPr>
          <w:spacing w:val="-2"/>
        </w:rPr>
      </w:pPr>
      <w:r w:rsidRPr="00EB7D87">
        <w:rPr>
          <w:rStyle w:val="Znakapoznpodarou"/>
          <w:color w:val="0D0D0D" w:themeColor="text1" w:themeTint="F2"/>
          <w:spacing w:val="-2"/>
          <w:sz w:val="16"/>
          <w:szCs w:val="16"/>
        </w:rPr>
        <w:footnoteRef/>
      </w:r>
      <w:r>
        <w:rPr>
          <w:color w:val="0D0D0D" w:themeColor="text1" w:themeTint="F2"/>
          <w:spacing w:val="-2"/>
          <w:sz w:val="16"/>
          <w:szCs w:val="16"/>
        </w:rPr>
        <w:t xml:space="preserve"> Všechna meziroční</w:t>
      </w:r>
      <w:r w:rsidRPr="00EB7D87">
        <w:rPr>
          <w:color w:val="0D0D0D" w:themeColor="text1" w:themeTint="F2"/>
          <w:spacing w:val="-2"/>
          <w:sz w:val="16"/>
          <w:szCs w:val="16"/>
        </w:rPr>
        <w:t xml:space="preserve">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39">
    <w:p w14:paraId="198171A7" w14:textId="1EC81838" w:rsidR="000D7C6F" w:rsidRPr="00F418C1" w:rsidRDefault="000D7C6F" w:rsidP="007D7F4F">
      <w:pPr>
        <w:pStyle w:val="Textpoznpodarou"/>
        <w:rPr>
          <w:sz w:val="16"/>
          <w:szCs w:val="16"/>
        </w:rPr>
      </w:pPr>
      <w:r w:rsidRPr="00F418C1">
        <w:rPr>
          <w:rStyle w:val="Znakapoznpodarou"/>
          <w:sz w:val="16"/>
          <w:szCs w:val="16"/>
        </w:rPr>
        <w:footnoteRef/>
      </w:r>
      <w:r w:rsidRPr="00F418C1">
        <w:rPr>
          <w:sz w:val="16"/>
          <w:szCs w:val="16"/>
        </w:rPr>
        <w:t xml:space="preserve"> Ve srovnání se 3. čtvrt</w:t>
      </w:r>
      <w:r>
        <w:rPr>
          <w:sz w:val="16"/>
          <w:szCs w:val="16"/>
        </w:rPr>
        <w:t>letím 2021, kdyby se objem tržeb</w:t>
      </w:r>
      <w:r w:rsidRPr="00F418C1">
        <w:rPr>
          <w:sz w:val="16"/>
          <w:szCs w:val="16"/>
        </w:rPr>
        <w:t xml:space="preserve"> nacházel na absolutním maximu, byla jejich současná úrove</w:t>
      </w:r>
      <w:r>
        <w:rPr>
          <w:sz w:val="16"/>
          <w:szCs w:val="16"/>
        </w:rPr>
        <w:t>ň o více než o</w:t>
      </w:r>
      <w:r w:rsidRPr="00052DD9">
        <w:rPr>
          <w:sz w:val="16"/>
          <w:szCs w:val="16"/>
        </w:rPr>
        <w:t> </w:t>
      </w:r>
      <w:r>
        <w:rPr>
          <w:sz w:val="16"/>
          <w:szCs w:val="16"/>
        </w:rPr>
        <w:t>10</w:t>
      </w:r>
      <w:r w:rsidRPr="00052DD9">
        <w:rPr>
          <w:sz w:val="16"/>
          <w:szCs w:val="16"/>
        </w:rPr>
        <w:t> </w:t>
      </w:r>
      <w:r w:rsidRPr="00F418C1">
        <w:rPr>
          <w:sz w:val="16"/>
          <w:szCs w:val="16"/>
        </w:rPr>
        <w:t xml:space="preserve">% nižší. Srovnatelně ve shodném období klesla i kupní síla průměrných mezd. </w:t>
      </w:r>
    </w:p>
  </w:footnote>
  <w:footnote w:id="40">
    <w:p w14:paraId="15F1E44B" w14:textId="77777777" w:rsidR="000D7C6F" w:rsidRPr="00420E72" w:rsidRDefault="000D7C6F" w:rsidP="007D7F4F">
      <w:pPr>
        <w:pStyle w:val="paragraph"/>
        <w:spacing w:before="0" w:beforeAutospacing="0" w:after="0" w:afterAutospacing="0"/>
        <w:jc w:val="both"/>
        <w:textAlignment w:val="baseline"/>
        <w:rPr>
          <w:rFonts w:ascii="Arial" w:eastAsia="MS Gothic" w:hAnsi="Arial" w:cs="Arial"/>
          <w:sz w:val="16"/>
          <w:szCs w:val="16"/>
        </w:rPr>
      </w:pPr>
      <w:r w:rsidRPr="00420E72">
        <w:rPr>
          <w:rStyle w:val="Znakapoznpodarou"/>
          <w:rFonts w:ascii="Arial" w:hAnsi="Arial" w:cs="Arial"/>
          <w:sz w:val="16"/>
          <w:szCs w:val="16"/>
        </w:rPr>
        <w:footnoteRef/>
      </w:r>
      <w:r w:rsidRPr="00420E72">
        <w:rPr>
          <w:rFonts w:ascii="Arial" w:hAnsi="Arial" w:cs="Arial"/>
          <w:sz w:val="16"/>
          <w:szCs w:val="16"/>
        </w:rPr>
        <w:t xml:space="preserve"> </w:t>
      </w:r>
      <w:r w:rsidRPr="00420E72">
        <w:rPr>
          <w:rStyle w:val="normaltextrun"/>
          <w:rFonts w:ascii="Arial" w:eastAsia="MS Gothic" w:hAnsi="Arial" w:cs="Arial"/>
          <w:color w:val="000000"/>
          <w:sz w:val="16"/>
          <w:szCs w:val="16"/>
        </w:rPr>
        <w:t xml:space="preserve">Stav zásob zboží na skladech zůstával od léta nezvykle vysoký. Počet firem hodnotících pozitivně svou aktuální ekonomickou situaci se </w:t>
      </w:r>
      <w:r>
        <w:rPr>
          <w:rStyle w:val="normaltextrun"/>
          <w:rFonts w:ascii="Arial" w:eastAsia="MS Gothic" w:hAnsi="Arial" w:cs="Arial"/>
          <w:color w:val="000000"/>
          <w:sz w:val="16"/>
          <w:szCs w:val="16"/>
        </w:rPr>
        <w:t xml:space="preserve">letos v listopadu </w:t>
      </w:r>
      <w:r w:rsidRPr="00420E72">
        <w:rPr>
          <w:rStyle w:val="normaltextrun"/>
          <w:rFonts w:ascii="Arial" w:eastAsia="MS Gothic" w:hAnsi="Arial" w:cs="Arial"/>
          <w:color w:val="000000"/>
          <w:sz w:val="16"/>
          <w:szCs w:val="16"/>
        </w:rPr>
        <w:t xml:space="preserve">čtvrtý měsíc v řadě snížil, výrazný optimismus ohledně vývoje v nejbližším období ale podniky neopouštěl (zlepšení situace v nejbližším pololetí očekávalo 43 % firem, zhoršení </w:t>
      </w:r>
      <w:r>
        <w:rPr>
          <w:rStyle w:val="normaltextrun"/>
          <w:rFonts w:ascii="Arial" w:eastAsia="MS Gothic" w:hAnsi="Arial" w:cs="Arial"/>
          <w:color w:val="000000"/>
          <w:sz w:val="16"/>
          <w:szCs w:val="16"/>
        </w:rPr>
        <w:t xml:space="preserve">jen </w:t>
      </w:r>
      <w:r w:rsidRPr="00420E72">
        <w:rPr>
          <w:rStyle w:val="normaltextrun"/>
          <w:rFonts w:ascii="Arial" w:eastAsia="MS Gothic" w:hAnsi="Arial" w:cs="Arial"/>
          <w:color w:val="000000"/>
          <w:sz w:val="16"/>
          <w:szCs w:val="16"/>
        </w:rPr>
        <w:t>9 %).</w:t>
      </w:r>
    </w:p>
  </w:footnote>
  <w:footnote w:id="41">
    <w:p w14:paraId="7BCFD5CD" w14:textId="77777777" w:rsidR="000D7C6F" w:rsidRPr="009A24F2" w:rsidRDefault="000D7C6F" w:rsidP="007D7F4F">
      <w:pPr>
        <w:pStyle w:val="Textpoznpodarou"/>
        <w:rPr>
          <w:sz w:val="16"/>
          <w:szCs w:val="16"/>
        </w:rPr>
      </w:pPr>
      <w:r w:rsidRPr="009A24F2">
        <w:rPr>
          <w:rStyle w:val="Znakapoznpodarou"/>
          <w:sz w:val="16"/>
          <w:szCs w:val="16"/>
        </w:rPr>
        <w:footnoteRef/>
      </w:r>
      <w:r w:rsidRPr="009A24F2">
        <w:rPr>
          <w:sz w:val="16"/>
          <w:szCs w:val="16"/>
        </w:rPr>
        <w:t xml:space="preserve"> </w:t>
      </w:r>
      <w:r w:rsidRPr="00436FBD">
        <w:rPr>
          <w:spacing w:val="-2"/>
          <w:sz w:val="16"/>
          <w:szCs w:val="16"/>
        </w:rPr>
        <w:t>Se slábnoucí poptávkou se potýká i maloobchod v EU. Mezikvartální pokles tržeb ve 3. čtvrtletí 2023 (</w:t>
      </w:r>
      <w:r>
        <w:rPr>
          <w:spacing w:val="-2"/>
          <w:sz w:val="16"/>
          <w:szCs w:val="16"/>
        </w:rPr>
        <w:t>−</w:t>
      </w:r>
      <w:r w:rsidRPr="00436FBD">
        <w:rPr>
          <w:spacing w:val="-2"/>
          <w:sz w:val="16"/>
          <w:szCs w:val="16"/>
        </w:rPr>
        <w:t xml:space="preserve">0,3 %) zde nastal již pošesté </w:t>
      </w:r>
      <w:r w:rsidRPr="00694029">
        <w:rPr>
          <w:spacing w:val="-4"/>
          <w:sz w:val="16"/>
          <w:szCs w:val="16"/>
        </w:rPr>
        <w:t>v řadě. Za 1. až 3. čtvrtletí se tržby meziročně snížily o 2,2 %, k poklesu došlo v 19 členských státech – k nejvyššímu ve Slovinsku (</w:t>
      </w:r>
      <w:r>
        <w:rPr>
          <w:spacing w:val="-4"/>
          <w:sz w:val="16"/>
          <w:szCs w:val="16"/>
        </w:rPr>
        <w:t>−</w:t>
      </w:r>
      <w:r w:rsidRPr="00694029">
        <w:rPr>
          <w:spacing w:val="-4"/>
          <w:sz w:val="16"/>
          <w:szCs w:val="16"/>
        </w:rPr>
        <w:t>10,8 %),</w:t>
      </w:r>
      <w:r w:rsidRPr="00436FBD">
        <w:rPr>
          <w:spacing w:val="-2"/>
          <w:sz w:val="16"/>
          <w:szCs w:val="16"/>
        </w:rPr>
        <w:t xml:space="preserve"> Maďarsku (</w:t>
      </w:r>
      <w:r>
        <w:rPr>
          <w:spacing w:val="-2"/>
          <w:sz w:val="16"/>
          <w:szCs w:val="16"/>
        </w:rPr>
        <w:t>−</w:t>
      </w:r>
      <w:r w:rsidRPr="00436FBD">
        <w:rPr>
          <w:spacing w:val="-2"/>
          <w:sz w:val="16"/>
          <w:szCs w:val="16"/>
        </w:rPr>
        <w:t>9,3 %) a Estonsku (</w:t>
      </w:r>
      <w:r>
        <w:rPr>
          <w:spacing w:val="-2"/>
          <w:sz w:val="16"/>
          <w:szCs w:val="16"/>
        </w:rPr>
        <w:t>−</w:t>
      </w:r>
      <w:r w:rsidRPr="00436FBD">
        <w:rPr>
          <w:spacing w:val="-2"/>
          <w:sz w:val="16"/>
          <w:szCs w:val="16"/>
        </w:rPr>
        <w:t>8,7 %). Maloobchod v ČR registroval šestý nejvyšší pokles mezi státy EU (u potravin pak čtvrtý nejvyšší). Výraznější hlubší propad než v Unii nastal v ČR u nepotravinářského zboží (</w:t>
      </w:r>
      <w:r>
        <w:rPr>
          <w:spacing w:val="-2"/>
          <w:sz w:val="16"/>
          <w:szCs w:val="16"/>
        </w:rPr>
        <w:t>−</w:t>
      </w:r>
      <w:r w:rsidRPr="00436FBD">
        <w:rPr>
          <w:spacing w:val="-2"/>
          <w:sz w:val="16"/>
          <w:szCs w:val="16"/>
        </w:rPr>
        <w:t xml:space="preserve">7,5 % vs. </w:t>
      </w:r>
      <w:r>
        <w:rPr>
          <w:spacing w:val="-2"/>
          <w:sz w:val="16"/>
          <w:szCs w:val="16"/>
        </w:rPr>
        <w:t>−</w:t>
      </w:r>
      <w:r w:rsidRPr="00436FBD">
        <w:rPr>
          <w:spacing w:val="-2"/>
          <w:sz w:val="16"/>
          <w:szCs w:val="16"/>
        </w:rPr>
        <w:t xml:space="preserve">1,1 %). Naopak růst tržeb za pohonné hmoty byl v ČR spolu se Slovenskem v EU nejvyšší. Objem tržeb ve 3. čtvrtletí 2023 v celém maloobchodu byl oproti roku 2019 v EU vyšší </w:t>
      </w:r>
      <w:r>
        <w:rPr>
          <w:spacing w:val="-5"/>
          <w:sz w:val="16"/>
          <w:szCs w:val="16"/>
        </w:rPr>
        <w:t>o 3,6</w:t>
      </w:r>
      <w:r w:rsidRPr="00436FBD">
        <w:rPr>
          <w:spacing w:val="-5"/>
          <w:sz w:val="16"/>
          <w:szCs w:val="16"/>
        </w:rPr>
        <w:t xml:space="preserve"> %, </w:t>
      </w:r>
      <w:r w:rsidRPr="00694029">
        <w:rPr>
          <w:sz w:val="16"/>
          <w:szCs w:val="16"/>
        </w:rPr>
        <w:t xml:space="preserve">z toho v Rumunsku o 18 %, </w:t>
      </w:r>
      <w:r>
        <w:rPr>
          <w:sz w:val="16"/>
          <w:szCs w:val="16"/>
        </w:rPr>
        <w:t xml:space="preserve">v </w:t>
      </w:r>
      <w:r w:rsidRPr="00694029">
        <w:rPr>
          <w:sz w:val="16"/>
          <w:szCs w:val="16"/>
        </w:rPr>
        <w:t xml:space="preserve">Polsku o 21,5 %. Za předpandemickou úrovní naopak zaostával jen v osmi státech – nejvíce v ČR </w:t>
      </w:r>
      <w:r>
        <w:rPr>
          <w:sz w:val="16"/>
          <w:szCs w:val="16"/>
        </w:rPr>
        <w:br/>
      </w:r>
      <w:r w:rsidRPr="00694029">
        <w:rPr>
          <w:sz w:val="16"/>
          <w:szCs w:val="16"/>
        </w:rPr>
        <w:t>(</w:t>
      </w:r>
      <w:r>
        <w:rPr>
          <w:sz w:val="16"/>
          <w:szCs w:val="16"/>
        </w:rPr>
        <w:t>−</w:t>
      </w:r>
      <w:r w:rsidRPr="00694029">
        <w:rPr>
          <w:sz w:val="16"/>
          <w:szCs w:val="16"/>
        </w:rPr>
        <w:t>5,5 %), Belgii (</w:t>
      </w:r>
      <w:r>
        <w:rPr>
          <w:sz w:val="16"/>
          <w:szCs w:val="16"/>
        </w:rPr>
        <w:t>−</w:t>
      </w:r>
      <w:r w:rsidRPr="00694029">
        <w:rPr>
          <w:sz w:val="16"/>
          <w:szCs w:val="16"/>
        </w:rPr>
        <w:t>4,3 %)</w:t>
      </w:r>
      <w:r w:rsidRPr="00436FBD">
        <w:rPr>
          <w:spacing w:val="-2"/>
          <w:sz w:val="16"/>
          <w:szCs w:val="16"/>
        </w:rPr>
        <w:t xml:space="preserve"> a Itálii (</w:t>
      </w:r>
      <w:r>
        <w:rPr>
          <w:spacing w:val="-2"/>
          <w:sz w:val="16"/>
          <w:szCs w:val="16"/>
        </w:rPr>
        <w:t>−</w:t>
      </w:r>
      <w:r w:rsidRPr="00436FBD">
        <w:rPr>
          <w:spacing w:val="-2"/>
          <w:sz w:val="16"/>
          <w:szCs w:val="16"/>
        </w:rPr>
        <w:t xml:space="preserve">4,0 %). Souhrnný ukazatel spotřebitelské důvěry v ČR se přitom </w:t>
      </w:r>
      <w:r>
        <w:rPr>
          <w:spacing w:val="-2"/>
          <w:sz w:val="16"/>
          <w:szCs w:val="16"/>
        </w:rPr>
        <w:t xml:space="preserve">významně neodlišoval </w:t>
      </w:r>
      <w:r w:rsidRPr="00436FBD">
        <w:rPr>
          <w:spacing w:val="-2"/>
          <w:sz w:val="16"/>
          <w:szCs w:val="16"/>
        </w:rPr>
        <w:t>od důvěry v celé EU</w:t>
      </w:r>
      <w:r>
        <w:rPr>
          <w:spacing w:val="-2"/>
          <w:sz w:val="16"/>
          <w:szCs w:val="16"/>
        </w:rPr>
        <w:t>.</w:t>
      </w:r>
    </w:p>
  </w:footnote>
  <w:footnote w:id="42">
    <w:p w14:paraId="6F4A2164" w14:textId="77777777" w:rsidR="000D7C6F" w:rsidRPr="00C601D3" w:rsidRDefault="000D7C6F" w:rsidP="007D7F4F">
      <w:pPr>
        <w:pStyle w:val="Textpoznpodarou"/>
        <w:rPr>
          <w:sz w:val="16"/>
          <w:szCs w:val="16"/>
        </w:rPr>
      </w:pPr>
      <w:r w:rsidRPr="00C601D3">
        <w:rPr>
          <w:rStyle w:val="Znakapoznpodarou"/>
          <w:sz w:val="16"/>
          <w:szCs w:val="16"/>
        </w:rPr>
        <w:footnoteRef/>
      </w:r>
      <w:r>
        <w:rPr>
          <w:sz w:val="16"/>
          <w:szCs w:val="16"/>
        </w:rPr>
        <w:t xml:space="preserve"> Situace se </w:t>
      </w:r>
      <w:r w:rsidRPr="00C601D3">
        <w:rPr>
          <w:sz w:val="16"/>
          <w:szCs w:val="16"/>
        </w:rPr>
        <w:t>zlepšila ve 3. čtvrtletí</w:t>
      </w:r>
      <w:r>
        <w:rPr>
          <w:sz w:val="16"/>
          <w:szCs w:val="16"/>
        </w:rPr>
        <w:t xml:space="preserve"> 2023</w:t>
      </w:r>
      <w:r w:rsidRPr="00C601D3">
        <w:rPr>
          <w:sz w:val="16"/>
          <w:szCs w:val="16"/>
        </w:rPr>
        <w:t xml:space="preserve">, kdy se meziroční pokles tržeb zastavil (+0,5 %). Velmi mírné oživení poptávky je zde patrné </w:t>
      </w:r>
      <w:r>
        <w:rPr>
          <w:sz w:val="16"/>
          <w:szCs w:val="16"/>
        </w:rPr>
        <w:br/>
      </w:r>
      <w:r w:rsidRPr="00C601D3">
        <w:rPr>
          <w:sz w:val="16"/>
          <w:szCs w:val="16"/>
        </w:rPr>
        <w:t>i z mezikvartálních temp, a to již od počátku letošního roku.</w:t>
      </w:r>
    </w:p>
  </w:footnote>
  <w:footnote w:id="43">
    <w:p w14:paraId="09EFE65A" w14:textId="77777777" w:rsidR="000D7C6F" w:rsidRPr="00681FE8" w:rsidRDefault="000D7C6F" w:rsidP="007D7F4F">
      <w:pPr>
        <w:pStyle w:val="Textpoznpodarou"/>
        <w:rPr>
          <w:sz w:val="16"/>
          <w:szCs w:val="16"/>
        </w:rPr>
      </w:pPr>
      <w:r w:rsidRPr="00681FE8">
        <w:rPr>
          <w:rStyle w:val="Znakapoznpodarou"/>
          <w:sz w:val="16"/>
          <w:szCs w:val="16"/>
        </w:rPr>
        <w:footnoteRef/>
      </w:r>
      <w:r w:rsidRPr="00681FE8">
        <w:rPr>
          <w:sz w:val="16"/>
          <w:szCs w:val="16"/>
        </w:rPr>
        <w:t xml:space="preserve"> Z toho ve 3. čtvrtletí</w:t>
      </w:r>
      <w:r>
        <w:rPr>
          <w:sz w:val="16"/>
          <w:szCs w:val="16"/>
        </w:rPr>
        <w:t xml:space="preserve"> 2023</w:t>
      </w:r>
      <w:r w:rsidRPr="00681FE8">
        <w:rPr>
          <w:sz w:val="16"/>
          <w:szCs w:val="16"/>
        </w:rPr>
        <w:t xml:space="preserve"> činil pokles dokonce 11,8 %. To lze zčásti vysvětlit slabými tržbami v září, kdy spotřebitelé vlivem přetrvávajícího velmi teplého počasí odkládali nákupy podzimních kolekcí oblečení i obuvi.</w:t>
      </w:r>
    </w:p>
  </w:footnote>
  <w:footnote w:id="44">
    <w:p w14:paraId="5364C942" w14:textId="77777777" w:rsidR="000D7C6F" w:rsidRPr="00377F5E" w:rsidRDefault="000D7C6F" w:rsidP="007D7F4F">
      <w:pPr>
        <w:pStyle w:val="Textpoznpodarou"/>
        <w:rPr>
          <w:sz w:val="16"/>
          <w:szCs w:val="16"/>
        </w:rPr>
      </w:pPr>
      <w:r w:rsidRPr="00377F5E">
        <w:rPr>
          <w:rStyle w:val="Znakapoznpodarou"/>
          <w:sz w:val="16"/>
          <w:szCs w:val="16"/>
        </w:rPr>
        <w:footnoteRef/>
      </w:r>
      <w:r w:rsidRPr="00377F5E">
        <w:rPr>
          <w:sz w:val="16"/>
          <w:szCs w:val="16"/>
        </w:rPr>
        <w:t xml:space="preserve"> Z toho ve 3. čtvrtletí tempo růstu tržeb vystoupalo na 7,8 %</w:t>
      </w:r>
      <w:r>
        <w:rPr>
          <w:sz w:val="16"/>
          <w:szCs w:val="16"/>
        </w:rPr>
        <w:t xml:space="preserve"> a jejich objem dosáhl v tomto období absolutního maxima v celé řadě od roku 2000 (jako v jediném z hlavních sledovaných segmentů maloobchodu).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0D7C6F" w:rsidRDefault="000D7C6F" w:rsidP="00937AE2">
    <w:pPr>
      <w:pStyle w:val="Zhlav"/>
    </w:pPr>
    <w:r>
      <w:t>Vývoj ekonomiky České republiky</w:t>
    </w:r>
  </w:p>
  <w:p w14:paraId="3E881AB3" w14:textId="77777777" w:rsidR="000D7C6F" w:rsidRPr="006F5416" w:rsidRDefault="000D7C6F"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0D7C6F" w:rsidRDefault="000D7C6F" w:rsidP="00937AE2">
    <w:pPr>
      <w:pStyle w:val="Zhlav"/>
    </w:pPr>
    <w:r>
      <w:t>Vývoj ekonomiky České republiky</w:t>
    </w:r>
  </w:p>
  <w:p w14:paraId="57266714" w14:textId="77777777" w:rsidR="000D7C6F" w:rsidRPr="006F5416" w:rsidRDefault="000D7C6F"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8"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33"/>
  </w:num>
  <w:num w:numId="14">
    <w:abstractNumId w:val="14"/>
  </w:num>
  <w:num w:numId="15">
    <w:abstractNumId w:val="21"/>
  </w:num>
  <w:num w:numId="16">
    <w:abstractNumId w:val="17"/>
  </w:num>
  <w:num w:numId="17">
    <w:abstractNumId w:val="34"/>
  </w:num>
  <w:num w:numId="18">
    <w:abstractNumId w:val="26"/>
  </w:num>
  <w:num w:numId="19">
    <w:abstractNumId w:val="36"/>
  </w:num>
  <w:num w:numId="20">
    <w:abstractNumId w:val="37"/>
  </w:num>
  <w:num w:numId="21">
    <w:abstractNumId w:val="32"/>
  </w:num>
  <w:num w:numId="22">
    <w:abstractNumId w:val="20"/>
  </w:num>
  <w:num w:numId="23">
    <w:abstractNumId w:val="18"/>
  </w:num>
  <w:num w:numId="24">
    <w:abstractNumId w:val="19"/>
  </w:num>
  <w:num w:numId="25">
    <w:abstractNumId w:val="13"/>
  </w:num>
  <w:num w:numId="26">
    <w:abstractNumId w:val="28"/>
  </w:num>
  <w:num w:numId="27">
    <w:abstractNumId w:val="27"/>
  </w:num>
  <w:num w:numId="28">
    <w:abstractNumId w:val="10"/>
  </w:num>
  <w:num w:numId="29">
    <w:abstractNumId w:val="37"/>
  </w:num>
  <w:num w:numId="30">
    <w:abstractNumId w:val="29"/>
  </w:num>
  <w:num w:numId="31">
    <w:abstractNumId w:val="12"/>
  </w:num>
  <w:num w:numId="32">
    <w:abstractNumId w:val="38"/>
  </w:num>
  <w:num w:numId="33">
    <w:abstractNumId w:val="37"/>
  </w:num>
  <w:num w:numId="34">
    <w:abstractNumId w:val="11"/>
  </w:num>
  <w:num w:numId="35">
    <w:abstractNumId w:val="35"/>
  </w:num>
  <w:num w:numId="36">
    <w:abstractNumId w:val="30"/>
  </w:num>
  <w:num w:numId="37">
    <w:abstractNumId w:val="22"/>
  </w:num>
  <w:num w:numId="38">
    <w:abstractNumId w:val="25"/>
  </w:num>
  <w:num w:numId="39">
    <w:abstractNumId w:val="15"/>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26C"/>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BEE"/>
    <w:rsid w:val="00CB2351"/>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0DD"/>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B1A"/>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123E-2"/>
          <c:y val="1.58047770054799E-2"/>
          <c:w val="0.84419102795189693"/>
          <c:h val="0.69135712481071743"/>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IPP'!$R$27:$AZ$27</c:f>
              <c:numCache>
                <c:formatCode>0.0</c:formatCode>
                <c:ptCount val="35"/>
                <c:pt idx="0">
                  <c:v>1.5414336001551816</c:v>
                </c:pt>
                <c:pt idx="1">
                  <c:v>2.1741500812415602</c:v>
                </c:pt>
                <c:pt idx="2">
                  <c:v>2.380745128523166</c:v>
                </c:pt>
                <c:pt idx="3">
                  <c:v>2.8689756615217954</c:v>
                </c:pt>
                <c:pt idx="4">
                  <c:v>3.3341210196737827</c:v>
                </c:pt>
                <c:pt idx="5">
                  <c:v>2.686672264317759</c:v>
                </c:pt>
                <c:pt idx="6">
                  <c:v>1.4809491976121258</c:v>
                </c:pt>
                <c:pt idx="7">
                  <c:v>1.0295786410238899</c:v>
                </c:pt>
                <c:pt idx="8">
                  <c:v>1.7176851530772053</c:v>
                </c:pt>
                <c:pt idx="9">
                  <c:v>2.162430036953364</c:v>
                </c:pt>
                <c:pt idx="10">
                  <c:v>1.6010808371876544</c:v>
                </c:pt>
                <c:pt idx="11">
                  <c:v>1.6765308689366063</c:v>
                </c:pt>
                <c:pt idx="12">
                  <c:v>0.76463369901420963</c:v>
                </c:pt>
                <c:pt idx="13">
                  <c:v>0.53745054525373026</c:v>
                </c:pt>
                <c:pt idx="14">
                  <c:v>0.24390176608722394</c:v>
                </c:pt>
                <c:pt idx="15">
                  <c:v>0.97145099568383753</c:v>
                </c:pt>
                <c:pt idx="16">
                  <c:v>-0.22653642884122807</c:v>
                </c:pt>
                <c:pt idx="17">
                  <c:v>0.48861091853368632</c:v>
                </c:pt>
                <c:pt idx="18">
                  <c:v>0.8085591774608738</c:v>
                </c:pt>
                <c:pt idx="19">
                  <c:v>-1.0897983527427586</c:v>
                </c:pt>
                <c:pt idx="20">
                  <c:v>-1.5435543851935798</c:v>
                </c:pt>
                <c:pt idx="21">
                  <c:v>-9.4039632081130193</c:v>
                </c:pt>
                <c:pt idx="22">
                  <c:v>-0.18743733484121622</c:v>
                </c:pt>
                <c:pt idx="23">
                  <c:v>2.045187558556735</c:v>
                </c:pt>
                <c:pt idx="24">
                  <c:v>1.8998981300154258</c:v>
                </c:pt>
                <c:pt idx="25">
                  <c:v>10.981696435394754</c:v>
                </c:pt>
                <c:pt idx="26">
                  <c:v>-3.7777447309199412</c:v>
                </c:pt>
                <c:pt idx="27">
                  <c:v>-3.2745552925864558</c:v>
                </c:pt>
                <c:pt idx="28">
                  <c:v>-1.9139060121680713</c:v>
                </c:pt>
                <c:pt idx="29">
                  <c:v>7.480589744544669E-2</c:v>
                </c:pt>
                <c:pt idx="30">
                  <c:v>5.6188837456000496</c:v>
                </c:pt>
                <c:pt idx="31">
                  <c:v>4.0478655888897555</c:v>
                </c:pt>
                <c:pt idx="32">
                  <c:v>4.8745958455854446</c:v>
                </c:pt>
                <c:pt idx="33">
                  <c:v>4.8352759001832073</c:v>
                </c:pt>
                <c:pt idx="34">
                  <c:v>1.0562788090489621</c:v>
                </c:pt>
              </c:numCache>
            </c:numRef>
          </c:val>
          <c:extLst>
            <c:ext xmlns:c16="http://schemas.microsoft.com/office/drawing/2014/chart" uri="{C3380CC4-5D6E-409C-BE32-E72D297353CC}">
              <c16:uniqueId val="{00000000-114F-41FB-8286-9620C4091079}"/>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IPP'!$R$28:$AZ$28</c:f>
              <c:numCache>
                <c:formatCode>0.0</c:formatCode>
                <c:ptCount val="35"/>
                <c:pt idx="0">
                  <c:v>1.0327842576995594</c:v>
                </c:pt>
                <c:pt idx="1">
                  <c:v>1.2398193770878783</c:v>
                </c:pt>
                <c:pt idx="2">
                  <c:v>1.4194520754584399</c:v>
                </c:pt>
                <c:pt idx="3">
                  <c:v>0.62945179373892213</c:v>
                </c:pt>
                <c:pt idx="4">
                  <c:v>0.81066950070394839</c:v>
                </c:pt>
                <c:pt idx="5">
                  <c:v>0.15910929112689351</c:v>
                </c:pt>
                <c:pt idx="6">
                  <c:v>0.27430884251769222</c:v>
                </c:pt>
                <c:pt idx="7">
                  <c:v>0.42966812397126097</c:v>
                </c:pt>
                <c:pt idx="8">
                  <c:v>0.81190885185629913</c:v>
                </c:pt>
                <c:pt idx="9">
                  <c:v>1.4478162783570201</c:v>
                </c:pt>
                <c:pt idx="10">
                  <c:v>0.86831270392558868</c:v>
                </c:pt>
                <c:pt idx="11">
                  <c:v>1.6467937182997419</c:v>
                </c:pt>
                <c:pt idx="12">
                  <c:v>0.99355825089751959</c:v>
                </c:pt>
                <c:pt idx="13">
                  <c:v>0.32981714268582246</c:v>
                </c:pt>
                <c:pt idx="14">
                  <c:v>0.43066392508053108</c:v>
                </c:pt>
                <c:pt idx="15">
                  <c:v>-5.4042637097958736E-2</c:v>
                </c:pt>
                <c:pt idx="16">
                  <c:v>0.52511448325990218</c:v>
                </c:pt>
                <c:pt idx="17">
                  <c:v>0.41827161057405132</c:v>
                </c:pt>
                <c:pt idx="18">
                  <c:v>0.20321919004157427</c:v>
                </c:pt>
                <c:pt idx="19">
                  <c:v>0.40664545615593123</c:v>
                </c:pt>
                <c:pt idx="20">
                  <c:v>-0.54518803499189361</c:v>
                </c:pt>
                <c:pt idx="21">
                  <c:v>-4.0594843067760982</c:v>
                </c:pt>
                <c:pt idx="22">
                  <c:v>-0.42308415860457282</c:v>
                </c:pt>
                <c:pt idx="23">
                  <c:v>0.57531703991443739</c:v>
                </c:pt>
                <c:pt idx="24">
                  <c:v>0.72127374997619453</c:v>
                </c:pt>
                <c:pt idx="25">
                  <c:v>5.5133080211538514</c:v>
                </c:pt>
                <c:pt idx="26">
                  <c:v>0.63109141066247676</c:v>
                </c:pt>
                <c:pt idx="27">
                  <c:v>-0.40575686667122407</c:v>
                </c:pt>
                <c:pt idx="28">
                  <c:v>9.4219437714530618E-2</c:v>
                </c:pt>
                <c:pt idx="29">
                  <c:v>0.14447578235561789</c:v>
                </c:pt>
                <c:pt idx="30">
                  <c:v>0.53281688283887163</c:v>
                </c:pt>
                <c:pt idx="31">
                  <c:v>0.60923547078383744</c:v>
                </c:pt>
                <c:pt idx="32">
                  <c:v>0.18287937071872643</c:v>
                </c:pt>
                <c:pt idx="33">
                  <c:v>7.6122768626164086E-2</c:v>
                </c:pt>
                <c:pt idx="34">
                  <c:v>-0.47116105704636763</c:v>
                </c:pt>
              </c:numCache>
            </c:numRef>
          </c:val>
          <c:extLst>
            <c:ext xmlns:c16="http://schemas.microsoft.com/office/drawing/2014/chart" uri="{C3380CC4-5D6E-409C-BE32-E72D297353CC}">
              <c16:uniqueId val="{00000001-114F-41FB-8286-9620C4091079}"/>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IPP'!$R$29:$AZ$29</c:f>
              <c:numCache>
                <c:formatCode>0.0</c:formatCode>
                <c:ptCount val="35"/>
                <c:pt idx="0">
                  <c:v>0.27352741322260565</c:v>
                </c:pt>
                <c:pt idx="1">
                  <c:v>0.29435778863230189</c:v>
                </c:pt>
                <c:pt idx="2">
                  <c:v>0.38381901893821596</c:v>
                </c:pt>
                <c:pt idx="3">
                  <c:v>1.9907538862099942E-2</c:v>
                </c:pt>
                <c:pt idx="4">
                  <c:v>0.36213267281302258</c:v>
                </c:pt>
                <c:pt idx="5">
                  <c:v>-6.5064708510287728E-2</c:v>
                </c:pt>
                <c:pt idx="6">
                  <c:v>0.19502661099256188</c:v>
                </c:pt>
                <c:pt idx="7">
                  <c:v>0.31976595271137093</c:v>
                </c:pt>
                <c:pt idx="8">
                  <c:v>0.36260721751312475</c:v>
                </c:pt>
                <c:pt idx="9">
                  <c:v>1.0676230430151568</c:v>
                </c:pt>
                <c:pt idx="10">
                  <c:v>0.84856622097502821</c:v>
                </c:pt>
                <c:pt idx="11">
                  <c:v>0.8011679796708624</c:v>
                </c:pt>
                <c:pt idx="12">
                  <c:v>0.47154480134890747</c:v>
                </c:pt>
                <c:pt idx="13">
                  <c:v>0.14539794495792627</c:v>
                </c:pt>
                <c:pt idx="14">
                  <c:v>0.18518957990291937</c:v>
                </c:pt>
                <c:pt idx="15">
                  <c:v>-0.19190856298894718</c:v>
                </c:pt>
                <c:pt idx="16">
                  <c:v>0.14248219231403395</c:v>
                </c:pt>
                <c:pt idx="17">
                  <c:v>-2.1421773901395616E-2</c:v>
                </c:pt>
                <c:pt idx="18">
                  <c:v>-0.25698546548398382</c:v>
                </c:pt>
                <c:pt idx="19">
                  <c:v>-0.1385976419695116</c:v>
                </c:pt>
                <c:pt idx="20">
                  <c:v>-0.6967773072729575</c:v>
                </c:pt>
                <c:pt idx="21">
                  <c:v>-2.1434069100206701</c:v>
                </c:pt>
                <c:pt idx="22">
                  <c:v>-0.80071965285565583</c:v>
                </c:pt>
                <c:pt idx="23">
                  <c:v>-0.53337369043417704</c:v>
                </c:pt>
                <c:pt idx="24">
                  <c:v>7.0388429332234839E-2</c:v>
                </c:pt>
                <c:pt idx="25">
                  <c:v>2.1082132332125232</c:v>
                </c:pt>
                <c:pt idx="26">
                  <c:v>0.54002718228061808</c:v>
                </c:pt>
                <c:pt idx="27">
                  <c:v>0.28651169955913558</c:v>
                </c:pt>
                <c:pt idx="28">
                  <c:v>0.3811241584272419</c:v>
                </c:pt>
                <c:pt idx="29">
                  <c:v>0.10272667009912308</c:v>
                </c:pt>
                <c:pt idx="30">
                  <c:v>0.49907693226871236</c:v>
                </c:pt>
                <c:pt idx="31">
                  <c:v>0.65938727063841174</c:v>
                </c:pt>
                <c:pt idx="32">
                  <c:v>0.33129337288367133</c:v>
                </c:pt>
                <c:pt idx="33">
                  <c:v>0.34863477692369732</c:v>
                </c:pt>
                <c:pt idx="34">
                  <c:v>-0.61404044787316225</c:v>
                </c:pt>
              </c:numCache>
            </c:numRef>
          </c:val>
          <c:extLst>
            <c:ext xmlns:c16="http://schemas.microsoft.com/office/drawing/2014/chart" uri="{C3380CC4-5D6E-409C-BE32-E72D297353CC}">
              <c16:uniqueId val="{00000002-114F-41FB-8286-9620C4091079}"/>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IPP'!$R$30:$AZ$30</c:f>
              <c:numCache>
                <c:formatCode>0.0</c:formatCode>
                <c:ptCount val="35"/>
                <c:pt idx="0">
                  <c:v>0.69497691812608775</c:v>
                </c:pt>
                <c:pt idx="1">
                  <c:v>0.78508725997594342</c:v>
                </c:pt>
                <c:pt idx="2">
                  <c:v>0.99073344247385264</c:v>
                </c:pt>
                <c:pt idx="3">
                  <c:v>0.60112803930591463</c:v>
                </c:pt>
                <c:pt idx="4">
                  <c:v>0.8056510855242317</c:v>
                </c:pt>
                <c:pt idx="5">
                  <c:v>0.37292975928366701</c:v>
                </c:pt>
                <c:pt idx="6">
                  <c:v>0.2287440311870737</c:v>
                </c:pt>
                <c:pt idx="7">
                  <c:v>0.25105221227274938</c:v>
                </c:pt>
                <c:pt idx="8">
                  <c:v>0.39859566543955655</c:v>
                </c:pt>
                <c:pt idx="9">
                  <c:v>0.93860836876068798</c:v>
                </c:pt>
                <c:pt idx="10">
                  <c:v>0.85733344200421968</c:v>
                </c:pt>
                <c:pt idx="11">
                  <c:v>0.96180148351524564</c:v>
                </c:pt>
                <c:pt idx="12">
                  <c:v>0.66382399405022563</c:v>
                </c:pt>
                <c:pt idx="13">
                  <c:v>0.46639173271760581</c:v>
                </c:pt>
                <c:pt idx="14">
                  <c:v>0.40419840691742392</c:v>
                </c:pt>
                <c:pt idx="15">
                  <c:v>0.14440932883616353</c:v>
                </c:pt>
                <c:pt idx="16">
                  <c:v>0.25807569584954537</c:v>
                </c:pt>
                <c:pt idx="17">
                  <c:v>1.4459010693799896E-2</c:v>
                </c:pt>
                <c:pt idx="18">
                  <c:v>-0.25651049213587473</c:v>
                </c:pt>
                <c:pt idx="19">
                  <c:v>-0.34928328908715511</c:v>
                </c:pt>
                <c:pt idx="20">
                  <c:v>-0.60808014688232759</c:v>
                </c:pt>
                <c:pt idx="21">
                  <c:v>-2.0880437771647515</c:v>
                </c:pt>
                <c:pt idx="22">
                  <c:v>-0.5397213489370003</c:v>
                </c:pt>
                <c:pt idx="23">
                  <c:v>0.14511452076092651</c:v>
                </c:pt>
                <c:pt idx="24">
                  <c:v>0.49633095542560152</c:v>
                </c:pt>
                <c:pt idx="25">
                  <c:v>3.0129249260537665</c:v>
                </c:pt>
                <c:pt idx="26">
                  <c:v>0.7364847818203093</c:v>
                </c:pt>
                <c:pt idx="27">
                  <c:v>-5.6080447887036575E-2</c:v>
                </c:pt>
                <c:pt idx="28">
                  <c:v>0.14951375880960249</c:v>
                </c:pt>
                <c:pt idx="29">
                  <c:v>-0.43703762786363681</c:v>
                </c:pt>
                <c:pt idx="30">
                  <c:v>-0.39225525137063932</c:v>
                </c:pt>
                <c:pt idx="31">
                  <c:v>-0.25495163136202598</c:v>
                </c:pt>
                <c:pt idx="32">
                  <c:v>-0.35282146304192297</c:v>
                </c:pt>
                <c:pt idx="33">
                  <c:v>-0.15021143576781981</c:v>
                </c:pt>
                <c:pt idx="34">
                  <c:v>-8.092410297917596E-2</c:v>
                </c:pt>
              </c:numCache>
            </c:numRef>
          </c:val>
          <c:extLst>
            <c:ext xmlns:c16="http://schemas.microsoft.com/office/drawing/2014/chart" uri="{C3380CC4-5D6E-409C-BE32-E72D297353CC}">
              <c16:uniqueId val="{00000003-114F-41FB-8286-9620C4091079}"/>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IPP'!$R$31:$AZ$31</c:f>
              <c:numCache>
                <c:formatCode>0.0</c:formatCode>
                <c:ptCount val="35"/>
                <c:pt idx="0">
                  <c:v>0.1027327576526751</c:v>
                </c:pt>
                <c:pt idx="1">
                  <c:v>1.7022273503113729E-2</c:v>
                </c:pt>
                <c:pt idx="2">
                  <c:v>3.1451678515105025E-2</c:v>
                </c:pt>
                <c:pt idx="3">
                  <c:v>-6.714829981087185E-2</c:v>
                </c:pt>
                <c:pt idx="4">
                  <c:v>-1.2685476667277868E-2</c:v>
                </c:pt>
                <c:pt idx="5">
                  <c:v>7.6588175669582884E-2</c:v>
                </c:pt>
                <c:pt idx="6">
                  <c:v>4.5204856094121497E-2</c:v>
                </c:pt>
                <c:pt idx="7">
                  <c:v>0.16194666355811363</c:v>
                </c:pt>
                <c:pt idx="8">
                  <c:v>0.1616957318596623</c:v>
                </c:pt>
                <c:pt idx="9">
                  <c:v>0.34034954986554128</c:v>
                </c:pt>
                <c:pt idx="10">
                  <c:v>0.22387493834902875</c:v>
                </c:pt>
                <c:pt idx="11">
                  <c:v>0.23474883574173114</c:v>
                </c:pt>
                <c:pt idx="12">
                  <c:v>0.37691682805498339</c:v>
                </c:pt>
                <c:pt idx="13">
                  <c:v>0.16170745152429125</c:v>
                </c:pt>
                <c:pt idx="14">
                  <c:v>0.63541368560223788</c:v>
                </c:pt>
                <c:pt idx="15">
                  <c:v>0.32151776055716974</c:v>
                </c:pt>
                <c:pt idx="16">
                  <c:v>-0.11432204894408456</c:v>
                </c:pt>
                <c:pt idx="17">
                  <c:v>-5.1757146500390386E-2</c:v>
                </c:pt>
                <c:pt idx="18">
                  <c:v>-0.58706510968263592</c:v>
                </c:pt>
                <c:pt idx="19">
                  <c:v>-0.3548718823744117</c:v>
                </c:pt>
                <c:pt idx="20">
                  <c:v>-8.5397778834990529E-2</c:v>
                </c:pt>
                <c:pt idx="21">
                  <c:v>-0.27817734072291866</c:v>
                </c:pt>
                <c:pt idx="22">
                  <c:v>-2.9065624151318067E-3</c:v>
                </c:pt>
                <c:pt idx="23">
                  <c:v>-5.9498285904227904E-3</c:v>
                </c:pt>
                <c:pt idx="24">
                  <c:v>0.12344573775217332</c:v>
                </c:pt>
                <c:pt idx="25">
                  <c:v>0.16503598968244673</c:v>
                </c:pt>
                <c:pt idx="26">
                  <c:v>0.21876908691427976</c:v>
                </c:pt>
                <c:pt idx="27">
                  <c:v>-0.21769009003115014</c:v>
                </c:pt>
                <c:pt idx="28">
                  <c:v>1.6809689420158321E-2</c:v>
                </c:pt>
                <c:pt idx="29">
                  <c:v>-1.2858202239140653E-2</c:v>
                </c:pt>
                <c:pt idx="30">
                  <c:v>6.771202933633047E-2</c:v>
                </c:pt>
                <c:pt idx="31">
                  <c:v>0.43638301343145697</c:v>
                </c:pt>
                <c:pt idx="32">
                  <c:v>0.15567912415874877</c:v>
                </c:pt>
                <c:pt idx="33">
                  <c:v>6.4166927197121471E-2</c:v>
                </c:pt>
                <c:pt idx="34">
                  <c:v>-0.12404251915592207</c:v>
                </c:pt>
              </c:numCache>
            </c:numRef>
          </c:val>
          <c:extLst>
            <c:ext xmlns:c16="http://schemas.microsoft.com/office/drawing/2014/chart" uri="{C3380CC4-5D6E-409C-BE32-E72D297353CC}">
              <c16:uniqueId val="{00000004-114F-41FB-8286-9620C4091079}"/>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IPP'!$R$32:$AZ$32</c:f>
              <c:numCache>
                <c:formatCode>0.0</c:formatCode>
                <c:ptCount val="35"/>
                <c:pt idx="0">
                  <c:v>7.7208317080078359E-2</c:v>
                </c:pt>
                <c:pt idx="1">
                  <c:v>0.23592866818826699</c:v>
                </c:pt>
                <c:pt idx="2">
                  <c:v>-0.16336143877828879</c:v>
                </c:pt>
                <c:pt idx="3">
                  <c:v>-0.33439989501658057</c:v>
                </c:pt>
                <c:pt idx="4">
                  <c:v>-0.41779515285163188</c:v>
                </c:pt>
                <c:pt idx="5">
                  <c:v>-0.4256981935976209</c:v>
                </c:pt>
                <c:pt idx="6">
                  <c:v>-0.10788089066016879</c:v>
                </c:pt>
                <c:pt idx="7">
                  <c:v>0.23743965472329776</c:v>
                </c:pt>
                <c:pt idx="8">
                  <c:v>0.52311070740015453</c:v>
                </c:pt>
                <c:pt idx="9">
                  <c:v>0.82341422334347336</c:v>
                </c:pt>
                <c:pt idx="10">
                  <c:v>0.65076836480306144</c:v>
                </c:pt>
                <c:pt idx="11">
                  <c:v>0.50493978173151732</c:v>
                </c:pt>
                <c:pt idx="12">
                  <c:v>0.40295639892988178</c:v>
                </c:pt>
                <c:pt idx="13">
                  <c:v>8.0557374992047487E-2</c:v>
                </c:pt>
                <c:pt idx="14">
                  <c:v>-5.3154805616806716E-2</c:v>
                </c:pt>
                <c:pt idx="15">
                  <c:v>-6.7994611415210474E-2</c:v>
                </c:pt>
                <c:pt idx="16">
                  <c:v>0.10386183133359356</c:v>
                </c:pt>
                <c:pt idx="17">
                  <c:v>4.7610492592970503E-2</c:v>
                </c:pt>
                <c:pt idx="18">
                  <c:v>0.23071819932128174</c:v>
                </c:pt>
                <c:pt idx="19">
                  <c:v>3.0462943071166721E-2</c:v>
                </c:pt>
                <c:pt idx="20">
                  <c:v>-3.1218778316377309E-2</c:v>
                </c:pt>
                <c:pt idx="21">
                  <c:v>-0.54858975903434926</c:v>
                </c:pt>
                <c:pt idx="22">
                  <c:v>-0.21411469460909971</c:v>
                </c:pt>
                <c:pt idx="23">
                  <c:v>0.43233148897113949</c:v>
                </c:pt>
                <c:pt idx="24">
                  <c:v>0.28829426971776562</c:v>
                </c:pt>
                <c:pt idx="25">
                  <c:v>0.79933281321603367</c:v>
                </c:pt>
                <c:pt idx="26">
                  <c:v>0.31192170113272616</c:v>
                </c:pt>
                <c:pt idx="27">
                  <c:v>7.2471498351694724E-2</c:v>
                </c:pt>
                <c:pt idx="28">
                  <c:v>0.25166918121745457</c:v>
                </c:pt>
                <c:pt idx="29">
                  <c:v>0.17196461710718774</c:v>
                </c:pt>
                <c:pt idx="30">
                  <c:v>-8.828884317687026E-2</c:v>
                </c:pt>
                <c:pt idx="31">
                  <c:v>-0.2680061496566824</c:v>
                </c:pt>
                <c:pt idx="32">
                  <c:v>-0.57163115833368494</c:v>
                </c:pt>
                <c:pt idx="33">
                  <c:v>-0.14506972624295028</c:v>
                </c:pt>
                <c:pt idx="34">
                  <c:v>0.10963875454666763</c:v>
                </c:pt>
              </c:numCache>
            </c:numRef>
          </c:val>
          <c:extLst>
            <c:ext xmlns:c16="http://schemas.microsoft.com/office/drawing/2014/chart" uri="{C3380CC4-5D6E-409C-BE32-E72D297353CC}">
              <c16:uniqueId val="{00000005-114F-41FB-8286-9620C4091079}"/>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IPP'!$R$33:$AZ$33</c:f>
              <c:numCache>
                <c:formatCode>0.0</c:formatCode>
                <c:ptCount val="35"/>
                <c:pt idx="0">
                  <c:v>0.98358746940884156</c:v>
                </c:pt>
                <c:pt idx="1">
                  <c:v>0.89923246363091258</c:v>
                </c:pt>
                <c:pt idx="2">
                  <c:v>1.0053837817799156</c:v>
                </c:pt>
                <c:pt idx="3">
                  <c:v>-0.19974639261353117</c:v>
                </c:pt>
                <c:pt idx="4">
                  <c:v>0.24329990001743812</c:v>
                </c:pt>
                <c:pt idx="5">
                  <c:v>-0.35930073634948229</c:v>
                </c:pt>
                <c:pt idx="6">
                  <c:v>5.4611870755816527E-2</c:v>
                </c:pt>
                <c:pt idx="7">
                  <c:v>0.57938738739231088</c:v>
                </c:pt>
                <c:pt idx="8">
                  <c:v>0.10796722998385985</c:v>
                </c:pt>
                <c:pt idx="9">
                  <c:v>1.4849667962274007</c:v>
                </c:pt>
                <c:pt idx="10">
                  <c:v>0.76494329225869107</c:v>
                </c:pt>
                <c:pt idx="11">
                  <c:v>0.92981101776031461</c:v>
                </c:pt>
                <c:pt idx="12">
                  <c:v>1.1595945228996418</c:v>
                </c:pt>
                <c:pt idx="13">
                  <c:v>0.67905455733759912</c:v>
                </c:pt>
                <c:pt idx="14">
                  <c:v>1.1071544502276778</c:v>
                </c:pt>
                <c:pt idx="15">
                  <c:v>0.4584448107077343</c:v>
                </c:pt>
                <c:pt idx="16">
                  <c:v>-4.2034374602744368E-2</c:v>
                </c:pt>
                <c:pt idx="17">
                  <c:v>4.7080538912346835E-2</c:v>
                </c:pt>
                <c:pt idx="18">
                  <c:v>-0.67715517865173591</c:v>
                </c:pt>
                <c:pt idx="19">
                  <c:v>-0.19783909206023606</c:v>
                </c:pt>
                <c:pt idx="20">
                  <c:v>7.5330777097787807E-2</c:v>
                </c:pt>
                <c:pt idx="21">
                  <c:v>-2.8438492263065771</c:v>
                </c:pt>
                <c:pt idx="22">
                  <c:v>8.8873578450227766E-2</c:v>
                </c:pt>
                <c:pt idx="23">
                  <c:v>0.13876281570830271</c:v>
                </c:pt>
                <c:pt idx="24">
                  <c:v>0.21014615403228629</c:v>
                </c:pt>
                <c:pt idx="25">
                  <c:v>5.1936386612240097</c:v>
                </c:pt>
                <c:pt idx="26">
                  <c:v>1.032185936230807</c:v>
                </c:pt>
                <c:pt idx="27">
                  <c:v>0.89862515479967531</c:v>
                </c:pt>
                <c:pt idx="28">
                  <c:v>1.4477648866266317</c:v>
                </c:pt>
                <c:pt idx="29">
                  <c:v>0.42788335133009942</c:v>
                </c:pt>
                <c:pt idx="30">
                  <c:v>-0.56015275001888865</c:v>
                </c:pt>
                <c:pt idx="31">
                  <c:v>-0.6789527878498256</c:v>
                </c:pt>
                <c:pt idx="32">
                  <c:v>-2.2526970875163612</c:v>
                </c:pt>
                <c:pt idx="33">
                  <c:v>-2.426512521968597</c:v>
                </c:pt>
                <c:pt idx="34">
                  <c:v>-1.763267198409129</c:v>
                </c:pt>
              </c:numCache>
            </c:numRef>
          </c:val>
          <c:extLst>
            <c:ext xmlns:c16="http://schemas.microsoft.com/office/drawing/2014/chart" uri="{C3380CC4-5D6E-409C-BE32-E72D297353CC}">
              <c16:uniqueId val="{00000006-114F-41FB-8286-9620C4091079}"/>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IPP'!$R$34:$AZ$34</c:f>
              <c:numCache>
                <c:formatCode>0.0</c:formatCode>
                <c:ptCount val="35"/>
                <c:pt idx="0">
                  <c:v>0.1453689780549717</c:v>
                </c:pt>
                <c:pt idx="1">
                  <c:v>-0.33983324755997341</c:v>
                </c:pt>
                <c:pt idx="2">
                  <c:v>-0.39725135811041795</c:v>
                </c:pt>
                <c:pt idx="3">
                  <c:v>-1.114644115487744</c:v>
                </c:pt>
                <c:pt idx="4">
                  <c:v>-0.64587487131351395</c:v>
                </c:pt>
                <c:pt idx="5">
                  <c:v>9.8834575359488558E-2</c:v>
                </c:pt>
                <c:pt idx="6">
                  <c:v>-0.47676721369922492</c:v>
                </c:pt>
                <c:pt idx="7">
                  <c:v>0.50385695934700236</c:v>
                </c:pt>
                <c:pt idx="8">
                  <c:v>0.66227118757014225</c:v>
                </c:pt>
                <c:pt idx="9">
                  <c:v>-0.18254891472265244</c:v>
                </c:pt>
                <c:pt idx="10">
                  <c:v>0.77170124339672419</c:v>
                </c:pt>
                <c:pt idx="11">
                  <c:v>0.73276064564398036</c:v>
                </c:pt>
                <c:pt idx="12">
                  <c:v>-0.53888499639537213</c:v>
                </c:pt>
                <c:pt idx="13">
                  <c:v>4.2147847309763065E-3</c:v>
                </c:pt>
                <c:pt idx="14">
                  <c:v>0.78783573859879275</c:v>
                </c:pt>
                <c:pt idx="15">
                  <c:v>0.33124933161720838</c:v>
                </c:pt>
                <c:pt idx="16">
                  <c:v>0.21326825173098632</c:v>
                </c:pt>
                <c:pt idx="17">
                  <c:v>4.589162719492975E-2</c:v>
                </c:pt>
                <c:pt idx="18">
                  <c:v>-0.66559651426950106</c:v>
                </c:pt>
                <c:pt idx="19">
                  <c:v>-0.33090808889302442</c:v>
                </c:pt>
                <c:pt idx="20">
                  <c:v>-0.9734250681056652</c:v>
                </c:pt>
                <c:pt idx="21">
                  <c:v>-1.5875613971615914</c:v>
                </c:pt>
                <c:pt idx="22">
                  <c:v>-0.71564578738754991</c:v>
                </c:pt>
                <c:pt idx="23">
                  <c:v>-0.69506985368693941</c:v>
                </c:pt>
                <c:pt idx="24">
                  <c:v>0.48072477574831834</c:v>
                </c:pt>
                <c:pt idx="25">
                  <c:v>0.46331760076263367</c:v>
                </c:pt>
                <c:pt idx="26">
                  <c:v>0.22196846067872966</c:v>
                </c:pt>
                <c:pt idx="27">
                  <c:v>0.81349879426535543</c:v>
                </c:pt>
                <c:pt idx="28">
                  <c:v>-0.17518261564754817</c:v>
                </c:pt>
                <c:pt idx="29">
                  <c:v>0.27450121496530167</c:v>
                </c:pt>
                <c:pt idx="30">
                  <c:v>0.37994694442243832</c:v>
                </c:pt>
                <c:pt idx="31">
                  <c:v>-1.372950167074922</c:v>
                </c:pt>
                <c:pt idx="32">
                  <c:v>-1.2156909681546337</c:v>
                </c:pt>
                <c:pt idx="33">
                  <c:v>-1.5181995910508179</c:v>
                </c:pt>
                <c:pt idx="34">
                  <c:v>-1.5826988729318689</c:v>
                </c:pt>
              </c:numCache>
            </c:numRef>
          </c:val>
          <c:extLst>
            <c:ext xmlns:c16="http://schemas.microsoft.com/office/drawing/2014/chart" uri="{C3380CC4-5D6E-409C-BE32-E72D297353CC}">
              <c16:uniqueId val="{00000007-114F-41FB-8286-9620C4091079}"/>
            </c:ext>
          </c:extLst>
        </c:ser>
        <c:dLbls>
          <c:showLegendKey val="0"/>
          <c:showVal val="0"/>
          <c:showCatName val="0"/>
          <c:showSerName val="0"/>
          <c:showPercent val="0"/>
          <c:showBubbleSize val="0"/>
        </c:dLbls>
        <c:gapWidth val="15"/>
        <c:overlap val="100"/>
        <c:axId val="39546880"/>
        <c:axId val="39548416"/>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rgbClr val="FFFF00"/>
              </a:solidFill>
              <a:ln>
                <a:solidFill>
                  <a:schemeClr val="tx1">
                    <a:lumMod val="95000"/>
                    <a:lumOff val="5000"/>
                  </a:schemeClr>
                </a:solidFill>
              </a:ln>
            </c:spPr>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IPP'!$R$35:$AZ$35</c:f>
              <c:numCache>
                <c:formatCode>0.0</c:formatCode>
                <c:ptCount val="35"/>
                <c:pt idx="0">
                  <c:v>4.8516197114000104</c:v>
                </c:pt>
                <c:pt idx="1">
                  <c:v>5.305764664700007</c:v>
                </c:pt>
                <c:pt idx="2">
                  <c:v>5.6509723287999831</c:v>
                </c:pt>
                <c:pt idx="3">
                  <c:v>2.4035243305000051</c:v>
                </c:pt>
                <c:pt idx="4">
                  <c:v>4.4795186779000025</c:v>
                </c:pt>
                <c:pt idx="5">
                  <c:v>2.5440704272999994</c:v>
                </c:pt>
                <c:pt idx="6">
                  <c:v>1.6941973048000023</c:v>
                </c:pt>
                <c:pt idx="7">
                  <c:v>3.5126955949999967</c:v>
                </c:pt>
                <c:pt idx="8">
                  <c:v>4.7458417447000034</c:v>
                </c:pt>
                <c:pt idx="9">
                  <c:v>8.0826593818000028</c:v>
                </c:pt>
                <c:pt idx="10">
                  <c:v>6.5865810428999865</c:v>
                </c:pt>
                <c:pt idx="11">
                  <c:v>7.4885543312999845</c:v>
                </c:pt>
                <c:pt idx="12">
                  <c:v>4.2941434987999969</c:v>
                </c:pt>
                <c:pt idx="13">
                  <c:v>2.4045915341999988</c:v>
                </c:pt>
                <c:pt idx="14">
                  <c:v>3.7412027468000035</c:v>
                </c:pt>
                <c:pt idx="15">
                  <c:v>1.9131264158999917</c:v>
                </c:pt>
                <c:pt idx="16">
                  <c:v>0.859909602100006</c:v>
                </c:pt>
                <c:pt idx="17">
                  <c:v>0.98874527809999913</c:v>
                </c:pt>
                <c:pt idx="18">
                  <c:v>-1.2008161934000015</c:v>
                </c:pt>
                <c:pt idx="19">
                  <c:v>-2.0241899479000036</c:v>
                </c:pt>
                <c:pt idx="20">
                  <c:v>-4.4083107225000084</c:v>
                </c:pt>
                <c:pt idx="21">
                  <c:v>-22.95307592530003</c:v>
                </c:pt>
                <c:pt idx="22">
                  <c:v>-2.7947559611999981</c:v>
                </c:pt>
                <c:pt idx="23">
                  <c:v>2.1023200512000022</c:v>
                </c:pt>
                <c:pt idx="24">
                  <c:v>4.2905022019999945</c:v>
                </c:pt>
                <c:pt idx="25">
                  <c:v>28.237467680700007</c:v>
                </c:pt>
                <c:pt idx="26">
                  <c:v>-8.5296171199999812E-2</c:v>
                </c:pt>
                <c:pt idx="27">
                  <c:v>-1.8829755502000021</c:v>
                </c:pt>
                <c:pt idx="28">
                  <c:v>0.25201248439999874</c:v>
                </c:pt>
                <c:pt idx="29">
                  <c:v>0.74646170319999783</c:v>
                </c:pt>
                <c:pt idx="30">
                  <c:v>6.0577396899000036</c:v>
                </c:pt>
                <c:pt idx="31">
                  <c:v>3.1780106078000045</c:v>
                </c:pt>
                <c:pt idx="32">
                  <c:v>1.151607036300009</c:v>
                </c:pt>
                <c:pt idx="33">
                  <c:v>1.084207097900006</c:v>
                </c:pt>
                <c:pt idx="34">
                  <c:v>-3.4702166347999963</c:v>
                </c:pt>
              </c:numCache>
            </c:numRef>
          </c:val>
          <c:smooth val="0"/>
          <c:extLst>
            <c:ext xmlns:c16="http://schemas.microsoft.com/office/drawing/2014/chart" uri="{C3380CC4-5D6E-409C-BE32-E72D297353CC}">
              <c16:uniqueId val="{00000008-114F-41FB-8286-9620C4091079}"/>
            </c:ext>
          </c:extLst>
        </c:ser>
        <c:dLbls>
          <c:showLegendKey val="0"/>
          <c:showVal val="0"/>
          <c:showCatName val="0"/>
          <c:showSerName val="0"/>
          <c:showPercent val="0"/>
          <c:showBubbleSize val="0"/>
        </c:dLbls>
        <c:marker val="1"/>
        <c:smooth val="0"/>
        <c:axId val="39546880"/>
        <c:axId val="39548416"/>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IPP'!$R$36:$AZ$36</c:f>
              <c:numCache>
                <c:formatCode>General</c:formatCode>
                <c:ptCount val="35"/>
              </c:numCache>
            </c:numRef>
          </c:val>
          <c:smooth val="0"/>
          <c:extLst>
            <c:ext xmlns:c16="http://schemas.microsoft.com/office/drawing/2014/chart" uri="{C3380CC4-5D6E-409C-BE32-E72D297353CC}">
              <c16:uniqueId val="{00000009-114F-41FB-8286-9620C4091079}"/>
            </c:ext>
          </c:extLst>
        </c:ser>
        <c:ser>
          <c:idx val="10"/>
          <c:order val="10"/>
          <c:tx>
            <c:strRef>
              <c:f>'GRAF příspěvky IPP'!$A$37</c:f>
              <c:strCache>
                <c:ptCount val="1"/>
                <c:pt idx="0">
                  <c:v>Produkce, prům. v ČR celkem (2015=100)</c:v>
                </c:pt>
              </c:strCache>
            </c:strRef>
          </c:tx>
          <c:spPr>
            <a:ln w="15875">
              <a:solidFill>
                <a:schemeClr val="tx1">
                  <a:lumMod val="95000"/>
                  <a:lumOff val="5000"/>
                </a:schemeClr>
              </a:solidFill>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IPP'!$R$37:$AZ$37</c:f>
              <c:numCache>
                <c:formatCode>##0.0</c:formatCode>
                <c:ptCount val="35"/>
                <c:pt idx="0">
                  <c:v>98.64560247999998</c:v>
                </c:pt>
                <c:pt idx="1">
                  <c:v>100.18242374</c:v>
                </c:pt>
                <c:pt idx="2">
                  <c:v>101.2850845633</c:v>
                </c:pt>
                <c:pt idx="3">
                  <c:v>100.52111345000014</c:v>
                </c:pt>
                <c:pt idx="4">
                  <c:v>103.0563593</c:v>
                </c:pt>
                <c:pt idx="5">
                  <c:v>102.59927942330019</c:v>
                </c:pt>
                <c:pt idx="6">
                  <c:v>102.83954233669968</c:v>
                </c:pt>
                <c:pt idx="7">
                  <c:v>104.07328304329998</c:v>
                </c:pt>
                <c:pt idx="8">
                  <c:v>107.56794223670001</c:v>
                </c:pt>
                <c:pt idx="9">
                  <c:v>110.67653847999976</c:v>
                </c:pt>
                <c:pt idx="10">
                  <c:v>109.9586102967</c:v>
                </c:pt>
                <c:pt idx="11">
                  <c:v>112.16043972999998</c:v>
                </c:pt>
                <c:pt idx="12">
                  <c:v>112.4788675433</c:v>
                </c:pt>
                <c:pt idx="13">
                  <c:v>113.50775882669973</c:v>
                </c:pt>
                <c:pt idx="14">
                  <c:v>114.25384011329973</c:v>
                </c:pt>
                <c:pt idx="15">
                  <c:v>113.88130123669973</c:v>
                </c:pt>
                <c:pt idx="16">
                  <c:v>113.38844283329968</c:v>
                </c:pt>
                <c:pt idx="17">
                  <c:v>115.08486213330001</c:v>
                </c:pt>
                <c:pt idx="18">
                  <c:v>112.53550211669962</c:v>
                </c:pt>
                <c:pt idx="19">
                  <c:v>111.44039929330019</c:v>
                </c:pt>
                <c:pt idx="20">
                  <c:v>108.6749157867</c:v>
                </c:pt>
                <c:pt idx="21">
                  <c:v>88.9758235133</c:v>
                </c:pt>
                <c:pt idx="22">
                  <c:v>109.4050159767</c:v>
                </c:pt>
                <c:pt idx="23">
                  <c:v>113.95534516999986</c:v>
                </c:pt>
                <c:pt idx="24">
                  <c:v>112.29207821329975</c:v>
                </c:pt>
                <c:pt idx="25">
                  <c:v>113.25779428000014</c:v>
                </c:pt>
                <c:pt idx="26">
                  <c:v>110.35191377330014</c:v>
                </c:pt>
                <c:pt idx="27">
                  <c:v>111.22766090330023</c:v>
                </c:pt>
                <c:pt idx="28">
                  <c:v>113.38530769330001</c:v>
                </c:pt>
                <c:pt idx="29">
                  <c:v>114.3539904333</c:v>
                </c:pt>
                <c:pt idx="30">
                  <c:v>116.68890733669959</c:v>
                </c:pt>
                <c:pt idx="31">
                  <c:v>115.11272288999986</c:v>
                </c:pt>
                <c:pt idx="32">
                  <c:v>114.37685481669968</c:v>
                </c:pt>
                <c:pt idx="33">
                  <c:v>115.24190149000017</c:v>
                </c:pt>
                <c:pt idx="34">
                  <c:v>112.63826002330002</c:v>
                </c:pt>
              </c:numCache>
            </c:numRef>
          </c:val>
          <c:smooth val="0"/>
          <c:extLst>
            <c:ext xmlns:c16="http://schemas.microsoft.com/office/drawing/2014/chart" uri="{C3380CC4-5D6E-409C-BE32-E72D297353CC}">
              <c16:uniqueId val="{0000000A-114F-41FB-8286-9620C4091079}"/>
            </c:ext>
          </c:extLst>
        </c:ser>
        <c:ser>
          <c:idx val="11"/>
          <c:order val="11"/>
          <c:tx>
            <c:strRef>
              <c:f>'GRAF příspěvky IPP'!$A$38</c:f>
              <c:strCache>
                <c:ptCount val="1"/>
                <c:pt idx="0">
                  <c:v>Produkce, prům. v EU27 celkem (2015=100)</c:v>
                </c:pt>
              </c:strCache>
            </c:strRef>
          </c:tx>
          <c:spPr>
            <a:ln w="15875">
              <a:solidFill>
                <a:schemeClr val="tx1">
                  <a:lumMod val="50000"/>
                  <a:lumOff val="50000"/>
                </a:schemeClr>
              </a:solidFill>
              <a:prstDash val="sysDash"/>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IPP'!$R$38:$AZ$38</c:f>
              <c:numCache>
                <c:formatCode>##0.0</c:formatCode>
                <c:ptCount val="35"/>
                <c:pt idx="0">
                  <c:v>99.1</c:v>
                </c:pt>
                <c:pt idx="1">
                  <c:v>100.1</c:v>
                </c:pt>
                <c:pt idx="2">
                  <c:v>100.4</c:v>
                </c:pt>
                <c:pt idx="3">
                  <c:v>100.3</c:v>
                </c:pt>
                <c:pt idx="4">
                  <c:v>101.4</c:v>
                </c:pt>
                <c:pt idx="5">
                  <c:v>101.4</c:v>
                </c:pt>
                <c:pt idx="6">
                  <c:v>101.5</c:v>
                </c:pt>
                <c:pt idx="7">
                  <c:v>102.8</c:v>
                </c:pt>
                <c:pt idx="8">
                  <c:v>102.9</c:v>
                </c:pt>
                <c:pt idx="9">
                  <c:v>104.2</c:v>
                </c:pt>
                <c:pt idx="10">
                  <c:v>105.7</c:v>
                </c:pt>
                <c:pt idx="11">
                  <c:v>107.6</c:v>
                </c:pt>
                <c:pt idx="12">
                  <c:v>106.2</c:v>
                </c:pt>
                <c:pt idx="13">
                  <c:v>106.8</c:v>
                </c:pt>
                <c:pt idx="14">
                  <c:v>106.6</c:v>
                </c:pt>
                <c:pt idx="15">
                  <c:v>106.3</c:v>
                </c:pt>
                <c:pt idx="16">
                  <c:v>107</c:v>
                </c:pt>
                <c:pt idx="17">
                  <c:v>106.8</c:v>
                </c:pt>
                <c:pt idx="18">
                  <c:v>106</c:v>
                </c:pt>
                <c:pt idx="19">
                  <c:v>105.1</c:v>
                </c:pt>
                <c:pt idx="20">
                  <c:v>102.2</c:v>
                </c:pt>
                <c:pt idx="21">
                  <c:v>86.5</c:v>
                </c:pt>
                <c:pt idx="22">
                  <c:v>100.6</c:v>
                </c:pt>
                <c:pt idx="23">
                  <c:v>105.5</c:v>
                </c:pt>
                <c:pt idx="24">
                  <c:v>106.9</c:v>
                </c:pt>
                <c:pt idx="25">
                  <c:v>107</c:v>
                </c:pt>
                <c:pt idx="26">
                  <c:v>107.3</c:v>
                </c:pt>
                <c:pt idx="27">
                  <c:v>109.1</c:v>
                </c:pt>
                <c:pt idx="28">
                  <c:v>109.8</c:v>
                </c:pt>
                <c:pt idx="29">
                  <c:v>110.1</c:v>
                </c:pt>
                <c:pt idx="30">
                  <c:v>112.3</c:v>
                </c:pt>
                <c:pt idx="31">
                  <c:v>111.2</c:v>
                </c:pt>
                <c:pt idx="32">
                  <c:v>110</c:v>
                </c:pt>
                <c:pt idx="33">
                  <c:v>108.8</c:v>
                </c:pt>
                <c:pt idx="34">
                  <c:v>107.6</c:v>
                </c:pt>
              </c:numCache>
            </c:numRef>
          </c:val>
          <c:smooth val="0"/>
          <c:extLst>
            <c:ext xmlns:c16="http://schemas.microsoft.com/office/drawing/2014/chart" uri="{C3380CC4-5D6E-409C-BE32-E72D297353CC}">
              <c16:uniqueId val="{0000000B-114F-41FB-8286-9620C4091079}"/>
            </c:ext>
          </c:extLst>
        </c:ser>
        <c:ser>
          <c:idx val="12"/>
          <c:order val="12"/>
          <c:tx>
            <c:strRef>
              <c:f>'GRAF příspěvky IPP'!$A$39</c:f>
              <c:strCache>
                <c:ptCount val="1"/>
                <c:pt idx="0">
                  <c:v>Produkce, prům. v Německu (2015=100)</c:v>
                </c:pt>
              </c:strCache>
            </c:strRef>
          </c:tx>
          <c:spPr>
            <a:ln w="15875">
              <a:solidFill>
                <a:srgbClr val="996633"/>
              </a:solidFill>
              <a:prstDash val="dash"/>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IPP'!$R$39:$AZ$39</c:f>
              <c:numCache>
                <c:formatCode>##0.0</c:formatCode>
                <c:ptCount val="35"/>
                <c:pt idx="0">
                  <c:v>99.1</c:v>
                </c:pt>
                <c:pt idx="1">
                  <c:v>100.3</c:v>
                </c:pt>
                <c:pt idx="2">
                  <c:v>100.1</c:v>
                </c:pt>
                <c:pt idx="3">
                  <c:v>99.6</c:v>
                </c:pt>
                <c:pt idx="4">
                  <c:v>100.7</c:v>
                </c:pt>
                <c:pt idx="5">
                  <c:v>100.3</c:v>
                </c:pt>
                <c:pt idx="6">
                  <c:v>100.6</c:v>
                </c:pt>
                <c:pt idx="7">
                  <c:v>100.7</c:v>
                </c:pt>
                <c:pt idx="8">
                  <c:v>101.2</c:v>
                </c:pt>
                <c:pt idx="9">
                  <c:v>103.2</c:v>
                </c:pt>
                <c:pt idx="10">
                  <c:v>104.9</c:v>
                </c:pt>
                <c:pt idx="11">
                  <c:v>105.7</c:v>
                </c:pt>
                <c:pt idx="12">
                  <c:v>105.1</c:v>
                </c:pt>
                <c:pt idx="13">
                  <c:v>105.9</c:v>
                </c:pt>
                <c:pt idx="14">
                  <c:v>104.8</c:v>
                </c:pt>
                <c:pt idx="15">
                  <c:v>103.3</c:v>
                </c:pt>
                <c:pt idx="16">
                  <c:v>103.2</c:v>
                </c:pt>
                <c:pt idx="17">
                  <c:v>102</c:v>
                </c:pt>
                <c:pt idx="18">
                  <c:v>100.8</c:v>
                </c:pt>
                <c:pt idx="19">
                  <c:v>99.2</c:v>
                </c:pt>
                <c:pt idx="20">
                  <c:v>97.7</c:v>
                </c:pt>
                <c:pt idx="21">
                  <c:v>80</c:v>
                </c:pt>
                <c:pt idx="22">
                  <c:v>91.4</c:v>
                </c:pt>
                <c:pt idx="23">
                  <c:v>97.3</c:v>
                </c:pt>
                <c:pt idx="24">
                  <c:v>97</c:v>
                </c:pt>
                <c:pt idx="25">
                  <c:v>96.4</c:v>
                </c:pt>
                <c:pt idx="26">
                  <c:v>93.8</c:v>
                </c:pt>
                <c:pt idx="27">
                  <c:v>96.1</c:v>
                </c:pt>
                <c:pt idx="28">
                  <c:v>95.8</c:v>
                </c:pt>
                <c:pt idx="29">
                  <c:v>95.2</c:v>
                </c:pt>
                <c:pt idx="30">
                  <c:v>95.7</c:v>
                </c:pt>
                <c:pt idx="31">
                  <c:v>95.3</c:v>
                </c:pt>
                <c:pt idx="32">
                  <c:v>96.2</c:v>
                </c:pt>
                <c:pt idx="33">
                  <c:v>95</c:v>
                </c:pt>
                <c:pt idx="34">
                  <c:v>92.8</c:v>
                </c:pt>
              </c:numCache>
            </c:numRef>
          </c:val>
          <c:smooth val="0"/>
          <c:extLst>
            <c:ext xmlns:c16="http://schemas.microsoft.com/office/drawing/2014/chart" uri="{C3380CC4-5D6E-409C-BE32-E72D297353CC}">
              <c16:uniqueId val="{0000000C-114F-41FB-8286-9620C4091079}"/>
            </c:ext>
          </c:extLst>
        </c:ser>
        <c:dLbls>
          <c:showLegendKey val="0"/>
          <c:showVal val="0"/>
          <c:showCatName val="0"/>
          <c:showSerName val="0"/>
          <c:showPercent val="0"/>
          <c:showBubbleSize val="0"/>
        </c:dLbls>
        <c:marker val="1"/>
        <c:smooth val="0"/>
        <c:axId val="39564800"/>
        <c:axId val="39550336"/>
      </c:lineChart>
      <c:catAx>
        <c:axId val="39546880"/>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39548416"/>
        <c:crosses val="autoZero"/>
        <c:auto val="1"/>
        <c:lblAlgn val="ctr"/>
        <c:lblOffset val="0"/>
        <c:noMultiLvlLbl val="0"/>
      </c:catAx>
      <c:valAx>
        <c:axId val="39548416"/>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 produkce (příspěvky  k meziroč. změně)</a:t>
                </a:r>
                <a:endParaRPr lang="cs-CZ" sz="700" b="0" i="1">
                  <a:latin typeface="Arial" panose="020B0604020202020204" pitchFamily="34" charset="0"/>
                  <a:cs typeface="Arial" panose="020B0604020202020204" pitchFamily="34" charset="0"/>
                </a:endParaRPr>
              </a:p>
            </c:rich>
          </c:tx>
          <c:layout>
            <c:manualLayout>
              <c:xMode val="edge"/>
              <c:yMode val="edge"/>
              <c:x val="0"/>
              <c:y val="0.11651980043186927"/>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39546880"/>
        <c:crosses val="autoZero"/>
        <c:crossBetween val="between"/>
        <c:majorUnit val="5"/>
      </c:valAx>
      <c:valAx>
        <c:axId val="39550336"/>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a:t>
                </a:r>
                <a:r>
                  <a:rPr lang="cs-CZ" sz="700" b="0" i="1">
                    <a:latin typeface="Arial" panose="020B0604020202020204" pitchFamily="34" charset="0"/>
                    <a:cs typeface="Arial" panose="020B0604020202020204" pitchFamily="34" charset="0"/>
                  </a:rPr>
                  <a:t>v průmyslu (báze 2015=100)</a:t>
                </a:r>
              </a:p>
            </c:rich>
          </c:tx>
          <c:layout>
            <c:manualLayout>
              <c:xMode val="edge"/>
              <c:yMode val="edge"/>
              <c:x val="0.97040158454025194"/>
              <c:y val="0.1664992231222949"/>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39564800"/>
        <c:crosses val="max"/>
        <c:crossBetween val="between"/>
        <c:majorUnit val="6"/>
      </c:valAx>
      <c:catAx>
        <c:axId val="39564800"/>
        <c:scaling>
          <c:orientation val="minMax"/>
        </c:scaling>
        <c:delete val="1"/>
        <c:axPos val="b"/>
        <c:numFmt formatCode="General" sourceLinked="1"/>
        <c:majorTickMark val="out"/>
        <c:minorTickMark val="none"/>
        <c:tickLblPos val="none"/>
        <c:crossAx val="3955033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303E-3"/>
          <c:y val="0.78956533796177808"/>
          <c:w val="0.98866589538224858"/>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624"/>
          <c:h val="0.75063602214308733"/>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2'!$R$36:$BA$36</c:f>
              <c:numCache>
                <c:formatCode>##0.0</c:formatCode>
                <c:ptCount val="36"/>
                <c:pt idx="0">
                  <c:v>8.5353894548000024</c:v>
                </c:pt>
                <c:pt idx="1">
                  <c:v>6.3740032441999945</c:v>
                </c:pt>
                <c:pt idx="2">
                  <c:v>6.0540271236999956</c:v>
                </c:pt>
                <c:pt idx="3">
                  <c:v>5.261086897299994</c:v>
                </c:pt>
                <c:pt idx="4">
                  <c:v>2.6398924800999977</c:v>
                </c:pt>
                <c:pt idx="5">
                  <c:v>7.5233833736999909</c:v>
                </c:pt>
                <c:pt idx="6">
                  <c:v>2.3667401951999927</c:v>
                </c:pt>
                <c:pt idx="7">
                  <c:v>6.6372980220999978</c:v>
                </c:pt>
                <c:pt idx="8">
                  <c:v>7.2642637417000104</c:v>
                </c:pt>
                <c:pt idx="9">
                  <c:v>8.2151073244999964</c:v>
                </c:pt>
                <c:pt idx="10">
                  <c:v>7.9541665196999851</c:v>
                </c:pt>
                <c:pt idx="11">
                  <c:v>7.3518853409999858</c:v>
                </c:pt>
                <c:pt idx="12">
                  <c:v>3.4479253911000001</c:v>
                </c:pt>
                <c:pt idx="13">
                  <c:v>3.7095478141000058</c:v>
                </c:pt>
                <c:pt idx="14">
                  <c:v>3.8047927777000012</c:v>
                </c:pt>
                <c:pt idx="15">
                  <c:v>3.0958525625999997</c:v>
                </c:pt>
                <c:pt idx="16">
                  <c:v>3.2186335616000012</c:v>
                </c:pt>
                <c:pt idx="17">
                  <c:v>1.4218114762000056</c:v>
                </c:pt>
                <c:pt idx="18">
                  <c:v>-0.2532203712000019</c:v>
                </c:pt>
                <c:pt idx="19">
                  <c:v>-3.8029715272000004</c:v>
                </c:pt>
                <c:pt idx="20">
                  <c:v>-2.0918519482000022</c:v>
                </c:pt>
                <c:pt idx="21">
                  <c:v>-27.667187618300005</c:v>
                </c:pt>
                <c:pt idx="22">
                  <c:v>-1.310591588500003</c:v>
                </c:pt>
                <c:pt idx="23">
                  <c:v>7.1560873368999847</c:v>
                </c:pt>
                <c:pt idx="24">
                  <c:v>8.4043556738999996</c:v>
                </c:pt>
                <c:pt idx="25">
                  <c:v>47.896596400900002</c:v>
                </c:pt>
                <c:pt idx="26">
                  <c:v>7.3132490553000133</c:v>
                </c:pt>
                <c:pt idx="27">
                  <c:v>3.5534586679000029</c:v>
                </c:pt>
                <c:pt idx="28">
                  <c:v>6.0307372501000005</c:v>
                </c:pt>
                <c:pt idx="29">
                  <c:v>9.7720289173000054</c:v>
                </c:pt>
                <c:pt idx="30">
                  <c:v>14.5753226291</c:v>
                </c:pt>
                <c:pt idx="31">
                  <c:v>12.207556942300002</c:v>
                </c:pt>
                <c:pt idx="32">
                  <c:v>1.8053514363000005</c:v>
                </c:pt>
                <c:pt idx="33">
                  <c:v>-2.7735772471000035</c:v>
                </c:pt>
                <c:pt idx="34">
                  <c:v>-4.7115919059999953</c:v>
                </c:pt>
              </c:numCache>
            </c:numRef>
          </c:val>
          <c:extLst>
            <c:ext xmlns:c16="http://schemas.microsoft.com/office/drawing/2014/chart" uri="{C3380CC4-5D6E-409C-BE32-E72D297353CC}">
              <c16:uniqueId val="{00000000-97D4-4D11-8F68-0162548D7793}"/>
            </c:ext>
          </c:extLst>
        </c:ser>
        <c:dLbls>
          <c:showLegendKey val="0"/>
          <c:showVal val="0"/>
          <c:showCatName val="0"/>
          <c:showSerName val="0"/>
          <c:showPercent val="0"/>
          <c:showBubbleSize val="0"/>
        </c:dLbls>
        <c:gapWidth val="30"/>
        <c:axId val="39631488"/>
        <c:axId val="39637760"/>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2'!$R$37:$BA$37</c:f>
              <c:numCache>
                <c:formatCode>#\ ##0.0</c:formatCode>
                <c:ptCount val="36"/>
                <c:pt idx="0">
                  <c:v>4.3680291455000031</c:v>
                </c:pt>
                <c:pt idx="1">
                  <c:v>9.9337675293000007</c:v>
                </c:pt>
                <c:pt idx="2">
                  <c:v>-2.8164715103000004</c:v>
                </c:pt>
                <c:pt idx="3">
                  <c:v>-0.26717379199999497</c:v>
                </c:pt>
                <c:pt idx="4">
                  <c:v>1.5962247260000026</c:v>
                </c:pt>
                <c:pt idx="5">
                  <c:v>1.3728557044999981</c:v>
                </c:pt>
                <c:pt idx="6">
                  <c:v>0.22425600770000642</c:v>
                </c:pt>
                <c:pt idx="7">
                  <c:v>2.8114611785999983</c:v>
                </c:pt>
                <c:pt idx="8">
                  <c:v>12.524366763299993</c:v>
                </c:pt>
                <c:pt idx="9">
                  <c:v>15.845604900100017</c:v>
                </c:pt>
                <c:pt idx="10">
                  <c:v>15.906017294300018</c:v>
                </c:pt>
                <c:pt idx="11">
                  <c:v>15.434615524600005</c:v>
                </c:pt>
                <c:pt idx="12">
                  <c:v>1.4469604142999914</c:v>
                </c:pt>
                <c:pt idx="13">
                  <c:v>2.4870435246999989</c:v>
                </c:pt>
                <c:pt idx="14">
                  <c:v>4.7255448689999833</c:v>
                </c:pt>
                <c:pt idx="15">
                  <c:v>3.4943150181999982</c:v>
                </c:pt>
                <c:pt idx="16">
                  <c:v>8.0495745223000057</c:v>
                </c:pt>
                <c:pt idx="17">
                  <c:v>5.3160296459000023</c:v>
                </c:pt>
                <c:pt idx="18">
                  <c:v>0.34661811540000542</c:v>
                </c:pt>
                <c:pt idx="19">
                  <c:v>-1.3207332955000033</c:v>
                </c:pt>
                <c:pt idx="20">
                  <c:v>5.5377026294000018</c:v>
                </c:pt>
                <c:pt idx="21">
                  <c:v>-25.895568979299988</c:v>
                </c:pt>
                <c:pt idx="22">
                  <c:v>-3.0276470073000041</c:v>
                </c:pt>
                <c:pt idx="23">
                  <c:v>6.9204263800999968</c:v>
                </c:pt>
                <c:pt idx="24">
                  <c:v>-2.8106372719999952</c:v>
                </c:pt>
                <c:pt idx="25">
                  <c:v>43.420786243100011</c:v>
                </c:pt>
                <c:pt idx="26">
                  <c:v>9.3034312720000258</c:v>
                </c:pt>
                <c:pt idx="27">
                  <c:v>5.3772359177000055</c:v>
                </c:pt>
                <c:pt idx="28">
                  <c:v>8.297580932200006</c:v>
                </c:pt>
                <c:pt idx="29">
                  <c:v>15.103763284899999</c:v>
                </c:pt>
                <c:pt idx="30">
                  <c:v>25.942190999799962</c:v>
                </c:pt>
                <c:pt idx="31">
                  <c:v>19.224583544299989</c:v>
                </c:pt>
                <c:pt idx="32">
                  <c:v>11.599248715900004</c:v>
                </c:pt>
                <c:pt idx="33">
                  <c:v>2.098843408999997</c:v>
                </c:pt>
                <c:pt idx="34">
                  <c:v>-7.2061625373000027</c:v>
                </c:pt>
              </c:numCache>
            </c:numRef>
          </c:val>
          <c:smooth val="0"/>
          <c:extLst>
            <c:ext xmlns:c16="http://schemas.microsoft.com/office/drawing/2014/chart" uri="{C3380CC4-5D6E-409C-BE32-E72D297353CC}">
              <c16:uniqueId val="{00000001-97D4-4D11-8F68-0162548D7793}"/>
            </c:ext>
          </c:extLst>
        </c:ser>
        <c:dLbls>
          <c:showLegendKey val="0"/>
          <c:showVal val="0"/>
          <c:showCatName val="0"/>
          <c:showSerName val="0"/>
          <c:showPercent val="0"/>
          <c:showBubbleSize val="0"/>
        </c:dLbls>
        <c:marker val="1"/>
        <c:smooth val="0"/>
        <c:axId val="39631488"/>
        <c:axId val="39637760"/>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2'!$R$38:$BA$38</c:f>
              <c:numCache>
                <c:formatCode>##0.0</c:formatCode>
                <c:ptCount val="36"/>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86.410000000000025</c:v>
                </c:pt>
                <c:pt idx="27">
                  <c:v>77.599999999999994</c:v>
                </c:pt>
                <c:pt idx="28">
                  <c:v>83.6</c:v>
                </c:pt>
                <c:pt idx="29">
                  <c:v>82.169999999999987</c:v>
                </c:pt>
                <c:pt idx="30">
                  <c:v>83.5</c:v>
                </c:pt>
                <c:pt idx="31">
                  <c:v>81.099999999999994</c:v>
                </c:pt>
                <c:pt idx="32">
                  <c:v>81.400000000000006</c:v>
                </c:pt>
                <c:pt idx="33">
                  <c:v>83.7</c:v>
                </c:pt>
                <c:pt idx="34">
                  <c:v>83.5</c:v>
                </c:pt>
                <c:pt idx="35">
                  <c:v>83.6</c:v>
                </c:pt>
              </c:numCache>
            </c:numRef>
          </c:val>
          <c:smooth val="0"/>
          <c:extLst>
            <c:ext xmlns:c16="http://schemas.microsoft.com/office/drawing/2014/chart" uri="{C3380CC4-5D6E-409C-BE32-E72D297353CC}">
              <c16:uniqueId val="{00000002-97D4-4D11-8F68-0162548D7793}"/>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2'!$R$39:$BA$39</c:f>
              <c:numCache>
                <c:formatCode>##0.0</c:formatCode>
                <c:ptCount val="36"/>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pt idx="35">
                  <c:v>92.2</c:v>
                </c:pt>
              </c:numCache>
            </c:numRef>
          </c:val>
          <c:smooth val="0"/>
          <c:extLst>
            <c:ext xmlns:c16="http://schemas.microsoft.com/office/drawing/2014/chart" uri="{C3380CC4-5D6E-409C-BE32-E72D297353CC}">
              <c16:uniqueId val="{00000003-97D4-4D11-8F68-0162548D7793}"/>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2'!$R$40:$BA$40</c:f>
              <c:numCache>
                <c:formatCode>#\ ##0.0</c:formatCode>
                <c:ptCount val="36"/>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pt idx="35">
                  <c:v>46.2</c:v>
                </c:pt>
              </c:numCache>
            </c:numRef>
          </c:val>
          <c:smooth val="0"/>
          <c:extLst>
            <c:ext xmlns:c16="http://schemas.microsoft.com/office/drawing/2014/chart" uri="{C3380CC4-5D6E-409C-BE32-E72D297353CC}">
              <c16:uniqueId val="{00000004-97D4-4D11-8F68-0162548D7793}"/>
            </c:ext>
          </c:extLst>
        </c:ser>
        <c:ser>
          <c:idx val="5"/>
          <c:order val="5"/>
          <c:tx>
            <c:strRef>
              <c:f>'výkonnost odvětví 2'!$A$41</c:f>
              <c:strCache>
                <c:ptCount val="1"/>
                <c:pt idx="0">
                  <c:v>Bariéra růstu: nedostatek pracovníků</c:v>
                </c:pt>
              </c:strCache>
            </c:strRef>
          </c:tx>
          <c:spPr>
            <a:ln w="15875">
              <a:solidFill>
                <a:schemeClr val="accent3">
                  <a:lumMod val="75000"/>
                </a:schemeClr>
              </a:solidFill>
              <a:prstDash val="sysDash"/>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2'!$R$41:$BA$41</c:f>
              <c:numCache>
                <c:formatCode>#\ ##0.0</c:formatCode>
                <c:ptCount val="36"/>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pt idx="35">
                  <c:v>22.5</c:v>
                </c:pt>
              </c:numCache>
            </c:numRef>
          </c:val>
          <c:smooth val="0"/>
          <c:extLst>
            <c:ext xmlns:c16="http://schemas.microsoft.com/office/drawing/2014/chart" uri="{C3380CC4-5D6E-409C-BE32-E72D297353CC}">
              <c16:uniqueId val="{00000005-97D4-4D11-8F68-0162548D7793}"/>
            </c:ext>
          </c:extLst>
        </c:ser>
        <c:ser>
          <c:idx val="6"/>
          <c:order val="6"/>
          <c:tx>
            <c:strRef>
              <c:f>'výkonnost odvětví 2'!$A$42</c:f>
              <c:strCache>
                <c:ptCount val="1"/>
                <c:pt idx="0">
                  <c:v>Bariéra růstu: nedost. materiálu a zařízení</c:v>
                </c:pt>
              </c:strCache>
            </c:strRef>
          </c:tx>
          <c:spPr>
            <a:ln w="15875">
              <a:solidFill>
                <a:srgbClr val="1EB222"/>
              </a:solidFill>
              <a:prstDash val="dashDot"/>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2'!$R$42:$BA$42</c:f>
              <c:numCache>
                <c:formatCode>#\ ##0.0</c:formatCode>
                <c:ptCount val="36"/>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pt idx="34">
                  <c:v>20.6</c:v>
                </c:pt>
                <c:pt idx="35">
                  <c:v>17.100000000000001</c:v>
                </c:pt>
              </c:numCache>
            </c:numRef>
          </c:val>
          <c:smooth val="0"/>
          <c:extLst>
            <c:ext xmlns:c16="http://schemas.microsoft.com/office/drawing/2014/chart" uri="{C3380CC4-5D6E-409C-BE32-E72D297353CC}">
              <c16:uniqueId val="{00000006-97D4-4D11-8F68-0162548D7793}"/>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2'!$R$43:$BA$43</c:f>
              <c:numCache>
                <c:formatCode>#\ ##0.0</c:formatCode>
                <c:ptCount val="36"/>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0.30000000000000032</c:v>
                </c:pt>
                <c:pt idx="17">
                  <c:v>-2</c:v>
                </c:pt>
                <c:pt idx="18">
                  <c:v>-3</c:v>
                </c:pt>
                <c:pt idx="19">
                  <c:v>-6.7</c:v>
                </c:pt>
                <c:pt idx="20">
                  <c:v>-5</c:v>
                </c:pt>
                <c:pt idx="21">
                  <c:v>-25</c:v>
                </c:pt>
                <c:pt idx="22">
                  <c:v>-6.3</c:v>
                </c:pt>
                <c:pt idx="23">
                  <c:v>-10</c:v>
                </c:pt>
                <c:pt idx="24">
                  <c:v>-1.3</c:v>
                </c:pt>
                <c:pt idx="25">
                  <c:v>5.3</c:v>
                </c:pt>
                <c:pt idx="26">
                  <c:v>-1.3</c:v>
                </c:pt>
                <c:pt idx="27">
                  <c:v>-5.3</c:v>
                </c:pt>
                <c:pt idx="28">
                  <c:v>-0.30000000000000032</c:v>
                </c:pt>
                <c:pt idx="29">
                  <c:v>8.3000000000000007</c:v>
                </c:pt>
                <c:pt idx="30">
                  <c:v>-1.7</c:v>
                </c:pt>
                <c:pt idx="31">
                  <c:v>-8.3000000000000007</c:v>
                </c:pt>
                <c:pt idx="32">
                  <c:v>-10.1</c:v>
                </c:pt>
                <c:pt idx="33">
                  <c:v>-7</c:v>
                </c:pt>
                <c:pt idx="34">
                  <c:v>-7</c:v>
                </c:pt>
                <c:pt idx="35">
                  <c:v>-6</c:v>
                </c:pt>
              </c:numCache>
            </c:numRef>
          </c:val>
          <c:smooth val="0"/>
          <c:extLst>
            <c:ext xmlns:c16="http://schemas.microsoft.com/office/drawing/2014/chart" uri="{C3380CC4-5D6E-409C-BE32-E72D297353CC}">
              <c16:uniqueId val="{00000007-97D4-4D11-8F68-0162548D7793}"/>
            </c:ext>
          </c:extLst>
        </c:ser>
        <c:dLbls>
          <c:showLegendKey val="0"/>
          <c:showVal val="0"/>
          <c:showCatName val="0"/>
          <c:showSerName val="0"/>
          <c:showPercent val="0"/>
          <c:showBubbleSize val="0"/>
        </c:dLbls>
        <c:marker val="1"/>
        <c:smooth val="0"/>
        <c:axId val="39645952"/>
        <c:axId val="39639680"/>
      </c:lineChart>
      <c:catAx>
        <c:axId val="39631488"/>
        <c:scaling>
          <c:orientation val="minMax"/>
        </c:scaling>
        <c:delete val="0"/>
        <c:axPos val="b"/>
        <c:numFmt formatCode="General" sourceLinked="1"/>
        <c:majorTickMark val="out"/>
        <c:minorTickMark val="none"/>
        <c:tickLblPos val="low"/>
        <c:crossAx val="39637760"/>
        <c:crosses val="autoZero"/>
        <c:auto val="1"/>
        <c:lblAlgn val="ctr"/>
        <c:lblOffset val="0"/>
        <c:noMultiLvlLbl val="0"/>
      </c:catAx>
      <c:valAx>
        <c:axId val="39637760"/>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39631488"/>
        <c:crosses val="autoZero"/>
        <c:crossBetween val="between"/>
        <c:majorUnit val="10"/>
      </c:valAx>
      <c:valAx>
        <c:axId val="39639680"/>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39645952"/>
        <c:crosses val="max"/>
        <c:crossBetween val="between"/>
        <c:majorUnit val="10"/>
      </c:valAx>
      <c:catAx>
        <c:axId val="39645952"/>
        <c:scaling>
          <c:orientation val="minMax"/>
        </c:scaling>
        <c:delete val="1"/>
        <c:axPos val="b"/>
        <c:numFmt formatCode="General" sourceLinked="1"/>
        <c:majorTickMark val="out"/>
        <c:minorTickMark val="none"/>
        <c:tickLblPos val="none"/>
        <c:crossAx val="39639680"/>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7.9116116386739391E-3"/>
          <c:y val="0.85586448957034"/>
          <c:w val="0.970220886418169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314E-2"/>
          <c:w val="0.85237839893753009"/>
          <c:h val="0.75413191483370479"/>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3'!$Y$31:$Y$66</c:f>
              <c:numCache>
                <c:formatCode>0.0</c:formatCode>
                <c:ptCount val="36"/>
                <c:pt idx="0">
                  <c:v>6.1608280021117059</c:v>
                </c:pt>
                <c:pt idx="1">
                  <c:v>5.233145758167141</c:v>
                </c:pt>
                <c:pt idx="2">
                  <c:v>0.80759607612224849</c:v>
                </c:pt>
                <c:pt idx="3">
                  <c:v>-1.7801931736017587</c:v>
                </c:pt>
                <c:pt idx="4">
                  <c:v>-4.9260426394610803</c:v>
                </c:pt>
                <c:pt idx="5">
                  <c:v>-5.3893761554105328</c:v>
                </c:pt>
                <c:pt idx="6">
                  <c:v>0.86353074351830095</c:v>
                </c:pt>
                <c:pt idx="7">
                  <c:v>4.0249196212832734</c:v>
                </c:pt>
                <c:pt idx="8">
                  <c:v>1.9522274027606881</c:v>
                </c:pt>
                <c:pt idx="9">
                  <c:v>10.53618103638459</c:v>
                </c:pt>
                <c:pt idx="10">
                  <c:v>3.6081127397870412</c:v>
                </c:pt>
                <c:pt idx="11">
                  <c:v>2.5440603272321791</c:v>
                </c:pt>
                <c:pt idx="12">
                  <c:v>13.904954514953626</c:v>
                </c:pt>
                <c:pt idx="13">
                  <c:v>6.2181132474761052</c:v>
                </c:pt>
                <c:pt idx="14">
                  <c:v>7.7210558178298472</c:v>
                </c:pt>
                <c:pt idx="15">
                  <c:v>2.6259550657116648</c:v>
                </c:pt>
                <c:pt idx="16">
                  <c:v>2.9182336777181717</c:v>
                </c:pt>
                <c:pt idx="17">
                  <c:v>2.536405656593042</c:v>
                </c:pt>
                <c:pt idx="18">
                  <c:v>-0.98563922125675008</c:v>
                </c:pt>
                <c:pt idx="19">
                  <c:v>2.5504281086949971</c:v>
                </c:pt>
                <c:pt idx="20">
                  <c:v>-0.49220764984023602</c:v>
                </c:pt>
                <c:pt idx="21">
                  <c:v>-7.4230457928670921</c:v>
                </c:pt>
                <c:pt idx="22">
                  <c:v>-7.0813271193038192</c:v>
                </c:pt>
                <c:pt idx="23">
                  <c:v>-8.6028814784154495</c:v>
                </c:pt>
                <c:pt idx="24">
                  <c:v>-5.1009695388914045</c:v>
                </c:pt>
                <c:pt idx="25">
                  <c:v>3.0560581093700709</c:v>
                </c:pt>
                <c:pt idx="26">
                  <c:v>3.0719025371360345</c:v>
                </c:pt>
                <c:pt idx="27">
                  <c:v>5.9460478744023453</c:v>
                </c:pt>
                <c:pt idx="28">
                  <c:v>7.6819685361320653</c:v>
                </c:pt>
                <c:pt idx="29">
                  <c:v>3.7814576445833752</c:v>
                </c:pt>
                <c:pt idx="30">
                  <c:v>-0.85327142935784861</c:v>
                </c:pt>
                <c:pt idx="31">
                  <c:v>-1.045570786292479</c:v>
                </c:pt>
                <c:pt idx="32">
                  <c:v>1.2156493079857984</c:v>
                </c:pt>
                <c:pt idx="33">
                  <c:v>-1.4351150690193593</c:v>
                </c:pt>
                <c:pt idx="34">
                  <c:v>-1.4393009285632181</c:v>
                </c:pt>
              </c:numCache>
            </c:numRef>
          </c:val>
          <c:extLst>
            <c:ext xmlns:c16="http://schemas.microsoft.com/office/drawing/2014/chart" uri="{C3380CC4-5D6E-409C-BE32-E72D297353CC}">
              <c16:uniqueId val="{00000000-141D-4D89-B085-6684AE1A107A}"/>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3'!$Z$31:$Z$66</c:f>
              <c:numCache>
                <c:formatCode>0.0</c:formatCode>
                <c:ptCount val="36"/>
                <c:pt idx="0">
                  <c:v>3.0705403267337976</c:v>
                </c:pt>
                <c:pt idx="1">
                  <c:v>6.8741631874170324</c:v>
                </c:pt>
                <c:pt idx="2">
                  <c:v>6.9999177914089774</c:v>
                </c:pt>
                <c:pt idx="3">
                  <c:v>2.7886022034567057</c:v>
                </c:pt>
                <c:pt idx="4">
                  <c:v>-1.1526078736731116</c:v>
                </c:pt>
                <c:pt idx="5">
                  <c:v>-5.3513808653344856</c:v>
                </c:pt>
                <c:pt idx="6">
                  <c:v>-6.6686113975825858</c:v>
                </c:pt>
                <c:pt idx="7">
                  <c:v>-5.6971134882260275</c:v>
                </c:pt>
                <c:pt idx="8">
                  <c:v>-3.3555905673646342</c:v>
                </c:pt>
                <c:pt idx="9">
                  <c:v>-0.90415176747402504</c:v>
                </c:pt>
                <c:pt idx="10">
                  <c:v>-1.376901288471623</c:v>
                </c:pt>
                <c:pt idx="11">
                  <c:v>0.14984865454421994</c:v>
                </c:pt>
                <c:pt idx="12">
                  <c:v>1.8661234617319313</c:v>
                </c:pt>
                <c:pt idx="13">
                  <c:v>1.1653457222281625</c:v>
                </c:pt>
                <c:pt idx="14">
                  <c:v>4.7441915436444759</c:v>
                </c:pt>
                <c:pt idx="15">
                  <c:v>1.6256258958971155</c:v>
                </c:pt>
                <c:pt idx="16">
                  <c:v>0.7389500886517838</c:v>
                </c:pt>
                <c:pt idx="17">
                  <c:v>1.9508614834308369</c:v>
                </c:pt>
                <c:pt idx="18">
                  <c:v>0.52155296100802839</c:v>
                </c:pt>
                <c:pt idx="19">
                  <c:v>0.95967685432478789</c:v>
                </c:pt>
                <c:pt idx="20">
                  <c:v>3.1388269340693769</c:v>
                </c:pt>
                <c:pt idx="21">
                  <c:v>1.2056036060568238</c:v>
                </c:pt>
                <c:pt idx="22">
                  <c:v>-1.7953878786263262</c:v>
                </c:pt>
                <c:pt idx="23">
                  <c:v>0.41205027286168183</c:v>
                </c:pt>
                <c:pt idx="24">
                  <c:v>-3.6947321791003282E-2</c:v>
                </c:pt>
                <c:pt idx="25">
                  <c:v>0.86454694955435607</c:v>
                </c:pt>
                <c:pt idx="26">
                  <c:v>-0.16377223085432258</c:v>
                </c:pt>
                <c:pt idx="27">
                  <c:v>-0.95395400670827979</c:v>
                </c:pt>
                <c:pt idx="28">
                  <c:v>3.6238163873298972</c:v>
                </c:pt>
                <c:pt idx="29">
                  <c:v>0.20346823864492619</c:v>
                </c:pt>
                <c:pt idx="30">
                  <c:v>2.9020734708543466E-2</c:v>
                </c:pt>
                <c:pt idx="31">
                  <c:v>0.93743664957589101</c:v>
                </c:pt>
                <c:pt idx="32">
                  <c:v>-2.3811244207622342</c:v>
                </c:pt>
                <c:pt idx="33">
                  <c:v>-1.5563607813037221</c:v>
                </c:pt>
                <c:pt idx="34">
                  <c:v>-0.24782902608100521</c:v>
                </c:pt>
              </c:numCache>
            </c:numRef>
          </c:val>
          <c:extLst>
            <c:ext xmlns:c16="http://schemas.microsoft.com/office/drawing/2014/chart" uri="{C3380CC4-5D6E-409C-BE32-E72D297353CC}">
              <c16:uniqueId val="{00000001-141D-4D89-B085-6684AE1A107A}"/>
            </c:ext>
          </c:extLst>
        </c:ser>
        <c:dLbls>
          <c:showLegendKey val="0"/>
          <c:showVal val="0"/>
          <c:showCatName val="0"/>
          <c:showSerName val="0"/>
          <c:showPercent val="0"/>
          <c:showBubbleSize val="0"/>
        </c:dLbls>
        <c:gapWidth val="30"/>
        <c:overlap val="100"/>
        <c:axId val="39704448"/>
        <c:axId val="39718912"/>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5"/>
            <c:spPr>
              <a:solidFill>
                <a:schemeClr val="bg1"/>
              </a:solidFill>
              <a:ln>
                <a:solidFill>
                  <a:schemeClr val="tx1">
                    <a:lumMod val="95000"/>
                    <a:lumOff val="5000"/>
                  </a:schemeClr>
                </a:solidFill>
              </a:ln>
            </c:spPr>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3'!$X$31:$X$66</c:f>
              <c:numCache>
                <c:formatCode>0.0</c:formatCode>
                <c:ptCount val="36"/>
                <c:pt idx="0">
                  <c:v>9.2313683288454751</c:v>
                </c:pt>
                <c:pt idx="1">
                  <c:v>12.107308945584148</c:v>
                </c:pt>
                <c:pt idx="2">
                  <c:v>7.8075138675311848</c:v>
                </c:pt>
                <c:pt idx="3">
                  <c:v>1.0084090298549313</c:v>
                </c:pt>
                <c:pt idx="4">
                  <c:v>-6.0786505131342015</c:v>
                </c:pt>
                <c:pt idx="5">
                  <c:v>-10.740757020745008</c:v>
                </c:pt>
                <c:pt idx="6">
                  <c:v>-5.8050806540642697</c:v>
                </c:pt>
                <c:pt idx="7">
                  <c:v>-1.6721938669427381</c:v>
                </c:pt>
                <c:pt idx="8">
                  <c:v>-1.4033631646039169</c:v>
                </c:pt>
                <c:pt idx="9">
                  <c:v>9.6320292689105482</c:v>
                </c:pt>
                <c:pt idx="10">
                  <c:v>2.2312114513154202</c:v>
                </c:pt>
                <c:pt idx="11">
                  <c:v>2.6939089817763788</c:v>
                </c:pt>
                <c:pt idx="12">
                  <c:v>15.771077976685531</c:v>
                </c:pt>
                <c:pt idx="13">
                  <c:v>7.3834589697042885</c:v>
                </c:pt>
                <c:pt idx="14">
                  <c:v>12.465247361474326</c:v>
                </c:pt>
                <c:pt idx="15">
                  <c:v>4.2515809616087745</c:v>
                </c:pt>
                <c:pt idx="16">
                  <c:v>3.657183766369934</c:v>
                </c:pt>
                <c:pt idx="17">
                  <c:v>4.4872671400238913</c:v>
                </c:pt>
                <c:pt idx="18">
                  <c:v>-0.46408626024870697</c:v>
                </c:pt>
                <c:pt idx="19">
                  <c:v>3.5101049630197987</c:v>
                </c:pt>
                <c:pt idx="20">
                  <c:v>2.6466192842291587</c:v>
                </c:pt>
                <c:pt idx="21">
                  <c:v>-6.2174421868102794</c:v>
                </c:pt>
                <c:pt idx="22">
                  <c:v>-8.8767149979301365</c:v>
                </c:pt>
                <c:pt idx="23">
                  <c:v>-8.1908312055537706</c:v>
                </c:pt>
                <c:pt idx="24">
                  <c:v>-5.1379168606823908</c:v>
                </c:pt>
                <c:pt idx="25">
                  <c:v>3.9206050589244392</c:v>
                </c:pt>
                <c:pt idx="26">
                  <c:v>2.9081303062816972</c:v>
                </c:pt>
                <c:pt idx="27">
                  <c:v>4.9920938676940505</c:v>
                </c:pt>
                <c:pt idx="28">
                  <c:v>11.305784923462006</c:v>
                </c:pt>
                <c:pt idx="29">
                  <c:v>3.9849258832282977</c:v>
                </c:pt>
                <c:pt idx="30">
                  <c:v>-0.82425069464929501</c:v>
                </c:pt>
                <c:pt idx="31">
                  <c:v>-0.10813413671660077</c:v>
                </c:pt>
                <c:pt idx="32">
                  <c:v>-1.16547511277642</c:v>
                </c:pt>
                <c:pt idx="33">
                  <c:v>-2.9914758503230794</c:v>
                </c:pt>
                <c:pt idx="34">
                  <c:v>-1.6871299546442202</c:v>
                </c:pt>
              </c:numCache>
            </c:numRef>
          </c:val>
          <c:smooth val="0"/>
          <c:extLst>
            <c:ext xmlns:c16="http://schemas.microsoft.com/office/drawing/2014/chart" uri="{C3380CC4-5D6E-409C-BE32-E72D297353CC}">
              <c16:uniqueId val="{00000002-141D-4D89-B085-6684AE1A107A}"/>
            </c:ext>
          </c:extLst>
        </c:ser>
        <c:ser>
          <c:idx val="3"/>
          <c:order val="3"/>
          <c:tx>
            <c:strRef>
              <c:f>'výkonnost odvětví 3'!$AA$10</c:f>
              <c:strCache>
                <c:ptCount val="1"/>
                <c:pt idx="0">
                  <c:v>Nové stavební zakázky v tuzemsku</c:v>
                </c:pt>
              </c:strCache>
            </c:strRef>
          </c:tx>
          <c:spPr>
            <a:ln w="9525">
              <a:solidFill>
                <a:srgbClr val="984807"/>
              </a:solidFill>
              <a:prstDash val="sysDot"/>
            </a:ln>
          </c:spPr>
          <c:marker>
            <c:symbol val="diamond"/>
            <c:size val="4"/>
            <c:spPr>
              <a:solidFill>
                <a:srgbClr val="996633"/>
              </a:solidFill>
              <a:ln>
                <a:solidFill>
                  <a:srgbClr val="984807"/>
                </a:solidFill>
              </a:ln>
            </c:spPr>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3'!$AA$31:$AA$66</c:f>
              <c:numCache>
                <c:formatCode>0.0</c:formatCode>
                <c:ptCount val="36"/>
                <c:pt idx="0">
                  <c:v>-3.1547956675580053</c:v>
                </c:pt>
                <c:pt idx="1">
                  <c:v>9.7504961091663418</c:v>
                </c:pt>
                <c:pt idx="2">
                  <c:v>-1.0976060227612561</c:v>
                </c:pt>
                <c:pt idx="3">
                  <c:v>-2.3987783410040464</c:v>
                </c:pt>
                <c:pt idx="4">
                  <c:v>-6.6406358945753805</c:v>
                </c:pt>
                <c:pt idx="5">
                  <c:v>-0.49977652269311085</c:v>
                </c:pt>
                <c:pt idx="6">
                  <c:v>-7.0322087253454839</c:v>
                </c:pt>
                <c:pt idx="7">
                  <c:v>10.122126124559955</c:v>
                </c:pt>
                <c:pt idx="8">
                  <c:v>16.177217458847483</c:v>
                </c:pt>
                <c:pt idx="9">
                  <c:v>9.5350878984013274</c:v>
                </c:pt>
                <c:pt idx="10">
                  <c:v>-1.2817324431350698</c:v>
                </c:pt>
                <c:pt idx="11">
                  <c:v>15.620806693503823</c:v>
                </c:pt>
                <c:pt idx="12">
                  <c:v>30.106973873688595</c:v>
                </c:pt>
                <c:pt idx="13">
                  <c:v>32.836878110611956</c:v>
                </c:pt>
                <c:pt idx="14">
                  <c:v>5.2768249907951299</c:v>
                </c:pt>
                <c:pt idx="15">
                  <c:v>1.8944565811032315</c:v>
                </c:pt>
                <c:pt idx="16">
                  <c:v>14.157245632065782</c:v>
                </c:pt>
                <c:pt idx="17">
                  <c:v>-9.3849543241233224</c:v>
                </c:pt>
                <c:pt idx="18">
                  <c:v>17.407871000993993</c:v>
                </c:pt>
                <c:pt idx="19">
                  <c:v>5.8323004254463804</c:v>
                </c:pt>
                <c:pt idx="20">
                  <c:v>-12.441635069859252</c:v>
                </c:pt>
                <c:pt idx="21">
                  <c:v>7.4973457220286734</c:v>
                </c:pt>
                <c:pt idx="22">
                  <c:v>2.059973660693283</c:v>
                </c:pt>
                <c:pt idx="23">
                  <c:v>7.5507850088630155</c:v>
                </c:pt>
                <c:pt idx="24">
                  <c:v>28.856340981154403</c:v>
                </c:pt>
                <c:pt idx="25">
                  <c:v>22.047871359987191</c:v>
                </c:pt>
                <c:pt idx="26">
                  <c:v>10.015015612184278</c:v>
                </c:pt>
                <c:pt idx="27">
                  <c:v>1.0053213537781114</c:v>
                </c:pt>
                <c:pt idx="28">
                  <c:v>13.067478460417851</c:v>
                </c:pt>
                <c:pt idx="29">
                  <c:v>17.619163607261132</c:v>
                </c:pt>
                <c:pt idx="30">
                  <c:v>12.421954480552513</c:v>
                </c:pt>
                <c:pt idx="31">
                  <c:v>13.031852753748723</c:v>
                </c:pt>
                <c:pt idx="32">
                  <c:v>-11.830812069596632</c:v>
                </c:pt>
                <c:pt idx="33">
                  <c:v>-18.746380023175043</c:v>
                </c:pt>
                <c:pt idx="34">
                  <c:v>27.856886579385087</c:v>
                </c:pt>
              </c:numCache>
            </c:numRef>
          </c:val>
          <c:smooth val="0"/>
          <c:extLst>
            <c:ext xmlns:c16="http://schemas.microsoft.com/office/drawing/2014/chart" uri="{C3380CC4-5D6E-409C-BE32-E72D297353CC}">
              <c16:uniqueId val="{00000003-141D-4D89-B085-6684AE1A107A}"/>
            </c:ext>
          </c:extLst>
        </c:ser>
        <c:dLbls>
          <c:showLegendKey val="0"/>
          <c:showVal val="0"/>
          <c:showCatName val="0"/>
          <c:showSerName val="0"/>
          <c:showPercent val="0"/>
          <c:showBubbleSize val="0"/>
        </c:dLbls>
        <c:marker val="1"/>
        <c:smooth val="0"/>
        <c:axId val="39704448"/>
        <c:axId val="39718912"/>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solid"/>
            </a:ln>
          </c:spPr>
          <c:marker>
            <c:symbol val="none"/>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3'!$AB$31:$AB$66</c:f>
              <c:numCache>
                <c:formatCode>#\ ##0.0</c:formatCode>
                <c:ptCount val="36"/>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32.300000000000004</c:v>
                </c:pt>
                <c:pt idx="34">
                  <c:v>36.300000000000004</c:v>
                </c:pt>
                <c:pt idx="35" formatCode="0.0">
                  <c:v>29.2</c:v>
                </c:pt>
              </c:numCache>
            </c:numRef>
          </c:val>
          <c:smooth val="0"/>
          <c:extLst>
            <c:ext xmlns:c16="http://schemas.microsoft.com/office/drawing/2014/chart" uri="{C3380CC4-5D6E-409C-BE32-E72D297353CC}">
              <c16:uniqueId val="{00000004-141D-4D89-B085-6684AE1A107A}"/>
            </c:ext>
          </c:extLst>
        </c:ser>
        <c:ser>
          <c:idx val="5"/>
          <c:order val="5"/>
          <c:tx>
            <c:strRef>
              <c:f>'výkonnost odvětví 3'!$AC$10</c:f>
              <c:strCache>
                <c:ptCount val="1"/>
                <c:pt idx="0">
                  <c:v>Bariéra růstu: nedostatek pracovníků</c:v>
                </c:pt>
              </c:strCache>
            </c:strRef>
          </c:tx>
          <c:spPr>
            <a:ln w="15875">
              <a:solidFill>
                <a:schemeClr val="accent3">
                  <a:lumMod val="75000"/>
                </a:schemeClr>
              </a:solidFill>
              <a:prstDash val="dash"/>
            </a:ln>
          </c:spPr>
          <c:marker>
            <c:symbol val="none"/>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3'!$AC$31:$AC$66</c:f>
              <c:numCache>
                <c:formatCode>#\ ##0.0</c:formatCode>
                <c:ptCount val="36"/>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c:v>
                </c:pt>
                <c:pt idx="28">
                  <c:v>57.7</c:v>
                </c:pt>
                <c:pt idx="29">
                  <c:v>44.4</c:v>
                </c:pt>
                <c:pt idx="30">
                  <c:v>39.1</c:v>
                </c:pt>
                <c:pt idx="31">
                  <c:v>46.7</c:v>
                </c:pt>
                <c:pt idx="32">
                  <c:v>39.9</c:v>
                </c:pt>
                <c:pt idx="33">
                  <c:v>35.6</c:v>
                </c:pt>
                <c:pt idx="34">
                  <c:v>30.2</c:v>
                </c:pt>
                <c:pt idx="35" formatCode="0.0">
                  <c:v>30.6</c:v>
                </c:pt>
              </c:numCache>
            </c:numRef>
          </c:val>
          <c:smooth val="0"/>
          <c:extLst>
            <c:ext xmlns:c16="http://schemas.microsoft.com/office/drawing/2014/chart" uri="{C3380CC4-5D6E-409C-BE32-E72D297353CC}">
              <c16:uniqueId val="{00000005-141D-4D89-B085-6684AE1A107A}"/>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3'!$AD$31:$AD$66</c:f>
              <c:numCache>
                <c:formatCode>#\ ##0.0</c:formatCode>
                <c:ptCount val="36"/>
                <c:pt idx="0">
                  <c:v>0.1</c:v>
                </c:pt>
                <c:pt idx="1">
                  <c:v>0.4</c:v>
                </c:pt>
                <c:pt idx="2">
                  <c:v>4</c:v>
                </c:pt>
                <c:pt idx="3">
                  <c:v>0.5</c:v>
                </c:pt>
                <c:pt idx="4">
                  <c:v>0.4</c:v>
                </c:pt>
                <c:pt idx="5">
                  <c:v>0.5</c:v>
                </c:pt>
                <c:pt idx="6">
                  <c:v>0.5</c:v>
                </c:pt>
                <c:pt idx="7">
                  <c:v>1.5</c:v>
                </c:pt>
                <c:pt idx="8">
                  <c:v>0.30000000000000032</c:v>
                </c:pt>
                <c:pt idx="9">
                  <c:v>0.30000000000000032</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pt idx="35" formatCode="0.0">
                  <c:v>13.9</c:v>
                </c:pt>
              </c:numCache>
            </c:numRef>
          </c:val>
          <c:smooth val="0"/>
          <c:extLst>
            <c:ext xmlns:c16="http://schemas.microsoft.com/office/drawing/2014/chart" uri="{C3380CC4-5D6E-409C-BE32-E72D297353CC}">
              <c16:uniqueId val="{00000006-141D-4D89-B085-6684AE1A107A}"/>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3'!$AE$31:$AE$66</c:f>
              <c:numCache>
                <c:formatCode>0.0</c:formatCode>
                <c:ptCount val="36"/>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pt idx="35">
                  <c:v>-11</c:v>
                </c:pt>
              </c:numCache>
            </c:numRef>
          </c:val>
          <c:smooth val="0"/>
          <c:extLst>
            <c:ext xmlns:c16="http://schemas.microsoft.com/office/drawing/2014/chart" uri="{C3380CC4-5D6E-409C-BE32-E72D297353CC}">
              <c16:uniqueId val="{00000007-141D-4D89-B085-6684AE1A107A}"/>
            </c:ext>
          </c:extLst>
        </c:ser>
        <c:dLbls>
          <c:showLegendKey val="0"/>
          <c:showVal val="0"/>
          <c:showCatName val="0"/>
          <c:showSerName val="0"/>
          <c:showPercent val="0"/>
          <c:showBubbleSize val="0"/>
        </c:dLbls>
        <c:marker val="1"/>
        <c:smooth val="0"/>
        <c:axId val="39723008"/>
        <c:axId val="39720832"/>
      </c:lineChart>
      <c:catAx>
        <c:axId val="3970444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39718912"/>
        <c:crosses val="autoZero"/>
        <c:auto val="1"/>
        <c:lblAlgn val="ctr"/>
        <c:lblOffset val="0"/>
        <c:noMultiLvlLbl val="0"/>
      </c:catAx>
      <c:valAx>
        <c:axId val="39718912"/>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39704448"/>
        <c:crosses val="autoZero"/>
        <c:crossBetween val="between"/>
        <c:majorUnit val="10"/>
      </c:valAx>
      <c:valAx>
        <c:axId val="39720832"/>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39723008"/>
        <c:crosses val="max"/>
        <c:crossBetween val="between"/>
        <c:majorUnit val="20"/>
      </c:valAx>
      <c:catAx>
        <c:axId val="39723008"/>
        <c:scaling>
          <c:orientation val="minMax"/>
        </c:scaling>
        <c:delete val="1"/>
        <c:axPos val="b"/>
        <c:numFmt formatCode="General" sourceLinked="1"/>
        <c:majorTickMark val="out"/>
        <c:minorTickMark val="none"/>
        <c:tickLblPos val="none"/>
        <c:crossAx val="39720832"/>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63"/>
          <c:w val="0.96925714241885463"/>
          <c:h val="0.13362821778942571"/>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5677352723629E-2"/>
          <c:y val="1.580332867898751E-2"/>
          <c:w val="0.83979584077703062"/>
          <c:h val="0.69902590308489643"/>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růstu-4'!$D$46:$D$81</c:f>
              <c:numCache>
                <c:formatCode>0.0</c:formatCode>
                <c:ptCount val="36"/>
                <c:pt idx="0">
                  <c:v>0.17627373165999941</c:v>
                </c:pt>
                <c:pt idx="1">
                  <c:v>-4.1398260783598463E-2</c:v>
                </c:pt>
                <c:pt idx="2">
                  <c:v>0.20127676583260184</c:v>
                </c:pt>
                <c:pt idx="3">
                  <c:v>4.2331882175001882E-2</c:v>
                </c:pt>
                <c:pt idx="4">
                  <c:v>0.2604828945619988</c:v>
                </c:pt>
                <c:pt idx="5">
                  <c:v>0.20044719477909875</c:v>
                </c:pt>
                <c:pt idx="6">
                  <c:v>0.14004615678000074</c:v>
                </c:pt>
                <c:pt idx="7">
                  <c:v>0.86059283114800222</c:v>
                </c:pt>
                <c:pt idx="8">
                  <c:v>1.6559965627289979</c:v>
                </c:pt>
                <c:pt idx="9">
                  <c:v>1.0934548874629966</c:v>
                </c:pt>
                <c:pt idx="10">
                  <c:v>1.1374484601479997</c:v>
                </c:pt>
                <c:pt idx="11">
                  <c:v>0.60470809717900142</c:v>
                </c:pt>
                <c:pt idx="12">
                  <c:v>1.7518533558899987</c:v>
                </c:pt>
                <c:pt idx="13">
                  <c:v>1.9191714775479998</c:v>
                </c:pt>
                <c:pt idx="14">
                  <c:v>1.4689069805629964</c:v>
                </c:pt>
                <c:pt idx="15">
                  <c:v>0.49822211685500106</c:v>
                </c:pt>
                <c:pt idx="16">
                  <c:v>0.75210969494300284</c:v>
                </c:pt>
                <c:pt idx="17">
                  <c:v>-7.8943058121998602E-2</c:v>
                </c:pt>
                <c:pt idx="18">
                  <c:v>-0.6761559609970017</c:v>
                </c:pt>
                <c:pt idx="19">
                  <c:v>-0.53883087511920003</c:v>
                </c:pt>
                <c:pt idx="20">
                  <c:v>-1.7873099078691967</c:v>
                </c:pt>
                <c:pt idx="21">
                  <c:v>-6.8790162520431002</c:v>
                </c:pt>
                <c:pt idx="22">
                  <c:v>-4.2156758486249908</c:v>
                </c:pt>
                <c:pt idx="23">
                  <c:v>-1.7596921701599968</c:v>
                </c:pt>
                <c:pt idx="24">
                  <c:v>-0.15017138784059991</c:v>
                </c:pt>
                <c:pt idx="25">
                  <c:v>6.9506599035744099</c:v>
                </c:pt>
                <c:pt idx="26">
                  <c:v>4.0996709945155994</c:v>
                </c:pt>
                <c:pt idx="27">
                  <c:v>4.5444705336066278</c:v>
                </c:pt>
                <c:pt idx="28">
                  <c:v>4.6413485285034968</c:v>
                </c:pt>
                <c:pt idx="29">
                  <c:v>4.7978183130189764</c:v>
                </c:pt>
                <c:pt idx="30">
                  <c:v>3.771511945530476</c:v>
                </c:pt>
                <c:pt idx="31">
                  <c:v>-0.1026052754759994</c:v>
                </c:pt>
                <c:pt idx="32">
                  <c:v>-1.3478319744959979</c:v>
                </c:pt>
                <c:pt idx="33">
                  <c:v>-3.6318517020952465</c:v>
                </c:pt>
                <c:pt idx="34" formatCode="0.00">
                  <c:v>-4.1078189900823796</c:v>
                </c:pt>
              </c:numCache>
            </c:numRef>
          </c:val>
          <c:extLst>
            <c:ext xmlns:c16="http://schemas.microsoft.com/office/drawing/2014/chart" uri="{C3380CC4-5D6E-409C-BE32-E72D297353CC}">
              <c16:uniqueId val="{00000000-8B1B-4980-9223-E9848A64A0E4}"/>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růstu-4'!$E$46:$E$81</c:f>
              <c:numCache>
                <c:formatCode>0.0</c:formatCode>
                <c:ptCount val="36"/>
                <c:pt idx="0">
                  <c:v>0.23064326026020021</c:v>
                </c:pt>
                <c:pt idx="1">
                  <c:v>0.65490030172000013</c:v>
                </c:pt>
                <c:pt idx="2">
                  <c:v>0.65615704203699965</c:v>
                </c:pt>
                <c:pt idx="3">
                  <c:v>0.40198126828160097</c:v>
                </c:pt>
                <c:pt idx="4">
                  <c:v>0.47264498177679992</c:v>
                </c:pt>
                <c:pt idx="5">
                  <c:v>0.16809598308500007</c:v>
                </c:pt>
                <c:pt idx="6">
                  <c:v>0.5678502803826001</c:v>
                </c:pt>
                <c:pt idx="7">
                  <c:v>0.60026021753880243</c:v>
                </c:pt>
                <c:pt idx="8">
                  <c:v>0.90716175756749962</c:v>
                </c:pt>
                <c:pt idx="9">
                  <c:v>1.2351843183735998</c:v>
                </c:pt>
                <c:pt idx="10">
                  <c:v>0.55372633890920031</c:v>
                </c:pt>
                <c:pt idx="11">
                  <c:v>0.45414701226059923</c:v>
                </c:pt>
                <c:pt idx="12">
                  <c:v>0.20562277238639989</c:v>
                </c:pt>
                <c:pt idx="13">
                  <c:v>4.6481198053399876E-2</c:v>
                </c:pt>
                <c:pt idx="14">
                  <c:v>5.8790755202600173E-2</c:v>
                </c:pt>
                <c:pt idx="15">
                  <c:v>-3.8611122396599751E-2</c:v>
                </c:pt>
                <c:pt idx="16">
                  <c:v>0.19877668230760023</c:v>
                </c:pt>
                <c:pt idx="17">
                  <c:v>0.19106550885020049</c:v>
                </c:pt>
                <c:pt idx="18">
                  <c:v>-2.1031638824599998E-2</c:v>
                </c:pt>
                <c:pt idx="19">
                  <c:v>-1.8881872245599868E-2</c:v>
                </c:pt>
                <c:pt idx="20">
                  <c:v>-1.1578648579121578</c:v>
                </c:pt>
                <c:pt idx="21">
                  <c:v>-4.9674966649835008</c:v>
                </c:pt>
                <c:pt idx="22">
                  <c:v>-1.9520417393251053</c:v>
                </c:pt>
                <c:pt idx="23">
                  <c:v>-4.5017067627894294</c:v>
                </c:pt>
                <c:pt idx="24">
                  <c:v>-3.6933845036437498</c:v>
                </c:pt>
                <c:pt idx="25">
                  <c:v>1.3724082127149826</c:v>
                </c:pt>
                <c:pt idx="26">
                  <c:v>0.63617916285750065</c:v>
                </c:pt>
                <c:pt idx="27">
                  <c:v>2.8391165022808131</c:v>
                </c:pt>
                <c:pt idx="28">
                  <c:v>2.9561078391668967</c:v>
                </c:pt>
                <c:pt idx="29">
                  <c:v>2.6813701390722935</c:v>
                </c:pt>
                <c:pt idx="30">
                  <c:v>-0.42126370124067886</c:v>
                </c:pt>
                <c:pt idx="31">
                  <c:v>0.60066614945780028</c:v>
                </c:pt>
                <c:pt idx="32">
                  <c:v>0.54106440281159984</c:v>
                </c:pt>
                <c:pt idx="33">
                  <c:v>3.7104883741050136E-2</c:v>
                </c:pt>
                <c:pt idx="34" formatCode="0.00">
                  <c:v>0.18122303121970221</c:v>
                </c:pt>
              </c:numCache>
            </c:numRef>
          </c:val>
          <c:extLst>
            <c:ext xmlns:c16="http://schemas.microsoft.com/office/drawing/2014/chart" uri="{C3380CC4-5D6E-409C-BE32-E72D297353CC}">
              <c16:uniqueId val="{00000001-8B1B-4980-9223-E9848A64A0E4}"/>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růstu-4'!$F$46:$F$81</c:f>
              <c:numCache>
                <c:formatCode>0.0</c:formatCode>
                <c:ptCount val="36"/>
                <c:pt idx="0">
                  <c:v>1.4083798915137009</c:v>
                </c:pt>
                <c:pt idx="1">
                  <c:v>0.82540650715499952</c:v>
                </c:pt>
                <c:pt idx="2">
                  <c:v>0.80424272675400077</c:v>
                </c:pt>
                <c:pt idx="3">
                  <c:v>1.3174140502479967</c:v>
                </c:pt>
                <c:pt idx="4">
                  <c:v>0.35985664064800132</c:v>
                </c:pt>
                <c:pt idx="5">
                  <c:v>0.15751383681999925</c:v>
                </c:pt>
                <c:pt idx="6">
                  <c:v>0.32598498922400143</c:v>
                </c:pt>
                <c:pt idx="7">
                  <c:v>0.17761340848900098</c:v>
                </c:pt>
                <c:pt idx="8">
                  <c:v>0.76438636704000096</c:v>
                </c:pt>
                <c:pt idx="9">
                  <c:v>0.98207704425299858</c:v>
                </c:pt>
                <c:pt idx="10">
                  <c:v>0.77093881661000407</c:v>
                </c:pt>
                <c:pt idx="11">
                  <c:v>0.58294315828299859</c:v>
                </c:pt>
                <c:pt idx="12">
                  <c:v>1.4398200028309958</c:v>
                </c:pt>
                <c:pt idx="13">
                  <c:v>0.76531943813199965</c:v>
                </c:pt>
                <c:pt idx="14">
                  <c:v>1.415831001736001</c:v>
                </c:pt>
                <c:pt idx="15">
                  <c:v>0.98684323348800285</c:v>
                </c:pt>
                <c:pt idx="16">
                  <c:v>1.234847424680001</c:v>
                </c:pt>
                <c:pt idx="17">
                  <c:v>1.1603884990620001</c:v>
                </c:pt>
                <c:pt idx="18">
                  <c:v>0.91591834325400012</c:v>
                </c:pt>
                <c:pt idx="19">
                  <c:v>1.1621880049516053</c:v>
                </c:pt>
                <c:pt idx="20">
                  <c:v>0.8191341781949999</c:v>
                </c:pt>
                <c:pt idx="21">
                  <c:v>1.3223529237600423E-2</c:v>
                </c:pt>
                <c:pt idx="22">
                  <c:v>-0.20840783961800019</c:v>
                </c:pt>
                <c:pt idx="23">
                  <c:v>-0.54142483054800306</c:v>
                </c:pt>
                <c:pt idx="24">
                  <c:v>0.71316924858200104</c:v>
                </c:pt>
                <c:pt idx="25">
                  <c:v>1.5486406955901628</c:v>
                </c:pt>
                <c:pt idx="26">
                  <c:v>1.4405780988855996</c:v>
                </c:pt>
                <c:pt idx="27">
                  <c:v>1.9065499671602741</c:v>
                </c:pt>
                <c:pt idx="28">
                  <c:v>1.4241015860772992</c:v>
                </c:pt>
                <c:pt idx="29">
                  <c:v>0.86579080876800196</c:v>
                </c:pt>
                <c:pt idx="30">
                  <c:v>0.69569690090645042</c:v>
                </c:pt>
                <c:pt idx="31">
                  <c:v>0.23551368312941137</c:v>
                </c:pt>
                <c:pt idx="32">
                  <c:v>0.50979013389719985</c:v>
                </c:pt>
                <c:pt idx="33">
                  <c:v>-0.21067253915528883</c:v>
                </c:pt>
                <c:pt idx="34" formatCode="0.00">
                  <c:v>-0.76555228787772456</c:v>
                </c:pt>
              </c:numCache>
            </c:numRef>
          </c:val>
          <c:extLst>
            <c:ext xmlns:c16="http://schemas.microsoft.com/office/drawing/2014/chart" uri="{C3380CC4-5D6E-409C-BE32-E72D297353CC}">
              <c16:uniqueId val="{00000002-8B1B-4980-9223-E9848A64A0E4}"/>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růstu-4'!$G$46:$G$81</c:f>
              <c:numCache>
                <c:formatCode>0.0</c:formatCode>
                <c:ptCount val="36"/>
                <c:pt idx="0">
                  <c:v>4.7588818498199945E-2</c:v>
                </c:pt>
                <c:pt idx="1">
                  <c:v>-7.3007550905993899E-3</c:v>
                </c:pt>
                <c:pt idx="2">
                  <c:v>0.12810762983039936</c:v>
                </c:pt>
                <c:pt idx="3">
                  <c:v>2.4617916117599527E-2</c:v>
                </c:pt>
                <c:pt idx="4">
                  <c:v>0.25752090895740087</c:v>
                </c:pt>
                <c:pt idx="5">
                  <c:v>-4.2228184845005514E-3</c:v>
                </c:pt>
                <c:pt idx="6">
                  <c:v>0.14993183101380098</c:v>
                </c:pt>
                <c:pt idx="7">
                  <c:v>-6.6530028186599505E-2</c:v>
                </c:pt>
                <c:pt idx="8">
                  <c:v>0.20977398058900057</c:v>
                </c:pt>
                <c:pt idx="9">
                  <c:v>0.44953617213779962</c:v>
                </c:pt>
                <c:pt idx="10">
                  <c:v>-2.2338348474500586E-2</c:v>
                </c:pt>
                <c:pt idx="11">
                  <c:v>0.13984723093740045</c:v>
                </c:pt>
                <c:pt idx="12">
                  <c:v>2.6966101253399585E-2</c:v>
                </c:pt>
                <c:pt idx="13">
                  <c:v>-0.24884766500040006</c:v>
                </c:pt>
                <c:pt idx="14">
                  <c:v>-0.12645184379759991</c:v>
                </c:pt>
                <c:pt idx="15">
                  <c:v>-0.2237880164220008</c:v>
                </c:pt>
                <c:pt idx="16">
                  <c:v>0.14753986907940056</c:v>
                </c:pt>
                <c:pt idx="17">
                  <c:v>-7.3797086292003832E-3</c:v>
                </c:pt>
                <c:pt idx="18">
                  <c:v>-0.23287434101939941</c:v>
                </c:pt>
                <c:pt idx="19">
                  <c:v>-0.10147037326200042</c:v>
                </c:pt>
                <c:pt idx="20">
                  <c:v>0.4243189076208021</c:v>
                </c:pt>
                <c:pt idx="21">
                  <c:v>-0.29919163957060046</c:v>
                </c:pt>
                <c:pt idx="22">
                  <c:v>-0.26426338474666694</c:v>
                </c:pt>
                <c:pt idx="23">
                  <c:v>-0.23118426949069976</c:v>
                </c:pt>
                <c:pt idx="24">
                  <c:v>-0.20085438476490097</c:v>
                </c:pt>
                <c:pt idx="25">
                  <c:v>0.43434705815385088</c:v>
                </c:pt>
                <c:pt idx="26">
                  <c:v>2.9423998310004213E-3</c:v>
                </c:pt>
                <c:pt idx="27">
                  <c:v>0.23837123738399993</c:v>
                </c:pt>
                <c:pt idx="28">
                  <c:v>0.9317798842872006</c:v>
                </c:pt>
                <c:pt idx="29">
                  <c:v>0.47103938028000031</c:v>
                </c:pt>
                <c:pt idx="30">
                  <c:v>0.24148183282894781</c:v>
                </c:pt>
                <c:pt idx="31">
                  <c:v>0.36276827915000093</c:v>
                </c:pt>
                <c:pt idx="32">
                  <c:v>-2.9053651535999966E-2</c:v>
                </c:pt>
                <c:pt idx="33">
                  <c:v>-0.21207411126600276</c:v>
                </c:pt>
                <c:pt idx="34" formatCode="0.00">
                  <c:v>-0.19342736972878588</c:v>
                </c:pt>
              </c:numCache>
            </c:numRef>
          </c:val>
          <c:extLst>
            <c:ext xmlns:c16="http://schemas.microsoft.com/office/drawing/2014/chart" uri="{C3380CC4-5D6E-409C-BE32-E72D297353CC}">
              <c16:uniqueId val="{00000003-8B1B-4980-9223-E9848A64A0E4}"/>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růstu-4'!$H$46:$H$81</c:f>
              <c:numCache>
                <c:formatCode>0.0</c:formatCode>
                <c:ptCount val="36"/>
                <c:pt idx="0">
                  <c:v>1.0468505532869989</c:v>
                </c:pt>
                <c:pt idx="1">
                  <c:v>0.72007462620000118</c:v>
                </c:pt>
                <c:pt idx="2">
                  <c:v>1.0906393004399977</c:v>
                </c:pt>
                <c:pt idx="3">
                  <c:v>-4.2990021238901562E-2</c:v>
                </c:pt>
                <c:pt idx="4">
                  <c:v>-0.43098075353700194</c:v>
                </c:pt>
                <c:pt idx="5">
                  <c:v>-1.3389465804999978</c:v>
                </c:pt>
                <c:pt idx="6">
                  <c:v>3.0728374200130306E-4</c:v>
                </c:pt>
                <c:pt idx="7">
                  <c:v>-0.31210716654949938</c:v>
                </c:pt>
                <c:pt idx="8">
                  <c:v>0.95807798756000062</c:v>
                </c:pt>
                <c:pt idx="9">
                  <c:v>0.59447839488779852</c:v>
                </c:pt>
                <c:pt idx="10">
                  <c:v>0.30863690562090063</c:v>
                </c:pt>
                <c:pt idx="11">
                  <c:v>0.42814590144940146</c:v>
                </c:pt>
                <c:pt idx="12">
                  <c:v>1.052162927426501</c:v>
                </c:pt>
                <c:pt idx="13">
                  <c:v>0.5501113250554992</c:v>
                </c:pt>
                <c:pt idx="14">
                  <c:v>0.3596254694963989</c:v>
                </c:pt>
                <c:pt idx="15">
                  <c:v>-0.26680052765060214</c:v>
                </c:pt>
                <c:pt idx="16">
                  <c:v>0.7098884861869007</c:v>
                </c:pt>
                <c:pt idx="17">
                  <c:v>0.59156625867139956</c:v>
                </c:pt>
                <c:pt idx="18">
                  <c:v>-0.77754044718210158</c:v>
                </c:pt>
                <c:pt idx="19">
                  <c:v>-0.568891623520002</c:v>
                </c:pt>
                <c:pt idx="20">
                  <c:v>-0.86298756252779962</c:v>
                </c:pt>
                <c:pt idx="21">
                  <c:v>-3.1826786933129987</c:v>
                </c:pt>
                <c:pt idx="22">
                  <c:v>-1.4951268594295057</c:v>
                </c:pt>
                <c:pt idx="23">
                  <c:v>-1.5495215129057978</c:v>
                </c:pt>
                <c:pt idx="24">
                  <c:v>-1.5897570854689647</c:v>
                </c:pt>
                <c:pt idx="25">
                  <c:v>2.7177633580318052</c:v>
                </c:pt>
                <c:pt idx="26">
                  <c:v>1.7630975025485993</c:v>
                </c:pt>
                <c:pt idx="27">
                  <c:v>2.0930310136979418</c:v>
                </c:pt>
                <c:pt idx="28">
                  <c:v>2.2703464324547977</c:v>
                </c:pt>
                <c:pt idx="29">
                  <c:v>1.2338620529777742</c:v>
                </c:pt>
                <c:pt idx="30">
                  <c:v>1.0045707012391294</c:v>
                </c:pt>
                <c:pt idx="31">
                  <c:v>3.1260807364285555E-2</c:v>
                </c:pt>
                <c:pt idx="32">
                  <c:v>0.4985359538535003</c:v>
                </c:pt>
                <c:pt idx="33">
                  <c:v>0.80402607013840188</c:v>
                </c:pt>
                <c:pt idx="34" formatCode="0.00">
                  <c:v>3.1253019301214012E-2</c:v>
                </c:pt>
              </c:numCache>
            </c:numRef>
          </c:val>
          <c:extLst>
            <c:ext xmlns:c16="http://schemas.microsoft.com/office/drawing/2014/chart" uri="{C3380CC4-5D6E-409C-BE32-E72D297353CC}">
              <c16:uniqueId val="{00000004-8B1B-4980-9223-E9848A64A0E4}"/>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růstu-4'!$I$46:$I$81</c:f>
              <c:numCache>
                <c:formatCode>0.0</c:formatCode>
                <c:ptCount val="36"/>
                <c:pt idx="0">
                  <c:v>0.51550370389649958</c:v>
                </c:pt>
                <c:pt idx="1">
                  <c:v>0.62101310773750029</c:v>
                </c:pt>
                <c:pt idx="2">
                  <c:v>0.43506961802500088</c:v>
                </c:pt>
                <c:pt idx="3">
                  <c:v>0.50168865387910055</c:v>
                </c:pt>
                <c:pt idx="4">
                  <c:v>0.4550707532813994</c:v>
                </c:pt>
                <c:pt idx="5">
                  <c:v>0.16398578688570103</c:v>
                </c:pt>
                <c:pt idx="6">
                  <c:v>0.26977885261849965</c:v>
                </c:pt>
                <c:pt idx="7">
                  <c:v>0.51378188366290034</c:v>
                </c:pt>
                <c:pt idx="8">
                  <c:v>1.320133173034</c:v>
                </c:pt>
                <c:pt idx="9">
                  <c:v>1.0879288678140984</c:v>
                </c:pt>
                <c:pt idx="10">
                  <c:v>0.64134107873250112</c:v>
                </c:pt>
                <c:pt idx="11">
                  <c:v>0.30531118010650082</c:v>
                </c:pt>
                <c:pt idx="12">
                  <c:v>0.53332072309840062</c:v>
                </c:pt>
                <c:pt idx="13">
                  <c:v>0.37840292387820168</c:v>
                </c:pt>
                <c:pt idx="14">
                  <c:v>0.43569101400389965</c:v>
                </c:pt>
                <c:pt idx="15">
                  <c:v>-1.3079338160200678E-2</c:v>
                </c:pt>
                <c:pt idx="16">
                  <c:v>0.47288540072630031</c:v>
                </c:pt>
                <c:pt idx="17">
                  <c:v>0.12968213694649991</c:v>
                </c:pt>
                <c:pt idx="18">
                  <c:v>-0.12322397481160005</c:v>
                </c:pt>
                <c:pt idx="19">
                  <c:v>-0.21537552647130034</c:v>
                </c:pt>
                <c:pt idx="20">
                  <c:v>-1.1051686942919998</c:v>
                </c:pt>
                <c:pt idx="21">
                  <c:v>-4.3129281059486004</c:v>
                </c:pt>
                <c:pt idx="22">
                  <c:v>-4.4460675231578994</c:v>
                </c:pt>
                <c:pt idx="23">
                  <c:v>-2.3716048373777987</c:v>
                </c:pt>
                <c:pt idx="24">
                  <c:v>-1.4732703403763998</c:v>
                </c:pt>
                <c:pt idx="25">
                  <c:v>1.7697809683939403</c:v>
                </c:pt>
                <c:pt idx="26">
                  <c:v>1.8505450464600026</c:v>
                </c:pt>
                <c:pt idx="27">
                  <c:v>1.0498709638992363</c:v>
                </c:pt>
                <c:pt idx="28">
                  <c:v>1.8422319047019384</c:v>
                </c:pt>
                <c:pt idx="29">
                  <c:v>2.1447223452546771</c:v>
                </c:pt>
                <c:pt idx="30">
                  <c:v>1.8858572291093003</c:v>
                </c:pt>
                <c:pt idx="31">
                  <c:v>0.46980802110480063</c:v>
                </c:pt>
                <c:pt idx="32">
                  <c:v>-0.41208206934960218</c:v>
                </c:pt>
                <c:pt idx="33">
                  <c:v>-0.12512264228690917</c:v>
                </c:pt>
                <c:pt idx="34" formatCode="0.00">
                  <c:v>-0.23074839842521269</c:v>
                </c:pt>
              </c:numCache>
            </c:numRef>
          </c:val>
          <c:extLst>
            <c:ext xmlns:c16="http://schemas.microsoft.com/office/drawing/2014/chart" uri="{C3380CC4-5D6E-409C-BE32-E72D297353CC}">
              <c16:uniqueId val="{00000005-8B1B-4980-9223-E9848A64A0E4}"/>
            </c:ext>
          </c:extLst>
        </c:ser>
        <c:dLbls>
          <c:showLegendKey val="0"/>
          <c:showVal val="0"/>
          <c:showCatName val="0"/>
          <c:showSerName val="0"/>
          <c:showPercent val="0"/>
          <c:showBubbleSize val="0"/>
        </c:dLbls>
        <c:gapWidth val="20"/>
        <c:overlap val="100"/>
        <c:axId val="73058560"/>
        <c:axId val="74846208"/>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růstu-4'!$C$46:$C$81</c:f>
              <c:numCache>
                <c:formatCode>0.0</c:formatCode>
                <c:ptCount val="36"/>
                <c:pt idx="0">
                  <c:v>3.3389757055000047</c:v>
                </c:pt>
                <c:pt idx="1">
                  <c:v>2.7067050277999982</c:v>
                </c:pt>
                <c:pt idx="2">
                  <c:v>3.2709178656000026</c:v>
                </c:pt>
                <c:pt idx="3">
                  <c:v>2.2089354800999956</c:v>
                </c:pt>
                <c:pt idx="4">
                  <c:v>1.3188134916999978</c:v>
                </c:pt>
                <c:pt idx="5">
                  <c:v>-0.871847359200005</c:v>
                </c:pt>
                <c:pt idx="6">
                  <c:v>1.432916322599991</c:v>
                </c:pt>
                <c:pt idx="7">
                  <c:v>1.6231078297000079</c:v>
                </c:pt>
                <c:pt idx="8">
                  <c:v>5.6612801194000042</c:v>
                </c:pt>
                <c:pt idx="9">
                  <c:v>5.4428853814000036</c:v>
                </c:pt>
                <c:pt idx="10">
                  <c:v>3.3993920882000026</c:v>
                </c:pt>
                <c:pt idx="11">
                  <c:v>2.5070727970000082</c:v>
                </c:pt>
                <c:pt idx="12">
                  <c:v>5.0684890596999859</c:v>
                </c:pt>
                <c:pt idx="13">
                  <c:v>3.4835722001000002</c:v>
                </c:pt>
                <c:pt idx="14">
                  <c:v>3.6922427452000037</c:v>
                </c:pt>
                <c:pt idx="15">
                  <c:v>1.0703178197999961</c:v>
                </c:pt>
                <c:pt idx="16">
                  <c:v>3.5773888026000011</c:v>
                </c:pt>
                <c:pt idx="17">
                  <c:v>1.9755475901000081</c:v>
                </c:pt>
                <c:pt idx="18">
                  <c:v>-0.81246141469999711</c:v>
                </c:pt>
                <c:pt idx="19">
                  <c:v>-0.15760277260000066</c:v>
                </c:pt>
                <c:pt idx="20">
                  <c:v>-3.7058485394999963</c:v>
                </c:pt>
                <c:pt idx="21">
                  <c:v>-19.646669998500002</c:v>
                </c:pt>
                <c:pt idx="22">
                  <c:v>-12.602196924200006</c:v>
                </c:pt>
                <c:pt idx="23">
                  <c:v>-10.913780029100016</c:v>
                </c:pt>
                <c:pt idx="24">
                  <c:v>-6.4008194153999938</c:v>
                </c:pt>
                <c:pt idx="25">
                  <c:v>14.785941922700005</c:v>
                </c:pt>
                <c:pt idx="26">
                  <c:v>9.8363909518000003</c:v>
                </c:pt>
                <c:pt idx="27">
                  <c:v>12.659313517100006</c:v>
                </c:pt>
                <c:pt idx="28">
                  <c:v>14.074786841800027</c:v>
                </c:pt>
                <c:pt idx="29">
                  <c:v>12.264455162999994</c:v>
                </c:pt>
                <c:pt idx="30">
                  <c:v>7.1886391511999905</c:v>
                </c:pt>
                <c:pt idx="31">
                  <c:v>1.6026476221999957</c:v>
                </c:pt>
                <c:pt idx="32">
                  <c:v>-0.25746849710000747</c:v>
                </c:pt>
                <c:pt idx="33">
                  <c:v>-3.3419688576999982</c:v>
                </c:pt>
                <c:pt idx="34">
                  <c:v>-5.0850664621000021</c:v>
                </c:pt>
              </c:numCache>
            </c:numRef>
          </c:val>
          <c:smooth val="0"/>
          <c:extLst>
            <c:ext xmlns:c16="http://schemas.microsoft.com/office/drawing/2014/chart" uri="{C3380CC4-5D6E-409C-BE32-E72D297353CC}">
              <c16:uniqueId val="{00000006-8B1B-4980-9223-E9848A64A0E4}"/>
            </c:ext>
          </c:extLst>
        </c:ser>
        <c:dLbls>
          <c:showLegendKey val="0"/>
          <c:showVal val="0"/>
          <c:showCatName val="0"/>
          <c:showSerName val="0"/>
          <c:showPercent val="0"/>
          <c:showBubbleSize val="0"/>
        </c:dLbls>
        <c:marker val="1"/>
        <c:smooth val="0"/>
        <c:axId val="73058560"/>
        <c:axId val="74846208"/>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růstu-4'!$J$46:$J$81</c:f>
              <c:numCache>
                <c:formatCode>#\ ##0.0</c:formatCode>
                <c:ptCount val="36"/>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pt idx="35" formatCode="0.0">
                  <c:v>22.7</c:v>
                </c:pt>
              </c:numCache>
            </c:numRef>
          </c:val>
          <c:smooth val="0"/>
          <c:extLst>
            <c:ext xmlns:c16="http://schemas.microsoft.com/office/drawing/2014/chart" uri="{C3380CC4-5D6E-409C-BE32-E72D297353CC}">
              <c16:uniqueId val="{00000007-8B1B-4980-9223-E9848A64A0E4}"/>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růstu-4'!$K$46:$K$81</c:f>
              <c:numCache>
                <c:formatCode>#\ ##0.0</c:formatCode>
                <c:ptCount val="36"/>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pt idx="31">
                  <c:v>17.600000000000001</c:v>
                </c:pt>
                <c:pt idx="32">
                  <c:v>25.4</c:v>
                </c:pt>
                <c:pt idx="33">
                  <c:v>19.100000000000001</c:v>
                </c:pt>
                <c:pt idx="34">
                  <c:v>26</c:v>
                </c:pt>
              </c:numCache>
            </c:numRef>
          </c:val>
          <c:smooth val="0"/>
          <c:extLst>
            <c:ext xmlns:c16="http://schemas.microsoft.com/office/drawing/2014/chart" uri="{C3380CC4-5D6E-409C-BE32-E72D297353CC}">
              <c16:uniqueId val="{00000008-8B1B-4980-9223-E9848A64A0E4}"/>
            </c:ext>
          </c:extLst>
        </c:ser>
        <c:ser>
          <c:idx val="9"/>
          <c:order val="9"/>
          <c:tx>
            <c:strRef>
              <c:f>'Služby-příspěvkyk růstu-4'!$L$33</c:f>
              <c:strCache>
                <c:ptCount val="1"/>
                <c:pt idx="0">
                  <c:v>Bariéra růstu: nedostatek pracovníků</c:v>
                </c:pt>
              </c:strCache>
            </c:strRef>
          </c:tx>
          <c:spPr>
            <a:ln w="15875">
              <a:solidFill>
                <a:srgbClr val="CA945E"/>
              </a:solidFill>
              <a:prstDash val="sysDash"/>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růstu-4'!$L$46:$L$81</c:f>
              <c:numCache>
                <c:formatCode>#\ ##0.0</c:formatCode>
                <c:ptCount val="36"/>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9.7000000000000011</c:v>
                </c:pt>
                <c:pt idx="34">
                  <c:v>9.2000000000000011</c:v>
                </c:pt>
              </c:numCache>
            </c:numRef>
          </c:val>
          <c:smooth val="0"/>
          <c:extLst>
            <c:ext xmlns:c16="http://schemas.microsoft.com/office/drawing/2014/chart" uri="{C3380CC4-5D6E-409C-BE32-E72D297353CC}">
              <c16:uniqueId val="{00000009-8B1B-4980-9223-E9848A64A0E4}"/>
            </c:ext>
          </c:extLst>
        </c:ser>
        <c:ser>
          <c:idx val="10"/>
          <c:order val="10"/>
          <c:tx>
            <c:strRef>
              <c:f>'Služby-příspěvkyk růstu-4'!$M$33</c:f>
              <c:strCache>
                <c:ptCount val="1"/>
                <c:pt idx="0">
                  <c:v>Tržby celkem (báze 2015=100, stálé ceny)</c:v>
                </c:pt>
              </c:strCache>
            </c:strRef>
          </c:tx>
          <c:spPr>
            <a:ln w="15875">
              <a:solidFill>
                <a:schemeClr val="tx1"/>
              </a:solidFill>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růstu-4'!$M$46:$M$81</c:f>
              <c:numCache>
                <c:formatCode>0.0</c:formatCode>
                <c:ptCount val="36"/>
                <c:pt idx="0">
                  <c:v>98.905869400000142</c:v>
                </c:pt>
                <c:pt idx="1">
                  <c:v>99.939744966700005</c:v>
                </c:pt>
                <c:pt idx="2">
                  <c:v>100.46069412999999</c:v>
                </c:pt>
                <c:pt idx="3">
                  <c:v>100.69369150670001</c:v>
                </c:pt>
                <c:pt idx="4">
                  <c:v>99.506269490000221</c:v>
                </c:pt>
                <c:pt idx="5">
                  <c:v>99.882932769999798</c:v>
                </c:pt>
                <c:pt idx="6">
                  <c:v>101.6454132667</c:v>
                </c:pt>
                <c:pt idx="7">
                  <c:v>103.1425757933</c:v>
                </c:pt>
                <c:pt idx="8">
                  <c:v>103.7536856167</c:v>
                </c:pt>
                <c:pt idx="9">
                  <c:v>105.19867788669973</c:v>
                </c:pt>
                <c:pt idx="10">
                  <c:v>105.3356622867</c:v>
                </c:pt>
                <c:pt idx="11">
                  <c:v>106.72097377670001</c:v>
                </c:pt>
                <c:pt idx="12">
                  <c:v>107.91535113669973</c:v>
                </c:pt>
                <c:pt idx="13">
                  <c:v>108.70616911330002</c:v>
                </c:pt>
                <c:pt idx="14">
                  <c:v>109.37278169669965</c:v>
                </c:pt>
                <c:pt idx="15">
                  <c:v>108.88805681669959</c:v>
                </c:pt>
                <c:pt idx="16">
                  <c:v>110.44627128330025</c:v>
                </c:pt>
                <c:pt idx="17">
                  <c:v>110.87756216</c:v>
                </c:pt>
                <c:pt idx="18">
                  <c:v>109.16473103669968</c:v>
                </c:pt>
                <c:pt idx="19">
                  <c:v>108.93584104999998</c:v>
                </c:pt>
                <c:pt idx="20">
                  <c:v>105.36793023669976</c:v>
                </c:pt>
                <c:pt idx="21">
                  <c:v>90.203880829999989</c:v>
                </c:pt>
                <c:pt idx="22">
                  <c:v>97.528267896699774</c:v>
                </c:pt>
                <c:pt idx="23">
                  <c:v>95.952761640000006</c:v>
                </c:pt>
                <c:pt idx="24">
                  <c:v>97.5220549533</c:v>
                </c:pt>
                <c:pt idx="25">
                  <c:v>102.23534626670001</c:v>
                </c:pt>
                <c:pt idx="26">
                  <c:v>106.43087342000014</c:v>
                </c:pt>
                <c:pt idx="27">
                  <c:v>109.46740578000025</c:v>
                </c:pt>
                <c:pt idx="28">
                  <c:v>111.4959124467</c:v>
                </c:pt>
                <c:pt idx="29">
                  <c:v>114.00099968000025</c:v>
                </c:pt>
                <c:pt idx="30">
                  <c:v>113.70761105000012</c:v>
                </c:pt>
                <c:pt idx="31">
                  <c:v>112.18084996669982</c:v>
                </c:pt>
                <c:pt idx="32">
                  <c:v>111.19764715669973</c:v>
                </c:pt>
                <c:pt idx="33">
                  <c:v>109.4840081433</c:v>
                </c:pt>
                <c:pt idx="34">
                  <c:v>108.08110653999998</c:v>
                </c:pt>
              </c:numCache>
            </c:numRef>
          </c:val>
          <c:smooth val="0"/>
          <c:extLst>
            <c:ext xmlns:c16="http://schemas.microsoft.com/office/drawing/2014/chart" uri="{C3380CC4-5D6E-409C-BE32-E72D297353CC}">
              <c16:uniqueId val="{0000000A-8B1B-4980-9223-E9848A64A0E4}"/>
            </c:ext>
          </c:extLst>
        </c:ser>
        <c:ser>
          <c:idx val="11"/>
          <c:order val="11"/>
          <c:tx>
            <c:strRef>
              <c:f>'Služby-příspěvkyk růstu-4'!$N$33</c:f>
              <c:strCache>
                <c:ptCount val="1"/>
                <c:pt idx="0">
                  <c:v>Tržby celkem (báze 2015=100, běžné ceny)</c:v>
                </c:pt>
              </c:strCache>
            </c:strRef>
          </c:tx>
          <c:spPr>
            <a:ln w="15875">
              <a:solidFill>
                <a:schemeClr val="bg2">
                  <a:lumMod val="25000"/>
                </a:schemeClr>
              </a:solidFill>
              <a:prstDash val="sysDash"/>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růstu-4'!$N$46:$N$81</c:f>
              <c:numCache>
                <c:formatCode>0.0</c:formatCode>
                <c:ptCount val="36"/>
                <c:pt idx="0">
                  <c:v>98.878809526699655</c:v>
                </c:pt>
                <c:pt idx="1">
                  <c:v>99.932801119999738</c:v>
                </c:pt>
                <c:pt idx="2">
                  <c:v>100.47612456000014</c:v>
                </c:pt>
                <c:pt idx="3">
                  <c:v>100.71226479000025</c:v>
                </c:pt>
                <c:pt idx="4">
                  <c:v>99.601623460000241</c:v>
                </c:pt>
                <c:pt idx="5">
                  <c:v>100.2234790433</c:v>
                </c:pt>
                <c:pt idx="6">
                  <c:v>102.13593757999976</c:v>
                </c:pt>
                <c:pt idx="7">
                  <c:v>103.95381924330017</c:v>
                </c:pt>
                <c:pt idx="8">
                  <c:v>105.28339829999986</c:v>
                </c:pt>
                <c:pt idx="9">
                  <c:v>107.13280340670001</c:v>
                </c:pt>
                <c:pt idx="10">
                  <c:v>107.78245525</c:v>
                </c:pt>
                <c:pt idx="11">
                  <c:v>109.74135017</c:v>
                </c:pt>
                <c:pt idx="12">
                  <c:v>111.4458726133</c:v>
                </c:pt>
                <c:pt idx="13">
                  <c:v>112.96754313330014</c:v>
                </c:pt>
                <c:pt idx="14">
                  <c:v>114.32754983669973</c:v>
                </c:pt>
                <c:pt idx="15">
                  <c:v>114.67629783669962</c:v>
                </c:pt>
                <c:pt idx="16">
                  <c:v>116.72200621330001</c:v>
                </c:pt>
                <c:pt idx="17">
                  <c:v>118.4237964933</c:v>
                </c:pt>
                <c:pt idx="18">
                  <c:v>117.19000776670001</c:v>
                </c:pt>
                <c:pt idx="19">
                  <c:v>117.1905607767</c:v>
                </c:pt>
                <c:pt idx="20">
                  <c:v>113.2309142367</c:v>
                </c:pt>
                <c:pt idx="21">
                  <c:v>96.647774276699764</c:v>
                </c:pt>
                <c:pt idx="22">
                  <c:v>105.48850793</c:v>
                </c:pt>
                <c:pt idx="23">
                  <c:v>103.67207354999977</c:v>
                </c:pt>
                <c:pt idx="24">
                  <c:v>105.5127988666997</c:v>
                </c:pt>
                <c:pt idx="25">
                  <c:v>111.35872837999975</c:v>
                </c:pt>
                <c:pt idx="26">
                  <c:v>117.05419338670002</c:v>
                </c:pt>
                <c:pt idx="27">
                  <c:v>121.5423597267</c:v>
                </c:pt>
                <c:pt idx="28">
                  <c:v>126.65151452329998</c:v>
                </c:pt>
                <c:pt idx="29">
                  <c:v>132.02599443670002</c:v>
                </c:pt>
                <c:pt idx="30">
                  <c:v>134.7672243067</c:v>
                </c:pt>
                <c:pt idx="31">
                  <c:v>135.14911649329997</c:v>
                </c:pt>
                <c:pt idx="32">
                  <c:v>136.84704194330001</c:v>
                </c:pt>
                <c:pt idx="33">
                  <c:v>136.96280904330001</c:v>
                </c:pt>
                <c:pt idx="34">
                  <c:v>136.95675109000001</c:v>
                </c:pt>
              </c:numCache>
            </c:numRef>
          </c:val>
          <c:smooth val="0"/>
          <c:extLst>
            <c:ext xmlns:c16="http://schemas.microsoft.com/office/drawing/2014/chart" uri="{C3380CC4-5D6E-409C-BE32-E72D297353CC}">
              <c16:uniqueId val="{0000000B-8B1B-4980-9223-E9848A64A0E4}"/>
            </c:ext>
          </c:extLst>
        </c:ser>
        <c:dLbls>
          <c:showLegendKey val="0"/>
          <c:showVal val="0"/>
          <c:showCatName val="0"/>
          <c:showSerName val="0"/>
          <c:showPercent val="0"/>
          <c:showBubbleSize val="0"/>
        </c:dLbls>
        <c:marker val="1"/>
        <c:smooth val="0"/>
        <c:axId val="74850304"/>
        <c:axId val="74848128"/>
      </c:lineChart>
      <c:catAx>
        <c:axId val="73058560"/>
        <c:scaling>
          <c:orientation val="minMax"/>
        </c:scaling>
        <c:delete val="0"/>
        <c:axPos val="b"/>
        <c:numFmt formatCode="General" sourceLinked="0"/>
        <c:majorTickMark val="out"/>
        <c:minorTickMark val="none"/>
        <c:tickLblPos val="low"/>
        <c:txPr>
          <a:bodyPr/>
          <a:lstStyle/>
          <a:p>
            <a:pPr>
              <a:defRPr sz="800"/>
            </a:pPr>
            <a:endParaRPr lang="cs-CZ"/>
          </a:p>
        </c:txPr>
        <c:crossAx val="74846208"/>
        <c:crosses val="autoZero"/>
        <c:auto val="1"/>
        <c:lblAlgn val="ctr"/>
        <c:lblOffset val="0"/>
        <c:noMultiLvlLbl val="0"/>
      </c:catAx>
      <c:valAx>
        <c:axId val="74846208"/>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Tržby (příspěvky k</a:t>
                </a:r>
                <a:r>
                  <a:rPr lang="cs-CZ" sz="700" b="0" i="1" baseline="0"/>
                  <a:t> meziroč. změně)</a:t>
                </a:r>
                <a:endParaRPr lang="cs-CZ" sz="700" b="0" i="1"/>
              </a:p>
            </c:rich>
          </c:tx>
          <c:layout>
            <c:manualLayout>
              <c:xMode val="edge"/>
              <c:yMode val="edge"/>
              <c:x val="0"/>
              <c:y val="0.13649265511219577"/>
            </c:manualLayout>
          </c:layout>
          <c:overlay val="0"/>
        </c:title>
        <c:numFmt formatCode="0" sourceLinked="0"/>
        <c:majorTickMark val="out"/>
        <c:minorTickMark val="none"/>
        <c:tickLblPos val="nextTo"/>
        <c:txPr>
          <a:bodyPr/>
          <a:lstStyle/>
          <a:p>
            <a:pPr>
              <a:defRPr sz="800"/>
            </a:pPr>
            <a:endParaRPr lang="cs-CZ"/>
          </a:p>
        </c:txPr>
        <c:crossAx val="73058560"/>
        <c:crosses val="autoZero"/>
        <c:crossBetween val="between"/>
        <c:majorUnit val="5"/>
      </c:valAx>
      <c:valAx>
        <c:axId val="74848128"/>
        <c:scaling>
          <c:orientation val="minMax"/>
          <c:max val="15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(báze 2015=100)</a:t>
                </a:r>
                <a:r>
                  <a:rPr lang="cs-CZ" sz="700" b="0" i="1"/>
                  <a:t>,Saldo důvěry, bariéry růstu</a:t>
                </a:r>
              </a:p>
            </c:rich>
          </c:tx>
          <c:layout>
            <c:manualLayout>
              <c:xMode val="edge"/>
              <c:yMode val="edge"/>
              <c:x val="0.97059962406015143"/>
              <c:y val="7.2968499427262412E-2"/>
            </c:manualLayout>
          </c:layout>
          <c:overlay val="0"/>
        </c:title>
        <c:numFmt formatCode="0" sourceLinked="0"/>
        <c:majorTickMark val="out"/>
        <c:minorTickMark val="none"/>
        <c:tickLblPos val="nextTo"/>
        <c:txPr>
          <a:bodyPr/>
          <a:lstStyle/>
          <a:p>
            <a:pPr>
              <a:defRPr sz="800"/>
            </a:pPr>
            <a:endParaRPr lang="cs-CZ"/>
          </a:p>
        </c:txPr>
        <c:crossAx val="74850304"/>
        <c:crosses val="max"/>
        <c:crossBetween val="between"/>
        <c:majorUnit val="20"/>
      </c:valAx>
      <c:catAx>
        <c:axId val="74850304"/>
        <c:scaling>
          <c:orientation val="minMax"/>
        </c:scaling>
        <c:delete val="1"/>
        <c:axPos val="b"/>
        <c:numFmt formatCode="General" sourceLinked="1"/>
        <c:majorTickMark val="out"/>
        <c:minorTickMark val="none"/>
        <c:tickLblPos val="none"/>
        <c:crossAx val="74848128"/>
        <c:crosses val="autoZero"/>
        <c:auto val="1"/>
        <c:lblAlgn val="ctr"/>
        <c:lblOffset val="100"/>
        <c:noMultiLvlLbl val="0"/>
      </c:catAx>
      <c:spPr>
        <a:ln>
          <a:solidFill>
            <a:schemeClr val="tx1"/>
          </a:solidFill>
        </a:ln>
      </c:spPr>
    </c:plotArea>
    <c:legend>
      <c:legendPos val="r"/>
      <c:layout>
        <c:manualLayout>
          <c:xMode val="edge"/>
          <c:yMode val="edge"/>
          <c:x val="2.7894149438737292E-3"/>
          <c:y val="0.80683901693256233"/>
          <c:w val="0.99229354112782886"/>
          <c:h val="0.18952404020147068"/>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1666861125885E-2"/>
          <c:y val="1.580332867898751E-2"/>
          <c:w val="0.85082109029523223"/>
          <c:h val="0.73450542783153383"/>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5a'!$E$67:$E$102</c:f>
              <c:numCache>
                <c:formatCode>#\ ##0.0</c:formatCode>
                <c:ptCount val="36"/>
                <c:pt idx="0">
                  <c:v>1.7968525782652047</c:v>
                </c:pt>
                <c:pt idx="1">
                  <c:v>1.1791224568789191</c:v>
                </c:pt>
                <c:pt idx="2">
                  <c:v>1.9051719303199939</c:v>
                </c:pt>
                <c:pt idx="3">
                  <c:v>1.4451215295824826</c:v>
                </c:pt>
                <c:pt idx="4">
                  <c:v>1.7447279503492539</c:v>
                </c:pt>
                <c:pt idx="5">
                  <c:v>1.4640451669330634</c:v>
                </c:pt>
                <c:pt idx="6">
                  <c:v>0.97147083630208475</c:v>
                </c:pt>
                <c:pt idx="7">
                  <c:v>-7.5069133018737355E-2</c:v>
                </c:pt>
                <c:pt idx="8">
                  <c:v>0.73425778243231121</c:v>
                </c:pt>
                <c:pt idx="9">
                  <c:v>1.3336221651849498</c:v>
                </c:pt>
                <c:pt idx="10">
                  <c:v>1.148264067935566</c:v>
                </c:pt>
                <c:pt idx="11">
                  <c:v>0.8954293037390092</c:v>
                </c:pt>
                <c:pt idx="12">
                  <c:v>1.5129556035207505</c:v>
                </c:pt>
                <c:pt idx="13">
                  <c:v>0.53724684179172832</c:v>
                </c:pt>
                <c:pt idx="14">
                  <c:v>0.98097838613194444</c:v>
                </c:pt>
                <c:pt idx="15">
                  <c:v>0.45895493544282689</c:v>
                </c:pt>
                <c:pt idx="16">
                  <c:v>0.67460527770247913</c:v>
                </c:pt>
                <c:pt idx="17">
                  <c:v>1.1938610134109717</c:v>
                </c:pt>
                <c:pt idx="18">
                  <c:v>0.63015847733735963</c:v>
                </c:pt>
                <c:pt idx="19">
                  <c:v>0.62923634699872177</c:v>
                </c:pt>
                <c:pt idx="20">
                  <c:v>0.94695941255828553</c:v>
                </c:pt>
                <c:pt idx="21">
                  <c:v>-1.1878021201060347</c:v>
                </c:pt>
                <c:pt idx="22">
                  <c:v>-0.3983694607476902</c:v>
                </c:pt>
                <c:pt idx="23">
                  <c:v>0.24484515142503194</c:v>
                </c:pt>
                <c:pt idx="24">
                  <c:v>-0.44870069660916562</c:v>
                </c:pt>
                <c:pt idx="25">
                  <c:v>0.43470456459783902</c:v>
                </c:pt>
                <c:pt idx="26">
                  <c:v>-0.30638524812564916</c:v>
                </c:pt>
                <c:pt idx="27">
                  <c:v>-0.18456896753972343</c:v>
                </c:pt>
                <c:pt idx="28">
                  <c:v>-0.2644332124970542</c:v>
                </c:pt>
                <c:pt idx="29">
                  <c:v>-1.298273733857183</c:v>
                </c:pt>
                <c:pt idx="30">
                  <c:v>-2.2978022374091576</c:v>
                </c:pt>
                <c:pt idx="31">
                  <c:v>-3.2170485582896302</c:v>
                </c:pt>
                <c:pt idx="32">
                  <c:v>-3.0583403638996027</c:v>
                </c:pt>
                <c:pt idx="33">
                  <c:v>-2.6836694341765037</c:v>
                </c:pt>
                <c:pt idx="34">
                  <c:v>-1.4597855506262141</c:v>
                </c:pt>
              </c:numCache>
            </c:numRef>
          </c:val>
          <c:extLst>
            <c:ext xmlns:c16="http://schemas.microsoft.com/office/drawing/2014/chart" uri="{C3380CC4-5D6E-409C-BE32-E72D297353CC}">
              <c16:uniqueId val="{00000000-BCC9-4655-9695-1D377C3AC754}"/>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5a'!$F$67:$F$102</c:f>
              <c:numCache>
                <c:formatCode>#\ ##0.0</c:formatCode>
                <c:ptCount val="36"/>
                <c:pt idx="0">
                  <c:v>3.5337647628605269</c:v>
                </c:pt>
                <c:pt idx="1">
                  <c:v>4.0403269648807054</c:v>
                </c:pt>
                <c:pt idx="2">
                  <c:v>2.8414781046087576</c:v>
                </c:pt>
                <c:pt idx="3">
                  <c:v>3.7696029154089437</c:v>
                </c:pt>
                <c:pt idx="4">
                  <c:v>2.8247932220754692</c:v>
                </c:pt>
                <c:pt idx="5">
                  <c:v>2.6799731375621909</c:v>
                </c:pt>
                <c:pt idx="6">
                  <c:v>3.347941642924769</c:v>
                </c:pt>
                <c:pt idx="7">
                  <c:v>3.6402362968460422</c:v>
                </c:pt>
                <c:pt idx="8">
                  <c:v>4.3767111447936307</c:v>
                </c:pt>
                <c:pt idx="9">
                  <c:v>4.6063896710500005</c:v>
                </c:pt>
                <c:pt idx="10">
                  <c:v>4.1933467197549064</c:v>
                </c:pt>
                <c:pt idx="11">
                  <c:v>4.8248475939610485</c:v>
                </c:pt>
                <c:pt idx="12">
                  <c:v>4.1828625238720027</c:v>
                </c:pt>
                <c:pt idx="13">
                  <c:v>3.5054484803167845</c:v>
                </c:pt>
                <c:pt idx="14">
                  <c:v>2.8194389746795347</c:v>
                </c:pt>
                <c:pt idx="15">
                  <c:v>3.9553867638573252</c:v>
                </c:pt>
                <c:pt idx="16">
                  <c:v>4.4354535369958406</c:v>
                </c:pt>
                <c:pt idx="17">
                  <c:v>3.3723462442148189</c:v>
                </c:pt>
                <c:pt idx="18">
                  <c:v>3.7256703958918869</c:v>
                </c:pt>
                <c:pt idx="19">
                  <c:v>3.4440592495195479</c:v>
                </c:pt>
                <c:pt idx="20">
                  <c:v>-2.8251709833996521E-2</c:v>
                </c:pt>
                <c:pt idx="21">
                  <c:v>0.37120321946990481</c:v>
                </c:pt>
                <c:pt idx="22">
                  <c:v>1.7529788946207687</c:v>
                </c:pt>
                <c:pt idx="23">
                  <c:v>-1.0606589154268844</c:v>
                </c:pt>
                <c:pt idx="24">
                  <c:v>1.1032352547156199</c:v>
                </c:pt>
                <c:pt idx="25">
                  <c:v>5.7270426184807475</c:v>
                </c:pt>
                <c:pt idx="26">
                  <c:v>3.8044410655375258</c:v>
                </c:pt>
                <c:pt idx="27">
                  <c:v>5.2471277682417368</c:v>
                </c:pt>
                <c:pt idx="28">
                  <c:v>5.410120611589333</c:v>
                </c:pt>
                <c:pt idx="29">
                  <c:v>-1.1295059503721878</c:v>
                </c:pt>
                <c:pt idx="30">
                  <c:v>-3.8961561368469937</c:v>
                </c:pt>
                <c:pt idx="31">
                  <c:v>-5.6072512750233061</c:v>
                </c:pt>
                <c:pt idx="32">
                  <c:v>-4.821794966215549</c:v>
                </c:pt>
                <c:pt idx="33">
                  <c:v>-4.4671466167491065</c:v>
                </c:pt>
                <c:pt idx="34">
                  <c:v>-2.5375974678224229</c:v>
                </c:pt>
              </c:numCache>
            </c:numRef>
          </c:val>
          <c:extLst>
            <c:ext xmlns:c16="http://schemas.microsoft.com/office/drawing/2014/chart" uri="{C3380CC4-5D6E-409C-BE32-E72D297353CC}">
              <c16:uniqueId val="{00000001-BCC9-4655-9695-1D377C3AC754}"/>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5a'!$G$67:$G$102</c:f>
              <c:numCache>
                <c:formatCode>#\ ##0.0</c:formatCode>
                <c:ptCount val="36"/>
                <c:pt idx="0">
                  <c:v>0.75359194510045113</c:v>
                </c:pt>
                <c:pt idx="1">
                  <c:v>0.58821183102713259</c:v>
                </c:pt>
                <c:pt idx="2">
                  <c:v>0.79399459687356122</c:v>
                </c:pt>
                <c:pt idx="3">
                  <c:v>0.93961068819571214</c:v>
                </c:pt>
                <c:pt idx="4">
                  <c:v>0.69214098521927592</c:v>
                </c:pt>
                <c:pt idx="5">
                  <c:v>0.70440464135882064</c:v>
                </c:pt>
                <c:pt idx="6">
                  <c:v>0.62814320050368844</c:v>
                </c:pt>
                <c:pt idx="7">
                  <c:v>0.6256127692880088</c:v>
                </c:pt>
                <c:pt idx="8">
                  <c:v>0.51956983975724524</c:v>
                </c:pt>
                <c:pt idx="9">
                  <c:v>0.77336135806484263</c:v>
                </c:pt>
                <c:pt idx="10">
                  <c:v>0.84841829183324158</c:v>
                </c:pt>
                <c:pt idx="11">
                  <c:v>0.68454565742255302</c:v>
                </c:pt>
                <c:pt idx="12">
                  <c:v>0.6756119584809922</c:v>
                </c:pt>
                <c:pt idx="13">
                  <c:v>0.59075079613408432</c:v>
                </c:pt>
                <c:pt idx="14">
                  <c:v>0.37399713498271248</c:v>
                </c:pt>
                <c:pt idx="15">
                  <c:v>0.42674113172704531</c:v>
                </c:pt>
                <c:pt idx="16">
                  <c:v>0.55629349987096333</c:v>
                </c:pt>
                <c:pt idx="17">
                  <c:v>0.26295616202476996</c:v>
                </c:pt>
                <c:pt idx="18">
                  <c:v>0.19423130649799975</c:v>
                </c:pt>
                <c:pt idx="19">
                  <c:v>5.5904565164944207E-2</c:v>
                </c:pt>
                <c:pt idx="20">
                  <c:v>-0.75350296737444378</c:v>
                </c:pt>
                <c:pt idx="21">
                  <c:v>-2.0525680822481127</c:v>
                </c:pt>
                <c:pt idx="22">
                  <c:v>-4.8140542119499433E-2</c:v>
                </c:pt>
                <c:pt idx="23">
                  <c:v>-1.2048671034914455</c:v>
                </c:pt>
                <c:pt idx="24">
                  <c:v>-0.81267731005197164</c:v>
                </c:pt>
                <c:pt idx="25">
                  <c:v>1.0340829352131842</c:v>
                </c:pt>
                <c:pt idx="26">
                  <c:v>0.39031023614333382</c:v>
                </c:pt>
                <c:pt idx="27">
                  <c:v>0.99584083683099589</c:v>
                </c:pt>
                <c:pt idx="28">
                  <c:v>1.3779403028643198</c:v>
                </c:pt>
                <c:pt idx="29">
                  <c:v>-0.54234422696138462</c:v>
                </c:pt>
                <c:pt idx="30">
                  <c:v>-1.2771841004606979</c:v>
                </c:pt>
                <c:pt idx="31">
                  <c:v>-0.33380431462007554</c:v>
                </c:pt>
                <c:pt idx="32">
                  <c:v>0.10899603083301324</c:v>
                </c:pt>
                <c:pt idx="33">
                  <c:v>0.99048639120450221</c:v>
                </c:pt>
                <c:pt idx="34">
                  <c:v>0.93576240072162853</c:v>
                </c:pt>
              </c:numCache>
            </c:numRef>
          </c:val>
          <c:extLst>
            <c:ext xmlns:c16="http://schemas.microsoft.com/office/drawing/2014/chart" uri="{C3380CC4-5D6E-409C-BE32-E72D297353CC}">
              <c16:uniqueId val="{00000002-BCC9-4655-9695-1D377C3AC754}"/>
            </c:ext>
          </c:extLst>
        </c:ser>
        <c:dLbls>
          <c:showLegendKey val="0"/>
          <c:showVal val="0"/>
          <c:showCatName val="0"/>
          <c:showSerName val="0"/>
          <c:showPercent val="0"/>
          <c:showBubbleSize val="0"/>
        </c:dLbls>
        <c:gapWidth val="31"/>
        <c:overlap val="100"/>
        <c:axId val="74902912"/>
        <c:axId val="74950144"/>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5a'!$D$67:$D$102</c:f>
              <c:numCache>
                <c:formatCode>#\ ##0.0</c:formatCode>
                <c:ptCount val="36"/>
                <c:pt idx="0">
                  <c:v>5.9636205444000012</c:v>
                </c:pt>
                <c:pt idx="1">
                  <c:v>5.5921884395999815</c:v>
                </c:pt>
                <c:pt idx="2">
                  <c:v>5.5022460545000094</c:v>
                </c:pt>
                <c:pt idx="3">
                  <c:v>6.0250321769999848</c:v>
                </c:pt>
                <c:pt idx="4">
                  <c:v>5.2059376710999903</c:v>
                </c:pt>
                <c:pt idx="5">
                  <c:v>4.7779836855000104</c:v>
                </c:pt>
                <c:pt idx="6">
                  <c:v>4.7634220096000064</c:v>
                </c:pt>
                <c:pt idx="7">
                  <c:v>3.906217172500007</c:v>
                </c:pt>
                <c:pt idx="8">
                  <c:v>5.3191682382000067</c:v>
                </c:pt>
                <c:pt idx="9">
                  <c:v>6.4643894589999942</c:v>
                </c:pt>
                <c:pt idx="10">
                  <c:v>5.9751578491999933</c:v>
                </c:pt>
                <c:pt idx="11">
                  <c:v>6.1621326275999806</c:v>
                </c:pt>
                <c:pt idx="12">
                  <c:v>6.3390670470000003</c:v>
                </c:pt>
                <c:pt idx="13">
                  <c:v>4.6648962080999832</c:v>
                </c:pt>
                <c:pt idx="14">
                  <c:v>4.1971443662999723</c:v>
                </c:pt>
                <c:pt idx="15">
                  <c:v>4.8161135707999838</c:v>
                </c:pt>
                <c:pt idx="16">
                  <c:v>5.6537188417999857</c:v>
                </c:pt>
                <c:pt idx="17">
                  <c:v>4.8265636037999968</c:v>
                </c:pt>
                <c:pt idx="18">
                  <c:v>4.5452014837000103</c:v>
                </c:pt>
                <c:pt idx="19">
                  <c:v>4.1996486233999963</c:v>
                </c:pt>
                <c:pt idx="20">
                  <c:v>6.0491738300001513E-2</c:v>
                </c:pt>
                <c:pt idx="21">
                  <c:v>-2.8962995720000038</c:v>
                </c:pt>
                <c:pt idx="22">
                  <c:v>1.3291675252000061</c:v>
                </c:pt>
                <c:pt idx="23">
                  <c:v>-2.0263752827000019</c:v>
                </c:pt>
                <c:pt idx="24">
                  <c:v>-0.18412703469999794</c:v>
                </c:pt>
                <c:pt idx="25">
                  <c:v>7.280183678199994</c:v>
                </c:pt>
                <c:pt idx="26">
                  <c:v>3.9051822130000033</c:v>
                </c:pt>
                <c:pt idx="27">
                  <c:v>6.1717528727999955</c:v>
                </c:pt>
                <c:pt idx="28">
                  <c:v>6.5192475478000063</c:v>
                </c:pt>
                <c:pt idx="29">
                  <c:v>-2.9733049896999972</c:v>
                </c:pt>
                <c:pt idx="30">
                  <c:v>-7.4738450340000124</c:v>
                </c:pt>
                <c:pt idx="31">
                  <c:v>-9.1627770370000068</c:v>
                </c:pt>
                <c:pt idx="32">
                  <c:v>-7.7732172534999915</c:v>
                </c:pt>
                <c:pt idx="33">
                  <c:v>-6.1604638825999976</c:v>
                </c:pt>
                <c:pt idx="34">
                  <c:v>-3.0584799500999935</c:v>
                </c:pt>
              </c:numCache>
            </c:numRef>
          </c:val>
          <c:smooth val="0"/>
          <c:extLst>
            <c:ext xmlns:c16="http://schemas.microsoft.com/office/drawing/2014/chart" uri="{C3380CC4-5D6E-409C-BE32-E72D297353CC}">
              <c16:uniqueId val="{00000003-BCC9-4655-9695-1D377C3AC754}"/>
            </c:ext>
          </c:extLst>
        </c:ser>
        <c:dLbls>
          <c:showLegendKey val="0"/>
          <c:showVal val="0"/>
          <c:showCatName val="0"/>
          <c:showSerName val="0"/>
          <c:showPercent val="0"/>
          <c:showBubbleSize val="0"/>
        </c:dLbls>
        <c:marker val="1"/>
        <c:smooth val="0"/>
        <c:axId val="74902912"/>
        <c:axId val="74950144"/>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5a'!$H$67:$H$102</c:f>
              <c:numCache>
                <c:formatCode>#\ ##0.0</c:formatCode>
                <c:ptCount val="36"/>
                <c:pt idx="0">
                  <c:v>98.108903473300003</c:v>
                </c:pt>
                <c:pt idx="1">
                  <c:v>99.176423353299754</c:v>
                </c:pt>
                <c:pt idx="2">
                  <c:v>100.24040488000014</c:v>
                </c:pt>
                <c:pt idx="3">
                  <c:v>102.4742682967</c:v>
                </c:pt>
                <c:pt idx="4">
                  <c:v>103.00654075999998</c:v>
                </c:pt>
                <c:pt idx="5">
                  <c:v>104.00728415330002</c:v>
                </c:pt>
                <c:pt idx="6">
                  <c:v>105.24950234329998</c:v>
                </c:pt>
                <c:pt idx="7">
                  <c:v>106.61154646670002</c:v>
                </c:pt>
                <c:pt idx="8">
                  <c:v>108.19528997</c:v>
                </c:pt>
                <c:pt idx="9">
                  <c:v>110.67867867999976</c:v>
                </c:pt>
                <c:pt idx="10">
                  <c:v>111.78129380670002</c:v>
                </c:pt>
                <c:pt idx="11">
                  <c:v>113.06724078329999</c:v>
                </c:pt>
                <c:pt idx="12">
                  <c:v>114.63997826000001</c:v>
                </c:pt>
                <c:pt idx="13">
                  <c:v>116.12165418330002</c:v>
                </c:pt>
                <c:pt idx="14">
                  <c:v>116.8100051867</c:v>
                </c:pt>
                <c:pt idx="15">
                  <c:v>118.44840057330002</c:v>
                </c:pt>
                <c:pt idx="16">
                  <c:v>120.62811213669958</c:v>
                </c:pt>
                <c:pt idx="17">
                  <c:v>122.01406147330017</c:v>
                </c:pt>
                <c:pt idx="18">
                  <c:v>122.34251458330014</c:v>
                </c:pt>
                <c:pt idx="19">
                  <c:v>123.45318212669973</c:v>
                </c:pt>
                <c:pt idx="20">
                  <c:v>120.2493864533</c:v>
                </c:pt>
                <c:pt idx="21">
                  <c:v>118.9229640667</c:v>
                </c:pt>
                <c:pt idx="22">
                  <c:v>124.49863366330028</c:v>
                </c:pt>
                <c:pt idx="23">
                  <c:v>120.66876724669973</c:v>
                </c:pt>
                <c:pt idx="24">
                  <c:v>118.25474940330002</c:v>
                </c:pt>
                <c:pt idx="25">
                  <c:v>127.38867849330001</c:v>
                </c:pt>
                <c:pt idx="26">
                  <c:v>129.80928313329997</c:v>
                </c:pt>
                <c:pt idx="27">
                  <c:v>128.80356586329995</c:v>
                </c:pt>
                <c:pt idx="28">
                  <c:v>126.72139851329975</c:v>
                </c:pt>
                <c:pt idx="29">
                  <c:v>123.45271964000014</c:v>
                </c:pt>
                <c:pt idx="30">
                  <c:v>119.7811458533</c:v>
                </c:pt>
                <c:pt idx="31">
                  <c:v>117.71938768330014</c:v>
                </c:pt>
                <c:pt idx="32">
                  <c:v>117.2660458</c:v>
                </c:pt>
                <c:pt idx="33">
                  <c:v>115.98201987669979</c:v>
                </c:pt>
                <c:pt idx="34">
                  <c:v>115.78445365000017</c:v>
                </c:pt>
              </c:numCache>
            </c:numRef>
          </c:val>
          <c:smooth val="0"/>
          <c:extLst>
            <c:ext xmlns:c16="http://schemas.microsoft.com/office/drawing/2014/chart" uri="{C3380CC4-5D6E-409C-BE32-E72D297353CC}">
              <c16:uniqueId val="{00000004-BCC9-4655-9695-1D377C3AC754}"/>
            </c:ext>
          </c:extLst>
        </c:ser>
        <c:ser>
          <c:idx val="2"/>
          <c:order val="5"/>
          <c:tx>
            <c:strRef>
              <c:f>'výkonnost odvětví 5a'!$I$66</c:f>
              <c:strCache>
                <c:ptCount val="1"/>
                <c:pt idx="0">
                  <c:v>z toho: maloobchod.prodej PHM (2015=100)</c:v>
                </c:pt>
              </c:strCache>
            </c:strRef>
          </c:tx>
          <c:spPr>
            <a:ln w="15875">
              <a:solidFill>
                <a:schemeClr val="bg2">
                  <a:lumMod val="50000"/>
                </a:schemeClr>
              </a:solidFill>
              <a:prstDash val="sysDash"/>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5a'!$I$67:$I$102</c:f>
              <c:numCache>
                <c:formatCode>#\ ##0.0</c:formatCode>
                <c:ptCount val="36"/>
                <c:pt idx="0">
                  <c:v>98.902861683300159</c:v>
                </c:pt>
                <c:pt idx="1">
                  <c:v>98.641762076699749</c:v>
                </c:pt>
                <c:pt idx="2">
                  <c:v>99.862770576699617</c:v>
                </c:pt>
                <c:pt idx="3">
                  <c:v>102.59260566000017</c:v>
                </c:pt>
                <c:pt idx="4">
                  <c:v>103.82853170329973</c:v>
                </c:pt>
                <c:pt idx="5">
                  <c:v>104.32379246999986</c:v>
                </c:pt>
                <c:pt idx="6">
                  <c:v>104.52213576669976</c:v>
                </c:pt>
                <c:pt idx="7">
                  <c:v>107.60230518329976</c:v>
                </c:pt>
                <c:pt idx="8">
                  <c:v>108.05029219669973</c:v>
                </c:pt>
                <c:pt idx="9">
                  <c:v>110.9173406033002</c:v>
                </c:pt>
                <c:pt idx="10">
                  <c:v>110.9835808433</c:v>
                </c:pt>
                <c:pt idx="11">
                  <c:v>114.18133894999986</c:v>
                </c:pt>
                <c:pt idx="12">
                  <c:v>114.0189565133</c:v>
                </c:pt>
                <c:pt idx="13">
                  <c:v>116.6800979633</c:v>
                </c:pt>
                <c:pt idx="14">
                  <c:v>114.09303906000002</c:v>
                </c:pt>
                <c:pt idx="15">
                  <c:v>117.57587906329977</c:v>
                </c:pt>
                <c:pt idx="16">
                  <c:v>119.19948671329976</c:v>
                </c:pt>
                <c:pt idx="17">
                  <c:v>120.02304511669968</c:v>
                </c:pt>
                <c:pt idx="18">
                  <c:v>115.19566012999998</c:v>
                </c:pt>
                <c:pt idx="19">
                  <c:v>118.16034126999998</c:v>
                </c:pt>
                <c:pt idx="20">
                  <c:v>111.22961624330014</c:v>
                </c:pt>
                <c:pt idx="21">
                  <c:v>100.07614873329975</c:v>
                </c:pt>
                <c:pt idx="22">
                  <c:v>114.00860915</c:v>
                </c:pt>
                <c:pt idx="23">
                  <c:v>104.65409344000012</c:v>
                </c:pt>
                <c:pt idx="24">
                  <c:v>102.30890399</c:v>
                </c:pt>
                <c:pt idx="25">
                  <c:v>111.00930954330002</c:v>
                </c:pt>
                <c:pt idx="26">
                  <c:v>117.89445022000002</c:v>
                </c:pt>
                <c:pt idx="27">
                  <c:v>114.65352857329979</c:v>
                </c:pt>
                <c:pt idx="28">
                  <c:v>114.9526703933</c:v>
                </c:pt>
                <c:pt idx="29">
                  <c:v>105.71574932999998</c:v>
                </c:pt>
                <c:pt idx="30">
                  <c:v>106.0811875333</c:v>
                </c:pt>
                <c:pt idx="31">
                  <c:v>111.2812069167</c:v>
                </c:pt>
                <c:pt idx="32">
                  <c:v>115.69816998330022</c:v>
                </c:pt>
                <c:pt idx="33">
                  <c:v>115.34606420000014</c:v>
                </c:pt>
                <c:pt idx="34">
                  <c:v>114.40771664670002</c:v>
                </c:pt>
              </c:numCache>
            </c:numRef>
          </c:val>
          <c:smooth val="0"/>
          <c:extLst>
            <c:ext xmlns:c16="http://schemas.microsoft.com/office/drawing/2014/chart" uri="{C3380CC4-5D6E-409C-BE32-E72D297353CC}">
              <c16:uniqueId val="{00000005-BCC9-4655-9695-1D377C3AC754}"/>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5a'!$J$67:$J$102</c:f>
              <c:numCache>
                <c:formatCode>#\ ##0.0</c:formatCode>
                <c:ptCount val="36"/>
                <c:pt idx="0">
                  <c:v>95.674913026699826</c:v>
                </c:pt>
                <c:pt idx="1">
                  <c:v>98.560016843300005</c:v>
                </c:pt>
                <c:pt idx="2">
                  <c:v>101.31104914330002</c:v>
                </c:pt>
                <c:pt idx="3">
                  <c:v>104.45402098330028</c:v>
                </c:pt>
                <c:pt idx="4">
                  <c:v>105.0998844667</c:v>
                </c:pt>
                <c:pt idx="5">
                  <c:v>106.74665345330028</c:v>
                </c:pt>
                <c:pt idx="6">
                  <c:v>108.98378878</c:v>
                </c:pt>
                <c:pt idx="7">
                  <c:v>109.86758091</c:v>
                </c:pt>
                <c:pt idx="8">
                  <c:v>110.82769768000014</c:v>
                </c:pt>
                <c:pt idx="9">
                  <c:v>111.38559074669976</c:v>
                </c:pt>
                <c:pt idx="10">
                  <c:v>109.70167963000014</c:v>
                </c:pt>
                <c:pt idx="11">
                  <c:v>112.16470216999986</c:v>
                </c:pt>
                <c:pt idx="12">
                  <c:v>110.27402299000002</c:v>
                </c:pt>
                <c:pt idx="13">
                  <c:v>109.89581527670001</c:v>
                </c:pt>
                <c:pt idx="14">
                  <c:v>109.13033198669973</c:v>
                </c:pt>
                <c:pt idx="15">
                  <c:v>106.65518173999976</c:v>
                </c:pt>
                <c:pt idx="16">
                  <c:v>109.01463176999999</c:v>
                </c:pt>
                <c:pt idx="17">
                  <c:v>110.7507360833</c:v>
                </c:pt>
                <c:pt idx="18">
                  <c:v>109.87685177329976</c:v>
                </c:pt>
                <c:pt idx="19">
                  <c:v>110.48031871000001</c:v>
                </c:pt>
                <c:pt idx="20">
                  <c:v>95.676395003299774</c:v>
                </c:pt>
                <c:pt idx="21">
                  <c:v>77.407445156699765</c:v>
                </c:pt>
                <c:pt idx="22">
                  <c:v>101.0189567533</c:v>
                </c:pt>
                <c:pt idx="23">
                  <c:v>102.6341597167</c:v>
                </c:pt>
                <c:pt idx="24">
                  <c:v>101.92430179</c:v>
                </c:pt>
                <c:pt idx="25">
                  <c:v>104.87521292999998</c:v>
                </c:pt>
                <c:pt idx="26">
                  <c:v>99.9690871233</c:v>
                </c:pt>
                <c:pt idx="27">
                  <c:v>98.537373770000002</c:v>
                </c:pt>
                <c:pt idx="28">
                  <c:v>98.516458040000003</c:v>
                </c:pt>
                <c:pt idx="29">
                  <c:v>98.052811506699655</c:v>
                </c:pt>
                <c:pt idx="30">
                  <c:v>96.4447745067</c:v>
                </c:pt>
                <c:pt idx="31">
                  <c:v>97.573239676699842</c:v>
                </c:pt>
                <c:pt idx="32">
                  <c:v>102.52663213329973</c:v>
                </c:pt>
                <c:pt idx="33">
                  <c:v>99.808796793299749</c:v>
                </c:pt>
                <c:pt idx="34">
                  <c:v>101.5356874033</c:v>
                </c:pt>
              </c:numCache>
            </c:numRef>
          </c:val>
          <c:smooth val="0"/>
          <c:extLst>
            <c:ext xmlns:c16="http://schemas.microsoft.com/office/drawing/2014/chart" uri="{C3380CC4-5D6E-409C-BE32-E72D297353CC}">
              <c16:uniqueId val="{00000006-BCC9-4655-9695-1D377C3AC754}"/>
            </c:ext>
          </c:extLst>
        </c:ser>
        <c:ser>
          <c:idx val="7"/>
          <c:order val="7"/>
          <c:tx>
            <c:strRef>
              <c:f>'výkonnost odvětví 5a'!$K$66</c:f>
              <c:strCache>
                <c:ptCount val="1"/>
              </c:strCache>
            </c:strRef>
          </c:tx>
          <c:spPr>
            <a:ln w="3175">
              <a:noFill/>
              <a:prstDash val="sysDash"/>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5a'!$K$67:$K$102</c:f>
              <c:numCache>
                <c:formatCode>General</c:formatCode>
                <c:ptCount val="36"/>
              </c:numCache>
            </c:numRef>
          </c:val>
          <c:smooth val="0"/>
          <c:extLst>
            <c:ext xmlns:c16="http://schemas.microsoft.com/office/drawing/2014/chart" uri="{C3380CC4-5D6E-409C-BE32-E72D297353CC}">
              <c16:uniqueId val="{00000007-BCC9-4655-9695-1D377C3AC754}"/>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5a'!$L$67:$L$102</c:f>
              <c:numCache>
                <c:formatCode>0.0</c:formatCode>
                <c:ptCount val="36"/>
                <c:pt idx="0">
                  <c:v>-1.75</c:v>
                </c:pt>
                <c:pt idx="1">
                  <c:v>0.25</c:v>
                </c:pt>
                <c:pt idx="2">
                  <c:v>-3.75</c:v>
                </c:pt>
                <c:pt idx="3">
                  <c:v>-0.25</c:v>
                </c:pt>
                <c:pt idx="4">
                  <c:v>-1.5</c:v>
                </c:pt>
                <c:pt idx="5">
                  <c:v>0</c:v>
                </c:pt>
                <c:pt idx="6">
                  <c:v>-2.25</c:v>
                </c:pt>
                <c:pt idx="7">
                  <c:v>0.75000000000000122</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pt idx="35">
                  <c:v>-18.3</c:v>
                </c:pt>
              </c:numCache>
            </c:numRef>
          </c:val>
          <c:smooth val="0"/>
          <c:extLst>
            <c:ext xmlns:c16="http://schemas.microsoft.com/office/drawing/2014/chart" uri="{C3380CC4-5D6E-409C-BE32-E72D297353CC}">
              <c16:uniqueId val="{00000008-BCC9-4655-9695-1D377C3AC754}"/>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5a'!$M$67:$M$102</c:f>
              <c:numCache>
                <c:formatCode>0.0</c:formatCode>
                <c:ptCount val="36"/>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pt idx="35">
                  <c:v>3.3</c:v>
                </c:pt>
              </c:numCache>
            </c:numRef>
          </c:val>
          <c:smooth val="0"/>
          <c:extLst>
            <c:ext xmlns:c16="http://schemas.microsoft.com/office/drawing/2014/chart" uri="{C3380CC4-5D6E-409C-BE32-E72D297353CC}">
              <c16:uniqueId val="{00000009-BCC9-4655-9695-1D377C3AC754}"/>
            </c:ext>
          </c:extLst>
        </c:ser>
        <c:dLbls>
          <c:showLegendKey val="0"/>
          <c:showVal val="0"/>
          <c:showCatName val="0"/>
          <c:showSerName val="0"/>
          <c:showPercent val="0"/>
          <c:showBubbleSize val="0"/>
        </c:dLbls>
        <c:marker val="1"/>
        <c:smooth val="0"/>
        <c:axId val="74958336"/>
        <c:axId val="74952064"/>
      </c:lineChart>
      <c:catAx>
        <c:axId val="74902912"/>
        <c:scaling>
          <c:orientation val="minMax"/>
        </c:scaling>
        <c:delete val="0"/>
        <c:axPos val="b"/>
        <c:numFmt formatCode="General" sourceLinked="0"/>
        <c:majorTickMark val="out"/>
        <c:minorTickMark val="none"/>
        <c:tickLblPos val="low"/>
        <c:txPr>
          <a:bodyPr/>
          <a:lstStyle/>
          <a:p>
            <a:pPr>
              <a:defRPr sz="800"/>
            </a:pPr>
            <a:endParaRPr lang="cs-CZ"/>
          </a:p>
        </c:txPr>
        <c:crossAx val="74950144"/>
        <c:crosses val="autoZero"/>
        <c:auto val="1"/>
        <c:lblAlgn val="ctr"/>
        <c:lblOffset val="0"/>
        <c:noMultiLvlLbl val="0"/>
      </c:catAx>
      <c:valAx>
        <c:axId val="74950144"/>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(příspěvky k meziroč. změně)</a:t>
                </a:r>
                <a:endParaRPr lang="cs-CZ" sz="750" b="0" i="1"/>
              </a:p>
            </c:rich>
          </c:tx>
          <c:layout>
            <c:manualLayout>
              <c:xMode val="edge"/>
              <c:yMode val="edge"/>
              <c:x val="2.6086947381477299E-3"/>
              <c:y val="0.16393316671713398"/>
            </c:manualLayout>
          </c:layout>
          <c:overlay val="0"/>
        </c:title>
        <c:numFmt formatCode="0" sourceLinked="0"/>
        <c:majorTickMark val="out"/>
        <c:minorTickMark val="none"/>
        <c:tickLblPos val="nextTo"/>
        <c:txPr>
          <a:bodyPr/>
          <a:lstStyle/>
          <a:p>
            <a:pPr>
              <a:defRPr sz="800"/>
            </a:pPr>
            <a:endParaRPr lang="cs-CZ"/>
          </a:p>
        </c:txPr>
        <c:crossAx val="74902912"/>
        <c:crosses val="autoZero"/>
        <c:crossBetween val="between"/>
        <c:majorUnit val="2"/>
      </c:valAx>
      <c:valAx>
        <c:axId val="74952064"/>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Saldo důvěry</a:t>
                </a:r>
                <a:endParaRPr lang="cs-CZ" sz="750" b="0" i="1">
                  <a:latin typeface="Arial" panose="020B0604020202020204" pitchFamily="34" charset="0"/>
                  <a:cs typeface="Arial" panose="020B0604020202020204" pitchFamily="34" charset="0"/>
                </a:endParaRPr>
              </a:p>
            </c:rich>
          </c:tx>
          <c:layout>
            <c:manualLayout>
              <c:xMode val="edge"/>
              <c:yMode val="edge"/>
              <c:x val="0.9689626501933557"/>
              <c:y val="0.17433971175096177"/>
            </c:manualLayout>
          </c:layout>
          <c:overlay val="0"/>
        </c:title>
        <c:numFmt formatCode="#,##0" sourceLinked="0"/>
        <c:majorTickMark val="out"/>
        <c:minorTickMark val="none"/>
        <c:tickLblPos val="nextTo"/>
        <c:txPr>
          <a:bodyPr/>
          <a:lstStyle/>
          <a:p>
            <a:pPr>
              <a:defRPr sz="800"/>
            </a:pPr>
            <a:endParaRPr lang="cs-CZ"/>
          </a:p>
        </c:txPr>
        <c:crossAx val="74958336"/>
        <c:crosses val="max"/>
        <c:crossBetween val="between"/>
        <c:majorUnit val="10"/>
      </c:valAx>
      <c:catAx>
        <c:axId val="74958336"/>
        <c:scaling>
          <c:orientation val="minMax"/>
        </c:scaling>
        <c:delete val="1"/>
        <c:axPos val="b"/>
        <c:numFmt formatCode="General" sourceLinked="1"/>
        <c:majorTickMark val="out"/>
        <c:minorTickMark val="none"/>
        <c:tickLblPos val="none"/>
        <c:crossAx val="74952064"/>
        <c:crosses val="autoZero"/>
        <c:auto val="1"/>
        <c:lblAlgn val="ctr"/>
        <c:lblOffset val="100"/>
        <c:noMultiLvlLbl val="0"/>
      </c:catAx>
      <c:spPr>
        <a:ln>
          <a:solidFill>
            <a:schemeClr val="tx1"/>
          </a:solidFill>
        </a:ln>
      </c:spPr>
    </c:plotArea>
    <c:legend>
      <c:legendPos val="r"/>
      <c:layout>
        <c:manualLayout>
          <c:xMode val="edge"/>
          <c:yMode val="edge"/>
          <c:x val="5.1202223649082492E-3"/>
          <c:y val="0.83721607601948422"/>
          <c:w val="0.984269921597782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5" ma:contentTypeDescription="Vytvoří nový dokument" ma:contentTypeScope="" ma:versionID="ba9ac22ffeb23664e7e881489bfb3a01">
  <xsd:schema xmlns:xsd="http://www.w3.org/2001/XMLSchema" xmlns:xs="http://www.w3.org/2001/XMLSchema" xmlns:p="http://schemas.microsoft.com/office/2006/metadata/properties" xmlns:ns2="eabc42bd-08fe-4a27-9645-04f6ad96d74a" xmlns:ns3="ea86e659-3cf4-4ff9-8d76-72c2490bfb13" targetNamespace="http://schemas.microsoft.com/office/2006/metadata/properties" ma:root="true" ma:fieldsID="452515690196c05a9ccc85c20d106231" ns2:_="" ns3:_="">
    <xsd:import namespace="eabc42bd-08fe-4a27-9645-04f6ad96d74a"/>
    <xsd:import namespace="ea86e659-3cf4-4ff9-8d76-72c2490bfb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6e659-3cf4-4ff9-8d76-72c2490bfb13"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7845-9EC0-4146-9549-15917829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ea86e659-3cf4-4ff9-8d76-72c2490bf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66C20-30ED-4B75-BE36-499179EF9DA5}">
  <ds:schemaRefs>
    <ds:schemaRef ds:uri="http://schemas.openxmlformats.org/officeDocument/2006/bibliography"/>
  </ds:schemaRefs>
</ds:datastoreItem>
</file>

<file path=customXml/itemProps5.xml><?xml version="1.0" encoding="utf-8"?>
<ds:datastoreItem xmlns:ds="http://schemas.openxmlformats.org/officeDocument/2006/customXml" ds:itemID="{E50FD4E9-E890-45DE-9985-268159BF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1</Pages>
  <Words>4472</Words>
  <Characters>26390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6</cp:revision>
  <cp:lastPrinted>2023-06-09T17:23:00Z</cp:lastPrinted>
  <dcterms:created xsi:type="dcterms:W3CDTF">2023-12-15T10:09:00Z</dcterms:created>
  <dcterms:modified xsi:type="dcterms:W3CDTF">2023-12-15T10:20:00Z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