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A13B6" w14:textId="7222AFCE" w:rsidR="00C6020C" w:rsidRPr="009110F7" w:rsidRDefault="00C6020C" w:rsidP="00C6020C">
      <w:pPr>
        <w:pStyle w:val="Nadpis11"/>
      </w:pPr>
      <w:bookmarkStart w:id="0" w:name="_Toc114134050"/>
      <w:bookmarkStart w:id="1" w:name="_Toc121993822"/>
      <w:bookmarkStart w:id="2" w:name="_Toc145318534"/>
      <w:r w:rsidRPr="009110F7">
        <w:t>5</w:t>
      </w:r>
      <w:r>
        <w:t>. </w:t>
      </w:r>
      <w:r w:rsidRPr="009110F7">
        <w:t>Ceny</w:t>
      </w:r>
      <w:bookmarkEnd w:id="2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4"/>
        <w:gridCol w:w="224"/>
        <w:gridCol w:w="7611"/>
      </w:tblGrid>
      <w:tr w:rsidR="00C6020C" w:rsidRPr="009110F7" w14:paraId="23EC816A" w14:textId="77777777" w:rsidTr="006849F8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0E6214D5" w14:textId="0B5A3F95" w:rsidR="00C6020C" w:rsidRPr="00793D78" w:rsidRDefault="00AA49E1" w:rsidP="00AA49E1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Celková cenová hladina ve 2. čtvrtletí rostla.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63C5DAE9" w14:textId="77777777" w:rsidR="00C6020C" w:rsidRPr="00793D78" w:rsidRDefault="00C6020C" w:rsidP="006849F8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386C0AF1" w14:textId="77777777" w:rsidR="00C6020C" w:rsidRPr="00793D78" w:rsidRDefault="00C6020C" w:rsidP="006849F8">
            <w:pPr>
              <w:rPr>
                <w:szCs w:val="20"/>
              </w:rPr>
            </w:pPr>
            <w:r>
              <w:rPr>
                <w:szCs w:val="20"/>
              </w:rPr>
              <w:t xml:space="preserve">Celková cenová hladina měřená deflátorem HDP se ve 2. čtvrtletí meziročně zvýšila o 10,2 %. Tempo tak mírně zvolnilo oproti předchozímu čtvrtletí. Výrazně zpomalovalo meziroční tempo růstu cen spotřeby (z 12,2 % na 9,0 %), zejména spotřeby domácností (10,0 %). Ceny kapitálových statků se meziročně zvýšily o 3,3 %, což představuje prudké zpomalení (v 1. čtvrtletí ceny rostly o 10,2 %). Meziroční směnné relace dosáhly výrazných 104,6 % a výrazně kladné byly v případě zboží (104,7 %) i služeb (103,1 %). Mezičtvrtletně se celková cenová hladina ve 2. čtvrtletí zvýšila o 1,1 %. Klesly ceny spotřebních statků (-0,2 %) i kapitálových statků (-1,9 %). Mezičtvrtletní směnné relace dosáhly 102,9 %. Přitom směnné relace obchodu se zbožím činily 102,7 % a se službami 103,5 %. </w:t>
            </w:r>
          </w:p>
        </w:tc>
      </w:tr>
      <w:tr w:rsidR="00C6020C" w:rsidRPr="009110F7" w14:paraId="1BA78F43" w14:textId="77777777" w:rsidTr="006849F8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432D8C62" w14:textId="77777777" w:rsidR="00C6020C" w:rsidRPr="00793D78" w:rsidRDefault="00C6020C" w:rsidP="006849F8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Meziroční růst spotřebitelských cen zpomalil.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456F7361" w14:textId="77777777" w:rsidR="00C6020C" w:rsidRPr="00793D78" w:rsidRDefault="00C6020C" w:rsidP="006849F8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5FAA19AB" w14:textId="77777777" w:rsidR="00C6020C" w:rsidRPr="000316FC" w:rsidRDefault="00C6020C" w:rsidP="006849F8">
            <w:r>
              <w:t>Index spotřebitelských cen se ve 2. čtvrtletí 2023 meziročně zvýšil o 11,1 %. To představuje výrazné zpomalení meziročního tempa oproti 1. kvartálu (16,4 %). Velký podíl na zmírnění má zejména vysoká srovnávací základna loňského roku. Pohled na index s bází v roce 2015 totiž zřetelněji ukazuje, že po letošním lednovém prudkém navýšení už úroveň spotřebitelských cen rostla jen mírně</w:t>
            </w:r>
            <w:r>
              <w:rPr>
                <w:rStyle w:val="Znakapoznpodarou"/>
              </w:rPr>
              <w:footnoteReference w:id="1"/>
            </w:r>
            <w:r>
              <w:t xml:space="preserve">. K oslabení meziročního tempa ve 2. čtvrtletí nejvíce přispíval vývoj cen potravin a nealkoholických nápojů, bydlení a energií a dopravy, které v loňském 1. pololetí dominovaly růstu cen. Navzdory výraznému zpomalení tempa ale bydlení a energie stejně jako potraviny a nealkoholické nápoje zůstávaly tahounem a přispívaly z více než poloviny k meziročnímu přírůstku spotřebitelských cen. Mezičtvrtletně se spotřebitelské ceny ve 2. čtvrtletí zvýšily o 0,3 %.   </w:t>
            </w:r>
          </w:p>
        </w:tc>
      </w:tr>
      <w:tr w:rsidR="00C6020C" w:rsidRPr="009110F7" w14:paraId="22E85D03" w14:textId="77777777" w:rsidTr="006849F8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062FC487" w14:textId="77777777" w:rsidR="00C6020C" w:rsidRPr="00793D78" w:rsidRDefault="00C6020C" w:rsidP="006849F8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Zmírnil se přírůstek cen bydlení a energií.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71931195" w14:textId="77777777" w:rsidR="00C6020C" w:rsidRPr="00793D78" w:rsidRDefault="00C6020C" w:rsidP="006849F8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32167738" w14:textId="77777777" w:rsidR="00C6020C" w:rsidRDefault="00C6020C" w:rsidP="006849F8">
            <w:r>
              <w:t>Ceny bydlení a energií se ve 2. čtvrtletí meziročně zvýšily o 16,0 %. Růst tak zpomalil z předchozích 22,2 %, ale zůstal relativně vysoký a vzhledem k velké váze bydlení a energií ve spotřebitelském koši přispíval z více než třetiny k celkovému meziročnímu nárůstu spotřebitelských cen. Mezičtvrtletně ceny bydlení a energií vzrostly o 0,2 %. Zpomalení meziročního tempa se nejvíce dotklo cen elektrické a tepelné energie, plynu a ostatních paliv, které byly meziročně vyšší o 33,8 %. U ostatních služeb souvisejících s bydlením se nárůst držel na výrazných 15,9 % a ceny běžné údržby a drobných oprav bytu vzrostly o 12,2 %. Meziroční přírůstek nájemného z bytu mírně posílil na 6,9 %, ale u imputovaného nájemného</w:t>
            </w:r>
            <w:r>
              <w:rPr>
                <w:rStyle w:val="Znakapoznpodarou"/>
              </w:rPr>
              <w:footnoteReference w:id="2"/>
            </w:r>
            <w:r>
              <w:t xml:space="preserve"> došlo k dalšímu zmírnění tempa na 3,1 %. </w:t>
            </w:r>
          </w:p>
        </w:tc>
      </w:tr>
      <w:tr w:rsidR="00C6020C" w:rsidRPr="009110F7" w14:paraId="1204D454" w14:textId="77777777" w:rsidTr="006849F8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4745025F" w14:textId="77777777" w:rsidR="00C6020C" w:rsidRDefault="00C6020C" w:rsidP="006849F8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 xml:space="preserve">Ceny potravin </w:t>
            </w:r>
            <w:r>
              <w:rPr>
                <w:spacing w:val="0"/>
              </w:rPr>
              <w:br/>
              <w:t>a nealkoholických nápojů mezičtvrtletně klesly.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3D78DEE3" w14:textId="77777777" w:rsidR="00C6020C" w:rsidRPr="00793D78" w:rsidRDefault="00C6020C" w:rsidP="006849F8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610B8547" w14:textId="77777777" w:rsidR="00C6020C" w:rsidRDefault="00C6020C" w:rsidP="006849F8">
            <w:r>
              <w:t>Výrazné zpomalení meziročního růstu ve 2. čtvrtletí se týkalo také cen potravin a nealkoholických nápojů, u kterých přírůstek dosáhl 14,6 %. Mezičtvrtletně ceny potravin a nealkoholických nápojů klesly o 0,6 %. Oslabení meziroční dynamiky bylo obzvlášť výrazné v případě olejů a tuků (z 23,5 % v 1. čtvrtletí na 2,4 % ve 2. kvartálu), masa (z 24,4 % na 8,6 %), mléka, sýrů a vajec (z 32,7 % na 17,4 %) a pekárenských výrobků a obilovin (z 26,5 % na 16,8 %). Silný růst cen se udržel u zeleniny (22,6 %), cukru, marmelády, medu, čokolády, cukrovinek a cukrářských výrobků (20,0 %) a ostatních potravinářských výrobků (17,4 %). Růst cen ovoce posílil na 14,4 %.</w:t>
            </w:r>
          </w:p>
        </w:tc>
      </w:tr>
      <w:tr w:rsidR="00C6020C" w:rsidRPr="009110F7" w14:paraId="12641F01" w14:textId="77777777" w:rsidTr="006849F8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5E5264B1" w14:textId="77777777" w:rsidR="00C6020C" w:rsidRDefault="00C6020C" w:rsidP="006849F8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Ceny různých služeb dál silně rostly.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19EDD3C3" w14:textId="77777777" w:rsidR="00C6020C" w:rsidRPr="00793D78" w:rsidRDefault="00C6020C" w:rsidP="006849F8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53E1A42C" w14:textId="77777777" w:rsidR="00C6020C" w:rsidRDefault="00C6020C" w:rsidP="006849F8">
            <w:r>
              <w:t xml:space="preserve">Výrazný zůstával meziroční růst cen mnohých služeb. K celkovému meziročnímu růstu spotřebitelských cen značně přispívaly ceny rekreací a kultury, které se zvýšily o 11,7 %. Významný vliv měly především ceny dovolených s komplexními službami (17,3 %), rekreačních a kulturních služeb (10,8 %) a ostatních předmětů pro rekreaci a volný čas (13,9 %). Mezičtvrtletně se ceny rekreací a kultury snížily o 0,3 %. Přes </w:t>
            </w:r>
            <w:r>
              <w:lastRenderedPageBreak/>
              <w:t>oslabení meziročního růstu zůstal výrazný také příspěvek cen stravování a ubytování, které byly meziročně vyšší o 15,4 %. Přitom ceny stravovacích služeb meziročně rostly o 15,5 % a ubytovacích služeb o 15,1 %. Ceny stravování a ubytování měly jeden z nejvyšších mezičtvrtletních přírůstků (2,7 %) v celém spotřebním koši. Ceny ostatního zboží a služeb</w:t>
            </w:r>
            <w:r>
              <w:rPr>
                <w:rStyle w:val="Znakapoznpodarou"/>
              </w:rPr>
              <w:footnoteReference w:id="3"/>
            </w:r>
            <w:r>
              <w:t xml:space="preserve"> meziročně vzrostly o 11,2 % a mezičtvrtletně byly vyšší o 1,4 %. </w:t>
            </w:r>
          </w:p>
        </w:tc>
      </w:tr>
      <w:tr w:rsidR="00C6020C" w:rsidRPr="009110F7" w14:paraId="014FA0F2" w14:textId="77777777" w:rsidTr="006849F8">
        <w:trPr>
          <w:trHeight w:val="170"/>
        </w:trPr>
        <w:tc>
          <w:tcPr>
            <w:tcW w:w="1804" w:type="dxa"/>
            <w:vMerge w:val="restart"/>
            <w:shd w:val="clear" w:color="auto" w:fill="auto"/>
            <w:tcMar>
              <w:left w:w="0" w:type="dxa"/>
            </w:tcMar>
          </w:tcPr>
          <w:p w14:paraId="260615DF" w14:textId="77777777" w:rsidR="00C6020C" w:rsidRDefault="00C6020C" w:rsidP="006849F8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 w:val="restart"/>
            <w:shd w:val="clear" w:color="auto" w:fill="auto"/>
            <w:tcMar>
              <w:left w:w="0" w:type="dxa"/>
            </w:tcMar>
          </w:tcPr>
          <w:p w14:paraId="5281E1CE" w14:textId="77777777" w:rsidR="00C6020C" w:rsidRPr="00793D78" w:rsidRDefault="00C6020C" w:rsidP="006849F8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5BC074D9" w14:textId="58856095" w:rsidR="00C6020C" w:rsidRDefault="00C6020C" w:rsidP="006849F8">
            <w:pPr>
              <w:spacing w:after="0"/>
            </w:pPr>
            <w:r w:rsidRPr="00793D7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Graf </w:t>
            </w:r>
            <w:r w:rsidR="00FA2C07">
              <w:rPr>
                <w:rFonts w:cs="Arial"/>
                <w:b/>
                <w:bCs/>
                <w:color w:val="000000"/>
                <w:sz w:val="18"/>
                <w:szCs w:val="18"/>
              </w:rPr>
              <w:t>č. 10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93D78">
              <w:rPr>
                <w:rFonts w:cs="Arial"/>
                <w:b/>
                <w:bCs/>
                <w:color w:val="000000"/>
                <w:sz w:val="18"/>
                <w:szCs w:val="18"/>
              </w:rPr>
              <w:t>Ceny ve vybraných oddílech indexu spotřebitelských cen</w:t>
            </w:r>
            <w:r w:rsidRPr="00793D78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Pr="009067EA">
              <w:rPr>
                <w:rFonts w:cs="Arial"/>
                <w:color w:val="000000"/>
                <w:sz w:val="18"/>
                <w:szCs w:val="18"/>
              </w:rPr>
              <w:t>(meziročně v %)</w:t>
            </w:r>
          </w:p>
        </w:tc>
      </w:tr>
      <w:tr w:rsidR="00C6020C" w:rsidRPr="009110F7" w14:paraId="72DCDE7B" w14:textId="77777777" w:rsidTr="006849F8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4" w:type="dxa"/>
            <w:vMerge/>
          </w:tcPr>
          <w:p w14:paraId="66DE1DE8" w14:textId="77777777" w:rsidR="00C6020C" w:rsidRDefault="00C6020C" w:rsidP="006849F8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</w:tcPr>
          <w:p w14:paraId="722E3DBF" w14:textId="77777777" w:rsidR="00C6020C" w:rsidRPr="00793D78" w:rsidRDefault="00C6020C" w:rsidP="006849F8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</w:tcPr>
          <w:p w14:paraId="7303C657" w14:textId="77777777" w:rsidR="00C6020C" w:rsidRDefault="00C6020C" w:rsidP="006849F8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69E4EE9D" wp14:editId="0EA2F9F2">
                  <wp:extent cx="4737600" cy="3553200"/>
                  <wp:effectExtent l="0" t="0" r="6350" b="0"/>
                  <wp:docPr id="27" name="Graf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C6020C" w:rsidRPr="009110F7" w14:paraId="49054711" w14:textId="77777777" w:rsidTr="006849F8">
        <w:trPr>
          <w:trHeight w:val="170"/>
        </w:trPr>
        <w:tc>
          <w:tcPr>
            <w:tcW w:w="1804" w:type="dxa"/>
            <w:vMerge/>
            <w:tcMar>
              <w:left w:w="0" w:type="dxa"/>
            </w:tcMar>
          </w:tcPr>
          <w:p w14:paraId="1E4FFDA9" w14:textId="77777777" w:rsidR="00C6020C" w:rsidRDefault="00C6020C" w:rsidP="006849F8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tcMar>
              <w:left w:w="0" w:type="dxa"/>
            </w:tcMar>
          </w:tcPr>
          <w:p w14:paraId="7DC3024D" w14:textId="77777777" w:rsidR="00C6020C" w:rsidRPr="00793D78" w:rsidRDefault="00C6020C" w:rsidP="006849F8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3D3C2FDF" w14:textId="77777777" w:rsidR="00C6020C" w:rsidRDefault="00C6020C" w:rsidP="006849F8">
            <w:r w:rsidRPr="00793D78">
              <w:rPr>
                <w:sz w:val="14"/>
                <w:szCs w:val="14"/>
              </w:rPr>
              <w:t>Zdroj: ČSÚ</w:t>
            </w:r>
          </w:p>
        </w:tc>
      </w:tr>
      <w:tr w:rsidR="00C6020C" w:rsidRPr="009110F7" w14:paraId="6F8D4B04" w14:textId="77777777" w:rsidTr="006849F8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6A8434D5" w14:textId="77777777" w:rsidR="00C6020C" w:rsidRDefault="00C6020C" w:rsidP="006849F8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 xml:space="preserve">Meziroční tempo růstu cen odívání a obuvi </w:t>
            </w:r>
            <w:r>
              <w:rPr>
                <w:spacing w:val="0"/>
              </w:rPr>
              <w:br/>
              <w:t>i bytového vybavení zůstalo výrazné.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6CEBD187" w14:textId="77777777" w:rsidR="00C6020C" w:rsidRPr="00793D78" w:rsidRDefault="00C6020C" w:rsidP="006849F8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2DD21571" w14:textId="77777777" w:rsidR="00C6020C" w:rsidRDefault="00C6020C" w:rsidP="006849F8">
            <w:r>
              <w:t xml:space="preserve">Ve 2. čtvrtletí přetrvávalo výrazné meziroční tempo růstu cen odívání a obuvi (12,2 %) i bytového vybavení, zařízení domácností a oprav (10,4 %). Ceny v obou oddílech se silně zvyšovaly také mezičtvrtletně – odívání a obuv zdražily o 2,2 % a bytové vybavení, zařízení domácností a opravy o 1,6 %. Meziroční tempo růstu cen alkoholických nápojů a tabáku zůstávalo ve 2. čtvrtletí poměrně stabilní (6,5 %, mezičtvrtletně zde ceny vzrostly o 0,4 %). Nezměnil se meziroční přírůstek cen v oblasti zdraví (9,5 %, 3,1 % mezičtvrtletně) a stabilní bylo tempo u cen vzdělávání (7,2 %, 0,2 % mezičtvrtletně). Posílil meziroční růst cen pošt a telekomunikací (3,9 %, 1,4 % mezičtvrtletně).      </w:t>
            </w:r>
          </w:p>
        </w:tc>
      </w:tr>
      <w:tr w:rsidR="00C6020C" w:rsidRPr="009110F7" w14:paraId="5894B598" w14:textId="77777777" w:rsidTr="006849F8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1A83D6C9" w14:textId="77777777" w:rsidR="00C6020C" w:rsidRDefault="00C6020C" w:rsidP="006849F8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Ceny dopravy jako jediné meziročně klesaly.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4ED39A16" w14:textId="77777777" w:rsidR="00C6020C" w:rsidRPr="00793D78" w:rsidRDefault="00C6020C" w:rsidP="006849F8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26CB1942" w14:textId="77777777" w:rsidR="00C6020C" w:rsidRDefault="00C6020C" w:rsidP="006849F8">
            <w:r>
              <w:t>Jediný oddíl spotřebního koše, kde ceny meziročně klesaly, byla doprava. Ceny se zde snížily o 4,0 % a výhradně za tím stálo snížení nákladů na provoz osobních dopravních prostředků o 10,3 %. Výrazně se zmírnil meziroční růst cen nákupu automobilů, motocyklů a jízdních kol (1,0 %). Na ceny dopravních služeb přestal působit vliv loňského omezení studentských slev na jízdném, takže tempo výrazně zpomalilo oproti předchozímu čtvrtletí. Stále ale dopravní služby meziročně zdražily o výrazných 11,3 %. Ceny dopravy se potřetí v řadě snížily i mezičtvrtletně, a to o 0,8 %.</w:t>
            </w:r>
          </w:p>
        </w:tc>
      </w:tr>
      <w:tr w:rsidR="00C6020C" w:rsidRPr="009110F7" w14:paraId="143E686C" w14:textId="77777777" w:rsidTr="006849F8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5C076009" w14:textId="77777777" w:rsidR="00C6020C" w:rsidRDefault="00C6020C" w:rsidP="006849F8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Růst spotřebitelských cen v EU zpomalil.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21FC0E9D" w14:textId="77777777" w:rsidR="00C6020C" w:rsidRPr="00793D78" w:rsidRDefault="00C6020C" w:rsidP="006849F8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5DC9729A" w14:textId="77777777" w:rsidR="00C6020C" w:rsidRDefault="00C6020C" w:rsidP="006849F8">
            <w:r>
              <w:t>Harmonizovaný index spotřebitelských cen (HICP)</w:t>
            </w:r>
            <w:r>
              <w:rPr>
                <w:rStyle w:val="Znakapoznpodarou"/>
              </w:rPr>
              <w:footnoteReference w:id="4"/>
            </w:r>
            <w:r>
              <w:t xml:space="preserve"> v Evropské unii ve 2. čtvrtletí meziročně vzrostl o 7,2 %. Meziroční dynamika spotřebitelských cen v EU podobně jako v domácí ekonomice od začátku roku zpomaluje, především pod vlivem klesajících </w:t>
            </w:r>
            <w:r>
              <w:lastRenderedPageBreak/>
              <w:t>cen energií a paliv. Na druhé straně v průběhu 1. pololetí zůstával silný růst cen potravin. Nejvíce se podle HICP meziročně ve 2. čtvrtletí zvyšovaly spotřebitelské ceny v Maďarsku (22,1 %), kde masivně rostly zejména ceny potravin, stravování a ubytování a bydlení a energií. Dvouciferné meziroční přírůstky ale měla většina oddílů v maďarském spotřebním koši. Další země v pořadí – Česko (12,6 %), Slovensko (12,5 %) a Polsko (12,5 %) se za Maďarskem umístily s výrazným odstupem. V celé EU se spotřebitelské ceny meziročně zvyšovaly, ale v některých zemích se inflace již vrátila do mírného pásma – v Lucembursku ceny vzrostly meziročně o 1,9 %, v Belgii o 2,6 % a ve Španělsku o 2,8 %. Mezičtvrtletně se spotřebitelské ceny v EU ve 2. čtvrtletí zvýšily o 1,6 %. Nejvyšší mezičtvrtletní přírůstek měly ceny na Maltě (6,0 %), v Estonsku (2,9 %) a Řecku (2,9 %). Spotřebitelské ceny mezičtvrtletně klesly v Belgii (−0,9 %) a Dánsku (−0,5 %).</w:t>
            </w:r>
          </w:p>
        </w:tc>
      </w:tr>
      <w:tr w:rsidR="00C6020C" w:rsidRPr="009110F7" w14:paraId="31A69CB7" w14:textId="77777777" w:rsidTr="006849F8">
        <w:trPr>
          <w:trHeight w:val="170"/>
        </w:trPr>
        <w:tc>
          <w:tcPr>
            <w:tcW w:w="1804" w:type="dxa"/>
            <w:vMerge w:val="restart"/>
            <w:shd w:val="clear" w:color="auto" w:fill="auto"/>
            <w:tcMar>
              <w:left w:w="0" w:type="dxa"/>
            </w:tcMar>
          </w:tcPr>
          <w:p w14:paraId="3938AEFB" w14:textId="77777777" w:rsidR="00C6020C" w:rsidRDefault="00C6020C" w:rsidP="006849F8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 w:val="restart"/>
            <w:shd w:val="clear" w:color="auto" w:fill="auto"/>
            <w:tcMar>
              <w:left w:w="0" w:type="dxa"/>
            </w:tcMar>
          </w:tcPr>
          <w:p w14:paraId="4E9DB26B" w14:textId="77777777" w:rsidR="00C6020C" w:rsidRPr="00793D78" w:rsidRDefault="00C6020C" w:rsidP="006849F8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12D2878B" w14:textId="3A8B0C58" w:rsidR="00C6020C" w:rsidRDefault="00FA2C07" w:rsidP="006849F8">
            <w:pPr>
              <w:spacing w:after="0"/>
            </w:pPr>
            <w:r>
              <w:rPr>
                <w:b/>
                <w:sz w:val="18"/>
                <w:szCs w:val="18"/>
                <w:lang w:eastAsia="en-US"/>
              </w:rPr>
              <w:t>Graf č. 11</w:t>
            </w:r>
            <w:r w:rsidR="00C6020C" w:rsidRPr="00793D78">
              <w:rPr>
                <w:b/>
                <w:sz w:val="18"/>
                <w:szCs w:val="18"/>
                <w:lang w:eastAsia="en-US"/>
              </w:rPr>
              <w:t xml:space="preserve"> Ceny nemovitostí </w:t>
            </w:r>
            <w:r w:rsidR="00C6020C" w:rsidRPr="009067EA">
              <w:rPr>
                <w:sz w:val="18"/>
                <w:szCs w:val="18"/>
                <w:lang w:eastAsia="en-US"/>
              </w:rPr>
              <w:t>(meziroční změna, v %)</w:t>
            </w:r>
          </w:p>
        </w:tc>
      </w:tr>
      <w:tr w:rsidR="00C6020C" w:rsidRPr="009110F7" w14:paraId="3FC1D8F4" w14:textId="77777777" w:rsidTr="006849F8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4" w:type="dxa"/>
            <w:vMerge/>
          </w:tcPr>
          <w:p w14:paraId="5FD6DB51" w14:textId="77777777" w:rsidR="00C6020C" w:rsidRDefault="00C6020C" w:rsidP="006849F8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</w:tcPr>
          <w:p w14:paraId="50A88D2A" w14:textId="77777777" w:rsidR="00C6020C" w:rsidRPr="00793D78" w:rsidRDefault="00C6020C" w:rsidP="006849F8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</w:tcPr>
          <w:p w14:paraId="6D3C5CD2" w14:textId="77777777" w:rsidR="00C6020C" w:rsidRDefault="00C6020C" w:rsidP="006849F8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1D5B6486" wp14:editId="562C3794">
                  <wp:extent cx="4737600" cy="3553200"/>
                  <wp:effectExtent l="0" t="0" r="6350" b="0"/>
                  <wp:docPr id="36" name="Graf 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5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C6020C" w:rsidRPr="009110F7" w14:paraId="55D94CF1" w14:textId="77777777" w:rsidTr="006849F8">
        <w:trPr>
          <w:trHeight w:val="170"/>
        </w:trPr>
        <w:tc>
          <w:tcPr>
            <w:tcW w:w="1804" w:type="dxa"/>
            <w:vMerge/>
            <w:tcMar>
              <w:left w:w="0" w:type="dxa"/>
            </w:tcMar>
          </w:tcPr>
          <w:p w14:paraId="0AACDB71" w14:textId="77777777" w:rsidR="00C6020C" w:rsidRDefault="00C6020C" w:rsidP="006849F8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tcMar>
              <w:left w:w="0" w:type="dxa"/>
            </w:tcMar>
          </w:tcPr>
          <w:p w14:paraId="246B2684" w14:textId="77777777" w:rsidR="00C6020C" w:rsidRPr="00793D78" w:rsidRDefault="00C6020C" w:rsidP="006849F8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3DB14CBA" w14:textId="77777777" w:rsidR="00C6020C" w:rsidRDefault="00C6020C" w:rsidP="006849F8">
            <w:r w:rsidRPr="00793D78">
              <w:rPr>
                <w:sz w:val="14"/>
                <w:szCs w:val="14"/>
              </w:rPr>
              <w:t>Zdroj: ČSÚ</w:t>
            </w:r>
          </w:p>
        </w:tc>
      </w:tr>
      <w:tr w:rsidR="00C6020C" w:rsidRPr="009110F7" w14:paraId="74C137B9" w14:textId="77777777" w:rsidTr="006849F8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0C699D6F" w14:textId="77777777" w:rsidR="00C6020C" w:rsidRDefault="00C6020C" w:rsidP="006849F8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Nabídkové ceny bytů se meziročně snížily.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4AC963AC" w14:textId="77777777" w:rsidR="00C6020C" w:rsidRPr="00793D78" w:rsidRDefault="00C6020C" w:rsidP="006849F8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2B0187BD" w14:textId="44A9EF6B" w:rsidR="00C6020C" w:rsidRDefault="00C6020C" w:rsidP="006849F8">
            <w:r>
              <w:t>Nabídkové ceny bytů dosáhly vrcholu na konci loňského roku a v 1. i 2. čtvrtletí 2023 došlo ke dvěma mezičtvrtletním poklesům (−1,9 % a −1,7 %). Ve 2. čtvrtletí nabídkové ceny poprvé od 2. kvartálu 2013 meziročně klesly, a to o 0,7 %. Pokles se meziročně týkal zejména bytů v ČR mimo Prahu (−1,8 %), v Praze ještě byly nabídkové ceny vyšší o 0,3 %. Mezičtvrtletně ale nabídkové ceny klesaly v Praze (−1,8 %) i mimo ni (−1,6 %). Dynamika realizovaných cen starších bytů zpomaluje ještě rychleji než nabídkové ceny, což zčásti dokládá ochlazení na trhu s nemovitostmi. Realizované ceny starších bytů v ČR ve 2. čtvrtletí mezičtvrtletně klesly potřetí v řadě (−2,6 %). Oproti stejnému období loňského roku byly nižší o 4,1 %, poprvé od 4. kvartálu 2013. Realizované ceny starších bytů v Praze přitom meziročně klesly o 3,6 % a mimo Prahu o 4,2 %. Podruhé v řadě se</w:t>
            </w:r>
            <w:r w:rsidR="00AA49E1">
              <w:t xml:space="preserve"> meziročně</w:t>
            </w:r>
            <w:r>
              <w:t xml:space="preserve"> hluboce propadly i realizované ceny nových bytů v Praze (−6,9 %). Realizované ceny nových bytů klesly v Praze mezičtvrtletně počtvrté v řadě (−0,5 %). </w:t>
            </w:r>
          </w:p>
        </w:tc>
      </w:tr>
      <w:tr w:rsidR="00C6020C" w:rsidRPr="009110F7" w14:paraId="61900E32" w14:textId="77777777" w:rsidTr="006849F8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33839AC9" w14:textId="77777777" w:rsidR="00C6020C" w:rsidRDefault="00C6020C" w:rsidP="006849F8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Růst cen průmyslových výrobců značně zpomalil.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5AD5DE1F" w14:textId="77777777" w:rsidR="00C6020C" w:rsidRPr="00793D78" w:rsidRDefault="00C6020C" w:rsidP="006849F8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59B72194" w14:textId="77777777" w:rsidR="00C6020C" w:rsidRDefault="00C6020C" w:rsidP="006849F8">
            <w:r>
              <w:t xml:space="preserve">Ceny průmyslových výrobců se ve 2. čtvrtletí 2023 meziročně zvýšily o 3,9 %. Přírůstek tak výrazně zpomalil ve srovnání s 1. kvartálem. Mezičtvrtletně se ceny průmyslových výrobců snížily o 2,6 %. Za zpomalením meziročního růstu stál zejména vývoj u cen výrobků a služeb zpracovatelského průmyslu, které byly meziročně nižší o 0,9 % (první </w:t>
            </w:r>
            <w:r>
              <w:lastRenderedPageBreak/>
              <w:t xml:space="preserve">pokles od 4. čtvrtletí 2020). Vliv měla vysoká srovnávací základna loňského roku. Meziročně klesaly hlavně ceny u různých surovin nebo souvisejících výrobků, ale zpomalovala dynamika u většiny druhů výrobků. Výrazný vliv na ceny průmyslových výrobců měl meziroční propad u cen </w:t>
            </w:r>
            <w:r w:rsidRPr="00F20BC0">
              <w:t>koksu a rafinovaných ropných produktů</w:t>
            </w:r>
            <w:r>
              <w:rPr>
                <w:rStyle w:val="Znakapoznpodarou"/>
              </w:rPr>
              <w:footnoteReference w:id="5"/>
            </w:r>
            <w:r>
              <w:t>. Nižší byly ceny chemických látek a přípravků (−13,5 %), které jsou s vývojem cen ropy svázány, dřeva a dřevěných výrobků (−13,3 %), základních kovů (−11,5 %), kovodělných výrobků (−1,7 %) nebo papíru a výrobků z něj (−0,8 %). Výrazně oslabil meziroční růst cen potravinářských výrobků (11,4 %), ale naopak mírně posílila dynamika cen nápojů (14,1 %). Poměrně silný zůstával růst cen strojů a zařízení (8,1 %) stejně jako ceny jejich oprav a instalace (9,4 %). Vyšší byly ceny motorových vozidel (3,3 %) i ostatních dopravních prostředků (7,7 %), základních farmaceutických výrobků a přípravků (4,3 %), počítačů, elektronických a optických zařízení (3,4 %), elektrických zařízení (1,9 %) nebo pryžových a plastových výrobků. Ceny ve zpracovatelském průmyslu klesly mezičtvrtletně potřetí v řadě, a to o 1,6 %.</w:t>
            </w:r>
          </w:p>
        </w:tc>
      </w:tr>
      <w:tr w:rsidR="00C6020C" w:rsidRPr="009110F7" w14:paraId="7210FD57" w14:textId="77777777" w:rsidTr="006849F8">
        <w:trPr>
          <w:trHeight w:val="170"/>
        </w:trPr>
        <w:tc>
          <w:tcPr>
            <w:tcW w:w="1804" w:type="dxa"/>
            <w:vMerge w:val="restart"/>
            <w:shd w:val="clear" w:color="auto" w:fill="auto"/>
            <w:tcMar>
              <w:left w:w="0" w:type="dxa"/>
            </w:tcMar>
          </w:tcPr>
          <w:p w14:paraId="6E7D6F6D" w14:textId="77777777" w:rsidR="00C6020C" w:rsidRDefault="00C6020C" w:rsidP="006849F8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 w:val="restart"/>
            <w:shd w:val="clear" w:color="auto" w:fill="auto"/>
            <w:tcMar>
              <w:left w:w="0" w:type="dxa"/>
            </w:tcMar>
          </w:tcPr>
          <w:p w14:paraId="5D288B94" w14:textId="77777777" w:rsidR="00C6020C" w:rsidRPr="00793D78" w:rsidRDefault="00C6020C" w:rsidP="006849F8">
            <w:pPr>
              <w:pStyle w:val="Textpoznpodarou1"/>
              <w:jc w:val="both"/>
              <w:rPr>
                <w:highlight w:val="yellow"/>
              </w:rPr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777F84A7" w14:textId="0844F239" w:rsidR="00C6020C" w:rsidRPr="00D75AC1" w:rsidRDefault="00FA2C07" w:rsidP="006849F8">
            <w:pPr>
              <w:spacing w:after="0"/>
              <w:rPr>
                <w:b/>
                <w:szCs w:val="20"/>
              </w:rPr>
            </w:pPr>
            <w:r>
              <w:rPr>
                <w:b/>
                <w:sz w:val="18"/>
                <w:szCs w:val="18"/>
              </w:rPr>
              <w:t>Graf č. 12</w:t>
            </w:r>
            <w:r w:rsidR="00C6020C" w:rsidRPr="00793D78">
              <w:rPr>
                <w:b/>
                <w:sz w:val="18"/>
                <w:szCs w:val="18"/>
              </w:rPr>
              <w:t xml:space="preserve"> </w:t>
            </w:r>
            <w:r w:rsidR="00C6020C" w:rsidRPr="00793D78">
              <w:rPr>
                <w:b/>
                <w:sz w:val="18"/>
                <w:szCs w:val="18"/>
                <w:lang w:eastAsia="en-US"/>
              </w:rPr>
              <w:t xml:space="preserve">Ceny hlavních skupin průmyslových výrobců </w:t>
            </w:r>
            <w:r w:rsidR="00C6020C" w:rsidRPr="009067EA">
              <w:rPr>
                <w:sz w:val="18"/>
                <w:szCs w:val="18"/>
                <w:lang w:eastAsia="en-US"/>
              </w:rPr>
              <w:t>(meziroční změna, v %, podle klasifikace CPA)</w:t>
            </w:r>
          </w:p>
        </w:tc>
      </w:tr>
      <w:tr w:rsidR="00C6020C" w:rsidRPr="009110F7" w14:paraId="118304D4" w14:textId="77777777" w:rsidTr="006849F8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4" w:type="dxa"/>
            <w:vMerge/>
          </w:tcPr>
          <w:p w14:paraId="10D3EA6B" w14:textId="77777777" w:rsidR="00C6020C" w:rsidRPr="00793D78" w:rsidRDefault="00C6020C" w:rsidP="006849F8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</w:tcPr>
          <w:p w14:paraId="2CD4CF6F" w14:textId="77777777" w:rsidR="00C6020C" w:rsidRPr="00793D78" w:rsidRDefault="00C6020C" w:rsidP="006849F8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</w:tcPr>
          <w:p w14:paraId="7B269084" w14:textId="77777777" w:rsidR="00C6020C" w:rsidRPr="00793D78" w:rsidRDefault="00C6020C" w:rsidP="006849F8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795D0CDE" wp14:editId="01C39444">
                  <wp:extent cx="4737600" cy="3553200"/>
                  <wp:effectExtent l="0" t="0" r="6350" b="0"/>
                  <wp:docPr id="37" name="Graf 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8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C6020C" w:rsidRPr="009110F7" w14:paraId="5946625B" w14:textId="77777777" w:rsidTr="006849F8">
        <w:trPr>
          <w:trHeight w:val="170"/>
        </w:trPr>
        <w:tc>
          <w:tcPr>
            <w:tcW w:w="1804" w:type="dxa"/>
            <w:vMerge/>
            <w:tcMar>
              <w:left w:w="0" w:type="dxa"/>
            </w:tcMar>
          </w:tcPr>
          <w:p w14:paraId="6A5CE9A4" w14:textId="77777777" w:rsidR="00C6020C" w:rsidRPr="00793D78" w:rsidRDefault="00C6020C" w:rsidP="006849F8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vMerge/>
            <w:tcMar>
              <w:left w:w="0" w:type="dxa"/>
            </w:tcMar>
          </w:tcPr>
          <w:p w14:paraId="097C345D" w14:textId="77777777" w:rsidR="00C6020C" w:rsidRPr="00793D78" w:rsidRDefault="00C6020C" w:rsidP="006849F8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7CF189F4" w14:textId="77777777" w:rsidR="00C6020C" w:rsidRPr="00793D78" w:rsidRDefault="00C6020C" w:rsidP="006849F8">
            <w:r w:rsidRPr="00793D78">
              <w:rPr>
                <w:sz w:val="14"/>
                <w:szCs w:val="14"/>
              </w:rPr>
              <w:t>Zdroj: ČSÚ</w:t>
            </w:r>
          </w:p>
        </w:tc>
      </w:tr>
      <w:tr w:rsidR="00C6020C" w:rsidRPr="009110F7" w14:paraId="0FD52AD0" w14:textId="77777777" w:rsidTr="006849F8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7C381BB1" w14:textId="77777777" w:rsidR="00C6020C" w:rsidRDefault="00C6020C" w:rsidP="006849F8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Ceny těžby a dobývání rostly nejsilněji.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0F8B3EF4" w14:textId="77777777" w:rsidR="00C6020C" w:rsidRPr="00793D78" w:rsidRDefault="00C6020C" w:rsidP="006849F8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6BFACE9C" w14:textId="77777777" w:rsidR="00C6020C" w:rsidRDefault="00C6020C" w:rsidP="006849F8">
            <w:r>
              <w:t xml:space="preserve">Meziroční růst cen elektřiny, plynu, páry a klimatizovaného vzduchu výrazně oslabil na 18,4 % a mezičtvrtletně v této sekci došlo k poklesu cen o 6,3 %. Naopak u cen těžby a dobývání se meziroční přírůstek držel na výrazných 47,6 %, k čemuž přispěl vývoj u těžby černého a hnědého uhlí a lignitu (71,4 %) i ostatní těžby (24,7 %, jde hlavně o stavební materiály). Výrazněji oslabil jen růst cen těžby ropy a zemního plynu (38,6 %). Mezičtvrtletně se ceny těžby a dobývání zvýšily o 1,7 %. Ceny zásobování vodou a služeb souvisejících s odpadními vodami byly meziročně vyšší </w:t>
            </w:r>
            <w:r>
              <w:br/>
              <w:t>o 16,3 %.</w:t>
            </w:r>
          </w:p>
        </w:tc>
      </w:tr>
      <w:tr w:rsidR="00C6020C" w:rsidRPr="009110F7" w14:paraId="7DF1294F" w14:textId="77777777" w:rsidTr="006849F8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7FD83604" w14:textId="77777777" w:rsidR="00C6020C" w:rsidRDefault="00C6020C" w:rsidP="006849F8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Meziroční růst cen průmyslových výrobců v EU dál zpomaloval.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249D2A18" w14:textId="77777777" w:rsidR="00C6020C" w:rsidRPr="00793D78" w:rsidRDefault="00C6020C" w:rsidP="006849F8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3C64B143" w14:textId="77777777" w:rsidR="00C6020C" w:rsidRDefault="00C6020C" w:rsidP="006849F8">
            <w:r>
              <w:t>Ceny průmyslových výrobců v EU</w:t>
            </w:r>
            <w:r>
              <w:rPr>
                <w:rStyle w:val="Znakapoznpodarou"/>
              </w:rPr>
              <w:footnoteReference w:id="6"/>
            </w:r>
            <w:r>
              <w:t xml:space="preserve"> ve 2. čtvrtletí meziročně klesly o 0,3 %. Výrazně meziročně nižší byly ceny těžby a dobývání (−11,8 %) i elektřiny, plynu, páry a klimatizovaného vzduchu (−7,8 %). Naopak ceny ve zpracovatelském průmyslu </w:t>
            </w:r>
            <w:r>
              <w:lastRenderedPageBreak/>
              <w:t xml:space="preserve">navzdory pokračujícímu zpomalení ještě mírně meziročně vzrostly (0,8 %). Nejvíce ve 2. čtvrtletí meziročně rostly ceny průmyslových výrobců v Maďarsku (35,7 %), na Slovensku (19,1 %) a v Lotyšsku (11,5 %). Naopak k nejsilnějšímu meziročnímu propadu došlo v Irsku (−16,5 %), Řecku (−10,4 %) a Belgii (−9,6 %). Ceny průmyslových výrobců v EU klesly mezičtvrtletně potřetí v řadě (−5,5 %). Prudce se snížily ceny těžby a dobývání (−20,6 %) i elektřiny, plynu, páry a klimatizovaného vzduchu (−17,4 %) a nižší oproti předchozímu čtvrtletí byly také ceny ve zpracovatelském průmyslu (−1,0 %). Mezičtvrtletně klesaly ceny průmyslových výrobců ve všech zemích EU s výjimkou Slovinska (růst o 0,5 %). V pásmu stagnace se pohybovaly ceny na Kypru a Maltě (shodně klesly mezičtvrtletně o 0,1 %), jinde byly poklesy výraznější. Nejsilnější mezičtvrtletní propad měly ve 2. čtvrtletí ceny v Irsku (−12,9 %), Belgii (−12,3 %) a Itálii (−10,2 %). </w:t>
            </w:r>
          </w:p>
        </w:tc>
      </w:tr>
      <w:tr w:rsidR="00C6020C" w:rsidRPr="009110F7" w14:paraId="40150B66" w14:textId="77777777" w:rsidTr="006849F8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27CAB0F7" w14:textId="77777777" w:rsidR="00C6020C" w:rsidRDefault="00C6020C" w:rsidP="006849F8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lastRenderedPageBreak/>
              <w:t>Zmírnil růst cen stavebních prací.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25F3B18C" w14:textId="77777777" w:rsidR="00C6020C" w:rsidRPr="00793D78" w:rsidRDefault="00C6020C" w:rsidP="006849F8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10EF1C15" w14:textId="77777777" w:rsidR="00C6020C" w:rsidRPr="00793D78" w:rsidRDefault="00C6020C" w:rsidP="006849F8">
            <w:r>
              <w:t xml:space="preserve">Dynamika cen stavebních prací také oslabovala, i když s menší intenzitou než </w:t>
            </w:r>
            <w:r>
              <w:br/>
              <w:t xml:space="preserve">u jiných indexů, protože výraznou položkou v nákladech ve stavebnictví je pracovní síla. Ceny stavebních prací byly dle odhadů ve 2. čtvrtletí 2023 mezičtvrtletně vyšší </w:t>
            </w:r>
            <w:r>
              <w:br/>
              <w:t>o 0,8 % a meziročně rostly o 6,9 %. U materiálů a výrobků spotřebovávaných ve stavebnictví došlo podle odhadů k mírnému mezičtvrtletnímu poklesu o 0,1 % a meziroční růst zde zmírnil na 3,2 %.</w:t>
            </w:r>
          </w:p>
        </w:tc>
      </w:tr>
      <w:tr w:rsidR="00C6020C" w:rsidRPr="009110F7" w14:paraId="4C3218BD" w14:textId="77777777" w:rsidTr="006849F8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0263239F" w14:textId="77777777" w:rsidR="00C6020C" w:rsidRPr="00793D78" w:rsidRDefault="00C6020C" w:rsidP="006849F8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Meziroční růst cen tržních služeb posílil.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305A3CE4" w14:textId="77777777" w:rsidR="00C6020C" w:rsidRPr="00793D78" w:rsidRDefault="00C6020C" w:rsidP="006849F8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10DEBE2A" w14:textId="77777777" w:rsidR="00C6020C" w:rsidRPr="00793D78" w:rsidRDefault="00C6020C" w:rsidP="006849F8">
            <w:r>
              <w:t>Ceny tržních služeb se ve 2. čtvrtletí meziročně zvýšily o 6,3 %. Tempo růstu tak zrychlilo ve srovnání s předchozím kvartálem. Ceny tržních služeb vzrostly mezičtvrtletně o 2,8 %. Vývoj u služeb byl ovlivněn posilujícími mzdami, které jsou zde významnou nákladovou položkou. K meziročnímu růstu nejvíce přispíval vývoj cen služeb v oblasti programování a souvisejícím poradenství, které se zvýšily o 9,5 %. Silné bylo také působení cen pozemní a potrubní dopravy (meziroční přírůstek 5,3 %), služeb v oblasti nemovitostí (7,1 %) a služeb v oblasti zaměstnání (25,2 %). Významný vliv na růst cen tržních služeb mělo i posílení meziročního přírůstku cen reklamních služeb a průzkumu trhu (6,4 %) a projevilo se i navýšení cen služeb souvisejících se stavbami a úpravou krajiny (13,7 %), informačních služeb (12,8 %), poštovních a kurýrních služeb (8,0 %), služeb v oblasti pronájmu a operativního leasingu (5,6 %), architektonických a inženýrských služeb, technických zkoušek a analýz (4,1 %), skladování a podpůrných služeb v dopravě (3,6 %) nebo pojištění, zajištění a penzijního financování (2,9 %).</w:t>
            </w:r>
          </w:p>
        </w:tc>
      </w:tr>
      <w:tr w:rsidR="00C6020C" w:rsidRPr="009110F7" w14:paraId="74526FB3" w14:textId="77777777" w:rsidTr="006849F8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38EBEF71" w14:textId="77777777" w:rsidR="00C6020C" w:rsidRPr="00793D78" w:rsidRDefault="00C6020C" w:rsidP="006849F8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Ceny zemědělských výrobců klesaly. Snižovaly se především ceny v rostlinné výrobě.</w:t>
            </w: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4E4D814A" w14:textId="77777777" w:rsidR="00C6020C" w:rsidRPr="00793D78" w:rsidRDefault="00C6020C" w:rsidP="006849F8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0E65D96A" w14:textId="77777777" w:rsidR="00C6020C" w:rsidRDefault="00C6020C" w:rsidP="006849F8">
            <w:r>
              <w:t>Ceny zemědělských výrobců včetně ryb se ve 2. čtvrtletí meziročně propadly o 8,1 %. Šlo o první meziroční pokles od konce roku 2020. Meziročně klesaly jen ceny rostlinné výroby (−20,8 %), ale u živočišné výroby došlo ke zpomalení přírůstku na 12,4 %. Mezičtvrtletně se ceny zemědělských výrobců snížily o výrazných 9,1 % a klesly ceny rostlinné (−11,2 %) i živočišné (−6,6 %) výroby. Meziroční pokles cen rostlinné výroby byl ovlivněn zejména propadem cen obilovin (−22,3 %), z toho ceny pšenice klesly o 28,0 %, ječmene o 13,0 % a kukuřice o 9,1 %, naopak ceny ovsa rostly o 4,1 %. Ceny průmyslových plodin byly meziročně nižší o 34,0 %, a to zejména kvůli olejninám, kde pokles činil −35,1 %. Ceny krmných plodin se meziročně snížily o 1,9 %. U zeleniny a zahradnických produktů naopak posílil meziroční přírůstek cen na 23,9 %. Ceny brambor vzrostly o 29,0 % a u ovoce klesly o 5,9 %. V živočišné výrobě oslabil meziroční přírůstek cen hospodářských zvířat na 14,2 %, nižší byl růst cen prasat a selat (24,1 %), drůbeže (17,0 %) i skotu (0,9 %). Také přírůstek cen mléka se snížil na 7,8 % a vajec na 42,1 %.</w:t>
            </w:r>
          </w:p>
        </w:tc>
      </w:tr>
      <w:tr w:rsidR="00C6020C" w:rsidRPr="009110F7" w14:paraId="4E047492" w14:textId="77777777" w:rsidTr="006849F8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19942F13" w14:textId="77777777" w:rsidR="00C6020C" w:rsidRPr="00793D78" w:rsidRDefault="00C6020C" w:rsidP="006849F8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64DEA7EB" w14:textId="77777777" w:rsidR="00C6020C" w:rsidRPr="00793D78" w:rsidRDefault="00C6020C" w:rsidP="006849F8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4CDCCF2B" w14:textId="77777777" w:rsidR="00C6020C" w:rsidRPr="00793D78" w:rsidRDefault="00C6020C" w:rsidP="006849F8">
            <w:r>
              <w:t>Meziroční růst cen zahraničního obchodu ve 2. čtvrtletí dál zpomalil. Kurz koruny vůči euru i dolaru meziročně i mezičtvrtletně posiloval</w:t>
            </w:r>
            <w:r>
              <w:rPr>
                <w:rStyle w:val="Znakapoznpodarou"/>
              </w:rPr>
              <w:footnoteReference w:id="7"/>
            </w:r>
            <w:r>
              <w:t xml:space="preserve"> a působil tak protiinflačně, hlavní roli ale hrála vysoká srovnávací základna loňského roku, zejména výrazná úroveň cen surovin. Ceny vývozu zboží ve 2. čtvrtletí meziročně klesly o 1,8 % a mezičtvrtletně byly nižší o 2,2 %. Nejvíce se meziročně propadaly ceny exportu ostatních surovin</w:t>
            </w:r>
            <w:r>
              <w:rPr>
                <w:rStyle w:val="Znakapoznpodarou"/>
              </w:rPr>
              <w:footnoteReference w:id="8"/>
            </w:r>
            <w:r>
              <w:t xml:space="preserve"> (−25,5 %) a chemikálií (−9,4 %) a nižší byly i ceny potravin a živých zvířat (−4,7 %) a polotovarů</w:t>
            </w:r>
            <w:r>
              <w:rPr>
                <w:rStyle w:val="Znakapoznpodarou"/>
              </w:rPr>
              <w:footnoteReference w:id="9"/>
            </w:r>
            <w:r>
              <w:t xml:space="preserve"> (−4,3 %). Naopak výrazně meziročně vzrostly ceny nápojů a tabáku (18,4 %), vyšší byly ceny minerálních paliv a maziv (2,3 %), průmyslového spotřebního zboží (1,1 %) a strojů a dopravních prostředků (1,0 %).</w:t>
            </w:r>
          </w:p>
        </w:tc>
      </w:tr>
      <w:tr w:rsidR="00C6020C" w:rsidRPr="009110F7" w14:paraId="4FB1FA53" w14:textId="77777777" w:rsidTr="006849F8">
        <w:trPr>
          <w:trHeight w:val="145"/>
        </w:trPr>
        <w:tc>
          <w:tcPr>
            <w:tcW w:w="1804" w:type="dxa"/>
            <w:shd w:val="clear" w:color="auto" w:fill="auto"/>
            <w:tcMar>
              <w:left w:w="0" w:type="dxa"/>
            </w:tcMar>
          </w:tcPr>
          <w:p w14:paraId="1BF8D79D" w14:textId="77777777" w:rsidR="00C6020C" w:rsidRPr="00793D78" w:rsidRDefault="00C6020C" w:rsidP="006849F8">
            <w:pPr>
              <w:pStyle w:val="Marginlie"/>
              <w:rPr>
                <w:spacing w:val="0"/>
              </w:rPr>
            </w:pPr>
          </w:p>
        </w:tc>
        <w:tc>
          <w:tcPr>
            <w:tcW w:w="224" w:type="dxa"/>
            <w:shd w:val="clear" w:color="auto" w:fill="auto"/>
            <w:tcMar>
              <w:left w:w="0" w:type="dxa"/>
            </w:tcMar>
          </w:tcPr>
          <w:p w14:paraId="34745BF5" w14:textId="77777777" w:rsidR="00C6020C" w:rsidRPr="00793D78" w:rsidRDefault="00C6020C" w:rsidP="006849F8">
            <w:pPr>
              <w:pStyle w:val="Textpoznpodarou1"/>
              <w:jc w:val="both"/>
            </w:pPr>
          </w:p>
        </w:tc>
        <w:tc>
          <w:tcPr>
            <w:tcW w:w="7611" w:type="dxa"/>
            <w:shd w:val="clear" w:color="auto" w:fill="auto"/>
            <w:tcMar>
              <w:left w:w="0" w:type="dxa"/>
            </w:tcMar>
          </w:tcPr>
          <w:p w14:paraId="6EF88923" w14:textId="77777777" w:rsidR="00C6020C" w:rsidRDefault="00C6020C" w:rsidP="006849F8">
            <w:r>
              <w:t xml:space="preserve">V případě cen vývozu také došlo k meziročnímu (−7,6 %) i mezičtvrtletnímu (−4,5 %) propadu. Meziročně klesaly hlavně ceny dovozu minerálních paliv a maziv (−32,0 %) a ostatních surovin (−15,8 %). Nižší byly ceny chemikálií (−10,9 %), polotovarů (−7,9 %) a strojů a dopravních prostředků (−1,6 %). Naopak meziročně silně rostly ceny importu nápojů a tabáku (22,2 %), potravin a živých zvířat (6,4 %) a průmyslového spotřebního zboží (5,9 %). Meziroční směnné relace vystoupaly ve 2. čtvrtletí na rekordních 106,3 %. Nejvyšší hodnoty dosáhly směnné relace obchodu s minerálními palivy a mazivy (150,4 %) a kladné byly dále relace obchodu s polotovary (103,9 %), stroji a dopravními prostředky (102,6 %) a chemikáliemi (101,7 %). Do záporu se naopak výrazně dostaly směnné relace v případě ostatních surovin (88,5 %), potravin a živých zvířat (89,6 %), průmyslového spotřebního zboží (95,5 %) a nápojů a tabáku (96,9 %).    </w:t>
            </w:r>
          </w:p>
        </w:tc>
      </w:tr>
      <w:bookmarkEnd w:id="0"/>
    </w:tbl>
    <w:p w14:paraId="6F4E324E" w14:textId="77777777" w:rsidR="00C6020C" w:rsidRDefault="00C6020C" w:rsidP="00765928">
      <w:pPr>
        <w:pStyle w:val="Nadpis11"/>
        <w:spacing w:after="120"/>
      </w:pPr>
    </w:p>
    <w:p w14:paraId="0B044C66" w14:textId="1D4F3D0A" w:rsidR="00C6020C" w:rsidRDefault="00C6020C">
      <w:pPr>
        <w:spacing w:after="0" w:line="240" w:lineRule="auto"/>
        <w:jc w:val="left"/>
        <w:rPr>
          <w:rFonts w:eastAsia="MS Gothic"/>
          <w:b/>
          <w:bCs/>
          <w:color w:val="71818C"/>
          <w:sz w:val="32"/>
          <w:szCs w:val="28"/>
        </w:rPr>
      </w:pPr>
      <w:bookmarkStart w:id="3" w:name="_GoBack"/>
      <w:bookmarkEnd w:id="1"/>
      <w:bookmarkEnd w:id="3"/>
    </w:p>
    <w:sectPr w:rsidR="00C6020C" w:rsidSect="00A2043A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1134" w:right="1134" w:bottom="1418" w:left="1134" w:header="680" w:footer="737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00F9A" w14:textId="77777777" w:rsidR="00FA453C" w:rsidRDefault="00FA453C" w:rsidP="00E71A58">
      <w:r>
        <w:separator/>
      </w:r>
    </w:p>
  </w:endnote>
  <w:endnote w:type="continuationSeparator" w:id="0">
    <w:p w14:paraId="2EB8C62D" w14:textId="77777777" w:rsidR="00FA453C" w:rsidRDefault="00FA453C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B6C8" w14:textId="3712A6B8" w:rsidR="00DA0121" w:rsidRPr="00932443" w:rsidRDefault="00DA0121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A2043A">
      <w:rPr>
        <w:szCs w:val="16"/>
      </w:rPr>
      <w:t>28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pololetí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AFAF" w14:textId="51D1E29F" w:rsidR="00DA0121" w:rsidRPr="00932443" w:rsidRDefault="00DA0121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1. pololetí 202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3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A2043A">
      <w:rPr>
        <w:rStyle w:val="ZpatChar"/>
        <w:szCs w:val="16"/>
      </w:rPr>
      <w:t>29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CEDBB" w14:textId="77777777" w:rsidR="00FA453C" w:rsidRDefault="00FA453C" w:rsidP="00A21B4D">
      <w:pPr>
        <w:spacing w:after="0"/>
      </w:pPr>
      <w:r>
        <w:separator/>
      </w:r>
    </w:p>
  </w:footnote>
  <w:footnote w:type="continuationSeparator" w:id="0">
    <w:p w14:paraId="0ED2A637" w14:textId="77777777" w:rsidR="00FA453C" w:rsidRDefault="00FA453C" w:rsidP="00E71A58">
      <w:r>
        <w:continuationSeparator/>
      </w:r>
    </w:p>
  </w:footnote>
  <w:footnote w:id="1">
    <w:p w14:paraId="471BB2AB" w14:textId="77777777" w:rsidR="00DA0121" w:rsidRPr="008D5381" w:rsidRDefault="00DA0121" w:rsidP="00C6020C">
      <w:pPr>
        <w:pStyle w:val="Textpoznpodarou"/>
        <w:rPr>
          <w:sz w:val="16"/>
          <w:szCs w:val="16"/>
        </w:rPr>
      </w:pPr>
      <w:r w:rsidRPr="008D5381">
        <w:rPr>
          <w:rStyle w:val="Znakapoznpodarou"/>
          <w:sz w:val="16"/>
          <w:szCs w:val="16"/>
        </w:rPr>
        <w:footnoteRef/>
      </w:r>
      <w:r w:rsidRPr="008D5381">
        <w:rPr>
          <w:sz w:val="16"/>
          <w:szCs w:val="16"/>
        </w:rPr>
        <w:t xml:space="preserve"> Mezi červnem 2023 a prosincem 2022 se spotřebitelské ceny zvýšily o 7,2 %. Z toho většina z posunu připadá na leden, kdy se obvykle mění ceníky a letos nárůst zahrnul i zrušení energetického tarifu </w:t>
      </w:r>
      <w:r>
        <w:rPr>
          <w:sz w:val="16"/>
          <w:szCs w:val="16"/>
        </w:rPr>
        <w:t>–</w:t>
      </w:r>
      <w:r w:rsidRPr="008D5381">
        <w:rPr>
          <w:sz w:val="16"/>
          <w:szCs w:val="16"/>
        </w:rPr>
        <w:t xml:space="preserve"> mezi letošním červnem a lednem </w:t>
      </w:r>
      <w:r>
        <w:rPr>
          <w:sz w:val="16"/>
          <w:szCs w:val="16"/>
        </w:rPr>
        <w:t xml:space="preserve">dosáhlo </w:t>
      </w:r>
      <w:r w:rsidRPr="008D5381">
        <w:rPr>
          <w:sz w:val="16"/>
          <w:szCs w:val="16"/>
        </w:rPr>
        <w:t>navýšení cen jen 1,2 %. Mezi červnem 2022 a prosince</w:t>
      </w:r>
      <w:r>
        <w:rPr>
          <w:sz w:val="16"/>
          <w:szCs w:val="16"/>
        </w:rPr>
        <w:t>m</w:t>
      </w:r>
      <w:r w:rsidRPr="008D5381">
        <w:rPr>
          <w:sz w:val="16"/>
          <w:szCs w:val="16"/>
        </w:rPr>
        <w:t xml:space="preserve"> 2021 ale přírůstek dosáhl 13,2 % a z toho mezi červnem a lednem ceny vzrostly o 8,3 %.  </w:t>
      </w:r>
    </w:p>
  </w:footnote>
  <w:footnote w:id="2">
    <w:p w14:paraId="0CA22C48" w14:textId="77777777" w:rsidR="00DA0121" w:rsidRPr="00114669" w:rsidRDefault="00DA0121" w:rsidP="00C6020C">
      <w:pPr>
        <w:pStyle w:val="Textpoznpodarou"/>
        <w:rPr>
          <w:sz w:val="16"/>
          <w:szCs w:val="16"/>
        </w:rPr>
      </w:pPr>
      <w:r w:rsidRPr="000A4298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I</w:t>
      </w:r>
      <w:r w:rsidRPr="000A4298">
        <w:rPr>
          <w:sz w:val="16"/>
          <w:szCs w:val="16"/>
        </w:rPr>
        <w:t>mputované nájemné vyjadřuje náklady vlastnického bydlení.</w:t>
      </w:r>
      <w:r>
        <w:rPr>
          <w:sz w:val="16"/>
          <w:szCs w:val="16"/>
        </w:rPr>
        <w:t xml:space="preserve"> Kromě samotných cen bydlení zahrnuje i náklady na výstavbu a renovace a další poplatky. Více na:</w:t>
      </w:r>
      <w:r w:rsidRPr="000A4298">
        <w:rPr>
          <w:sz w:val="16"/>
          <w:szCs w:val="16"/>
        </w:rPr>
        <w:t xml:space="preserve"> </w:t>
      </w:r>
      <w:hyperlink r:id="rId1" w:history="1">
        <w:r w:rsidRPr="000A4298">
          <w:rPr>
            <w:rStyle w:val="Hypertextovodkaz"/>
            <w:sz w:val="16"/>
            <w:szCs w:val="16"/>
          </w:rPr>
          <w:t>https://www.czso.cz/csu/czso/metodicka-poznamka-k-indexu-spotrebitelskych-cen-imputovane-najemne</w:t>
        </w:r>
      </w:hyperlink>
      <w:r>
        <w:rPr>
          <w:rStyle w:val="Hypertextovodkaz"/>
          <w:sz w:val="16"/>
          <w:szCs w:val="16"/>
          <w:u w:val="none"/>
        </w:rPr>
        <w:t>.</w:t>
      </w:r>
    </w:p>
  </w:footnote>
  <w:footnote w:id="3">
    <w:p w14:paraId="44898EB0" w14:textId="77777777" w:rsidR="00DA0121" w:rsidRPr="00720921" w:rsidRDefault="00DA0121" w:rsidP="00C6020C">
      <w:pPr>
        <w:pStyle w:val="Textpoznpodarou"/>
        <w:rPr>
          <w:sz w:val="16"/>
          <w:szCs w:val="16"/>
        </w:rPr>
      </w:pPr>
      <w:r w:rsidRPr="00720921">
        <w:rPr>
          <w:rStyle w:val="Znakapoznpodarou"/>
          <w:sz w:val="16"/>
          <w:szCs w:val="16"/>
        </w:rPr>
        <w:footnoteRef/>
      </w:r>
      <w:r w:rsidRPr="00720921">
        <w:rPr>
          <w:sz w:val="16"/>
          <w:szCs w:val="16"/>
        </w:rPr>
        <w:t xml:space="preserve"> Zahrnuje služby osobní péče</w:t>
      </w:r>
      <w:r>
        <w:rPr>
          <w:sz w:val="16"/>
          <w:szCs w:val="16"/>
        </w:rPr>
        <w:t xml:space="preserve"> a osobní potřeby a doplňky</w:t>
      </w:r>
      <w:r w:rsidRPr="00720921">
        <w:rPr>
          <w:sz w:val="16"/>
          <w:szCs w:val="16"/>
        </w:rPr>
        <w:t>, sociální péči, pojištění a další finanční služby apod.</w:t>
      </w:r>
    </w:p>
  </w:footnote>
  <w:footnote w:id="4">
    <w:p w14:paraId="6C33C92E" w14:textId="77777777" w:rsidR="00DA0121" w:rsidRPr="00C055FA" w:rsidRDefault="00DA0121" w:rsidP="00C6020C">
      <w:pPr>
        <w:pStyle w:val="Textpoznpodarou"/>
        <w:rPr>
          <w:sz w:val="16"/>
          <w:szCs w:val="16"/>
        </w:rPr>
      </w:pPr>
      <w:r w:rsidRPr="00C055FA">
        <w:rPr>
          <w:rStyle w:val="Znakapoznpodarou"/>
          <w:sz w:val="16"/>
          <w:szCs w:val="16"/>
        </w:rPr>
        <w:footnoteRef/>
      </w:r>
      <w:r w:rsidRPr="00C055F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Oproti indexu spotřebitelských cen, který ČSÚ pro českou ekonomiku sestavuje, </w:t>
      </w:r>
      <w:r w:rsidRPr="00C055FA">
        <w:rPr>
          <w:sz w:val="16"/>
          <w:szCs w:val="16"/>
        </w:rPr>
        <w:t>HICP neobsahuje imputované nájemné</w:t>
      </w:r>
      <w:r>
        <w:rPr>
          <w:sz w:val="16"/>
          <w:szCs w:val="16"/>
        </w:rPr>
        <w:t>, což bývá zdrojem rozdílů mezi HICP a Indexem spotřebitelských cen</w:t>
      </w:r>
      <w:r w:rsidRPr="00C055FA">
        <w:rPr>
          <w:sz w:val="16"/>
          <w:szCs w:val="16"/>
        </w:rPr>
        <w:t>.</w:t>
      </w:r>
    </w:p>
  </w:footnote>
  <w:footnote w:id="5">
    <w:p w14:paraId="19B9E259" w14:textId="77777777" w:rsidR="00DA0121" w:rsidRPr="005F66A4" w:rsidRDefault="00DA0121" w:rsidP="00C6020C">
      <w:pPr>
        <w:pStyle w:val="Textpoznpodarou"/>
        <w:rPr>
          <w:sz w:val="16"/>
          <w:szCs w:val="16"/>
        </w:rPr>
      </w:pPr>
      <w:r w:rsidRPr="005F66A4">
        <w:rPr>
          <w:rStyle w:val="Znakapoznpodarou"/>
          <w:sz w:val="16"/>
          <w:szCs w:val="16"/>
        </w:rPr>
        <w:footnoteRef/>
      </w:r>
      <w:r w:rsidRPr="005F66A4">
        <w:rPr>
          <w:sz w:val="16"/>
          <w:szCs w:val="16"/>
        </w:rPr>
        <w:t xml:space="preserve"> </w:t>
      </w:r>
      <w:r>
        <w:rPr>
          <w:sz w:val="16"/>
          <w:szCs w:val="16"/>
        </w:rPr>
        <w:t>Přesné hodnoty ukazatele nejsou uvedeny kvůli ochraně i</w:t>
      </w:r>
      <w:r w:rsidRPr="005F66A4">
        <w:rPr>
          <w:sz w:val="16"/>
          <w:szCs w:val="16"/>
        </w:rPr>
        <w:t>ndividuální</w:t>
      </w:r>
      <w:r>
        <w:rPr>
          <w:sz w:val="16"/>
          <w:szCs w:val="16"/>
        </w:rPr>
        <w:t>ch</w:t>
      </w:r>
      <w:r w:rsidRPr="005F66A4">
        <w:rPr>
          <w:sz w:val="16"/>
          <w:szCs w:val="16"/>
        </w:rPr>
        <w:t xml:space="preserve"> dat.</w:t>
      </w:r>
    </w:p>
  </w:footnote>
  <w:footnote w:id="6">
    <w:p w14:paraId="0B2D34E5" w14:textId="77777777" w:rsidR="00DA0121" w:rsidRPr="000C5F73" w:rsidRDefault="00DA0121" w:rsidP="00C6020C">
      <w:pPr>
        <w:pStyle w:val="Textpoznpodarou"/>
        <w:rPr>
          <w:sz w:val="16"/>
          <w:szCs w:val="16"/>
        </w:rPr>
      </w:pPr>
      <w:r w:rsidRPr="000C5F73">
        <w:rPr>
          <w:rStyle w:val="Znakapoznpodarou"/>
          <w:sz w:val="16"/>
          <w:szCs w:val="16"/>
        </w:rPr>
        <w:footnoteRef/>
      </w:r>
      <w:r w:rsidRPr="000C5F73">
        <w:rPr>
          <w:sz w:val="16"/>
          <w:szCs w:val="16"/>
        </w:rPr>
        <w:t xml:space="preserve"> Bez cen zásobování vodou a</w:t>
      </w:r>
      <w:r>
        <w:rPr>
          <w:sz w:val="16"/>
          <w:szCs w:val="16"/>
        </w:rPr>
        <w:t> </w:t>
      </w:r>
      <w:r w:rsidRPr="000C5F73">
        <w:rPr>
          <w:sz w:val="16"/>
          <w:szCs w:val="16"/>
        </w:rPr>
        <w:t>služeb souvisejících s odpadními vodami.</w:t>
      </w:r>
    </w:p>
  </w:footnote>
  <w:footnote w:id="7">
    <w:p w14:paraId="6052F062" w14:textId="77777777" w:rsidR="00DA0121" w:rsidRPr="00C11C5A" w:rsidRDefault="00DA0121" w:rsidP="00C6020C">
      <w:pPr>
        <w:pStyle w:val="Textpoznpodarou"/>
        <w:rPr>
          <w:sz w:val="16"/>
          <w:szCs w:val="16"/>
        </w:rPr>
      </w:pPr>
      <w:r w:rsidRPr="00C11C5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Podle údajů ČNB byl ve 2. čtvrtletí 2023 </w:t>
      </w:r>
      <w:r w:rsidRPr="00C11C5A">
        <w:rPr>
          <w:sz w:val="16"/>
          <w:szCs w:val="16"/>
        </w:rPr>
        <w:t xml:space="preserve">průměrný kurz koruny vůči euru </w:t>
      </w:r>
      <w:r>
        <w:rPr>
          <w:sz w:val="16"/>
          <w:szCs w:val="16"/>
        </w:rPr>
        <w:t>23,588 </w:t>
      </w:r>
      <w:r w:rsidRPr="00C11C5A">
        <w:rPr>
          <w:sz w:val="16"/>
          <w:szCs w:val="16"/>
        </w:rPr>
        <w:t xml:space="preserve">CZK/EUR. </w:t>
      </w:r>
      <w:r>
        <w:rPr>
          <w:sz w:val="16"/>
          <w:szCs w:val="16"/>
        </w:rPr>
        <w:t>V roce 2022</w:t>
      </w:r>
      <w:r w:rsidRPr="00C11C5A">
        <w:rPr>
          <w:sz w:val="16"/>
          <w:szCs w:val="16"/>
        </w:rPr>
        <w:t xml:space="preserve"> to bylo </w:t>
      </w:r>
      <w:r>
        <w:rPr>
          <w:sz w:val="16"/>
          <w:szCs w:val="16"/>
        </w:rPr>
        <w:t xml:space="preserve">24,644 </w:t>
      </w:r>
      <w:r w:rsidRPr="00C11C5A">
        <w:rPr>
          <w:sz w:val="16"/>
          <w:szCs w:val="16"/>
        </w:rPr>
        <w:t xml:space="preserve">CZK/EUR. </w:t>
      </w:r>
      <w:r>
        <w:rPr>
          <w:sz w:val="16"/>
          <w:szCs w:val="16"/>
        </w:rPr>
        <w:t>Kurz dolaru meziročně výrazně posílil</w:t>
      </w:r>
      <w:r w:rsidRPr="00C11C5A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Ve 2. čtvrtletí 2022 </w:t>
      </w:r>
      <w:r w:rsidRPr="00C11C5A">
        <w:rPr>
          <w:sz w:val="16"/>
          <w:szCs w:val="16"/>
        </w:rPr>
        <w:t xml:space="preserve">činil </w:t>
      </w:r>
      <w:r>
        <w:rPr>
          <w:sz w:val="16"/>
          <w:szCs w:val="16"/>
        </w:rPr>
        <w:t xml:space="preserve">průměr 23,156 </w:t>
      </w:r>
      <w:r w:rsidRPr="00C11C5A">
        <w:rPr>
          <w:sz w:val="16"/>
          <w:szCs w:val="16"/>
        </w:rPr>
        <w:t>CZK/USD</w:t>
      </w:r>
      <w:r>
        <w:rPr>
          <w:sz w:val="16"/>
          <w:szCs w:val="16"/>
        </w:rPr>
        <w:t xml:space="preserve"> a letos</w:t>
      </w:r>
      <w:r w:rsidRPr="00C11C5A">
        <w:rPr>
          <w:sz w:val="16"/>
          <w:szCs w:val="16"/>
        </w:rPr>
        <w:t xml:space="preserve"> 2</w:t>
      </w:r>
      <w:r>
        <w:rPr>
          <w:sz w:val="16"/>
          <w:szCs w:val="16"/>
        </w:rPr>
        <w:t>1,673 </w:t>
      </w:r>
      <w:r w:rsidRPr="00C11C5A">
        <w:rPr>
          <w:sz w:val="16"/>
          <w:szCs w:val="16"/>
        </w:rPr>
        <w:t>CZK/U</w:t>
      </w:r>
      <w:r>
        <w:rPr>
          <w:sz w:val="16"/>
          <w:szCs w:val="16"/>
        </w:rPr>
        <w:t>SD</w:t>
      </w:r>
      <w:r w:rsidRPr="00C11C5A">
        <w:rPr>
          <w:sz w:val="16"/>
          <w:szCs w:val="16"/>
        </w:rPr>
        <w:t>.</w:t>
      </w:r>
    </w:p>
  </w:footnote>
  <w:footnote w:id="8">
    <w:p w14:paraId="68DCCC78" w14:textId="77777777" w:rsidR="00DA0121" w:rsidRPr="00940B11" w:rsidRDefault="00DA0121" w:rsidP="00C6020C">
      <w:pPr>
        <w:pStyle w:val="Textpoznpodarou"/>
        <w:rPr>
          <w:sz w:val="16"/>
          <w:szCs w:val="16"/>
        </w:rPr>
      </w:pPr>
      <w:r w:rsidRPr="00940B11">
        <w:rPr>
          <w:rStyle w:val="Znakapoznpodarou"/>
          <w:sz w:val="16"/>
          <w:szCs w:val="16"/>
        </w:rPr>
        <w:footnoteRef/>
      </w:r>
      <w:r w:rsidRPr="00940B11">
        <w:rPr>
          <w:sz w:val="16"/>
          <w:szCs w:val="16"/>
        </w:rPr>
        <w:t xml:space="preserve"> SITC</w:t>
      </w:r>
      <w:r>
        <w:rPr>
          <w:sz w:val="16"/>
          <w:szCs w:val="16"/>
        </w:rPr>
        <w:t> </w:t>
      </w:r>
      <w:r w:rsidRPr="00940B11">
        <w:rPr>
          <w:sz w:val="16"/>
          <w:szCs w:val="16"/>
        </w:rPr>
        <w:t>2</w:t>
      </w:r>
      <w:r>
        <w:rPr>
          <w:sz w:val="16"/>
          <w:szCs w:val="16"/>
        </w:rPr>
        <w:t> </w:t>
      </w:r>
      <w:r w:rsidRPr="00940B11">
        <w:rPr>
          <w:sz w:val="16"/>
          <w:szCs w:val="16"/>
        </w:rPr>
        <w:t>– suroviny nepoživatelné s výjimkou paliv</w:t>
      </w:r>
      <w:r>
        <w:rPr>
          <w:sz w:val="16"/>
          <w:szCs w:val="16"/>
        </w:rPr>
        <w:t>.</w:t>
      </w:r>
    </w:p>
  </w:footnote>
  <w:footnote w:id="9">
    <w:p w14:paraId="799D14DF" w14:textId="77777777" w:rsidR="00DA0121" w:rsidRPr="00940B11" w:rsidRDefault="00DA0121" w:rsidP="00C6020C">
      <w:pPr>
        <w:pStyle w:val="Textpoznpodarou"/>
        <w:rPr>
          <w:sz w:val="16"/>
          <w:szCs w:val="16"/>
        </w:rPr>
      </w:pPr>
      <w:r w:rsidRPr="00940B11">
        <w:rPr>
          <w:rStyle w:val="Znakapoznpodarou"/>
          <w:sz w:val="16"/>
          <w:szCs w:val="16"/>
        </w:rPr>
        <w:footnoteRef/>
      </w:r>
      <w:r w:rsidRPr="00940B11">
        <w:rPr>
          <w:sz w:val="16"/>
          <w:szCs w:val="16"/>
        </w:rPr>
        <w:t xml:space="preserve"> SITC</w:t>
      </w:r>
      <w:r>
        <w:rPr>
          <w:sz w:val="16"/>
          <w:szCs w:val="16"/>
        </w:rPr>
        <w:t> </w:t>
      </w:r>
      <w:r w:rsidRPr="00940B11">
        <w:rPr>
          <w:sz w:val="16"/>
          <w:szCs w:val="16"/>
        </w:rPr>
        <w:t>6</w:t>
      </w:r>
      <w:r>
        <w:rPr>
          <w:sz w:val="16"/>
          <w:szCs w:val="16"/>
        </w:rPr>
        <w:t> </w:t>
      </w:r>
      <w:r w:rsidRPr="00940B11">
        <w:rPr>
          <w:sz w:val="16"/>
          <w:szCs w:val="16"/>
        </w:rPr>
        <w:t>– tržní výrobky tříděné hlavně podle materiálu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4A67" w14:textId="77777777" w:rsidR="00DA0121" w:rsidRDefault="00DA0121" w:rsidP="00937AE2">
    <w:pPr>
      <w:pStyle w:val="Zhlav"/>
    </w:pPr>
    <w:r>
      <w:t>Vývoj ekonomiky České republiky</w:t>
    </w:r>
  </w:p>
  <w:p w14:paraId="3E881AB3" w14:textId="77777777" w:rsidR="00DA0121" w:rsidRPr="006F5416" w:rsidRDefault="00DA0121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D3DB" w14:textId="77777777" w:rsidR="00DA0121" w:rsidRDefault="00DA0121" w:rsidP="00937AE2">
    <w:pPr>
      <w:pStyle w:val="Zhlav"/>
    </w:pPr>
    <w:r>
      <w:t>Vývoj ekonomiky České republiky</w:t>
    </w:r>
  </w:p>
  <w:p w14:paraId="57266714" w14:textId="77777777" w:rsidR="00DA0121" w:rsidRPr="006F5416" w:rsidRDefault="00DA0121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5764B"/>
    <w:multiLevelType w:val="hybridMultilevel"/>
    <w:tmpl w:val="84788BC8"/>
    <w:lvl w:ilvl="0" w:tplc="1B96A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3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678F7"/>
    <w:multiLevelType w:val="hybridMultilevel"/>
    <w:tmpl w:val="A4DE71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567A6"/>
    <w:multiLevelType w:val="hybridMultilevel"/>
    <w:tmpl w:val="50E0F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28"/>
  </w:num>
  <w:num w:numId="14">
    <w:abstractNumId w:val="14"/>
  </w:num>
  <w:num w:numId="15">
    <w:abstractNumId w:val="20"/>
  </w:num>
  <w:num w:numId="16">
    <w:abstractNumId w:val="16"/>
  </w:num>
  <w:num w:numId="17">
    <w:abstractNumId w:val="29"/>
  </w:num>
  <w:num w:numId="18">
    <w:abstractNumId w:val="21"/>
  </w:num>
  <w:num w:numId="19">
    <w:abstractNumId w:val="31"/>
  </w:num>
  <w:num w:numId="20">
    <w:abstractNumId w:val="32"/>
  </w:num>
  <w:num w:numId="21">
    <w:abstractNumId w:val="27"/>
  </w:num>
  <w:num w:numId="22">
    <w:abstractNumId w:val="19"/>
  </w:num>
  <w:num w:numId="23">
    <w:abstractNumId w:val="17"/>
  </w:num>
  <w:num w:numId="24">
    <w:abstractNumId w:val="18"/>
  </w:num>
  <w:num w:numId="25">
    <w:abstractNumId w:val="13"/>
  </w:num>
  <w:num w:numId="26">
    <w:abstractNumId w:val="23"/>
  </w:num>
  <w:num w:numId="27">
    <w:abstractNumId w:val="22"/>
  </w:num>
  <w:num w:numId="28">
    <w:abstractNumId w:val="10"/>
  </w:num>
  <w:num w:numId="29">
    <w:abstractNumId w:val="32"/>
  </w:num>
  <w:num w:numId="30">
    <w:abstractNumId w:val="24"/>
  </w:num>
  <w:num w:numId="31">
    <w:abstractNumId w:val="12"/>
  </w:num>
  <w:num w:numId="32">
    <w:abstractNumId w:val="33"/>
  </w:num>
  <w:num w:numId="33">
    <w:abstractNumId w:val="32"/>
  </w:num>
  <w:num w:numId="34">
    <w:abstractNumId w:val="11"/>
  </w:num>
  <w:num w:numId="35">
    <w:abstractNumId w:val="3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994"/>
    <w:rsid w:val="00000B55"/>
    <w:rsid w:val="0000209D"/>
    <w:rsid w:val="00002566"/>
    <w:rsid w:val="0000370A"/>
    <w:rsid w:val="00003849"/>
    <w:rsid w:val="00003F5C"/>
    <w:rsid w:val="00004D5A"/>
    <w:rsid w:val="00005219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107"/>
    <w:rsid w:val="00010256"/>
    <w:rsid w:val="00010702"/>
    <w:rsid w:val="00010A2C"/>
    <w:rsid w:val="0001128E"/>
    <w:rsid w:val="00011912"/>
    <w:rsid w:val="000129B7"/>
    <w:rsid w:val="0001387D"/>
    <w:rsid w:val="00014ED0"/>
    <w:rsid w:val="00016420"/>
    <w:rsid w:val="00016BDB"/>
    <w:rsid w:val="00017B01"/>
    <w:rsid w:val="000200BE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109"/>
    <w:rsid w:val="0002622B"/>
    <w:rsid w:val="00026389"/>
    <w:rsid w:val="0002669F"/>
    <w:rsid w:val="000279E5"/>
    <w:rsid w:val="000305E0"/>
    <w:rsid w:val="00031AE0"/>
    <w:rsid w:val="00031BB2"/>
    <w:rsid w:val="000322EF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2A4A"/>
    <w:rsid w:val="00044183"/>
    <w:rsid w:val="0004431D"/>
    <w:rsid w:val="00044AAC"/>
    <w:rsid w:val="0004694F"/>
    <w:rsid w:val="00046F2F"/>
    <w:rsid w:val="00047AD4"/>
    <w:rsid w:val="00047D54"/>
    <w:rsid w:val="00050541"/>
    <w:rsid w:val="0005054A"/>
    <w:rsid w:val="00050A87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D70"/>
    <w:rsid w:val="00062EC5"/>
    <w:rsid w:val="00062F22"/>
    <w:rsid w:val="00063975"/>
    <w:rsid w:val="00063CEA"/>
    <w:rsid w:val="0006444D"/>
    <w:rsid w:val="000645FC"/>
    <w:rsid w:val="00065296"/>
    <w:rsid w:val="0006533F"/>
    <w:rsid w:val="00065348"/>
    <w:rsid w:val="0006551C"/>
    <w:rsid w:val="0006558D"/>
    <w:rsid w:val="00065A75"/>
    <w:rsid w:val="000663F0"/>
    <w:rsid w:val="00066558"/>
    <w:rsid w:val="000671DB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457"/>
    <w:rsid w:val="000834ED"/>
    <w:rsid w:val="000837CD"/>
    <w:rsid w:val="00083B7F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22C"/>
    <w:rsid w:val="000913B1"/>
    <w:rsid w:val="0009290F"/>
    <w:rsid w:val="00093241"/>
    <w:rsid w:val="00093868"/>
    <w:rsid w:val="00094A84"/>
    <w:rsid w:val="00095025"/>
    <w:rsid w:val="00095135"/>
    <w:rsid w:val="00095152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85C"/>
    <w:rsid w:val="000A3A2C"/>
    <w:rsid w:val="000A3D9E"/>
    <w:rsid w:val="000A4A54"/>
    <w:rsid w:val="000A4ED9"/>
    <w:rsid w:val="000A5DB7"/>
    <w:rsid w:val="000A6753"/>
    <w:rsid w:val="000A6D94"/>
    <w:rsid w:val="000A72BC"/>
    <w:rsid w:val="000A7377"/>
    <w:rsid w:val="000A74A4"/>
    <w:rsid w:val="000A775A"/>
    <w:rsid w:val="000A7D63"/>
    <w:rsid w:val="000A7FF4"/>
    <w:rsid w:val="000B03CC"/>
    <w:rsid w:val="000B4212"/>
    <w:rsid w:val="000B67B7"/>
    <w:rsid w:val="000B6A0A"/>
    <w:rsid w:val="000C0127"/>
    <w:rsid w:val="000C0CA6"/>
    <w:rsid w:val="000C0EA8"/>
    <w:rsid w:val="000C13A2"/>
    <w:rsid w:val="000C21E7"/>
    <w:rsid w:val="000C23EC"/>
    <w:rsid w:val="000C26A2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C7A79"/>
    <w:rsid w:val="000D0A26"/>
    <w:rsid w:val="000D13CB"/>
    <w:rsid w:val="000D2196"/>
    <w:rsid w:val="000D2C2E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D7AC7"/>
    <w:rsid w:val="000E04FD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15F7"/>
    <w:rsid w:val="000F1AA2"/>
    <w:rsid w:val="000F378E"/>
    <w:rsid w:val="000F3F3B"/>
    <w:rsid w:val="000F4721"/>
    <w:rsid w:val="000F47E8"/>
    <w:rsid w:val="000F70E4"/>
    <w:rsid w:val="000F76EA"/>
    <w:rsid w:val="00100A8B"/>
    <w:rsid w:val="00100F5C"/>
    <w:rsid w:val="00101B15"/>
    <w:rsid w:val="00101CDA"/>
    <w:rsid w:val="00102037"/>
    <w:rsid w:val="00103DCB"/>
    <w:rsid w:val="00104C4C"/>
    <w:rsid w:val="00105015"/>
    <w:rsid w:val="001055D2"/>
    <w:rsid w:val="001057C2"/>
    <w:rsid w:val="00106BCC"/>
    <w:rsid w:val="00107124"/>
    <w:rsid w:val="0011038E"/>
    <w:rsid w:val="00111573"/>
    <w:rsid w:val="00112370"/>
    <w:rsid w:val="0011239B"/>
    <w:rsid w:val="001125EF"/>
    <w:rsid w:val="00112CAB"/>
    <w:rsid w:val="0011440C"/>
    <w:rsid w:val="00114C33"/>
    <w:rsid w:val="00114D5B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BE"/>
    <w:rsid w:val="001257E0"/>
    <w:rsid w:val="00125D69"/>
    <w:rsid w:val="0012799C"/>
    <w:rsid w:val="00127BC2"/>
    <w:rsid w:val="00127E15"/>
    <w:rsid w:val="001308F1"/>
    <w:rsid w:val="00130ADC"/>
    <w:rsid w:val="00130D9F"/>
    <w:rsid w:val="00132C4D"/>
    <w:rsid w:val="00133FC1"/>
    <w:rsid w:val="00134659"/>
    <w:rsid w:val="00135111"/>
    <w:rsid w:val="00135376"/>
    <w:rsid w:val="00136A6F"/>
    <w:rsid w:val="00136C1A"/>
    <w:rsid w:val="00137812"/>
    <w:rsid w:val="001405FA"/>
    <w:rsid w:val="00140D1A"/>
    <w:rsid w:val="00141184"/>
    <w:rsid w:val="00141315"/>
    <w:rsid w:val="0014152B"/>
    <w:rsid w:val="00141AA0"/>
    <w:rsid w:val="001425C3"/>
    <w:rsid w:val="0014262D"/>
    <w:rsid w:val="00142B29"/>
    <w:rsid w:val="00144108"/>
    <w:rsid w:val="00144588"/>
    <w:rsid w:val="001447DD"/>
    <w:rsid w:val="00145358"/>
    <w:rsid w:val="001459BC"/>
    <w:rsid w:val="0014779E"/>
    <w:rsid w:val="00150ECA"/>
    <w:rsid w:val="0015108F"/>
    <w:rsid w:val="00151707"/>
    <w:rsid w:val="00152C86"/>
    <w:rsid w:val="00152F4F"/>
    <w:rsid w:val="00153264"/>
    <w:rsid w:val="0015329F"/>
    <w:rsid w:val="001544A1"/>
    <w:rsid w:val="001553B8"/>
    <w:rsid w:val="001554C2"/>
    <w:rsid w:val="00156D04"/>
    <w:rsid w:val="001571C0"/>
    <w:rsid w:val="001574FE"/>
    <w:rsid w:val="0015753D"/>
    <w:rsid w:val="00157984"/>
    <w:rsid w:val="00157CC9"/>
    <w:rsid w:val="00160C21"/>
    <w:rsid w:val="001612F4"/>
    <w:rsid w:val="00161553"/>
    <w:rsid w:val="0016216F"/>
    <w:rsid w:val="0016256B"/>
    <w:rsid w:val="00162F81"/>
    <w:rsid w:val="00163793"/>
    <w:rsid w:val="00163868"/>
    <w:rsid w:val="00164CA1"/>
    <w:rsid w:val="00165313"/>
    <w:rsid w:val="001659C3"/>
    <w:rsid w:val="001665AB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777BA"/>
    <w:rsid w:val="00181029"/>
    <w:rsid w:val="00181BBC"/>
    <w:rsid w:val="0018385F"/>
    <w:rsid w:val="00183BCF"/>
    <w:rsid w:val="00184017"/>
    <w:rsid w:val="001847BB"/>
    <w:rsid w:val="00184B08"/>
    <w:rsid w:val="00185010"/>
    <w:rsid w:val="001854F2"/>
    <w:rsid w:val="00185C22"/>
    <w:rsid w:val="00186BA9"/>
    <w:rsid w:val="00187D50"/>
    <w:rsid w:val="00190B4D"/>
    <w:rsid w:val="0019196C"/>
    <w:rsid w:val="001926A9"/>
    <w:rsid w:val="00192F05"/>
    <w:rsid w:val="00194729"/>
    <w:rsid w:val="00194850"/>
    <w:rsid w:val="00195234"/>
    <w:rsid w:val="00195EA6"/>
    <w:rsid w:val="00196016"/>
    <w:rsid w:val="00196117"/>
    <w:rsid w:val="0019727D"/>
    <w:rsid w:val="00197A70"/>
    <w:rsid w:val="00197C0F"/>
    <w:rsid w:val="00197D0E"/>
    <w:rsid w:val="001A0487"/>
    <w:rsid w:val="001A0675"/>
    <w:rsid w:val="001A0A37"/>
    <w:rsid w:val="001A164B"/>
    <w:rsid w:val="001A1F68"/>
    <w:rsid w:val="001A21FA"/>
    <w:rsid w:val="001A4D7C"/>
    <w:rsid w:val="001A4EF0"/>
    <w:rsid w:val="001A552F"/>
    <w:rsid w:val="001A70B1"/>
    <w:rsid w:val="001A7672"/>
    <w:rsid w:val="001B0738"/>
    <w:rsid w:val="001B1235"/>
    <w:rsid w:val="001B158D"/>
    <w:rsid w:val="001B1BBB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1A6"/>
    <w:rsid w:val="001C1B24"/>
    <w:rsid w:val="001C1B66"/>
    <w:rsid w:val="001C1BB5"/>
    <w:rsid w:val="001C2732"/>
    <w:rsid w:val="001C31A2"/>
    <w:rsid w:val="001C351D"/>
    <w:rsid w:val="001C3794"/>
    <w:rsid w:val="001C3855"/>
    <w:rsid w:val="001C4B8F"/>
    <w:rsid w:val="001C4BB8"/>
    <w:rsid w:val="001C4D8C"/>
    <w:rsid w:val="001C4FD0"/>
    <w:rsid w:val="001C544D"/>
    <w:rsid w:val="001C5E46"/>
    <w:rsid w:val="001C6B3B"/>
    <w:rsid w:val="001C7A26"/>
    <w:rsid w:val="001C7E3F"/>
    <w:rsid w:val="001D0EF1"/>
    <w:rsid w:val="001D1A44"/>
    <w:rsid w:val="001D22C2"/>
    <w:rsid w:val="001D2C99"/>
    <w:rsid w:val="001D3B75"/>
    <w:rsid w:val="001D452E"/>
    <w:rsid w:val="001D54C1"/>
    <w:rsid w:val="001D556E"/>
    <w:rsid w:val="001D5DF2"/>
    <w:rsid w:val="001D6175"/>
    <w:rsid w:val="001D68B2"/>
    <w:rsid w:val="001D6B3F"/>
    <w:rsid w:val="001D7EFD"/>
    <w:rsid w:val="001D7F60"/>
    <w:rsid w:val="001E085B"/>
    <w:rsid w:val="001E149B"/>
    <w:rsid w:val="001E15CB"/>
    <w:rsid w:val="001E3306"/>
    <w:rsid w:val="001E504C"/>
    <w:rsid w:val="001E56AC"/>
    <w:rsid w:val="001E5A17"/>
    <w:rsid w:val="001E74C5"/>
    <w:rsid w:val="001F1236"/>
    <w:rsid w:val="001F2F90"/>
    <w:rsid w:val="001F4597"/>
    <w:rsid w:val="001F4826"/>
    <w:rsid w:val="001F4933"/>
    <w:rsid w:val="001F59C8"/>
    <w:rsid w:val="001F6483"/>
    <w:rsid w:val="001F6CD3"/>
    <w:rsid w:val="001F75DA"/>
    <w:rsid w:val="001F7931"/>
    <w:rsid w:val="001F7CE0"/>
    <w:rsid w:val="00200085"/>
    <w:rsid w:val="00201633"/>
    <w:rsid w:val="00203332"/>
    <w:rsid w:val="002036E6"/>
    <w:rsid w:val="00203CD5"/>
    <w:rsid w:val="00203D8F"/>
    <w:rsid w:val="00203DA4"/>
    <w:rsid w:val="00204EA6"/>
    <w:rsid w:val="00205186"/>
    <w:rsid w:val="00206516"/>
    <w:rsid w:val="002070CF"/>
    <w:rsid w:val="002071D5"/>
    <w:rsid w:val="002073FD"/>
    <w:rsid w:val="002111E5"/>
    <w:rsid w:val="0021149E"/>
    <w:rsid w:val="002118B9"/>
    <w:rsid w:val="00213691"/>
    <w:rsid w:val="002142C0"/>
    <w:rsid w:val="00217BED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1D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38DC"/>
    <w:rsid w:val="00244652"/>
    <w:rsid w:val="00244A15"/>
    <w:rsid w:val="002452D9"/>
    <w:rsid w:val="00247319"/>
    <w:rsid w:val="0024799E"/>
    <w:rsid w:val="00247E60"/>
    <w:rsid w:val="002512B7"/>
    <w:rsid w:val="00251496"/>
    <w:rsid w:val="00251B08"/>
    <w:rsid w:val="00251C53"/>
    <w:rsid w:val="00252AB9"/>
    <w:rsid w:val="002532B1"/>
    <w:rsid w:val="00253C0F"/>
    <w:rsid w:val="00253F48"/>
    <w:rsid w:val="00254FC3"/>
    <w:rsid w:val="002558C1"/>
    <w:rsid w:val="00256207"/>
    <w:rsid w:val="002575F3"/>
    <w:rsid w:val="002601B4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4B85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9C7"/>
    <w:rsid w:val="00275DEF"/>
    <w:rsid w:val="00275E43"/>
    <w:rsid w:val="002763A2"/>
    <w:rsid w:val="00276B33"/>
    <w:rsid w:val="00277669"/>
    <w:rsid w:val="002803A5"/>
    <w:rsid w:val="00280ACB"/>
    <w:rsid w:val="002812E3"/>
    <w:rsid w:val="00281576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461A"/>
    <w:rsid w:val="0029509B"/>
    <w:rsid w:val="0029588F"/>
    <w:rsid w:val="00295E96"/>
    <w:rsid w:val="00297256"/>
    <w:rsid w:val="00297A5C"/>
    <w:rsid w:val="00297D51"/>
    <w:rsid w:val="002A0122"/>
    <w:rsid w:val="002A016B"/>
    <w:rsid w:val="002A103E"/>
    <w:rsid w:val="002A16D4"/>
    <w:rsid w:val="002A1E4F"/>
    <w:rsid w:val="002A230C"/>
    <w:rsid w:val="002A2AF7"/>
    <w:rsid w:val="002A30ED"/>
    <w:rsid w:val="002A3209"/>
    <w:rsid w:val="002A34B5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B75C0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DCE"/>
    <w:rsid w:val="002E4E4C"/>
    <w:rsid w:val="002E4EA7"/>
    <w:rsid w:val="002E5846"/>
    <w:rsid w:val="002E631B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357F"/>
    <w:rsid w:val="002F46D6"/>
    <w:rsid w:val="002F498A"/>
    <w:rsid w:val="002F4AD8"/>
    <w:rsid w:val="002F5285"/>
    <w:rsid w:val="002F5820"/>
    <w:rsid w:val="002F64BB"/>
    <w:rsid w:val="002F7D9B"/>
    <w:rsid w:val="00300C31"/>
    <w:rsid w:val="00300D42"/>
    <w:rsid w:val="00301294"/>
    <w:rsid w:val="003017EC"/>
    <w:rsid w:val="00302165"/>
    <w:rsid w:val="00303BB4"/>
    <w:rsid w:val="00304771"/>
    <w:rsid w:val="00304F9C"/>
    <w:rsid w:val="003052D4"/>
    <w:rsid w:val="00305863"/>
    <w:rsid w:val="003060D6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2A85"/>
    <w:rsid w:val="00315169"/>
    <w:rsid w:val="003153C8"/>
    <w:rsid w:val="00315524"/>
    <w:rsid w:val="00315561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3A8E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375E0"/>
    <w:rsid w:val="00340BF3"/>
    <w:rsid w:val="00341C6C"/>
    <w:rsid w:val="00341D26"/>
    <w:rsid w:val="00341F05"/>
    <w:rsid w:val="0034335E"/>
    <w:rsid w:val="00344668"/>
    <w:rsid w:val="00344940"/>
    <w:rsid w:val="0034506D"/>
    <w:rsid w:val="00346234"/>
    <w:rsid w:val="003462D9"/>
    <w:rsid w:val="0034723F"/>
    <w:rsid w:val="00347247"/>
    <w:rsid w:val="003474B6"/>
    <w:rsid w:val="00347DD4"/>
    <w:rsid w:val="00352B43"/>
    <w:rsid w:val="00352C28"/>
    <w:rsid w:val="003541BB"/>
    <w:rsid w:val="00354502"/>
    <w:rsid w:val="00354F89"/>
    <w:rsid w:val="0035506D"/>
    <w:rsid w:val="003579A1"/>
    <w:rsid w:val="0036077F"/>
    <w:rsid w:val="00360A35"/>
    <w:rsid w:val="00360C86"/>
    <w:rsid w:val="00360F7A"/>
    <w:rsid w:val="00360FBC"/>
    <w:rsid w:val="00361537"/>
    <w:rsid w:val="00361B2D"/>
    <w:rsid w:val="00361FB7"/>
    <w:rsid w:val="0036242A"/>
    <w:rsid w:val="00362C23"/>
    <w:rsid w:val="00362DCA"/>
    <w:rsid w:val="00362E90"/>
    <w:rsid w:val="00364FA0"/>
    <w:rsid w:val="003657F3"/>
    <w:rsid w:val="00365844"/>
    <w:rsid w:val="00365F61"/>
    <w:rsid w:val="0036624C"/>
    <w:rsid w:val="00367F84"/>
    <w:rsid w:val="003712BC"/>
    <w:rsid w:val="00372164"/>
    <w:rsid w:val="003738BD"/>
    <w:rsid w:val="00374263"/>
    <w:rsid w:val="003746F0"/>
    <w:rsid w:val="00374A20"/>
    <w:rsid w:val="00374B96"/>
    <w:rsid w:val="00374E21"/>
    <w:rsid w:val="0037537A"/>
    <w:rsid w:val="00377B2E"/>
    <w:rsid w:val="00380C9B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402D"/>
    <w:rsid w:val="00396739"/>
    <w:rsid w:val="003978B1"/>
    <w:rsid w:val="003A04F6"/>
    <w:rsid w:val="003A0837"/>
    <w:rsid w:val="003A2B4D"/>
    <w:rsid w:val="003A2D12"/>
    <w:rsid w:val="003A2EBA"/>
    <w:rsid w:val="003A32DB"/>
    <w:rsid w:val="003A45E3"/>
    <w:rsid w:val="003A46B8"/>
    <w:rsid w:val="003A478C"/>
    <w:rsid w:val="003A4A38"/>
    <w:rsid w:val="003A5295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87"/>
    <w:rsid w:val="003C3AE8"/>
    <w:rsid w:val="003C3D2C"/>
    <w:rsid w:val="003C4058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5EBF"/>
    <w:rsid w:val="003D6920"/>
    <w:rsid w:val="003E0249"/>
    <w:rsid w:val="003E08A4"/>
    <w:rsid w:val="003E105C"/>
    <w:rsid w:val="003E1EF8"/>
    <w:rsid w:val="003E2DFB"/>
    <w:rsid w:val="003E4466"/>
    <w:rsid w:val="003E4C91"/>
    <w:rsid w:val="003E52D8"/>
    <w:rsid w:val="003E62F1"/>
    <w:rsid w:val="003E6ED5"/>
    <w:rsid w:val="003E6F84"/>
    <w:rsid w:val="003F0148"/>
    <w:rsid w:val="003F313C"/>
    <w:rsid w:val="003F33B1"/>
    <w:rsid w:val="003F33B9"/>
    <w:rsid w:val="003F37FC"/>
    <w:rsid w:val="003F3E76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17106"/>
    <w:rsid w:val="00420880"/>
    <w:rsid w:val="00421179"/>
    <w:rsid w:val="004225D7"/>
    <w:rsid w:val="00423623"/>
    <w:rsid w:val="0042470E"/>
    <w:rsid w:val="00425352"/>
    <w:rsid w:val="00426C99"/>
    <w:rsid w:val="004272BE"/>
    <w:rsid w:val="00430C96"/>
    <w:rsid w:val="0043174F"/>
    <w:rsid w:val="00431BFF"/>
    <w:rsid w:val="00432199"/>
    <w:rsid w:val="00432A58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0D2A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25"/>
    <w:rsid w:val="00451EF1"/>
    <w:rsid w:val="00452E60"/>
    <w:rsid w:val="0045321B"/>
    <w:rsid w:val="00455833"/>
    <w:rsid w:val="00456FB5"/>
    <w:rsid w:val="00456FE5"/>
    <w:rsid w:val="00457490"/>
    <w:rsid w:val="0045778B"/>
    <w:rsid w:val="0045786C"/>
    <w:rsid w:val="00457953"/>
    <w:rsid w:val="004604D8"/>
    <w:rsid w:val="00460656"/>
    <w:rsid w:val="00460FB3"/>
    <w:rsid w:val="00463D3C"/>
    <w:rsid w:val="00464851"/>
    <w:rsid w:val="00464BF5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6AEE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28DA"/>
    <w:rsid w:val="0048368C"/>
    <w:rsid w:val="0048372F"/>
    <w:rsid w:val="0048399F"/>
    <w:rsid w:val="00483A0C"/>
    <w:rsid w:val="004841CC"/>
    <w:rsid w:val="00484ECE"/>
    <w:rsid w:val="00485E82"/>
    <w:rsid w:val="00486132"/>
    <w:rsid w:val="0048686D"/>
    <w:rsid w:val="00486A4D"/>
    <w:rsid w:val="004915CB"/>
    <w:rsid w:val="00491A2B"/>
    <w:rsid w:val="004924DC"/>
    <w:rsid w:val="00492879"/>
    <w:rsid w:val="00493E85"/>
    <w:rsid w:val="00495145"/>
    <w:rsid w:val="0049531F"/>
    <w:rsid w:val="004979A5"/>
    <w:rsid w:val="004A0144"/>
    <w:rsid w:val="004A036E"/>
    <w:rsid w:val="004A0389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3BE4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A7DC0"/>
    <w:rsid w:val="004B1417"/>
    <w:rsid w:val="004B1627"/>
    <w:rsid w:val="004B305C"/>
    <w:rsid w:val="004B31B8"/>
    <w:rsid w:val="004B339A"/>
    <w:rsid w:val="004B4C83"/>
    <w:rsid w:val="004B55B7"/>
    <w:rsid w:val="004B591D"/>
    <w:rsid w:val="004B5BFA"/>
    <w:rsid w:val="004B619E"/>
    <w:rsid w:val="004B6468"/>
    <w:rsid w:val="004B6EF8"/>
    <w:rsid w:val="004B7125"/>
    <w:rsid w:val="004B756A"/>
    <w:rsid w:val="004B7FB1"/>
    <w:rsid w:val="004C0970"/>
    <w:rsid w:val="004C0B3F"/>
    <w:rsid w:val="004C0F87"/>
    <w:rsid w:val="004C25F9"/>
    <w:rsid w:val="004C2794"/>
    <w:rsid w:val="004C2BB6"/>
    <w:rsid w:val="004C2C2D"/>
    <w:rsid w:val="004C3027"/>
    <w:rsid w:val="004C384C"/>
    <w:rsid w:val="004C3867"/>
    <w:rsid w:val="004C3CE4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D31"/>
    <w:rsid w:val="004D2E03"/>
    <w:rsid w:val="004D3296"/>
    <w:rsid w:val="004D4056"/>
    <w:rsid w:val="004D4CB0"/>
    <w:rsid w:val="004D5B0F"/>
    <w:rsid w:val="004D7626"/>
    <w:rsid w:val="004E085C"/>
    <w:rsid w:val="004E12DF"/>
    <w:rsid w:val="004E186A"/>
    <w:rsid w:val="004E1A40"/>
    <w:rsid w:val="004E1DB2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01B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1BAF"/>
    <w:rsid w:val="00512461"/>
    <w:rsid w:val="00512585"/>
    <w:rsid w:val="00512A2F"/>
    <w:rsid w:val="00513B7E"/>
    <w:rsid w:val="00513E9D"/>
    <w:rsid w:val="0051475D"/>
    <w:rsid w:val="00514B11"/>
    <w:rsid w:val="00514DED"/>
    <w:rsid w:val="00515485"/>
    <w:rsid w:val="00515BE9"/>
    <w:rsid w:val="00515C74"/>
    <w:rsid w:val="00515CEB"/>
    <w:rsid w:val="0051630F"/>
    <w:rsid w:val="00517113"/>
    <w:rsid w:val="0052007E"/>
    <w:rsid w:val="0052032E"/>
    <w:rsid w:val="00521CAD"/>
    <w:rsid w:val="0052200D"/>
    <w:rsid w:val="00522425"/>
    <w:rsid w:val="00522A1B"/>
    <w:rsid w:val="00522E01"/>
    <w:rsid w:val="0052337A"/>
    <w:rsid w:val="00524385"/>
    <w:rsid w:val="005246BE"/>
    <w:rsid w:val="00525137"/>
    <w:rsid w:val="005251DD"/>
    <w:rsid w:val="0052762C"/>
    <w:rsid w:val="0052792D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782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32B"/>
    <w:rsid w:val="00546FC7"/>
    <w:rsid w:val="005500F9"/>
    <w:rsid w:val="00550160"/>
    <w:rsid w:val="00550249"/>
    <w:rsid w:val="00550540"/>
    <w:rsid w:val="005519E2"/>
    <w:rsid w:val="00551E16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5F3"/>
    <w:rsid w:val="00560C41"/>
    <w:rsid w:val="00560C68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601"/>
    <w:rsid w:val="00570BC3"/>
    <w:rsid w:val="00571766"/>
    <w:rsid w:val="0057182A"/>
    <w:rsid w:val="00571E59"/>
    <w:rsid w:val="00572079"/>
    <w:rsid w:val="00572900"/>
    <w:rsid w:val="00573602"/>
    <w:rsid w:val="0057364B"/>
    <w:rsid w:val="00574773"/>
    <w:rsid w:val="005761EC"/>
    <w:rsid w:val="00576E34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60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0C"/>
    <w:rsid w:val="005A0463"/>
    <w:rsid w:val="005A05DF"/>
    <w:rsid w:val="005A0948"/>
    <w:rsid w:val="005A0A03"/>
    <w:rsid w:val="005A10F2"/>
    <w:rsid w:val="005A16C0"/>
    <w:rsid w:val="005A2156"/>
    <w:rsid w:val="005A21E0"/>
    <w:rsid w:val="005A2401"/>
    <w:rsid w:val="005A28FF"/>
    <w:rsid w:val="005A2C09"/>
    <w:rsid w:val="005A3778"/>
    <w:rsid w:val="005A37B0"/>
    <w:rsid w:val="005A3DF8"/>
    <w:rsid w:val="005A5549"/>
    <w:rsid w:val="005A566A"/>
    <w:rsid w:val="005A56E0"/>
    <w:rsid w:val="005A70CA"/>
    <w:rsid w:val="005A7ABD"/>
    <w:rsid w:val="005A7CF8"/>
    <w:rsid w:val="005B0EDA"/>
    <w:rsid w:val="005B121D"/>
    <w:rsid w:val="005B1705"/>
    <w:rsid w:val="005B26B0"/>
    <w:rsid w:val="005B41C9"/>
    <w:rsid w:val="005B44E6"/>
    <w:rsid w:val="005B4853"/>
    <w:rsid w:val="005B591B"/>
    <w:rsid w:val="005B6CA1"/>
    <w:rsid w:val="005B770C"/>
    <w:rsid w:val="005C06ED"/>
    <w:rsid w:val="005C0CE1"/>
    <w:rsid w:val="005C11B8"/>
    <w:rsid w:val="005C216C"/>
    <w:rsid w:val="005C2609"/>
    <w:rsid w:val="005C2B30"/>
    <w:rsid w:val="005C412B"/>
    <w:rsid w:val="005C43EC"/>
    <w:rsid w:val="005C45DD"/>
    <w:rsid w:val="005C4704"/>
    <w:rsid w:val="005C4CB1"/>
    <w:rsid w:val="005C70AB"/>
    <w:rsid w:val="005D015C"/>
    <w:rsid w:val="005D3F06"/>
    <w:rsid w:val="005D4608"/>
    <w:rsid w:val="005D4B73"/>
    <w:rsid w:val="005D533D"/>
    <w:rsid w:val="005D5645"/>
    <w:rsid w:val="005D5802"/>
    <w:rsid w:val="005D5AA9"/>
    <w:rsid w:val="005D5B60"/>
    <w:rsid w:val="005D66E6"/>
    <w:rsid w:val="005D7119"/>
    <w:rsid w:val="005D76C8"/>
    <w:rsid w:val="005D7890"/>
    <w:rsid w:val="005D7AAF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764D"/>
    <w:rsid w:val="005E7724"/>
    <w:rsid w:val="005E7C78"/>
    <w:rsid w:val="005F04A7"/>
    <w:rsid w:val="005F114F"/>
    <w:rsid w:val="005F18C5"/>
    <w:rsid w:val="005F247B"/>
    <w:rsid w:val="005F2A08"/>
    <w:rsid w:val="005F36CC"/>
    <w:rsid w:val="005F3EB1"/>
    <w:rsid w:val="005F413E"/>
    <w:rsid w:val="005F466B"/>
    <w:rsid w:val="005F46D8"/>
    <w:rsid w:val="005F480F"/>
    <w:rsid w:val="005F5271"/>
    <w:rsid w:val="005F5469"/>
    <w:rsid w:val="005F63F3"/>
    <w:rsid w:val="005F66F0"/>
    <w:rsid w:val="005F6D7F"/>
    <w:rsid w:val="005F6DFE"/>
    <w:rsid w:val="005F7174"/>
    <w:rsid w:val="0060120D"/>
    <w:rsid w:val="006017C1"/>
    <w:rsid w:val="00601ADE"/>
    <w:rsid w:val="00601EEF"/>
    <w:rsid w:val="0060255A"/>
    <w:rsid w:val="00602998"/>
    <w:rsid w:val="00602EB3"/>
    <w:rsid w:val="00604307"/>
    <w:rsid w:val="0060487F"/>
    <w:rsid w:val="00604EAD"/>
    <w:rsid w:val="0060513F"/>
    <w:rsid w:val="006065E2"/>
    <w:rsid w:val="0060694B"/>
    <w:rsid w:val="00607E1D"/>
    <w:rsid w:val="006104FB"/>
    <w:rsid w:val="006116FF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254"/>
    <w:rsid w:val="0061672A"/>
    <w:rsid w:val="00616E05"/>
    <w:rsid w:val="00617985"/>
    <w:rsid w:val="00620641"/>
    <w:rsid w:val="00620B77"/>
    <w:rsid w:val="00621190"/>
    <w:rsid w:val="0062131B"/>
    <w:rsid w:val="00621E26"/>
    <w:rsid w:val="006224EA"/>
    <w:rsid w:val="0062263A"/>
    <w:rsid w:val="006227DF"/>
    <w:rsid w:val="006234A0"/>
    <w:rsid w:val="006236C8"/>
    <w:rsid w:val="00624093"/>
    <w:rsid w:val="0062415E"/>
    <w:rsid w:val="00625A84"/>
    <w:rsid w:val="00626079"/>
    <w:rsid w:val="006275B5"/>
    <w:rsid w:val="00631698"/>
    <w:rsid w:val="00631E44"/>
    <w:rsid w:val="00634C57"/>
    <w:rsid w:val="00634CE7"/>
    <w:rsid w:val="006350D5"/>
    <w:rsid w:val="00635EBE"/>
    <w:rsid w:val="0063642C"/>
    <w:rsid w:val="006376B3"/>
    <w:rsid w:val="00637858"/>
    <w:rsid w:val="006404A7"/>
    <w:rsid w:val="00640A38"/>
    <w:rsid w:val="00640E6B"/>
    <w:rsid w:val="00641787"/>
    <w:rsid w:val="0064179B"/>
    <w:rsid w:val="00642338"/>
    <w:rsid w:val="00642489"/>
    <w:rsid w:val="00644055"/>
    <w:rsid w:val="00644137"/>
    <w:rsid w:val="0064478C"/>
    <w:rsid w:val="00644938"/>
    <w:rsid w:val="00645160"/>
    <w:rsid w:val="006451E4"/>
    <w:rsid w:val="0064574B"/>
    <w:rsid w:val="00645B33"/>
    <w:rsid w:val="0065153D"/>
    <w:rsid w:val="006516CB"/>
    <w:rsid w:val="00652444"/>
    <w:rsid w:val="00652E30"/>
    <w:rsid w:val="00653BD0"/>
    <w:rsid w:val="00654110"/>
    <w:rsid w:val="00656C5D"/>
    <w:rsid w:val="00656CFB"/>
    <w:rsid w:val="00656D25"/>
    <w:rsid w:val="00657E87"/>
    <w:rsid w:val="00660D2D"/>
    <w:rsid w:val="0066110B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501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27BC"/>
    <w:rsid w:val="006741CD"/>
    <w:rsid w:val="006745DF"/>
    <w:rsid w:val="00674BAC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9F8"/>
    <w:rsid w:val="00684B9B"/>
    <w:rsid w:val="00684D59"/>
    <w:rsid w:val="00684E25"/>
    <w:rsid w:val="006858A4"/>
    <w:rsid w:val="00685C08"/>
    <w:rsid w:val="00685C8C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3CAF"/>
    <w:rsid w:val="006A4E91"/>
    <w:rsid w:val="006A5F4B"/>
    <w:rsid w:val="006A6114"/>
    <w:rsid w:val="006A6565"/>
    <w:rsid w:val="006A76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981"/>
    <w:rsid w:val="006C7AEC"/>
    <w:rsid w:val="006C7CA6"/>
    <w:rsid w:val="006D15D3"/>
    <w:rsid w:val="006D18B3"/>
    <w:rsid w:val="006D1E89"/>
    <w:rsid w:val="006D26CE"/>
    <w:rsid w:val="006D317E"/>
    <w:rsid w:val="006D3E8A"/>
    <w:rsid w:val="006D47D9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1A6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261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1F2A"/>
    <w:rsid w:val="007434E5"/>
    <w:rsid w:val="00743884"/>
    <w:rsid w:val="0074499B"/>
    <w:rsid w:val="007449D6"/>
    <w:rsid w:val="0074501E"/>
    <w:rsid w:val="007450BF"/>
    <w:rsid w:val="0074599A"/>
    <w:rsid w:val="00746EE5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A88"/>
    <w:rsid w:val="00763B85"/>
    <w:rsid w:val="007644A2"/>
    <w:rsid w:val="00764974"/>
    <w:rsid w:val="00764D18"/>
    <w:rsid w:val="0076521E"/>
    <w:rsid w:val="0076579C"/>
    <w:rsid w:val="00765928"/>
    <w:rsid w:val="00765BCC"/>
    <w:rsid w:val="0076600D"/>
    <w:rsid w:val="007661E9"/>
    <w:rsid w:val="00766460"/>
    <w:rsid w:val="00767062"/>
    <w:rsid w:val="00767601"/>
    <w:rsid w:val="00767777"/>
    <w:rsid w:val="00767933"/>
    <w:rsid w:val="00770AB9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5E00"/>
    <w:rsid w:val="0077605B"/>
    <w:rsid w:val="00776169"/>
    <w:rsid w:val="00776527"/>
    <w:rsid w:val="00777040"/>
    <w:rsid w:val="00777CE6"/>
    <w:rsid w:val="00777D57"/>
    <w:rsid w:val="00780BF0"/>
    <w:rsid w:val="00780EF1"/>
    <w:rsid w:val="00781A91"/>
    <w:rsid w:val="00781AD3"/>
    <w:rsid w:val="00781F36"/>
    <w:rsid w:val="00783576"/>
    <w:rsid w:val="00784980"/>
    <w:rsid w:val="007853FD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0B5E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6E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1D1B"/>
    <w:rsid w:val="007B2011"/>
    <w:rsid w:val="007B2CFE"/>
    <w:rsid w:val="007B309B"/>
    <w:rsid w:val="007B3D5E"/>
    <w:rsid w:val="007B3DCB"/>
    <w:rsid w:val="007B54AE"/>
    <w:rsid w:val="007B5725"/>
    <w:rsid w:val="007B5C1F"/>
    <w:rsid w:val="007B6689"/>
    <w:rsid w:val="007B6747"/>
    <w:rsid w:val="007B6F72"/>
    <w:rsid w:val="007B74AA"/>
    <w:rsid w:val="007C10BD"/>
    <w:rsid w:val="007C162D"/>
    <w:rsid w:val="007C1A03"/>
    <w:rsid w:val="007C1F0C"/>
    <w:rsid w:val="007C1FFB"/>
    <w:rsid w:val="007C2D94"/>
    <w:rsid w:val="007C4A6B"/>
    <w:rsid w:val="007C5F92"/>
    <w:rsid w:val="007C6227"/>
    <w:rsid w:val="007C64F7"/>
    <w:rsid w:val="007C6BBD"/>
    <w:rsid w:val="007C6D89"/>
    <w:rsid w:val="007C6F5E"/>
    <w:rsid w:val="007D0382"/>
    <w:rsid w:val="007D0F6B"/>
    <w:rsid w:val="007D14FE"/>
    <w:rsid w:val="007D1A1F"/>
    <w:rsid w:val="007D213B"/>
    <w:rsid w:val="007D2783"/>
    <w:rsid w:val="007D2E18"/>
    <w:rsid w:val="007D3EF3"/>
    <w:rsid w:val="007D40DF"/>
    <w:rsid w:val="007D42E5"/>
    <w:rsid w:val="007D4458"/>
    <w:rsid w:val="007D6AF9"/>
    <w:rsid w:val="007D7763"/>
    <w:rsid w:val="007E0535"/>
    <w:rsid w:val="007E07F2"/>
    <w:rsid w:val="007E0D4A"/>
    <w:rsid w:val="007E1788"/>
    <w:rsid w:val="007E1EE3"/>
    <w:rsid w:val="007E29B4"/>
    <w:rsid w:val="007E2F12"/>
    <w:rsid w:val="007E3627"/>
    <w:rsid w:val="007E435A"/>
    <w:rsid w:val="007E445C"/>
    <w:rsid w:val="007E49F7"/>
    <w:rsid w:val="007E4C70"/>
    <w:rsid w:val="007E5149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3CB6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1B1"/>
    <w:rsid w:val="0080734C"/>
    <w:rsid w:val="00807C82"/>
    <w:rsid w:val="008107EE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007"/>
    <w:rsid w:val="00825120"/>
    <w:rsid w:val="00825C4D"/>
    <w:rsid w:val="00826A08"/>
    <w:rsid w:val="00826AC0"/>
    <w:rsid w:val="00826D45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3CE"/>
    <w:rsid w:val="0083471A"/>
    <w:rsid w:val="00834FAA"/>
    <w:rsid w:val="00835495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1163"/>
    <w:rsid w:val="008520A8"/>
    <w:rsid w:val="00852217"/>
    <w:rsid w:val="00853282"/>
    <w:rsid w:val="0085334C"/>
    <w:rsid w:val="00854291"/>
    <w:rsid w:val="00855408"/>
    <w:rsid w:val="00855D03"/>
    <w:rsid w:val="00856D65"/>
    <w:rsid w:val="00856FA4"/>
    <w:rsid w:val="00860D79"/>
    <w:rsid w:val="00861B41"/>
    <w:rsid w:val="00861B9F"/>
    <w:rsid w:val="00861BE3"/>
    <w:rsid w:val="00861EB6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5FB"/>
    <w:rsid w:val="00870ECD"/>
    <w:rsid w:val="0087347C"/>
    <w:rsid w:val="008734E7"/>
    <w:rsid w:val="0087368D"/>
    <w:rsid w:val="008740CC"/>
    <w:rsid w:val="0087442A"/>
    <w:rsid w:val="00874578"/>
    <w:rsid w:val="00874FE8"/>
    <w:rsid w:val="00875A32"/>
    <w:rsid w:val="00875CC1"/>
    <w:rsid w:val="00876086"/>
    <w:rsid w:val="00876651"/>
    <w:rsid w:val="00876E83"/>
    <w:rsid w:val="0087722C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2A5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5797"/>
    <w:rsid w:val="008967E9"/>
    <w:rsid w:val="00896A5C"/>
    <w:rsid w:val="00897155"/>
    <w:rsid w:val="008972D2"/>
    <w:rsid w:val="0089754C"/>
    <w:rsid w:val="00897CFA"/>
    <w:rsid w:val="008A0659"/>
    <w:rsid w:val="008A0ADD"/>
    <w:rsid w:val="008A0D27"/>
    <w:rsid w:val="008A1C59"/>
    <w:rsid w:val="008A2254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1850"/>
    <w:rsid w:val="008B2639"/>
    <w:rsid w:val="008B3537"/>
    <w:rsid w:val="008B35C1"/>
    <w:rsid w:val="008B3690"/>
    <w:rsid w:val="008B3A80"/>
    <w:rsid w:val="008B3AEC"/>
    <w:rsid w:val="008B3C07"/>
    <w:rsid w:val="008B3C6E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25A"/>
    <w:rsid w:val="008C0314"/>
    <w:rsid w:val="008C0E88"/>
    <w:rsid w:val="008C0EBE"/>
    <w:rsid w:val="008C1717"/>
    <w:rsid w:val="008C17F0"/>
    <w:rsid w:val="008C3A32"/>
    <w:rsid w:val="008C3B05"/>
    <w:rsid w:val="008C4B50"/>
    <w:rsid w:val="008C5A37"/>
    <w:rsid w:val="008C7569"/>
    <w:rsid w:val="008C79C3"/>
    <w:rsid w:val="008D006F"/>
    <w:rsid w:val="008D033D"/>
    <w:rsid w:val="008D06A2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6C3A"/>
    <w:rsid w:val="008D70E2"/>
    <w:rsid w:val="008D7F47"/>
    <w:rsid w:val="008E0001"/>
    <w:rsid w:val="008E039E"/>
    <w:rsid w:val="008E292B"/>
    <w:rsid w:val="008E2C57"/>
    <w:rsid w:val="008E31FF"/>
    <w:rsid w:val="008E3287"/>
    <w:rsid w:val="008E38E4"/>
    <w:rsid w:val="008E3DFA"/>
    <w:rsid w:val="008E419B"/>
    <w:rsid w:val="008E51EB"/>
    <w:rsid w:val="008E5746"/>
    <w:rsid w:val="008E64D7"/>
    <w:rsid w:val="008E6DCB"/>
    <w:rsid w:val="008E6E5D"/>
    <w:rsid w:val="008E6F06"/>
    <w:rsid w:val="008E7000"/>
    <w:rsid w:val="008E723E"/>
    <w:rsid w:val="008E7B8E"/>
    <w:rsid w:val="008E7FC9"/>
    <w:rsid w:val="008F0107"/>
    <w:rsid w:val="008F029B"/>
    <w:rsid w:val="008F0589"/>
    <w:rsid w:val="008F130B"/>
    <w:rsid w:val="008F2A5D"/>
    <w:rsid w:val="008F2BC7"/>
    <w:rsid w:val="008F2E83"/>
    <w:rsid w:val="008F3636"/>
    <w:rsid w:val="008F3FC9"/>
    <w:rsid w:val="008F509F"/>
    <w:rsid w:val="008F525A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3237"/>
    <w:rsid w:val="00913B36"/>
    <w:rsid w:val="0091476D"/>
    <w:rsid w:val="00915D07"/>
    <w:rsid w:val="009162AE"/>
    <w:rsid w:val="00917154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239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0FA"/>
    <w:rsid w:val="0093648B"/>
    <w:rsid w:val="00937017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46C4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5BAD"/>
    <w:rsid w:val="0095664B"/>
    <w:rsid w:val="009568DC"/>
    <w:rsid w:val="00956B8B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3"/>
    <w:rsid w:val="00977C3D"/>
    <w:rsid w:val="00980D3D"/>
    <w:rsid w:val="0098103E"/>
    <w:rsid w:val="0098157D"/>
    <w:rsid w:val="00983101"/>
    <w:rsid w:val="00983E41"/>
    <w:rsid w:val="009845E1"/>
    <w:rsid w:val="00984CE5"/>
    <w:rsid w:val="00984D1B"/>
    <w:rsid w:val="00986246"/>
    <w:rsid w:val="00987A30"/>
    <w:rsid w:val="00990312"/>
    <w:rsid w:val="009908AF"/>
    <w:rsid w:val="0099182E"/>
    <w:rsid w:val="00991D45"/>
    <w:rsid w:val="00992B49"/>
    <w:rsid w:val="00992BB3"/>
    <w:rsid w:val="00992CF3"/>
    <w:rsid w:val="00993194"/>
    <w:rsid w:val="0099321E"/>
    <w:rsid w:val="00993ECA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2B7"/>
    <w:rsid w:val="009A1CAB"/>
    <w:rsid w:val="009A2359"/>
    <w:rsid w:val="009A24F1"/>
    <w:rsid w:val="009A27E0"/>
    <w:rsid w:val="009A4D57"/>
    <w:rsid w:val="009A51A5"/>
    <w:rsid w:val="009A5309"/>
    <w:rsid w:val="009A5759"/>
    <w:rsid w:val="009A60D1"/>
    <w:rsid w:val="009A6225"/>
    <w:rsid w:val="009A64F5"/>
    <w:rsid w:val="009B00D2"/>
    <w:rsid w:val="009B05B3"/>
    <w:rsid w:val="009B07C8"/>
    <w:rsid w:val="009B0CAF"/>
    <w:rsid w:val="009B1324"/>
    <w:rsid w:val="009B2558"/>
    <w:rsid w:val="009B284F"/>
    <w:rsid w:val="009B3764"/>
    <w:rsid w:val="009B3840"/>
    <w:rsid w:val="009B52AC"/>
    <w:rsid w:val="009B553D"/>
    <w:rsid w:val="009B59EA"/>
    <w:rsid w:val="009B5B6E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6EA6"/>
    <w:rsid w:val="009D7731"/>
    <w:rsid w:val="009D78C3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032E"/>
    <w:rsid w:val="009F1CA6"/>
    <w:rsid w:val="009F2921"/>
    <w:rsid w:val="009F42CF"/>
    <w:rsid w:val="009F4982"/>
    <w:rsid w:val="009F4CA7"/>
    <w:rsid w:val="009F4F6A"/>
    <w:rsid w:val="009F55BA"/>
    <w:rsid w:val="009F7D36"/>
    <w:rsid w:val="009F7D61"/>
    <w:rsid w:val="00A00470"/>
    <w:rsid w:val="00A00E71"/>
    <w:rsid w:val="00A0187B"/>
    <w:rsid w:val="00A02E8B"/>
    <w:rsid w:val="00A0306F"/>
    <w:rsid w:val="00A03511"/>
    <w:rsid w:val="00A03B10"/>
    <w:rsid w:val="00A03E2E"/>
    <w:rsid w:val="00A04616"/>
    <w:rsid w:val="00A04717"/>
    <w:rsid w:val="00A05D8F"/>
    <w:rsid w:val="00A05EB1"/>
    <w:rsid w:val="00A05EE4"/>
    <w:rsid w:val="00A06F99"/>
    <w:rsid w:val="00A1053B"/>
    <w:rsid w:val="00A10D66"/>
    <w:rsid w:val="00A113A4"/>
    <w:rsid w:val="00A12A8E"/>
    <w:rsid w:val="00A133F9"/>
    <w:rsid w:val="00A14114"/>
    <w:rsid w:val="00A16413"/>
    <w:rsid w:val="00A16545"/>
    <w:rsid w:val="00A16A1A"/>
    <w:rsid w:val="00A16A9F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28B"/>
    <w:rsid w:val="00A2043A"/>
    <w:rsid w:val="00A20FE1"/>
    <w:rsid w:val="00A2102F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5FC3"/>
    <w:rsid w:val="00A2628E"/>
    <w:rsid w:val="00A266BF"/>
    <w:rsid w:val="00A26777"/>
    <w:rsid w:val="00A269AB"/>
    <w:rsid w:val="00A2731E"/>
    <w:rsid w:val="00A309AC"/>
    <w:rsid w:val="00A30EA4"/>
    <w:rsid w:val="00A30F65"/>
    <w:rsid w:val="00A315D0"/>
    <w:rsid w:val="00A3279E"/>
    <w:rsid w:val="00A33DB1"/>
    <w:rsid w:val="00A33EEB"/>
    <w:rsid w:val="00A351C8"/>
    <w:rsid w:val="00A35900"/>
    <w:rsid w:val="00A35F33"/>
    <w:rsid w:val="00A401A3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240"/>
    <w:rsid w:val="00A478BA"/>
    <w:rsid w:val="00A50D73"/>
    <w:rsid w:val="00A518BB"/>
    <w:rsid w:val="00A52A88"/>
    <w:rsid w:val="00A52CAD"/>
    <w:rsid w:val="00A53340"/>
    <w:rsid w:val="00A53FC7"/>
    <w:rsid w:val="00A55569"/>
    <w:rsid w:val="00A55C36"/>
    <w:rsid w:val="00A5661B"/>
    <w:rsid w:val="00A566A0"/>
    <w:rsid w:val="00A601E7"/>
    <w:rsid w:val="00A60AC1"/>
    <w:rsid w:val="00A62162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77E6B"/>
    <w:rsid w:val="00A809AD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36F"/>
    <w:rsid w:val="00A9092B"/>
    <w:rsid w:val="00A90F2C"/>
    <w:rsid w:val="00A90FED"/>
    <w:rsid w:val="00A91482"/>
    <w:rsid w:val="00A9189D"/>
    <w:rsid w:val="00A91E71"/>
    <w:rsid w:val="00A91EAD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49E1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C5256"/>
    <w:rsid w:val="00AC78F1"/>
    <w:rsid w:val="00AC7B96"/>
    <w:rsid w:val="00AD0B22"/>
    <w:rsid w:val="00AD0EE7"/>
    <w:rsid w:val="00AD168E"/>
    <w:rsid w:val="00AD306C"/>
    <w:rsid w:val="00AD44CD"/>
    <w:rsid w:val="00AD47A7"/>
    <w:rsid w:val="00AD5AD2"/>
    <w:rsid w:val="00AD6462"/>
    <w:rsid w:val="00AD66C5"/>
    <w:rsid w:val="00AD68C4"/>
    <w:rsid w:val="00AD71F9"/>
    <w:rsid w:val="00AE09B3"/>
    <w:rsid w:val="00AE1A83"/>
    <w:rsid w:val="00AE2A78"/>
    <w:rsid w:val="00AE30BE"/>
    <w:rsid w:val="00AE3E6A"/>
    <w:rsid w:val="00AE417E"/>
    <w:rsid w:val="00AE56EE"/>
    <w:rsid w:val="00AE6414"/>
    <w:rsid w:val="00AE7269"/>
    <w:rsid w:val="00AE797C"/>
    <w:rsid w:val="00AE7CE7"/>
    <w:rsid w:val="00AE7FAB"/>
    <w:rsid w:val="00AF0DE4"/>
    <w:rsid w:val="00AF12A0"/>
    <w:rsid w:val="00AF1E87"/>
    <w:rsid w:val="00AF422A"/>
    <w:rsid w:val="00AF436B"/>
    <w:rsid w:val="00AF5179"/>
    <w:rsid w:val="00AF5CC2"/>
    <w:rsid w:val="00AF660D"/>
    <w:rsid w:val="00AF6776"/>
    <w:rsid w:val="00AF6F98"/>
    <w:rsid w:val="00AF7277"/>
    <w:rsid w:val="00B00550"/>
    <w:rsid w:val="00B00913"/>
    <w:rsid w:val="00B00D4D"/>
    <w:rsid w:val="00B01593"/>
    <w:rsid w:val="00B01D0F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27EC6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160"/>
    <w:rsid w:val="00B3563B"/>
    <w:rsid w:val="00B36BDC"/>
    <w:rsid w:val="00B37D3A"/>
    <w:rsid w:val="00B37D96"/>
    <w:rsid w:val="00B402FC"/>
    <w:rsid w:val="00B422E2"/>
    <w:rsid w:val="00B42517"/>
    <w:rsid w:val="00B42902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311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274C"/>
    <w:rsid w:val="00B63A11"/>
    <w:rsid w:val="00B64425"/>
    <w:rsid w:val="00B64C24"/>
    <w:rsid w:val="00B64E72"/>
    <w:rsid w:val="00B65CEF"/>
    <w:rsid w:val="00B6608F"/>
    <w:rsid w:val="00B674C7"/>
    <w:rsid w:val="00B67749"/>
    <w:rsid w:val="00B679FB"/>
    <w:rsid w:val="00B71FBF"/>
    <w:rsid w:val="00B734A0"/>
    <w:rsid w:val="00B73A14"/>
    <w:rsid w:val="00B73FE8"/>
    <w:rsid w:val="00B748BD"/>
    <w:rsid w:val="00B74964"/>
    <w:rsid w:val="00B76100"/>
    <w:rsid w:val="00B7680F"/>
    <w:rsid w:val="00B76B48"/>
    <w:rsid w:val="00B76D1E"/>
    <w:rsid w:val="00B77543"/>
    <w:rsid w:val="00B77584"/>
    <w:rsid w:val="00B77E34"/>
    <w:rsid w:val="00B80D4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871A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5C12"/>
    <w:rsid w:val="00B96D74"/>
    <w:rsid w:val="00B9720E"/>
    <w:rsid w:val="00B97ACC"/>
    <w:rsid w:val="00B97FE2"/>
    <w:rsid w:val="00BA0E0B"/>
    <w:rsid w:val="00BA201A"/>
    <w:rsid w:val="00BA21DF"/>
    <w:rsid w:val="00BA361D"/>
    <w:rsid w:val="00BA3787"/>
    <w:rsid w:val="00BA403A"/>
    <w:rsid w:val="00BA46E8"/>
    <w:rsid w:val="00BA49DB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E47"/>
    <w:rsid w:val="00BB4F98"/>
    <w:rsid w:val="00BB50C0"/>
    <w:rsid w:val="00BB5AB2"/>
    <w:rsid w:val="00BB5ABF"/>
    <w:rsid w:val="00BB5F94"/>
    <w:rsid w:val="00BB6EA2"/>
    <w:rsid w:val="00BB7142"/>
    <w:rsid w:val="00BB76F3"/>
    <w:rsid w:val="00BB7B5B"/>
    <w:rsid w:val="00BB7EB1"/>
    <w:rsid w:val="00BC003F"/>
    <w:rsid w:val="00BC0930"/>
    <w:rsid w:val="00BC223A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C7EFA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4BB"/>
    <w:rsid w:val="00BE386D"/>
    <w:rsid w:val="00BE4DA9"/>
    <w:rsid w:val="00BE54BF"/>
    <w:rsid w:val="00BE557B"/>
    <w:rsid w:val="00BE55EF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65C"/>
    <w:rsid w:val="00BF77FC"/>
    <w:rsid w:val="00C006D6"/>
    <w:rsid w:val="00C00BD7"/>
    <w:rsid w:val="00C01410"/>
    <w:rsid w:val="00C024BB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0805"/>
    <w:rsid w:val="00C11244"/>
    <w:rsid w:val="00C118A9"/>
    <w:rsid w:val="00C11D48"/>
    <w:rsid w:val="00C12304"/>
    <w:rsid w:val="00C12316"/>
    <w:rsid w:val="00C1246C"/>
    <w:rsid w:val="00C1493E"/>
    <w:rsid w:val="00C15537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272B"/>
    <w:rsid w:val="00C234DB"/>
    <w:rsid w:val="00C23C5C"/>
    <w:rsid w:val="00C2479A"/>
    <w:rsid w:val="00C24903"/>
    <w:rsid w:val="00C2590D"/>
    <w:rsid w:val="00C25D9C"/>
    <w:rsid w:val="00C26086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35E8"/>
    <w:rsid w:val="00C4513B"/>
    <w:rsid w:val="00C475E8"/>
    <w:rsid w:val="00C50E79"/>
    <w:rsid w:val="00C5197D"/>
    <w:rsid w:val="00C525FB"/>
    <w:rsid w:val="00C527AD"/>
    <w:rsid w:val="00C5390B"/>
    <w:rsid w:val="00C54257"/>
    <w:rsid w:val="00C54697"/>
    <w:rsid w:val="00C550CE"/>
    <w:rsid w:val="00C553A5"/>
    <w:rsid w:val="00C55402"/>
    <w:rsid w:val="00C5603B"/>
    <w:rsid w:val="00C6020C"/>
    <w:rsid w:val="00C60AE3"/>
    <w:rsid w:val="00C61F47"/>
    <w:rsid w:val="00C62828"/>
    <w:rsid w:val="00C655DA"/>
    <w:rsid w:val="00C672C1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019E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867F9"/>
    <w:rsid w:val="00C872AA"/>
    <w:rsid w:val="00C87C6B"/>
    <w:rsid w:val="00C90357"/>
    <w:rsid w:val="00C90CF4"/>
    <w:rsid w:val="00C91C20"/>
    <w:rsid w:val="00C922DE"/>
    <w:rsid w:val="00C92843"/>
    <w:rsid w:val="00C929FE"/>
    <w:rsid w:val="00C92EB6"/>
    <w:rsid w:val="00C93389"/>
    <w:rsid w:val="00C948E6"/>
    <w:rsid w:val="00C94CDD"/>
    <w:rsid w:val="00C95123"/>
    <w:rsid w:val="00C97588"/>
    <w:rsid w:val="00CA0346"/>
    <w:rsid w:val="00CA0BD5"/>
    <w:rsid w:val="00CA0DA1"/>
    <w:rsid w:val="00CA1BD6"/>
    <w:rsid w:val="00CA37FF"/>
    <w:rsid w:val="00CA423A"/>
    <w:rsid w:val="00CA47BC"/>
    <w:rsid w:val="00CA5EAD"/>
    <w:rsid w:val="00CA6AB4"/>
    <w:rsid w:val="00CA7255"/>
    <w:rsid w:val="00CA79E2"/>
    <w:rsid w:val="00CB111E"/>
    <w:rsid w:val="00CB1BEE"/>
    <w:rsid w:val="00CB2351"/>
    <w:rsid w:val="00CB3605"/>
    <w:rsid w:val="00CB4022"/>
    <w:rsid w:val="00CB4257"/>
    <w:rsid w:val="00CB4930"/>
    <w:rsid w:val="00CB4BA9"/>
    <w:rsid w:val="00CB4C48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469E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8BF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6331"/>
    <w:rsid w:val="00CD7E9E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5E12"/>
    <w:rsid w:val="00CE62FA"/>
    <w:rsid w:val="00CE670B"/>
    <w:rsid w:val="00CE6833"/>
    <w:rsid w:val="00CE7562"/>
    <w:rsid w:val="00CF020B"/>
    <w:rsid w:val="00CF0E03"/>
    <w:rsid w:val="00CF15BF"/>
    <w:rsid w:val="00CF2E4D"/>
    <w:rsid w:val="00CF35A7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07CC2"/>
    <w:rsid w:val="00D10C15"/>
    <w:rsid w:val="00D11011"/>
    <w:rsid w:val="00D11476"/>
    <w:rsid w:val="00D12C25"/>
    <w:rsid w:val="00D133B4"/>
    <w:rsid w:val="00D13986"/>
    <w:rsid w:val="00D13F3E"/>
    <w:rsid w:val="00D14C5B"/>
    <w:rsid w:val="00D15D3A"/>
    <w:rsid w:val="00D15FED"/>
    <w:rsid w:val="00D16712"/>
    <w:rsid w:val="00D174E0"/>
    <w:rsid w:val="00D214EF"/>
    <w:rsid w:val="00D215B0"/>
    <w:rsid w:val="00D21B36"/>
    <w:rsid w:val="00D21D6D"/>
    <w:rsid w:val="00D21D83"/>
    <w:rsid w:val="00D22A47"/>
    <w:rsid w:val="00D235B7"/>
    <w:rsid w:val="00D23A99"/>
    <w:rsid w:val="00D23FAE"/>
    <w:rsid w:val="00D25F28"/>
    <w:rsid w:val="00D26071"/>
    <w:rsid w:val="00D260C7"/>
    <w:rsid w:val="00D26133"/>
    <w:rsid w:val="00D269B9"/>
    <w:rsid w:val="00D27973"/>
    <w:rsid w:val="00D27F07"/>
    <w:rsid w:val="00D27F3A"/>
    <w:rsid w:val="00D31537"/>
    <w:rsid w:val="00D31E1E"/>
    <w:rsid w:val="00D322A0"/>
    <w:rsid w:val="00D32824"/>
    <w:rsid w:val="00D334E2"/>
    <w:rsid w:val="00D335E5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8E9"/>
    <w:rsid w:val="00D41F74"/>
    <w:rsid w:val="00D428C8"/>
    <w:rsid w:val="00D43034"/>
    <w:rsid w:val="00D43ED2"/>
    <w:rsid w:val="00D50F46"/>
    <w:rsid w:val="00D5302A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DAE"/>
    <w:rsid w:val="00D60E3C"/>
    <w:rsid w:val="00D60FA7"/>
    <w:rsid w:val="00D61FAB"/>
    <w:rsid w:val="00D62C4E"/>
    <w:rsid w:val="00D63BE5"/>
    <w:rsid w:val="00D6475F"/>
    <w:rsid w:val="00D652EB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2CD7"/>
    <w:rsid w:val="00D932B8"/>
    <w:rsid w:val="00D932F0"/>
    <w:rsid w:val="00D95302"/>
    <w:rsid w:val="00D95889"/>
    <w:rsid w:val="00D95C5D"/>
    <w:rsid w:val="00D95CBE"/>
    <w:rsid w:val="00D95E7F"/>
    <w:rsid w:val="00D97D00"/>
    <w:rsid w:val="00DA0121"/>
    <w:rsid w:val="00DA096C"/>
    <w:rsid w:val="00DA1AB6"/>
    <w:rsid w:val="00DA2E65"/>
    <w:rsid w:val="00DA37DE"/>
    <w:rsid w:val="00DA3ADF"/>
    <w:rsid w:val="00DA4174"/>
    <w:rsid w:val="00DA544C"/>
    <w:rsid w:val="00DA5F8E"/>
    <w:rsid w:val="00DA6364"/>
    <w:rsid w:val="00DA7114"/>
    <w:rsid w:val="00DA7C0C"/>
    <w:rsid w:val="00DA7E2F"/>
    <w:rsid w:val="00DB03DD"/>
    <w:rsid w:val="00DB08A9"/>
    <w:rsid w:val="00DB0B33"/>
    <w:rsid w:val="00DB0FD9"/>
    <w:rsid w:val="00DB13EF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0B4D"/>
    <w:rsid w:val="00DC0CBB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5F11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273F"/>
    <w:rsid w:val="00DE27CD"/>
    <w:rsid w:val="00DE3231"/>
    <w:rsid w:val="00DE3E22"/>
    <w:rsid w:val="00DE3E5D"/>
    <w:rsid w:val="00DE450F"/>
    <w:rsid w:val="00DE4865"/>
    <w:rsid w:val="00DE5CA6"/>
    <w:rsid w:val="00DE5E55"/>
    <w:rsid w:val="00DE6209"/>
    <w:rsid w:val="00DE63AE"/>
    <w:rsid w:val="00DE7156"/>
    <w:rsid w:val="00DE7AC8"/>
    <w:rsid w:val="00DF0830"/>
    <w:rsid w:val="00DF2C5D"/>
    <w:rsid w:val="00DF2CD3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05333"/>
    <w:rsid w:val="00E1168B"/>
    <w:rsid w:val="00E12191"/>
    <w:rsid w:val="00E129E7"/>
    <w:rsid w:val="00E12ABE"/>
    <w:rsid w:val="00E12B1E"/>
    <w:rsid w:val="00E135EB"/>
    <w:rsid w:val="00E13995"/>
    <w:rsid w:val="00E1444C"/>
    <w:rsid w:val="00E159C6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131"/>
    <w:rsid w:val="00E41179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8E2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BE9"/>
    <w:rsid w:val="00E54D22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47C1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6EE4"/>
    <w:rsid w:val="00E77CC0"/>
    <w:rsid w:val="00E80B3D"/>
    <w:rsid w:val="00E80CA3"/>
    <w:rsid w:val="00E81AAA"/>
    <w:rsid w:val="00E82618"/>
    <w:rsid w:val="00E82A42"/>
    <w:rsid w:val="00E84E09"/>
    <w:rsid w:val="00E87CE2"/>
    <w:rsid w:val="00E87D5B"/>
    <w:rsid w:val="00E90CA8"/>
    <w:rsid w:val="00E911C6"/>
    <w:rsid w:val="00E920DE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222"/>
    <w:rsid w:val="00EA4402"/>
    <w:rsid w:val="00EA4B8D"/>
    <w:rsid w:val="00EA513E"/>
    <w:rsid w:val="00EA7419"/>
    <w:rsid w:val="00EB0E32"/>
    <w:rsid w:val="00EB1CDC"/>
    <w:rsid w:val="00EB1D89"/>
    <w:rsid w:val="00EB3E60"/>
    <w:rsid w:val="00EB4511"/>
    <w:rsid w:val="00EB48D7"/>
    <w:rsid w:val="00EB49F1"/>
    <w:rsid w:val="00EB4A8E"/>
    <w:rsid w:val="00EB4BC5"/>
    <w:rsid w:val="00EB5BF7"/>
    <w:rsid w:val="00EB5E79"/>
    <w:rsid w:val="00EB6473"/>
    <w:rsid w:val="00EB6DA6"/>
    <w:rsid w:val="00EB6FAC"/>
    <w:rsid w:val="00EB7BAC"/>
    <w:rsid w:val="00EB7CC9"/>
    <w:rsid w:val="00EC03D7"/>
    <w:rsid w:val="00EC13A7"/>
    <w:rsid w:val="00EC2EB6"/>
    <w:rsid w:val="00EC4FFF"/>
    <w:rsid w:val="00EC5517"/>
    <w:rsid w:val="00EC6E8C"/>
    <w:rsid w:val="00ED0962"/>
    <w:rsid w:val="00ED0EF0"/>
    <w:rsid w:val="00ED0F73"/>
    <w:rsid w:val="00ED12B9"/>
    <w:rsid w:val="00ED16B8"/>
    <w:rsid w:val="00ED1959"/>
    <w:rsid w:val="00ED1A00"/>
    <w:rsid w:val="00ED1DF0"/>
    <w:rsid w:val="00ED2386"/>
    <w:rsid w:val="00ED2525"/>
    <w:rsid w:val="00ED2EA1"/>
    <w:rsid w:val="00ED3851"/>
    <w:rsid w:val="00ED3E51"/>
    <w:rsid w:val="00ED3F10"/>
    <w:rsid w:val="00ED3F9B"/>
    <w:rsid w:val="00ED3FB3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01C"/>
    <w:rsid w:val="00EE6A09"/>
    <w:rsid w:val="00EE6E06"/>
    <w:rsid w:val="00EE7179"/>
    <w:rsid w:val="00EF0D90"/>
    <w:rsid w:val="00EF150D"/>
    <w:rsid w:val="00EF1F5A"/>
    <w:rsid w:val="00EF23B5"/>
    <w:rsid w:val="00EF326A"/>
    <w:rsid w:val="00EF3898"/>
    <w:rsid w:val="00EF47BF"/>
    <w:rsid w:val="00EF52F7"/>
    <w:rsid w:val="00EF54CF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4955"/>
    <w:rsid w:val="00F052D2"/>
    <w:rsid w:val="00F06002"/>
    <w:rsid w:val="00F067B8"/>
    <w:rsid w:val="00F0730A"/>
    <w:rsid w:val="00F073ED"/>
    <w:rsid w:val="00F07C4C"/>
    <w:rsid w:val="00F07E45"/>
    <w:rsid w:val="00F10F11"/>
    <w:rsid w:val="00F11159"/>
    <w:rsid w:val="00F1152E"/>
    <w:rsid w:val="00F115E4"/>
    <w:rsid w:val="00F11AC4"/>
    <w:rsid w:val="00F11FDC"/>
    <w:rsid w:val="00F120A5"/>
    <w:rsid w:val="00F12CFB"/>
    <w:rsid w:val="00F13E60"/>
    <w:rsid w:val="00F13FDB"/>
    <w:rsid w:val="00F15AAA"/>
    <w:rsid w:val="00F15BEF"/>
    <w:rsid w:val="00F1770C"/>
    <w:rsid w:val="00F17898"/>
    <w:rsid w:val="00F204BF"/>
    <w:rsid w:val="00F207C2"/>
    <w:rsid w:val="00F21337"/>
    <w:rsid w:val="00F219A1"/>
    <w:rsid w:val="00F23927"/>
    <w:rsid w:val="00F23E20"/>
    <w:rsid w:val="00F24407"/>
    <w:rsid w:val="00F249CE"/>
    <w:rsid w:val="00F24FAA"/>
    <w:rsid w:val="00F25040"/>
    <w:rsid w:val="00F269D7"/>
    <w:rsid w:val="00F26FB5"/>
    <w:rsid w:val="00F27071"/>
    <w:rsid w:val="00F27331"/>
    <w:rsid w:val="00F276D3"/>
    <w:rsid w:val="00F27EE5"/>
    <w:rsid w:val="00F27FB1"/>
    <w:rsid w:val="00F27FD6"/>
    <w:rsid w:val="00F307CB"/>
    <w:rsid w:val="00F30C0C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917"/>
    <w:rsid w:val="00F53A68"/>
    <w:rsid w:val="00F54934"/>
    <w:rsid w:val="00F55A92"/>
    <w:rsid w:val="00F5615B"/>
    <w:rsid w:val="00F575D3"/>
    <w:rsid w:val="00F57983"/>
    <w:rsid w:val="00F57A76"/>
    <w:rsid w:val="00F57D57"/>
    <w:rsid w:val="00F6178B"/>
    <w:rsid w:val="00F62BFF"/>
    <w:rsid w:val="00F62CCE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77A50"/>
    <w:rsid w:val="00F82D14"/>
    <w:rsid w:val="00F84E7D"/>
    <w:rsid w:val="00F85066"/>
    <w:rsid w:val="00F874F8"/>
    <w:rsid w:val="00F87A4D"/>
    <w:rsid w:val="00F90EEB"/>
    <w:rsid w:val="00F9135C"/>
    <w:rsid w:val="00F91B66"/>
    <w:rsid w:val="00F9354A"/>
    <w:rsid w:val="00F93688"/>
    <w:rsid w:val="00F939F3"/>
    <w:rsid w:val="00F93C6E"/>
    <w:rsid w:val="00F93F2C"/>
    <w:rsid w:val="00F947E9"/>
    <w:rsid w:val="00F962AD"/>
    <w:rsid w:val="00F9644E"/>
    <w:rsid w:val="00FA0105"/>
    <w:rsid w:val="00FA05A0"/>
    <w:rsid w:val="00FA0AEF"/>
    <w:rsid w:val="00FA17CC"/>
    <w:rsid w:val="00FA1CFE"/>
    <w:rsid w:val="00FA1EE7"/>
    <w:rsid w:val="00FA1F01"/>
    <w:rsid w:val="00FA26DF"/>
    <w:rsid w:val="00FA2C07"/>
    <w:rsid w:val="00FA32BC"/>
    <w:rsid w:val="00FA3FA8"/>
    <w:rsid w:val="00FA4059"/>
    <w:rsid w:val="00FA453C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1BA4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2C5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124"/>
    <w:rsid w:val="00FD4372"/>
    <w:rsid w:val="00FD4916"/>
    <w:rsid w:val="00FD4D12"/>
    <w:rsid w:val="00FD4F73"/>
    <w:rsid w:val="00FD595E"/>
    <w:rsid w:val="00FD7802"/>
    <w:rsid w:val="00FD7D3B"/>
    <w:rsid w:val="00FD7FBE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0989"/>
    <w:rsid w:val="00FF0F79"/>
    <w:rsid w:val="00FF1136"/>
    <w:rsid w:val="00FF3D76"/>
    <w:rsid w:val="00FF556A"/>
    <w:rsid w:val="00FF5B8C"/>
    <w:rsid w:val="00FF63E6"/>
    <w:rsid w:val="00FF72DC"/>
    <w:rsid w:val="00FF7B96"/>
    <w:rsid w:val="019CB78C"/>
    <w:rsid w:val="0523CDF2"/>
    <w:rsid w:val="06B1A837"/>
    <w:rsid w:val="08A648BF"/>
    <w:rsid w:val="0EBE9DEC"/>
    <w:rsid w:val="0FBB85B6"/>
    <w:rsid w:val="12650F4E"/>
    <w:rsid w:val="1394E51D"/>
    <w:rsid w:val="17513AF8"/>
    <w:rsid w:val="1B53A8C8"/>
    <w:rsid w:val="1BEE6986"/>
    <w:rsid w:val="20D21749"/>
    <w:rsid w:val="224482AD"/>
    <w:rsid w:val="23E0530E"/>
    <w:rsid w:val="24FC0D77"/>
    <w:rsid w:val="2A0E9F3A"/>
    <w:rsid w:val="2A2A6298"/>
    <w:rsid w:val="37D604A5"/>
    <w:rsid w:val="38C72AFC"/>
    <w:rsid w:val="3C7646FC"/>
    <w:rsid w:val="3E4A9713"/>
    <w:rsid w:val="3E77F3B4"/>
    <w:rsid w:val="40C3BF09"/>
    <w:rsid w:val="47207A7B"/>
    <w:rsid w:val="48038D4B"/>
    <w:rsid w:val="49E8263C"/>
    <w:rsid w:val="4A567F3C"/>
    <w:rsid w:val="50A35788"/>
    <w:rsid w:val="52944939"/>
    <w:rsid w:val="53942896"/>
    <w:rsid w:val="5536E42E"/>
    <w:rsid w:val="58FD3BB8"/>
    <w:rsid w:val="5CF587E8"/>
    <w:rsid w:val="5DD689BF"/>
    <w:rsid w:val="60B2C930"/>
    <w:rsid w:val="67F8BB57"/>
    <w:rsid w:val="6AEA4E8B"/>
    <w:rsid w:val="6AEC8A78"/>
    <w:rsid w:val="6D951AA9"/>
    <w:rsid w:val="7059F910"/>
    <w:rsid w:val="74EA3077"/>
    <w:rsid w:val="75B5B795"/>
    <w:rsid w:val="78058569"/>
    <w:rsid w:val="785B85D1"/>
    <w:rsid w:val="78E73CD1"/>
    <w:rsid w:val="7C941E33"/>
    <w:rsid w:val="7E2BC7B5"/>
    <w:rsid w:val="7F508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7A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Standardnpsmoodstavce"/>
    <w:rsid w:val="006A3CAF"/>
  </w:style>
  <w:style w:type="paragraph" w:customStyle="1" w:styleId="paragraph">
    <w:name w:val="paragraph"/>
    <w:basedOn w:val="Normln"/>
    <w:rsid w:val="006A3CA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eop">
    <w:name w:val="eop"/>
    <w:basedOn w:val="Standardnpsmoodstavce"/>
    <w:rsid w:val="0078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metodicka-poznamka-k-indexu-spotrebitelskych-cen-imputovane-najemn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3Q2\Makroanal&#253;za%20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3Q2\Makroanal&#253;za%20graf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3Q2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568840579710145E-2"/>
          <c:y val="2.1811315924220327E-2"/>
          <c:w val="0.92237743255066085"/>
          <c:h val="0.71471575213004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'Ceny 2'!$C$5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invertIfNegative val="0"/>
          <c:cat>
            <c:multiLvlStrRef>
              <c:f>'Ceny 2'!$A$30:$B$51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2'!$C$30:$C$51</c:f>
              <c:numCache>
                <c:formatCode>0.0</c:formatCode>
                <c:ptCount val="22"/>
                <c:pt idx="0">
                  <c:v>1.9000000000000001</c:v>
                </c:pt>
                <c:pt idx="1">
                  <c:v>2.2999999999999998</c:v>
                </c:pt>
                <c:pt idx="2">
                  <c:v>2.4</c:v>
                </c:pt>
                <c:pt idx="3">
                  <c:v>2.1</c:v>
                </c:pt>
                <c:pt idx="4">
                  <c:v>2.7</c:v>
                </c:pt>
                <c:pt idx="5">
                  <c:v>2.8</c:v>
                </c:pt>
                <c:pt idx="6">
                  <c:v>2.8</c:v>
                </c:pt>
                <c:pt idx="7">
                  <c:v>3</c:v>
                </c:pt>
                <c:pt idx="8">
                  <c:v>3.6</c:v>
                </c:pt>
                <c:pt idx="9">
                  <c:v>3.1</c:v>
                </c:pt>
                <c:pt idx="10">
                  <c:v>3.3</c:v>
                </c:pt>
                <c:pt idx="11">
                  <c:v>2.6</c:v>
                </c:pt>
                <c:pt idx="12">
                  <c:v>2.2000000000000002</c:v>
                </c:pt>
                <c:pt idx="13">
                  <c:v>2.9</c:v>
                </c:pt>
                <c:pt idx="14">
                  <c:v>4.0999999999999996</c:v>
                </c:pt>
                <c:pt idx="15">
                  <c:v>6.1</c:v>
                </c:pt>
                <c:pt idx="16">
                  <c:v>11.2</c:v>
                </c:pt>
                <c:pt idx="17">
                  <c:v>15.8</c:v>
                </c:pt>
                <c:pt idx="18">
                  <c:v>17.600000000000001</c:v>
                </c:pt>
                <c:pt idx="19">
                  <c:v>15.7</c:v>
                </c:pt>
                <c:pt idx="20">
                  <c:v>16.399999999999999</c:v>
                </c:pt>
                <c:pt idx="21">
                  <c:v>11.1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A0-4B5C-9394-F7ABCDA535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axId val="44422656"/>
        <c:axId val="44424192"/>
      </c:barChart>
      <c:lineChart>
        <c:grouping val="standard"/>
        <c:varyColors val="0"/>
        <c:ser>
          <c:idx val="1"/>
          <c:order val="1"/>
          <c:tx>
            <c:strRef>
              <c:f>'Ceny 2'!$D$5</c:f>
              <c:strCache>
                <c:ptCount val="1"/>
                <c:pt idx="0">
                  <c:v>Potraviny a nealkoholické nápoje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'Ceny 2'!$A$30:$B$51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2'!$D$30:$D$51</c:f>
              <c:numCache>
                <c:formatCode>#\ ##0.0_ ;\-#\ ##0.0\ </c:formatCode>
                <c:ptCount val="22"/>
                <c:pt idx="0" formatCode="0.0">
                  <c:v>2.9</c:v>
                </c:pt>
                <c:pt idx="1">
                  <c:v>2.2999999999999998</c:v>
                </c:pt>
                <c:pt idx="2" formatCode="0.0">
                  <c:v>0.6000000000000002</c:v>
                </c:pt>
                <c:pt idx="3" formatCode="0.0">
                  <c:v>-0.5</c:v>
                </c:pt>
                <c:pt idx="4" formatCode="0.0">
                  <c:v>1</c:v>
                </c:pt>
                <c:pt idx="5" formatCode="0.0">
                  <c:v>2.5</c:v>
                </c:pt>
                <c:pt idx="6" formatCode="0.0">
                  <c:v>3.5</c:v>
                </c:pt>
                <c:pt idx="7" formatCode="0.0">
                  <c:v>4.3</c:v>
                </c:pt>
                <c:pt idx="8" formatCode="0.0">
                  <c:v>6.1</c:v>
                </c:pt>
                <c:pt idx="9" formatCode="0.0">
                  <c:v>6.5</c:v>
                </c:pt>
                <c:pt idx="10" formatCode="0.0">
                  <c:v>4</c:v>
                </c:pt>
                <c:pt idx="11" formatCode="0.0">
                  <c:v>1.7000000000000002</c:v>
                </c:pt>
                <c:pt idx="12" formatCode="0.0">
                  <c:v>0.3000000000000001</c:v>
                </c:pt>
                <c:pt idx="13" formatCode="0.0">
                  <c:v>-0.8</c:v>
                </c:pt>
                <c:pt idx="14" formatCode="0.0">
                  <c:v>1.4</c:v>
                </c:pt>
                <c:pt idx="15" formatCode="0.0">
                  <c:v>2.2999999999999998</c:v>
                </c:pt>
                <c:pt idx="16" formatCode="0.0">
                  <c:v>6.7</c:v>
                </c:pt>
                <c:pt idx="17" formatCode="0.0">
                  <c:v>14.6</c:v>
                </c:pt>
                <c:pt idx="18" formatCode="0.0">
                  <c:v>20</c:v>
                </c:pt>
                <c:pt idx="19" formatCode="0.0">
                  <c:v>25.5</c:v>
                </c:pt>
                <c:pt idx="20" formatCode="0.0">
                  <c:v>24.1</c:v>
                </c:pt>
                <c:pt idx="21" formatCode="0.0">
                  <c:v>14.6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5A0-4B5C-9394-F7ABCDA53535}"/>
            </c:ext>
          </c:extLst>
        </c:ser>
        <c:ser>
          <c:idx val="3"/>
          <c:order val="2"/>
          <c:tx>
            <c:strRef>
              <c:f>'Ceny 2'!$F$5</c:f>
              <c:strCache>
                <c:ptCount val="1"/>
                <c:pt idx="0">
                  <c:v>Bydlení a energie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'Ceny 2'!$A$30:$B$51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2'!$F$30:$F$51</c:f>
              <c:numCache>
                <c:formatCode>0.0</c:formatCode>
                <c:ptCount val="22"/>
                <c:pt idx="0">
                  <c:v>2.2999999999999998</c:v>
                </c:pt>
                <c:pt idx="1">
                  <c:v>2.6</c:v>
                </c:pt>
                <c:pt idx="2">
                  <c:v>3.2</c:v>
                </c:pt>
                <c:pt idx="3">
                  <c:v>3.8</c:v>
                </c:pt>
                <c:pt idx="4">
                  <c:v>5.4</c:v>
                </c:pt>
                <c:pt idx="5">
                  <c:v>5.7</c:v>
                </c:pt>
                <c:pt idx="6">
                  <c:v>5.2</c:v>
                </c:pt>
                <c:pt idx="7">
                  <c:v>5</c:v>
                </c:pt>
                <c:pt idx="8">
                  <c:v>4.2</c:v>
                </c:pt>
                <c:pt idx="9">
                  <c:v>3.2</c:v>
                </c:pt>
                <c:pt idx="10">
                  <c:v>2.7</c:v>
                </c:pt>
                <c:pt idx="11">
                  <c:v>1.4</c:v>
                </c:pt>
                <c:pt idx="12">
                  <c:v>0.6000000000000002</c:v>
                </c:pt>
                <c:pt idx="13">
                  <c:v>1.3</c:v>
                </c:pt>
                <c:pt idx="14">
                  <c:v>3.6</c:v>
                </c:pt>
                <c:pt idx="15">
                  <c:v>5.6</c:v>
                </c:pt>
                <c:pt idx="16">
                  <c:v>16</c:v>
                </c:pt>
                <c:pt idx="17">
                  <c:v>21.4</c:v>
                </c:pt>
                <c:pt idx="18">
                  <c:v>23.6</c:v>
                </c:pt>
                <c:pt idx="19">
                  <c:v>14.9</c:v>
                </c:pt>
                <c:pt idx="20">
                  <c:v>22.2</c:v>
                </c:pt>
                <c:pt idx="21">
                  <c:v>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5A0-4B5C-9394-F7ABCDA53535}"/>
            </c:ext>
          </c:extLst>
        </c:ser>
        <c:ser>
          <c:idx val="4"/>
          <c:order val="3"/>
          <c:tx>
            <c:strRef>
              <c:f>'Ceny 2'!$G$5</c:f>
              <c:strCache>
                <c:ptCount val="1"/>
                <c:pt idx="0">
                  <c:v>Doprava</c:v>
                </c:pt>
              </c:strCache>
            </c:strRef>
          </c:tx>
          <c:spPr>
            <a:ln w="19050">
              <a:solidFill>
                <a:srgbClr val="FFC000"/>
              </a:solidFill>
            </a:ln>
          </c:spPr>
          <c:marker>
            <c:symbol val="none"/>
          </c:marker>
          <c:cat>
            <c:multiLvlStrRef>
              <c:f>'Ceny 2'!$A$30:$B$51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2'!$G$30:$G$51</c:f>
              <c:numCache>
                <c:formatCode>0.0</c:formatCode>
                <c:ptCount val="22"/>
                <c:pt idx="0">
                  <c:v>1</c:v>
                </c:pt>
                <c:pt idx="1">
                  <c:v>3</c:v>
                </c:pt>
                <c:pt idx="2">
                  <c:v>4.5</c:v>
                </c:pt>
                <c:pt idx="3">
                  <c:v>2.6</c:v>
                </c:pt>
                <c:pt idx="4">
                  <c:v>0.6000000000000002</c:v>
                </c:pt>
                <c:pt idx="5">
                  <c:v>0.8</c:v>
                </c:pt>
                <c:pt idx="6">
                  <c:v>-0.2</c:v>
                </c:pt>
                <c:pt idx="7">
                  <c:v>0.5</c:v>
                </c:pt>
                <c:pt idx="8" formatCode="General">
                  <c:v>1.7000000000000002</c:v>
                </c:pt>
                <c:pt idx="9">
                  <c:v>-3.4</c:v>
                </c:pt>
                <c:pt idx="10">
                  <c:v>-0.2</c:v>
                </c:pt>
                <c:pt idx="11">
                  <c:v>0.6000000000000002</c:v>
                </c:pt>
                <c:pt idx="12">
                  <c:v>2.4</c:v>
                </c:pt>
                <c:pt idx="13">
                  <c:v>9.1</c:v>
                </c:pt>
                <c:pt idx="14">
                  <c:v>8.8000000000000007</c:v>
                </c:pt>
                <c:pt idx="15">
                  <c:v>13.1</c:v>
                </c:pt>
                <c:pt idx="16">
                  <c:v>17.2</c:v>
                </c:pt>
                <c:pt idx="17">
                  <c:v>22.7</c:v>
                </c:pt>
                <c:pt idx="18">
                  <c:v>19.7</c:v>
                </c:pt>
                <c:pt idx="19">
                  <c:v>13.1</c:v>
                </c:pt>
                <c:pt idx="20">
                  <c:v>4.5</c:v>
                </c:pt>
                <c:pt idx="21">
                  <c:v>-4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5A0-4B5C-9394-F7ABCDA53535}"/>
            </c:ext>
          </c:extLst>
        </c:ser>
        <c:ser>
          <c:idx val="5"/>
          <c:order val="5"/>
          <c:tx>
            <c:strRef>
              <c:f>'Ceny 2'!$H$5</c:f>
              <c:strCache>
                <c:ptCount val="1"/>
                <c:pt idx="0">
                  <c:v>Stravování a ubytování</c:v>
                </c:pt>
              </c:strCache>
            </c:strRef>
          </c:tx>
          <c:spPr>
            <a:ln w="19050">
              <a:solidFill>
                <a:srgbClr val="7030A0"/>
              </a:solidFill>
            </a:ln>
          </c:spPr>
          <c:marker>
            <c:symbol val="none"/>
          </c:marker>
          <c:cat>
            <c:multiLvlStrRef>
              <c:f>'Ceny 2'!$A$30:$B$51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2'!$H$30:$H$51</c:f>
              <c:numCache>
                <c:formatCode>0.0</c:formatCode>
                <c:ptCount val="22"/>
                <c:pt idx="0">
                  <c:v>3.5</c:v>
                </c:pt>
                <c:pt idx="1">
                  <c:v>3.6</c:v>
                </c:pt>
                <c:pt idx="2">
                  <c:v>3.5</c:v>
                </c:pt>
                <c:pt idx="3">
                  <c:v>3.7</c:v>
                </c:pt>
                <c:pt idx="4">
                  <c:v>3.8</c:v>
                </c:pt>
                <c:pt idx="5">
                  <c:v>4</c:v>
                </c:pt>
                <c:pt idx="6">
                  <c:v>4.5</c:v>
                </c:pt>
                <c:pt idx="7">
                  <c:v>4.5999999999999996</c:v>
                </c:pt>
                <c:pt idx="8">
                  <c:v>5.5</c:v>
                </c:pt>
                <c:pt idx="9">
                  <c:v>5.0999999999999996</c:v>
                </c:pt>
                <c:pt idx="10">
                  <c:v>4.9000000000000004</c:v>
                </c:pt>
                <c:pt idx="11">
                  <c:v>4.3</c:v>
                </c:pt>
                <c:pt idx="12">
                  <c:v>3</c:v>
                </c:pt>
                <c:pt idx="13">
                  <c:v>2.9</c:v>
                </c:pt>
                <c:pt idx="14">
                  <c:v>4.5999999999999996</c:v>
                </c:pt>
                <c:pt idx="15">
                  <c:v>6.8</c:v>
                </c:pt>
                <c:pt idx="16">
                  <c:v>12.3</c:v>
                </c:pt>
                <c:pt idx="17">
                  <c:v>21.4</c:v>
                </c:pt>
                <c:pt idx="18">
                  <c:v>24.3</c:v>
                </c:pt>
                <c:pt idx="19">
                  <c:v>25.6</c:v>
                </c:pt>
                <c:pt idx="20">
                  <c:v>22.4</c:v>
                </c:pt>
                <c:pt idx="21">
                  <c:v>15.4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5A0-4B5C-9394-F7ABCDA53535}"/>
            </c:ext>
          </c:extLst>
        </c:ser>
        <c:ser>
          <c:idx val="6"/>
          <c:order val="6"/>
          <c:tx>
            <c:strRef>
              <c:f>'Ceny 2'!$I$5</c:f>
              <c:strCache>
                <c:ptCount val="1"/>
                <c:pt idx="0">
                  <c:v>Rekreace a kultura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none"/>
          </c:marker>
          <c:cat>
            <c:multiLvlStrRef>
              <c:f>'Ceny 2'!$A$30:$B$51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2'!$I$30:$I$51</c:f>
              <c:numCache>
                <c:formatCode>General</c:formatCode>
                <c:ptCount val="22"/>
                <c:pt idx="0">
                  <c:v>0.5</c:v>
                </c:pt>
                <c:pt idx="1">
                  <c:v>0.59999999999999443</c:v>
                </c:pt>
                <c:pt idx="2">
                  <c:v>2.2000000000000037</c:v>
                </c:pt>
                <c:pt idx="3">
                  <c:v>0.5</c:v>
                </c:pt>
                <c:pt idx="4">
                  <c:v>1.7000000000000031</c:v>
                </c:pt>
                <c:pt idx="5">
                  <c:v>1</c:v>
                </c:pt>
                <c:pt idx="6">
                  <c:v>1.7000000000000031</c:v>
                </c:pt>
                <c:pt idx="7">
                  <c:v>2.0999999999999943</c:v>
                </c:pt>
                <c:pt idx="8">
                  <c:v>2.0999999999999943</c:v>
                </c:pt>
                <c:pt idx="9">
                  <c:v>2</c:v>
                </c:pt>
                <c:pt idx="10">
                  <c:v>2.2000000000000037</c:v>
                </c:pt>
                <c:pt idx="11">
                  <c:v>2.5</c:v>
                </c:pt>
                <c:pt idx="12">
                  <c:v>1.4000000000000057</c:v>
                </c:pt>
                <c:pt idx="13">
                  <c:v>2</c:v>
                </c:pt>
                <c:pt idx="14">
                  <c:v>3.0999999999999943</c:v>
                </c:pt>
                <c:pt idx="15">
                  <c:v>5.2999999999999972</c:v>
                </c:pt>
                <c:pt idx="16">
                  <c:v>8.5</c:v>
                </c:pt>
                <c:pt idx="17">
                  <c:v>11.3</c:v>
                </c:pt>
                <c:pt idx="18">
                  <c:v>12.599999999999998</c:v>
                </c:pt>
                <c:pt idx="19" formatCode="0.0">
                  <c:v>13.2</c:v>
                </c:pt>
                <c:pt idx="20" formatCode="0.0">
                  <c:v>14</c:v>
                </c:pt>
                <c:pt idx="21" formatCode="0.0">
                  <c:v>11.7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5A0-4B5C-9394-F7ABCDA535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422656"/>
        <c:axId val="44424192"/>
        <c:extLst>
          <c:ext xmlns:c15="http://schemas.microsoft.com/office/drawing/2012/chart" uri="{02D57815-91ED-43cb-92C2-25804820EDAC}">
            <c15:filteredLineSeries>
              <c15:ser>
                <c:idx val="2"/>
                <c:order val="4"/>
                <c:tx>
                  <c:strRef>
                    <c:extLst>
                      <c:ext uri="{02D57815-91ED-43cb-92C2-25804820EDAC}">
                        <c15:formulaRef>
                          <c15:sqref>'Ceny 2'!$E$5</c15:sqref>
                        </c15:formulaRef>
                      </c:ext>
                    </c:extLst>
                    <c:strCache>
                      <c:ptCount val="1"/>
                      <c:pt idx="0">
                        <c:v>Alkoholické nápoje a tabák</c:v>
                      </c:pt>
                    </c:strCache>
                  </c:strRef>
                </c:tx>
                <c:spPr>
                  <a:ln w="19050">
                    <a:solidFill>
                      <a:schemeClr val="accent2"/>
                    </a:solidFill>
                  </a:ln>
                </c:spPr>
                <c:marker>
                  <c:symbol val="none"/>
                </c:marker>
                <c:cat>
                  <c:multiLvlStrRef>
                    <c:extLst>
                      <c:ext uri="{02D57815-91ED-43cb-92C2-25804820EDAC}">
                        <c15:formulaRef>
                          <c15:sqref>'Ceny 2'!$A$30:$B$51</c15:sqref>
                        </c15:formulaRef>
                      </c:ext>
                    </c:extLst>
                    <c:multiLvlStrCache>
                      <c:ptCount val="22"/>
                      <c:lvl>
                        <c:pt idx="0">
                          <c:v>1</c:v>
                        </c:pt>
                        <c:pt idx="1">
                          <c:v>2</c:v>
                        </c:pt>
                        <c:pt idx="2">
                          <c:v>3</c:v>
                        </c:pt>
                        <c:pt idx="3">
                          <c:v>4</c:v>
                        </c:pt>
                        <c:pt idx="4">
                          <c:v>1</c:v>
                        </c:pt>
                        <c:pt idx="5">
                          <c:v>2</c:v>
                        </c:pt>
                        <c:pt idx="6">
                          <c:v>3</c:v>
                        </c:pt>
                        <c:pt idx="7">
                          <c:v>4</c:v>
                        </c:pt>
                        <c:pt idx="8">
                          <c:v>1</c:v>
                        </c:pt>
                        <c:pt idx="9">
                          <c:v>2</c:v>
                        </c:pt>
                        <c:pt idx="10">
                          <c:v>3</c:v>
                        </c:pt>
                        <c:pt idx="11">
                          <c:v>4</c:v>
                        </c:pt>
                        <c:pt idx="12">
                          <c:v>1</c:v>
                        </c:pt>
                        <c:pt idx="13">
                          <c:v>2</c:v>
                        </c:pt>
                        <c:pt idx="14">
                          <c:v>3</c:v>
                        </c:pt>
                        <c:pt idx="15">
                          <c:v>4</c:v>
                        </c:pt>
                        <c:pt idx="16">
                          <c:v>1</c:v>
                        </c:pt>
                        <c:pt idx="17">
                          <c:v>2</c:v>
                        </c:pt>
                        <c:pt idx="18">
                          <c:v>3</c:v>
                        </c:pt>
                        <c:pt idx="19">
                          <c:v>4</c:v>
                        </c:pt>
                        <c:pt idx="20">
                          <c:v>1</c:v>
                        </c:pt>
                        <c:pt idx="21">
                          <c:v>2</c:v>
                        </c:pt>
                      </c:lvl>
                      <c:lvl>
                        <c:pt idx="0">
                          <c:v>2018</c:v>
                        </c:pt>
                        <c:pt idx="4">
                          <c:v>2019</c:v>
                        </c:pt>
                        <c:pt idx="8">
                          <c:v>2020</c:v>
                        </c:pt>
                        <c:pt idx="12">
                          <c:v>2021</c:v>
                        </c:pt>
                        <c:pt idx="16">
                          <c:v>2022</c:v>
                        </c:pt>
                        <c:pt idx="20">
                          <c:v>2023</c:v>
                        </c:pt>
                      </c:lvl>
                    </c:multiLvlStrCache>
                  </c:multiLvlStrRef>
                </c:cat>
                <c:val>
                  <c:numRef>
                    <c:extLst>
                      <c:ext uri="{02D57815-91ED-43cb-92C2-25804820EDAC}">
                        <c15:formulaRef>
                          <c15:sqref>'Ceny 2'!$E$26:$E$48</c15:sqref>
                        </c15:formulaRef>
                      </c:ext>
                    </c:extLst>
                    <c:numCache>
                      <c:formatCode>General</c:formatCode>
                      <c:ptCount val="23"/>
                      <c:pt idx="0">
                        <c:v>3.4000000000000057</c:v>
                      </c:pt>
                      <c:pt idx="1">
                        <c:v>0.79999999999999716</c:v>
                      </c:pt>
                      <c:pt idx="2" formatCode="0.0">
                        <c:v>1.3</c:v>
                      </c:pt>
                      <c:pt idx="3" formatCode="0.0">
                        <c:v>1.5</c:v>
                      </c:pt>
                      <c:pt idx="4" formatCode="0.0">
                        <c:v>2.5</c:v>
                      </c:pt>
                      <c:pt idx="5" formatCode="0.0">
                        <c:v>3.6</c:v>
                      </c:pt>
                      <c:pt idx="6" formatCode="0.0">
                        <c:v>2.8</c:v>
                      </c:pt>
                      <c:pt idx="7" formatCode="0.0">
                        <c:v>3.1</c:v>
                      </c:pt>
                      <c:pt idx="8" formatCode="0.0">
                        <c:v>3.3</c:v>
                      </c:pt>
                      <c:pt idx="9" formatCode="0.0">
                        <c:v>1.7</c:v>
                      </c:pt>
                      <c:pt idx="10" formatCode="0.0">
                        <c:v>1.9</c:v>
                      </c:pt>
                      <c:pt idx="11" formatCode="0.0">
                        <c:v>1.8</c:v>
                      </c:pt>
                      <c:pt idx="12">
                        <c:v>3.5</c:v>
                      </c:pt>
                      <c:pt idx="13" formatCode="0.0">
                        <c:v>6.6</c:v>
                      </c:pt>
                      <c:pt idx="14" formatCode="0.0">
                        <c:v>10.3</c:v>
                      </c:pt>
                      <c:pt idx="15" formatCode="0.0">
                        <c:v>9.9</c:v>
                      </c:pt>
                      <c:pt idx="16" formatCode="0.0">
                        <c:v>9.9</c:v>
                      </c:pt>
                      <c:pt idx="17" formatCode="0.0">
                        <c:v>9.8000000000000007</c:v>
                      </c:pt>
                      <c:pt idx="18" formatCode="0.0">
                        <c:v>6.5</c:v>
                      </c:pt>
                      <c:pt idx="19" formatCode="0.0">
                        <c:v>7.7</c:v>
                      </c:pt>
                      <c:pt idx="20" formatCode="0.0">
                        <c:v>7.1</c:v>
                      </c:pt>
                      <c:pt idx="21" formatCode="0.0">
                        <c:v>5.6</c:v>
                      </c:pt>
                      <c:pt idx="22" formatCode="0.0">
                        <c:v>6.3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6-E5A0-4B5C-9394-F7ABCDA53535}"/>
                  </c:ext>
                </c:extLst>
              </c15:ser>
            </c15:filteredLineSeries>
            <c15:filteredLine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'Ceny 2'!$J$5</c15:sqref>
                        </c15:formulaRef>
                      </c:ext>
                    </c:extLst>
                    <c:strCache>
                      <c:ptCount val="1"/>
                      <c:pt idx="0">
                        <c:v>Odívání a obuv</c:v>
                      </c:pt>
                    </c:strCache>
                  </c:strRef>
                </c:tx>
                <c:spPr>
                  <a:ln w="19050">
                    <a:solidFill>
                      <a:srgbClr val="E8AFB2"/>
                    </a:solidFill>
                  </a:ln>
                </c:spPr>
                <c:marker>
                  <c:symbol val="none"/>
                </c:marker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'Ceny 2'!$A$30:$B$51</c15:sqref>
                        </c15:formulaRef>
                      </c:ext>
                    </c:extLst>
                    <c:multiLvlStrCache>
                      <c:ptCount val="22"/>
                      <c:lvl>
                        <c:pt idx="0">
                          <c:v>1</c:v>
                        </c:pt>
                        <c:pt idx="1">
                          <c:v>2</c:v>
                        </c:pt>
                        <c:pt idx="2">
                          <c:v>3</c:v>
                        </c:pt>
                        <c:pt idx="3">
                          <c:v>4</c:v>
                        </c:pt>
                        <c:pt idx="4">
                          <c:v>1</c:v>
                        </c:pt>
                        <c:pt idx="5">
                          <c:v>2</c:v>
                        </c:pt>
                        <c:pt idx="6">
                          <c:v>3</c:v>
                        </c:pt>
                        <c:pt idx="7">
                          <c:v>4</c:v>
                        </c:pt>
                        <c:pt idx="8">
                          <c:v>1</c:v>
                        </c:pt>
                        <c:pt idx="9">
                          <c:v>2</c:v>
                        </c:pt>
                        <c:pt idx="10">
                          <c:v>3</c:v>
                        </c:pt>
                        <c:pt idx="11">
                          <c:v>4</c:v>
                        </c:pt>
                        <c:pt idx="12">
                          <c:v>1</c:v>
                        </c:pt>
                        <c:pt idx="13">
                          <c:v>2</c:v>
                        </c:pt>
                        <c:pt idx="14">
                          <c:v>3</c:v>
                        </c:pt>
                        <c:pt idx="15">
                          <c:v>4</c:v>
                        </c:pt>
                        <c:pt idx="16">
                          <c:v>1</c:v>
                        </c:pt>
                        <c:pt idx="17">
                          <c:v>2</c:v>
                        </c:pt>
                        <c:pt idx="18">
                          <c:v>3</c:v>
                        </c:pt>
                        <c:pt idx="19">
                          <c:v>4</c:v>
                        </c:pt>
                        <c:pt idx="20">
                          <c:v>1</c:v>
                        </c:pt>
                        <c:pt idx="21">
                          <c:v>2</c:v>
                        </c:pt>
                      </c:lvl>
                      <c:lvl>
                        <c:pt idx="0">
                          <c:v>2018</c:v>
                        </c:pt>
                        <c:pt idx="4">
                          <c:v>2019</c:v>
                        </c:pt>
                        <c:pt idx="8">
                          <c:v>2020</c:v>
                        </c:pt>
                        <c:pt idx="12">
                          <c:v>2021</c:v>
                        </c:pt>
                        <c:pt idx="16">
                          <c:v>2022</c:v>
                        </c:pt>
                        <c:pt idx="20">
                          <c:v>2023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'Ceny 2'!$J$26:$J$48</c15:sqref>
                        </c15:formulaRef>
                      </c:ext>
                    </c:extLst>
                    <c:numCache>
                      <c:formatCode>General</c:formatCode>
                      <c:ptCount val="23"/>
                      <c:pt idx="0">
                        <c:v>0.5</c:v>
                      </c:pt>
                      <c:pt idx="1">
                        <c:v>1</c:v>
                      </c:pt>
                      <c:pt idx="2" formatCode="0.0">
                        <c:v>0.5</c:v>
                      </c:pt>
                      <c:pt idx="3" formatCode="0.0">
                        <c:v>-0.8</c:v>
                      </c:pt>
                      <c:pt idx="4">
                        <c:v>-0.29999999999999716</c:v>
                      </c:pt>
                      <c:pt idx="5">
                        <c:v>-1</c:v>
                      </c:pt>
                      <c:pt idx="6">
                        <c:v>-1.4000000000000057</c:v>
                      </c:pt>
                      <c:pt idx="7">
                        <c:v>-1.7000000000000028</c:v>
                      </c:pt>
                      <c:pt idx="8">
                        <c:v>-1.0999999999999943</c:v>
                      </c:pt>
                      <c:pt idx="9">
                        <c:v>-1.9000000000000057</c:v>
                      </c:pt>
                      <c:pt idx="10">
                        <c:v>-1.5</c:v>
                      </c:pt>
                      <c:pt idx="11">
                        <c:v>-0.29999999999999716</c:v>
                      </c:pt>
                      <c:pt idx="12">
                        <c:v>3.5</c:v>
                      </c:pt>
                      <c:pt idx="13">
                        <c:v>3.4000000000000057</c:v>
                      </c:pt>
                      <c:pt idx="14">
                        <c:v>4.5</c:v>
                      </c:pt>
                      <c:pt idx="15">
                        <c:v>3.4000000000000057</c:v>
                      </c:pt>
                      <c:pt idx="16">
                        <c:v>2.7000000000000028</c:v>
                      </c:pt>
                      <c:pt idx="17">
                        <c:v>2.9000000000000057</c:v>
                      </c:pt>
                      <c:pt idx="18">
                        <c:v>7.7999999999999972</c:v>
                      </c:pt>
                      <c:pt idx="19">
                        <c:v>12.599999999999994</c:v>
                      </c:pt>
                      <c:pt idx="20">
                        <c:v>16.900000000000006</c:v>
                      </c:pt>
                      <c:pt idx="21">
                        <c:v>20</c:v>
                      </c:pt>
                      <c:pt idx="22">
                        <c:v>19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E5A0-4B5C-9394-F7ABCDA53535}"/>
                  </c:ext>
                </c:extLst>
              </c15:ser>
            </c15:filteredLineSeries>
          </c:ext>
        </c:extLst>
      </c:lineChart>
      <c:catAx>
        <c:axId val="444226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44424192"/>
        <c:crosses val="autoZero"/>
        <c:auto val="1"/>
        <c:lblAlgn val="ctr"/>
        <c:lblOffset val="100"/>
        <c:noMultiLvlLbl val="0"/>
      </c:catAx>
      <c:valAx>
        <c:axId val="44424192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44422656"/>
        <c:crosses val="autoZero"/>
        <c:crossBetween val="between"/>
        <c:majorUnit val="4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3882134414049342E-2"/>
          <c:y val="0.85802375323651958"/>
          <c:w val="0.92470364741641364"/>
          <c:h val="0.13125351795564555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703731847348919E-2"/>
          <c:y val="2.9569886214146503E-2"/>
          <c:w val="0.90493308848362042"/>
          <c:h val="0.735566531577169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'Ceny 1'!$C$5</c:f>
              <c:strCache>
                <c:ptCount val="1"/>
                <c:pt idx="0">
                  <c:v>Realizované ceny starších bytů, ČR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invertIfNegative val="0"/>
          <c:cat>
            <c:multiLvlStrRef>
              <c:f>'Ceny 1'!$A$30:$B$51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1'!$C$30:$C$51</c:f>
              <c:numCache>
                <c:formatCode>General</c:formatCode>
                <c:ptCount val="22"/>
                <c:pt idx="0">
                  <c:v>9.2000000000000011</c:v>
                </c:pt>
                <c:pt idx="1">
                  <c:v>8</c:v>
                </c:pt>
                <c:pt idx="2">
                  <c:v>9.4000000000000057</c:v>
                </c:pt>
                <c:pt idx="3">
                  <c:v>11.400000000000006</c:v>
                </c:pt>
                <c:pt idx="4">
                  <c:v>11.3</c:v>
                </c:pt>
                <c:pt idx="5">
                  <c:v>10.599999999999998</c:v>
                </c:pt>
                <c:pt idx="6">
                  <c:v>9.5</c:v>
                </c:pt>
                <c:pt idx="7">
                  <c:v>9.4000000000000057</c:v>
                </c:pt>
                <c:pt idx="8">
                  <c:v>10.599999999999998</c:v>
                </c:pt>
                <c:pt idx="9">
                  <c:v>10.200000000000003</c:v>
                </c:pt>
                <c:pt idx="10">
                  <c:v>11.200000000000003</c:v>
                </c:pt>
                <c:pt idx="11">
                  <c:v>13.3</c:v>
                </c:pt>
                <c:pt idx="12">
                  <c:v>15.200000000000003</c:v>
                </c:pt>
                <c:pt idx="13">
                  <c:v>17.900000000000006</c:v>
                </c:pt>
                <c:pt idx="14">
                  <c:v>21.29999999999999</c:v>
                </c:pt>
                <c:pt idx="15">
                  <c:v>25.200000000000003</c:v>
                </c:pt>
                <c:pt idx="16">
                  <c:v>27.29999999999999</c:v>
                </c:pt>
                <c:pt idx="17">
                  <c:v>27.599999999999987</c:v>
                </c:pt>
                <c:pt idx="18">
                  <c:v>23.400000000000006</c:v>
                </c:pt>
                <c:pt idx="19">
                  <c:v>13.8</c:v>
                </c:pt>
                <c:pt idx="20">
                  <c:v>3.7000000000000037</c:v>
                </c:pt>
                <c:pt idx="21">
                  <c:v>-4.0999999999999943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3D-44E1-8D75-9701FAE9C92A}"/>
            </c:ext>
          </c:extLst>
        </c:ser>
        <c:ser>
          <c:idx val="1"/>
          <c:order val="1"/>
          <c:tx>
            <c:strRef>
              <c:f>'Ceny 1'!$D$5</c:f>
              <c:strCache>
                <c:ptCount val="1"/>
                <c:pt idx="0">
                  <c:v>Realizované ceny starších bytů, Praha</c:v>
                </c:pt>
              </c:strCache>
            </c:strRef>
          </c:tx>
          <c:spPr>
            <a:solidFill>
              <a:prstClr val="black">
                <a:lumMod val="50000"/>
                <a:lumOff val="50000"/>
              </a:prstClr>
            </a:solidFill>
            <a:ln w="19050">
              <a:noFill/>
            </a:ln>
          </c:spPr>
          <c:invertIfNegative val="0"/>
          <c:cat>
            <c:multiLvlStrRef>
              <c:f>'Ceny 1'!$A$30:$B$51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1'!$D$30:$D$51</c:f>
              <c:numCache>
                <c:formatCode>General</c:formatCode>
                <c:ptCount val="22"/>
                <c:pt idx="0">
                  <c:v>8.3000000000000025</c:v>
                </c:pt>
                <c:pt idx="1">
                  <c:v>4</c:v>
                </c:pt>
                <c:pt idx="2">
                  <c:v>6</c:v>
                </c:pt>
                <c:pt idx="3">
                  <c:v>8.7000000000000011</c:v>
                </c:pt>
                <c:pt idx="4">
                  <c:v>9.4000000000000057</c:v>
                </c:pt>
                <c:pt idx="5">
                  <c:v>8.7000000000000011</c:v>
                </c:pt>
                <c:pt idx="6">
                  <c:v>6.5</c:v>
                </c:pt>
                <c:pt idx="7">
                  <c:v>7.0999999999999943</c:v>
                </c:pt>
                <c:pt idx="8">
                  <c:v>6.2000000000000028</c:v>
                </c:pt>
                <c:pt idx="9">
                  <c:v>8</c:v>
                </c:pt>
                <c:pt idx="10">
                  <c:v>9.4000000000000057</c:v>
                </c:pt>
                <c:pt idx="11">
                  <c:v>10.599999999999998</c:v>
                </c:pt>
                <c:pt idx="12">
                  <c:v>14.3</c:v>
                </c:pt>
                <c:pt idx="13">
                  <c:v>15.8</c:v>
                </c:pt>
                <c:pt idx="14">
                  <c:v>16.599999999999987</c:v>
                </c:pt>
                <c:pt idx="15">
                  <c:v>20</c:v>
                </c:pt>
                <c:pt idx="16">
                  <c:v>19</c:v>
                </c:pt>
                <c:pt idx="17">
                  <c:v>16.700000000000003</c:v>
                </c:pt>
                <c:pt idx="18">
                  <c:v>15.599999999999998</c:v>
                </c:pt>
                <c:pt idx="19">
                  <c:v>8.4000000000000057</c:v>
                </c:pt>
                <c:pt idx="20">
                  <c:v>1.2000000000000028</c:v>
                </c:pt>
                <c:pt idx="21">
                  <c:v>-3.5999999999999943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3D-44E1-8D75-9701FAE9C9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axId val="90709376"/>
        <c:axId val="90752128"/>
      </c:barChart>
      <c:lineChart>
        <c:grouping val="standard"/>
        <c:varyColors val="0"/>
        <c:ser>
          <c:idx val="2"/>
          <c:order val="2"/>
          <c:tx>
            <c:strRef>
              <c:f>'Ceny 1'!$E$5</c:f>
              <c:strCache>
                <c:ptCount val="1"/>
                <c:pt idx="0">
                  <c:v>Nabídkové ceny bytů, ČR</c:v>
                </c:pt>
              </c:strCache>
            </c:strRef>
          </c:tx>
          <c:spPr>
            <a:ln w="19050">
              <a:solidFill>
                <a:schemeClr val="accent2"/>
              </a:solidFill>
            </a:ln>
          </c:spPr>
          <c:marker>
            <c:symbol val="none"/>
          </c:marker>
          <c:cat>
            <c:multiLvlStrRef>
              <c:f>'Ceny 1'!$A$30:$B$51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1'!$E$30:$E$51</c:f>
              <c:numCache>
                <c:formatCode>0.0</c:formatCode>
                <c:ptCount val="22"/>
                <c:pt idx="0">
                  <c:v>12.801932367149751</c:v>
                </c:pt>
                <c:pt idx="1">
                  <c:v>12.22570532915358</c:v>
                </c:pt>
                <c:pt idx="2">
                  <c:v>9.4988780852655257</c:v>
                </c:pt>
                <c:pt idx="3">
                  <c:v>8.4609773887673203</c:v>
                </c:pt>
                <c:pt idx="4">
                  <c:v>7.4232690935046488</c:v>
                </c:pt>
                <c:pt idx="5">
                  <c:v>5.7262569832402352</c:v>
                </c:pt>
                <c:pt idx="6">
                  <c:v>5.1912568306010893</c:v>
                </c:pt>
                <c:pt idx="7">
                  <c:v>5.5144586415601955</c:v>
                </c:pt>
                <c:pt idx="8">
                  <c:v>6.0465116279069644</c:v>
                </c:pt>
                <c:pt idx="9">
                  <c:v>7.1334214002641847</c:v>
                </c:pt>
                <c:pt idx="10">
                  <c:v>7.9870129870129887</c:v>
                </c:pt>
                <c:pt idx="11">
                  <c:v>7.6481835564053533</c:v>
                </c:pt>
                <c:pt idx="12">
                  <c:v>7.6441102756892256</c:v>
                </c:pt>
                <c:pt idx="13">
                  <c:v>7.9531442663378558</c:v>
                </c:pt>
                <c:pt idx="14">
                  <c:v>9.3205051112447475</c:v>
                </c:pt>
                <c:pt idx="15">
                  <c:v>12.433392539964474</c:v>
                </c:pt>
                <c:pt idx="16">
                  <c:v>16.8800931315483</c:v>
                </c:pt>
                <c:pt idx="17">
                  <c:v>24.671616219303267</c:v>
                </c:pt>
                <c:pt idx="18">
                  <c:v>22.937293729372925</c:v>
                </c:pt>
                <c:pt idx="19">
                  <c:v>18.325434439178501</c:v>
                </c:pt>
                <c:pt idx="20">
                  <c:v>9.8107569721115624</c:v>
                </c:pt>
                <c:pt idx="21" formatCode="General">
                  <c:v>-0.7329363261566757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73D-44E1-8D75-9701FAE9C92A}"/>
            </c:ext>
          </c:extLst>
        </c:ser>
        <c:ser>
          <c:idx val="3"/>
          <c:order val="3"/>
          <c:tx>
            <c:strRef>
              <c:f>'Ceny 1'!$F$5</c:f>
              <c:strCache>
                <c:ptCount val="1"/>
                <c:pt idx="0">
                  <c:v>Nabídkové ceny bytů, Praha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'Ceny 1'!$A$30:$B$51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1'!$F$30:$F$51</c:f>
              <c:numCache>
                <c:formatCode>0.0</c:formatCode>
                <c:ptCount val="22"/>
                <c:pt idx="0">
                  <c:v>15.071428571428555</c:v>
                </c:pt>
                <c:pt idx="1">
                  <c:v>14.246386785960068</c:v>
                </c:pt>
                <c:pt idx="2">
                  <c:v>10.732984293193699</c:v>
                </c:pt>
                <c:pt idx="3">
                  <c:v>8.7531486146095574</c:v>
                </c:pt>
                <c:pt idx="4">
                  <c:v>8.3178150217256377</c:v>
                </c:pt>
                <c:pt idx="5">
                  <c:v>4.9397590361445687</c:v>
                </c:pt>
                <c:pt idx="6">
                  <c:v>3.3096926713947985</c:v>
                </c:pt>
                <c:pt idx="7">
                  <c:v>2.9530978575564593</c:v>
                </c:pt>
                <c:pt idx="8">
                  <c:v>3.5530085959885289</c:v>
                </c:pt>
                <c:pt idx="9">
                  <c:v>5.2812858783008068</c:v>
                </c:pt>
                <c:pt idx="10">
                  <c:v>6.2356979405034298</c:v>
                </c:pt>
                <c:pt idx="11">
                  <c:v>5.1743532058492718</c:v>
                </c:pt>
                <c:pt idx="12">
                  <c:v>4.7592695074709628</c:v>
                </c:pt>
                <c:pt idx="13">
                  <c:v>4.5256270447110012</c:v>
                </c:pt>
                <c:pt idx="14">
                  <c:v>6.2466343564889808</c:v>
                </c:pt>
                <c:pt idx="15">
                  <c:v>9.1443850267379485</c:v>
                </c:pt>
                <c:pt idx="16">
                  <c:v>12.255678816693077</c:v>
                </c:pt>
                <c:pt idx="17">
                  <c:v>19.718309859154935</c:v>
                </c:pt>
                <c:pt idx="18">
                  <c:v>18.49974657881398</c:v>
                </c:pt>
                <c:pt idx="19">
                  <c:v>16.903478686918177</c:v>
                </c:pt>
                <c:pt idx="20">
                  <c:v>10.305882352941186</c:v>
                </c:pt>
                <c:pt idx="21" formatCode="General">
                  <c:v>0.30501089324617692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73D-44E1-8D75-9701FAE9C9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709376"/>
        <c:axId val="90752128"/>
      </c:lineChart>
      <c:catAx>
        <c:axId val="90709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90752128"/>
        <c:crosses val="autoZero"/>
        <c:auto val="1"/>
        <c:lblAlgn val="ctr"/>
        <c:lblOffset val="100"/>
        <c:noMultiLvlLbl val="0"/>
      </c:catAx>
      <c:valAx>
        <c:axId val="90752128"/>
        <c:scaling>
          <c:orientation val="minMax"/>
          <c:min val="-6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90709376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7.3334810874704504E-2"/>
          <c:y val="0.88817854328492629"/>
          <c:w val="0.89999282337048314"/>
          <c:h val="9.8380614657210319E-2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510469436001386E-2"/>
          <c:y val="2.1811315924220448E-2"/>
          <c:w val="0.90860161263086836"/>
          <c:h val="0.716632331419565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'Ceny 4'!$C$5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invertIfNegative val="0"/>
          <c:cat>
            <c:multiLvlStrRef>
              <c:f>'Ceny 4'!$A$6:$B$27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4'!$C$6:$C$27</c:f>
              <c:numCache>
                <c:formatCode>General</c:formatCode>
                <c:ptCount val="22"/>
                <c:pt idx="0">
                  <c:v>9.9999999999994357E-2</c:v>
                </c:pt>
                <c:pt idx="1">
                  <c:v>1.5</c:v>
                </c:pt>
                <c:pt idx="2">
                  <c:v>3.2999999999999972</c:v>
                </c:pt>
                <c:pt idx="3">
                  <c:v>3.4000000000000057</c:v>
                </c:pt>
                <c:pt idx="4">
                  <c:v>3.5</c:v>
                </c:pt>
                <c:pt idx="5">
                  <c:v>3.5</c:v>
                </c:pt>
                <c:pt idx="6">
                  <c:v>2</c:v>
                </c:pt>
                <c:pt idx="7">
                  <c:v>1.2999999999999965</c:v>
                </c:pt>
                <c:pt idx="8">
                  <c:v>1.4000000000000057</c:v>
                </c:pt>
                <c:pt idx="9">
                  <c:v>-0.59999999999999432</c:v>
                </c:pt>
                <c:pt idx="10">
                  <c:v>-0.29999999999999738</c:v>
                </c:pt>
                <c:pt idx="11">
                  <c:v>9.9999999999994357E-2</c:v>
                </c:pt>
                <c:pt idx="12">
                  <c:v>1.5</c:v>
                </c:pt>
                <c:pt idx="13">
                  <c:v>5.2999999999999972</c:v>
                </c:pt>
                <c:pt idx="14">
                  <c:v>9</c:v>
                </c:pt>
                <c:pt idx="15">
                  <c:v>12.8</c:v>
                </c:pt>
                <c:pt idx="16">
                  <c:v>21.79999999999999</c:v>
                </c:pt>
                <c:pt idx="17">
                  <c:v>27.700000000000003</c:v>
                </c:pt>
                <c:pt idx="18">
                  <c:v>25.900000000000006</c:v>
                </c:pt>
                <c:pt idx="19">
                  <c:v>21.79999999999999</c:v>
                </c:pt>
                <c:pt idx="20">
                  <c:v>15</c:v>
                </c:pt>
                <c:pt idx="21">
                  <c:v>3.9000000000000057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40-4908-B64E-C4382EB8C9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6"/>
        <c:axId val="96346496"/>
        <c:axId val="96348032"/>
      </c:barChart>
      <c:lineChart>
        <c:grouping val="standard"/>
        <c:varyColors val="0"/>
        <c:ser>
          <c:idx val="1"/>
          <c:order val="1"/>
          <c:tx>
            <c:strRef>
              <c:f>'Ceny 4'!$D$5</c:f>
              <c:strCache>
                <c:ptCount val="1"/>
                <c:pt idx="0">
                  <c:v>Těžba a dobývání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'Ceny 4'!$A$6:$B$27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4'!$D$6:$D$27</c:f>
              <c:numCache>
                <c:formatCode>General</c:formatCode>
                <c:ptCount val="22"/>
                <c:pt idx="0">
                  <c:v>5.4000000000000075</c:v>
                </c:pt>
                <c:pt idx="1">
                  <c:v>6.7000000000000028</c:v>
                </c:pt>
                <c:pt idx="2">
                  <c:v>9.4000000000000057</c:v>
                </c:pt>
                <c:pt idx="3">
                  <c:v>8.8000000000000025</c:v>
                </c:pt>
                <c:pt idx="4">
                  <c:v>7.7000000000000028</c:v>
                </c:pt>
                <c:pt idx="5">
                  <c:v>7.7000000000000028</c:v>
                </c:pt>
                <c:pt idx="6">
                  <c:v>6.7000000000000028</c:v>
                </c:pt>
                <c:pt idx="7">
                  <c:v>3.7000000000000037</c:v>
                </c:pt>
                <c:pt idx="8">
                  <c:v>-2.0999999999999943</c:v>
                </c:pt>
                <c:pt idx="9">
                  <c:v>-3.5</c:v>
                </c:pt>
                <c:pt idx="10">
                  <c:v>-3.5999999999999943</c:v>
                </c:pt>
                <c:pt idx="11">
                  <c:v>-2</c:v>
                </c:pt>
                <c:pt idx="12">
                  <c:v>-0.5</c:v>
                </c:pt>
                <c:pt idx="13">
                  <c:v>0.79999999999999738</c:v>
                </c:pt>
                <c:pt idx="14">
                  <c:v>3.2999999999999972</c:v>
                </c:pt>
                <c:pt idx="15">
                  <c:v>13.8</c:v>
                </c:pt>
                <c:pt idx="16">
                  <c:v>25.200000000000003</c:v>
                </c:pt>
                <c:pt idx="17">
                  <c:v>31.900000000000006</c:v>
                </c:pt>
                <c:pt idx="18">
                  <c:v>30.199999999999992</c:v>
                </c:pt>
                <c:pt idx="19">
                  <c:v>23.29999999999999</c:v>
                </c:pt>
                <c:pt idx="20">
                  <c:v>54</c:v>
                </c:pt>
                <c:pt idx="21">
                  <c:v>47.600000000000009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D40-4908-B64E-C4382EB8C940}"/>
            </c:ext>
          </c:extLst>
        </c:ser>
        <c:ser>
          <c:idx val="2"/>
          <c:order val="2"/>
          <c:tx>
            <c:strRef>
              <c:f>'Ceny 4'!$E$5</c:f>
              <c:strCache>
                <c:ptCount val="1"/>
                <c:pt idx="0">
                  <c:v>Zpracovatelský průmysl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'Ceny 4'!$A$6:$B$27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4'!$E$6:$E$27</c:f>
              <c:numCache>
                <c:formatCode>General</c:formatCode>
                <c:ptCount val="22"/>
                <c:pt idx="0">
                  <c:v>-0.40000000000000568</c:v>
                </c:pt>
                <c:pt idx="1">
                  <c:v>1.2000000000000028</c:v>
                </c:pt>
                <c:pt idx="2">
                  <c:v>3.2000000000000037</c:v>
                </c:pt>
                <c:pt idx="3">
                  <c:v>3.2999999999999972</c:v>
                </c:pt>
                <c:pt idx="4">
                  <c:v>2.5999999999999943</c:v>
                </c:pt>
                <c:pt idx="5">
                  <c:v>2.5999999999999943</c:v>
                </c:pt>
                <c:pt idx="6">
                  <c:v>0.79999999999999738</c:v>
                </c:pt>
                <c:pt idx="7">
                  <c:v>-9.9999999999994357E-2</c:v>
                </c:pt>
                <c:pt idx="8">
                  <c:v>0</c:v>
                </c:pt>
                <c:pt idx="9">
                  <c:v>-2.2999999999999972</c:v>
                </c:pt>
                <c:pt idx="10">
                  <c:v>-1.7999999999999965</c:v>
                </c:pt>
                <c:pt idx="11">
                  <c:v>-1.2000000000000028</c:v>
                </c:pt>
                <c:pt idx="12">
                  <c:v>1.7999999999999965</c:v>
                </c:pt>
                <c:pt idx="13">
                  <c:v>6.5</c:v>
                </c:pt>
                <c:pt idx="14">
                  <c:v>11</c:v>
                </c:pt>
                <c:pt idx="15">
                  <c:v>14.5</c:v>
                </c:pt>
                <c:pt idx="16">
                  <c:v>17.5</c:v>
                </c:pt>
                <c:pt idx="17">
                  <c:v>24.200000000000003</c:v>
                </c:pt>
                <c:pt idx="18">
                  <c:v>20.5</c:v>
                </c:pt>
                <c:pt idx="19">
                  <c:v>16</c:v>
                </c:pt>
                <c:pt idx="20">
                  <c:v>10.3</c:v>
                </c:pt>
                <c:pt idx="21">
                  <c:v>-0.90000000000000568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D40-4908-B64E-C4382EB8C940}"/>
            </c:ext>
          </c:extLst>
        </c:ser>
        <c:ser>
          <c:idx val="3"/>
          <c:order val="3"/>
          <c:tx>
            <c:strRef>
              <c:f>'Ceny 4'!$F$5</c:f>
              <c:strCache>
                <c:ptCount val="1"/>
                <c:pt idx="0">
                  <c:v>Elektřina, plyn, pára a klim. vzduch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'Ceny 4'!$A$6:$B$27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4'!$F$6:$F$27</c:f>
              <c:numCache>
                <c:formatCode>General</c:formatCode>
                <c:ptCount val="22"/>
                <c:pt idx="0">
                  <c:v>1.5</c:v>
                </c:pt>
                <c:pt idx="1">
                  <c:v>1.9000000000000061</c:v>
                </c:pt>
                <c:pt idx="2">
                  <c:v>2.5999999999999943</c:v>
                </c:pt>
                <c:pt idx="3">
                  <c:v>2.7999999999999972</c:v>
                </c:pt>
                <c:pt idx="4">
                  <c:v>7.7000000000000028</c:v>
                </c:pt>
                <c:pt idx="5">
                  <c:v>8.3000000000000025</c:v>
                </c:pt>
                <c:pt idx="6">
                  <c:v>7.7999999999999972</c:v>
                </c:pt>
                <c:pt idx="7">
                  <c:v>8.3000000000000025</c:v>
                </c:pt>
                <c:pt idx="8">
                  <c:v>8.9000000000000057</c:v>
                </c:pt>
                <c:pt idx="9">
                  <c:v>8.2000000000000011</c:v>
                </c:pt>
                <c:pt idx="10">
                  <c:v>7.7999999999999972</c:v>
                </c:pt>
                <c:pt idx="11">
                  <c:v>6.0999999999999943</c:v>
                </c:pt>
                <c:pt idx="12">
                  <c:v>0.29999999999999738</c:v>
                </c:pt>
                <c:pt idx="13">
                  <c:v>9.9999999999994357E-2</c:v>
                </c:pt>
                <c:pt idx="14">
                  <c:v>0.79999999999999738</c:v>
                </c:pt>
                <c:pt idx="15">
                  <c:v>5.5</c:v>
                </c:pt>
                <c:pt idx="16">
                  <c:v>45</c:v>
                </c:pt>
                <c:pt idx="17">
                  <c:v>47.20000000000001</c:v>
                </c:pt>
                <c:pt idx="18">
                  <c:v>56</c:v>
                </c:pt>
                <c:pt idx="19">
                  <c:v>54.300000000000004</c:v>
                </c:pt>
                <c:pt idx="20">
                  <c:v>28.400000000000006</c:v>
                </c:pt>
                <c:pt idx="21">
                  <c:v>18.400000000000006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D40-4908-B64E-C4382EB8C940}"/>
            </c:ext>
          </c:extLst>
        </c:ser>
        <c:ser>
          <c:idx val="4"/>
          <c:order val="4"/>
          <c:tx>
            <c:strRef>
              <c:f>'Ceny 4'!$G$5</c:f>
              <c:strCache>
                <c:ptCount val="1"/>
                <c:pt idx="0">
                  <c:v>Zás. vodou; odpadní vody</c:v>
                </c:pt>
              </c:strCache>
            </c:strRef>
          </c:tx>
          <c:spPr>
            <a:ln w="19050"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'Ceny 4'!$A$6:$B$27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  <c:pt idx="20">
                    <c:v>2023</c:v>
                  </c:pt>
                </c:lvl>
              </c:multiLvlStrCache>
            </c:multiLvlStrRef>
          </c:cat>
          <c:val>
            <c:numRef>
              <c:f>'Ceny 4'!$G$6:$G$27</c:f>
              <c:numCache>
                <c:formatCode>General</c:formatCode>
                <c:ptCount val="22"/>
                <c:pt idx="0">
                  <c:v>1.9000000000000061</c:v>
                </c:pt>
                <c:pt idx="1">
                  <c:v>1.9000000000000061</c:v>
                </c:pt>
                <c:pt idx="2">
                  <c:v>1.9000000000000061</c:v>
                </c:pt>
                <c:pt idx="3">
                  <c:v>1.9000000000000061</c:v>
                </c:pt>
                <c:pt idx="4">
                  <c:v>2.9000000000000057</c:v>
                </c:pt>
                <c:pt idx="5">
                  <c:v>2.9000000000000057</c:v>
                </c:pt>
                <c:pt idx="6">
                  <c:v>2.9000000000000057</c:v>
                </c:pt>
                <c:pt idx="7">
                  <c:v>2.9000000000000057</c:v>
                </c:pt>
                <c:pt idx="8">
                  <c:v>5.4000000000000075</c:v>
                </c:pt>
                <c:pt idx="9">
                  <c:v>6.0999999999999943</c:v>
                </c:pt>
                <c:pt idx="10">
                  <c:v>6.4000000000000075</c:v>
                </c:pt>
                <c:pt idx="11">
                  <c:v>6.4000000000000075</c:v>
                </c:pt>
                <c:pt idx="12">
                  <c:v>6.9000000000000075</c:v>
                </c:pt>
                <c:pt idx="13">
                  <c:v>6.2000000000000028</c:v>
                </c:pt>
                <c:pt idx="14">
                  <c:v>5.9000000000000075</c:v>
                </c:pt>
                <c:pt idx="15">
                  <c:v>5.9000000000000075</c:v>
                </c:pt>
                <c:pt idx="16">
                  <c:v>5.2999999999999972</c:v>
                </c:pt>
                <c:pt idx="17">
                  <c:v>5.2999999999999972</c:v>
                </c:pt>
                <c:pt idx="18">
                  <c:v>5.2999999999999972</c:v>
                </c:pt>
                <c:pt idx="19">
                  <c:v>5.2999999999999972</c:v>
                </c:pt>
                <c:pt idx="20">
                  <c:v>16.29999999999999</c:v>
                </c:pt>
                <c:pt idx="21">
                  <c:v>16.29999999999999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D40-4908-B64E-C4382EB8C9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346496"/>
        <c:axId val="96348032"/>
      </c:lineChart>
      <c:catAx>
        <c:axId val="96346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96348032"/>
        <c:crosses val="autoZero"/>
        <c:auto val="1"/>
        <c:lblAlgn val="ctr"/>
        <c:lblOffset val="100"/>
        <c:noMultiLvlLbl val="0"/>
      </c:catAx>
      <c:valAx>
        <c:axId val="96348032"/>
        <c:scaling>
          <c:orientation val="minMax"/>
          <c:min val="-5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96346496"/>
        <c:crosses val="autoZero"/>
        <c:crossBetween val="between"/>
        <c:majorUnit val="5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1319022289766968E-2"/>
          <c:y val="0.86223931272106069"/>
          <c:w val="0.90901046943600139"/>
          <c:h val="0.12109402425765231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1BBA9E39CFCF469C5C18733081B222" ma:contentTypeVersion="3" ma:contentTypeDescription="Vytvoří nový dokument" ma:contentTypeScope="" ma:versionID="3072f6f3e77686ec6964bf5712aff85a">
  <xsd:schema xmlns:xsd="http://www.w3.org/2001/XMLSchema" xmlns:xs="http://www.w3.org/2001/XMLSchema" xmlns:p="http://schemas.microsoft.com/office/2006/metadata/properties" xmlns:ns2="eabc42bd-08fe-4a27-9645-04f6ad96d74a" targetNamespace="http://schemas.microsoft.com/office/2006/metadata/properties" ma:root="true" ma:fieldsID="572e7ed591a9b745512fd70b2662d46d" ns2:_="">
    <xsd:import namespace="eabc42bd-08fe-4a27-9645-04f6ad96d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c42bd-08fe-4a27-9645-04f6ad96d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CFD8-CD6F-4E0C-A345-781C95A88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c42bd-08fe-4a27-9645-04f6ad96d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238702-393C-4E0B-95FC-6397490058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87926D-EFC2-4F8B-B71C-495191F493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819928-843D-4E03-83C7-15E0A712685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C16ECB8-A00B-4A83-A941-96DD96BA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2</TotalTime>
  <Pages>6</Pages>
  <Words>2315</Words>
  <Characters>13662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Zábojníková Karolína</cp:lastModifiedBy>
  <cp:revision>4</cp:revision>
  <cp:lastPrinted>2023-06-09T17:23:00Z</cp:lastPrinted>
  <dcterms:created xsi:type="dcterms:W3CDTF">2023-09-14T08:51:00Z</dcterms:created>
  <dcterms:modified xsi:type="dcterms:W3CDTF">2023-09-14T09:38:00Z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0x010100331BBA9E39CFCF469C5C18733081B222</vt:lpwstr>
  </property>
</Properties>
</file>