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A021" w14:textId="77777777" w:rsidR="00D27F07" w:rsidRPr="00652444" w:rsidRDefault="00D27F07" w:rsidP="00D27F07">
      <w:pPr>
        <w:pStyle w:val="Nadpis11"/>
      </w:pPr>
      <w:bookmarkStart w:id="0" w:name="_Toc137233026"/>
      <w:bookmarkStart w:id="1" w:name="_Toc130286019"/>
      <w:bookmarkStart w:id="2" w:name="_Toc145318533"/>
      <w:bookmarkStart w:id="3" w:name="_Toc114134050"/>
      <w:bookmarkStart w:id="4" w:name="_Toc121993822"/>
      <w:r w:rsidRPr="00652444">
        <w:rPr>
          <w:szCs w:val="32"/>
        </w:rPr>
        <w:t>3</w:t>
      </w:r>
      <w:r w:rsidRPr="00652444">
        <w:t>. Výkonnost odvětví</w:t>
      </w:r>
      <w:bookmarkEnd w:id="0"/>
    </w:p>
    <w:p w14:paraId="158CD607" w14:textId="77777777" w:rsidR="00D27F07" w:rsidRPr="004E1DB2" w:rsidRDefault="00D27F07" w:rsidP="00D27F07">
      <w:pPr>
        <w:pStyle w:val="Nadpis11"/>
        <w:rPr>
          <w:b w:val="0"/>
          <w:sz w:val="2"/>
          <w:szCs w:val="2"/>
          <w:highlight w:val="yellow"/>
        </w:rPr>
      </w:pPr>
    </w:p>
    <w:p w14:paraId="56FB7B52" w14:textId="77777777" w:rsidR="00D27F07" w:rsidRPr="004E1DB2" w:rsidRDefault="00D27F07" w:rsidP="00D27F07">
      <w:pPr>
        <w:pStyle w:val="Nadpis11"/>
        <w:rPr>
          <w:b w:val="0"/>
          <w:sz w:val="2"/>
          <w:szCs w:val="2"/>
          <w:highlight w:val="yellow"/>
        </w:rPr>
      </w:pPr>
    </w:p>
    <w:tbl>
      <w:tblPr>
        <w:tblW w:w="963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0"/>
        <w:gridCol w:w="199"/>
        <w:gridCol w:w="7700"/>
      </w:tblGrid>
      <w:tr w:rsidR="00D27F07" w:rsidRPr="00316308" w14:paraId="1FDBEA80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8B6DC26" w14:textId="77777777" w:rsidR="00D27F07" w:rsidRPr="007E6076" w:rsidRDefault="00D27F07" w:rsidP="00AD035A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K meziročnímu růstu HPH zásadně přispěl zpracovatelský průmysl.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A284BBC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6EE5266" w14:textId="77777777" w:rsidR="00D27F07" w:rsidRPr="000840F8" w:rsidRDefault="00D27F07" w:rsidP="00AD035A">
            <w:pPr>
              <w:rPr>
                <w:spacing w:val="-4"/>
              </w:rPr>
            </w:pPr>
            <w:r w:rsidRPr="000840F8">
              <w:rPr>
                <w:color w:val="0D0D0D" w:themeColor="text1" w:themeTint="F2"/>
                <w:spacing w:val="-4"/>
              </w:rPr>
              <w:t>Výkon tuzemské ekonomiky stále balancoval na hraně recese</w:t>
            </w:r>
            <w:r w:rsidRPr="000840F8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 w:rsidRPr="000840F8">
              <w:rPr>
                <w:color w:val="0D0D0D" w:themeColor="text1" w:themeTint="F2"/>
                <w:spacing w:val="-4"/>
              </w:rPr>
              <w:t xml:space="preserve">. Zatímco na počátku letošního roku se celková </w:t>
            </w:r>
            <w:r w:rsidRPr="000840F8">
              <w:rPr>
                <w:spacing w:val="-4"/>
              </w:rPr>
              <w:t>hrubá přidaná hodnota (HPH)</w:t>
            </w:r>
            <w:r w:rsidRPr="000840F8">
              <w:rPr>
                <w:rStyle w:val="Znakapoznpodarou"/>
                <w:spacing w:val="-4"/>
              </w:rPr>
              <w:footnoteReference w:id="2"/>
            </w:r>
            <w:r w:rsidRPr="000840F8">
              <w:rPr>
                <w:spacing w:val="-4"/>
              </w:rPr>
              <w:t xml:space="preserve"> mezikvartálně zvýšila o 0,5 % (a rostla tak svižněji než v jakékoli loňské čtvrtletí), </w:t>
            </w:r>
            <w:r w:rsidRPr="000840F8">
              <w:rPr>
                <w:color w:val="0D0D0D" w:themeColor="text1" w:themeTint="F2"/>
                <w:spacing w:val="-4"/>
              </w:rPr>
              <w:t>ve 2. čtvrtletí</w:t>
            </w:r>
            <w:r>
              <w:rPr>
                <w:color w:val="0D0D0D" w:themeColor="text1" w:themeTint="F2"/>
                <w:spacing w:val="-4"/>
              </w:rPr>
              <w:t xml:space="preserve"> se snížila o 0,2</w:t>
            </w:r>
            <w:r w:rsidRPr="000840F8">
              <w:rPr>
                <w:color w:val="0D0D0D" w:themeColor="text1" w:themeTint="F2"/>
                <w:spacing w:val="-4"/>
              </w:rPr>
              <w:t xml:space="preserve"> %. Na tomto zpomalení se </w:t>
            </w:r>
            <w:r>
              <w:rPr>
                <w:color w:val="0D0D0D" w:themeColor="text1" w:themeTint="F2"/>
                <w:spacing w:val="-4"/>
              </w:rPr>
              <w:t>podílela zejména váhově významná</w:t>
            </w:r>
            <w:r w:rsidRPr="000840F8">
              <w:rPr>
                <w:color w:val="0D0D0D" w:themeColor="text1" w:themeTint="F2"/>
                <w:spacing w:val="-4"/>
              </w:rPr>
              <w:t xml:space="preserve"> odvětví služeb (vč. veřejných),</w:t>
            </w:r>
            <w:r>
              <w:rPr>
                <w:color w:val="0D0D0D" w:themeColor="text1" w:themeTint="F2"/>
                <w:spacing w:val="-4"/>
              </w:rPr>
              <w:t xml:space="preserve"> roli</w:t>
            </w:r>
            <w:r w:rsidRPr="000840F8">
              <w:rPr>
                <w:color w:val="0D0D0D" w:themeColor="text1" w:themeTint="F2"/>
                <w:spacing w:val="-4"/>
              </w:rPr>
              <w:t xml:space="preserve"> hrálo i zvo</w:t>
            </w:r>
            <w:r>
              <w:rPr>
                <w:color w:val="0D0D0D" w:themeColor="text1" w:themeTint="F2"/>
                <w:spacing w:val="-4"/>
              </w:rPr>
              <w:t>l</w:t>
            </w:r>
            <w:r w:rsidRPr="000840F8">
              <w:rPr>
                <w:color w:val="0D0D0D" w:themeColor="text1" w:themeTint="F2"/>
                <w:spacing w:val="-4"/>
              </w:rPr>
              <w:t xml:space="preserve">nění výkonu v jinak dlouhodobě dynamickém odvětví informačních a komunikačních činností. Za celé 1. pololetí 2023 HPH vzrostla meziročně o 0,8 %. Zásadní vliv zde měl </w:t>
            </w:r>
            <w:r w:rsidRPr="000840F8">
              <w:rPr>
                <w:color w:val="0D0D0D" w:themeColor="text1" w:themeTint="F2"/>
                <w:spacing w:val="-6"/>
              </w:rPr>
              <w:t xml:space="preserve">zpracovatelský průmysl, jehož výkon posílil o 3,8 % a </w:t>
            </w:r>
            <w:r>
              <w:rPr>
                <w:color w:val="0D0D0D" w:themeColor="text1" w:themeTint="F2"/>
                <w:spacing w:val="-6"/>
              </w:rPr>
              <w:t xml:space="preserve">k </w:t>
            </w:r>
            <w:r w:rsidRPr="000840F8">
              <w:rPr>
                <w:color w:val="0D0D0D" w:themeColor="text1" w:themeTint="F2"/>
                <w:spacing w:val="-6"/>
              </w:rPr>
              <w:t>souhrnnému růstu HPH přispěl 0,9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0840F8">
              <w:rPr>
                <w:color w:val="0D0D0D" w:themeColor="text1" w:themeTint="F2"/>
                <w:spacing w:val="-6"/>
              </w:rPr>
              <w:t>p.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0840F8">
              <w:rPr>
                <w:color w:val="0D0D0D" w:themeColor="text1" w:themeTint="F2"/>
                <w:spacing w:val="-6"/>
              </w:rPr>
              <w:t>b. V opačném směru působily zejména těžba a energetika (</w:t>
            </w:r>
            <w:r>
              <w:rPr>
                <w:color w:val="0D0D0D" w:themeColor="text1" w:themeTint="F2"/>
                <w:spacing w:val="-6"/>
              </w:rPr>
              <w:t>−</w:t>
            </w:r>
            <w:r w:rsidRPr="000840F8">
              <w:rPr>
                <w:color w:val="0D0D0D" w:themeColor="text1" w:themeTint="F2"/>
                <w:spacing w:val="-6"/>
              </w:rPr>
              <w:t>0,4 p. b.), stavebnictví (</w:t>
            </w:r>
            <w:r>
              <w:rPr>
                <w:color w:val="0D0D0D" w:themeColor="text1" w:themeTint="F2"/>
                <w:spacing w:val="-6"/>
              </w:rPr>
              <w:t>−</w:t>
            </w:r>
            <w:r w:rsidRPr="000840F8">
              <w:rPr>
                <w:color w:val="0D0D0D" w:themeColor="text1" w:themeTint="F2"/>
                <w:spacing w:val="-6"/>
              </w:rPr>
              <w:t>0,2 p. b.)</w:t>
            </w:r>
            <w:r>
              <w:rPr>
                <w:color w:val="0D0D0D" w:themeColor="text1" w:themeTint="F2"/>
                <w:spacing w:val="-4"/>
              </w:rPr>
              <w:t xml:space="preserve"> a</w:t>
            </w:r>
            <w:r w:rsidRPr="000840F8">
              <w:rPr>
                <w:color w:val="0D0D0D" w:themeColor="text1" w:themeTint="F2"/>
                <w:spacing w:val="-6"/>
              </w:rPr>
              <w:t> </w:t>
            </w:r>
            <w:r w:rsidRPr="000840F8">
              <w:rPr>
                <w:color w:val="0D0D0D" w:themeColor="text1" w:themeTint="F2"/>
                <w:spacing w:val="-4"/>
              </w:rPr>
              <w:t>také uskupení obchod, doprava, ubytování a pohostinství (</w:t>
            </w:r>
            <w:r>
              <w:rPr>
                <w:color w:val="0D0D0D" w:themeColor="text1" w:themeTint="F2"/>
                <w:spacing w:val="-4"/>
              </w:rPr>
              <w:t>−</w:t>
            </w:r>
            <w:r w:rsidRPr="000840F8">
              <w:rPr>
                <w:color w:val="0D0D0D" w:themeColor="text1" w:themeTint="F2"/>
                <w:spacing w:val="-4"/>
              </w:rPr>
              <w:t>0,3 p. b.).</w:t>
            </w:r>
          </w:p>
        </w:tc>
      </w:tr>
      <w:tr w:rsidR="00D27F07" w:rsidRPr="00616A87" w14:paraId="5235ECD9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BFE300" w14:textId="77777777" w:rsidR="00D27F07" w:rsidRPr="007E6076" w:rsidRDefault="00D27F07" w:rsidP="00AD035A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Za poklesem výroby masa stálo v 1. pololetí, podobně jako vloni, hlavně vepřové. Mírný růst výroby mléka pokračoval.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674612D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9C0BD95" w14:textId="77777777" w:rsidR="00D27F07" w:rsidRPr="00616A87" w:rsidRDefault="00D27F07" w:rsidP="00AD035A">
            <w:r>
              <w:t xml:space="preserve">V živočišné výrobě přetrvávala obtížná situace některých prvovýrobců související s citelným růstem cen vstupů (krmiva, energie), kolísavým vývojem výkupních cen masa i jeho klesající tuzemskou spotřebou. Pokles fyzické výroby masa, patrný na tuzemských jatkách po celý loňský rok, letos pokračoval. Za celé 1. pololetí bylo vyrobeno meziročně o 2,5 % masa méně. Oživení výroby u hovězího masa (2,0 %) a stagnace produkce </w:t>
            </w:r>
            <w:r w:rsidRPr="009A39B7">
              <w:rPr>
                <w:spacing w:val="-2"/>
              </w:rPr>
              <w:t>drůbežího masa nedokázaly kompenzovat hlubší útlum výroby vepřového masa (</w:t>
            </w:r>
            <w:r>
              <w:rPr>
                <w:spacing w:val="-2"/>
              </w:rPr>
              <w:t>−</w:t>
            </w:r>
            <w:r w:rsidRPr="009A39B7">
              <w:rPr>
                <w:spacing w:val="-2"/>
              </w:rPr>
              <w:t>5,8 %)</w:t>
            </w:r>
            <w:r>
              <w:rPr>
                <w:rStyle w:val="Znakapoznpodarou"/>
              </w:rPr>
              <w:footnoteReference w:id="3"/>
            </w:r>
            <w:r w:rsidRPr="009A39B7">
              <w:rPr>
                <w:spacing w:val="-2"/>
              </w:rPr>
              <w:t>.</w:t>
            </w:r>
            <w:r>
              <w:t xml:space="preserve"> </w:t>
            </w:r>
            <w:r w:rsidRPr="009A39B7">
              <w:t>Pokles veškeré tuzemské produkce v</w:t>
            </w:r>
            <w:r>
              <w:t>epřového masa byl ve skutečnosti</w:t>
            </w:r>
            <w:r w:rsidRPr="009A39B7">
              <w:t xml:space="preserve"> skoro dvojnásobný (</w:t>
            </w:r>
            <w:r>
              <w:t>−</w:t>
            </w:r>
            <w:r w:rsidRPr="009A39B7">
              <w:t>11,2 %),</w:t>
            </w:r>
            <w:r>
              <w:t xml:space="preserve"> neboť ve srovnání s loňským rokem propadl (o více než 50 %) vývoz živých prasat na porážku do zahraničí. Stabilizující segment pro celou živočišnou výrobu v ČR nadále představovalo mlékárenství. 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Dlouhodobý trend růstu produkce mléka, podpořený i vysokou dojivostí, letos pokračoval. Tuzemští producenti v 1. pololetí prodali meziročně o 1,6 % litrů mléka více. </w:t>
            </w:r>
          </w:p>
        </w:tc>
      </w:tr>
      <w:tr w:rsidR="00D27F07" w:rsidRPr="003D1D6D" w14:paraId="123F1EC9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9CC1400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Dle srpnového odhadu sklizní lze očekávat u obilovin i řepky úrodu mírně převyšující průměr za poslední pětiletí. 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52835AB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29FA9BB" w14:textId="77777777" w:rsidR="00D27F07" w:rsidRDefault="00D27F07" w:rsidP="00AD035A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Podle dosavadního průběhu sklizní lze očekávat stabilizovanou situaci také v tuzemské rostlinné výrobě. 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 xml:space="preserve">Na základě třetího odhadu sklizní (dle </w:t>
            </w:r>
            <w:r w:rsidRPr="00B561E7">
              <w:rPr>
                <w:rStyle w:val="normaltextrun"/>
                <w:rFonts w:eastAsia="MS Gothic" w:cs="Arial"/>
                <w:color w:val="0D0D0D" w:themeColor="text1" w:themeTint="F2"/>
                <w:szCs w:val="20"/>
              </w:rPr>
              <w:t xml:space="preserve">ČSÚ, k 15. 8.) 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>je letos zatím očekávána úroda obilovin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 (po započítání kukuřice na zrno) ve výši 7,905 milionu tun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>, u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 xml:space="preserve">řepky pak </w:t>
            </w:r>
            <w:r>
              <w:rPr>
                <w:rStyle w:val="normaltextrun"/>
                <w:rFonts w:eastAsia="MS Gothic" w:cs="Arial"/>
                <w:szCs w:val="20"/>
              </w:rPr>
              <w:t>1,274 milionu tun</w:t>
            </w:r>
            <w:r>
              <w:rPr>
                <w:rStyle w:val="Znakapoznpodarou"/>
                <w:rFonts w:eastAsia="MS Gothic"/>
                <w:color w:val="000000"/>
                <w:szCs w:val="20"/>
              </w:rPr>
              <w:footnoteReference w:id="4"/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>.</w:t>
            </w:r>
            <w:r>
              <w:rPr>
                <w:rStyle w:val="Nadpis3Char"/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 xml:space="preserve">Sklizeň obilovin je sice meziročně mírně nižší 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br/>
              <w:t>(o 3,7 %), převyšuje však úroveň z posledního pětiletí (+1,0 %) a jen minimálně zaostává proti průměru z období let 2013–2022 (−0,8 %, výhradně kvůli poklesu osevních ploch). Obdobné platí i pro řepku, jejíž sklizeň ale zřetelněji převyšovala pětiletý průměr (o 6,1 %) a výrazněji vzrostla i meziročně (+9,2 %, výhradně díky navýšení osevní plochy). U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>některých dalších plodin jsou aktuální odhady sklizně méně příznivé</w:t>
            </w:r>
            <w:r>
              <w:rPr>
                <w:rStyle w:val="Znakapoznpodarou"/>
                <w:rFonts w:eastAsia="MS Gothic"/>
                <w:color w:val="000000"/>
                <w:szCs w:val="20"/>
              </w:rPr>
              <w:footnoteReference w:id="5"/>
            </w:r>
            <w:r>
              <w:rPr>
                <w:rStyle w:val="normaltextrun"/>
                <w:rFonts w:eastAsia="MS Gothic" w:cs="Arial"/>
                <w:color w:val="000000"/>
                <w:szCs w:val="20"/>
              </w:rPr>
              <w:t xml:space="preserve">. </w:t>
            </w:r>
          </w:p>
        </w:tc>
      </w:tr>
      <w:tr w:rsidR="00D27F07" w:rsidRPr="003D1D6D" w14:paraId="6CB6F972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A8CD32C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Mezikvartální růst průmyslové produkce se obnovil po mělké recesi z přelomu let 2022 a 2023. </w:t>
            </w:r>
          </w:p>
          <w:p w14:paraId="278E03C5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E336CAB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5DC9643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A7D86BE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Většina průmyslových oborů se ale stále potýkala se sníženou poptávkou i růstem výrobních nákladů.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CA71146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04E73A2" w14:textId="77777777" w:rsidR="00D27F07" w:rsidRDefault="00D27F07" w:rsidP="00AD035A">
            <w:pPr>
              <w:spacing w:after="180"/>
              <w:rPr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Tuzemský průmysl se díky solidní investiční aktivitě v ČR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color w:val="0D0D0D" w:themeColor="text1" w:themeTint="F2"/>
                <w:spacing w:val="-4"/>
              </w:rPr>
              <w:t xml:space="preserve"> i oborové diverzifikaci dosud obstojně vypořádával se složitými vnitřními i</w:t>
            </w:r>
            <w:r w:rsidRPr="00197756">
              <w:t> </w:t>
            </w:r>
            <w:r>
              <w:rPr>
                <w:color w:val="0D0D0D" w:themeColor="text1" w:themeTint="F2"/>
                <w:spacing w:val="-4"/>
              </w:rPr>
              <w:t>vnějšími ekonomickými a politickými podmínkami. Stejně jako celá česká ekonomika se i její průmysl na přelomu let 2022 a 2023 ocitl v mělké recesi, což stvrzuje i fakt, že na rozdíl od řady jiných odvětví byl současně postižen také redukcí zaměstnanosti. Ve 2. čtvrtletí 2023 se mezikvartální růst průmyslové produkce</w:t>
            </w:r>
            <w:r w:rsidRPr="008D3CD4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color w:val="0D0D0D" w:themeColor="text1" w:themeTint="F2"/>
                <w:spacing w:val="-4"/>
              </w:rPr>
              <w:t xml:space="preserve"> obnovil (+0,8 %) a výkon průmyslu tak opět těsně vystoupal nad úroveň z vrcholu předpandemické konjunktury. O letošní zotavení průmyslu se nicméně zasloužila pouze </w:t>
            </w:r>
            <w:r>
              <w:rPr>
                <w:color w:val="0D0D0D" w:themeColor="text1" w:themeTint="F2"/>
                <w:spacing w:val="-4"/>
              </w:rPr>
              <w:lastRenderedPageBreak/>
              <w:t>jeho zpracovatelská část a v rámci ní v zásadě jen výroba dopravních prostředků (vč. některých návazných oborů) spolu s malým, ale dynamickým oborem – farmacií. Tato odvětví tak tlumila dopad snížené produkce řady energeticky náročných oborů i dalších segmentů průmyslu zasažených cyklickým útlumem poptávky.</w:t>
            </w:r>
          </w:p>
        </w:tc>
      </w:tr>
      <w:tr w:rsidR="00D27F07" w:rsidRPr="003D1D6D" w14:paraId="7CE587B2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28C8453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Bez výroby motorových vozidel by průmyslová produkce meziročně znatelně klesala, neboť výkon více než dvou třetin průmyslových oborů se snižoval.</w:t>
            </w:r>
          </w:p>
          <w:p w14:paraId="23BD2C03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B4E29FC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0AD798B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A1CB0E6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Svižný růst výroby ostatních dopravních prostředků stimulovala zejména domácí poptávka.</w:t>
            </w:r>
          </w:p>
          <w:p w14:paraId="49BB3481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DDA279C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52E50FC" w14:textId="77777777" w:rsidR="00D27F07" w:rsidRPr="003D1D6D" w:rsidRDefault="00D27F07" w:rsidP="00AD035A">
            <w:pPr>
              <w:spacing w:after="180"/>
              <w:rPr>
                <w:spacing w:val="-5"/>
              </w:rPr>
            </w:pPr>
            <w:r w:rsidRPr="008C2F46">
              <w:rPr>
                <w:spacing w:val="-5"/>
              </w:rPr>
              <w:t>V meziročním pohledu</w:t>
            </w:r>
            <w:r>
              <w:rPr>
                <w:spacing w:val="-5"/>
              </w:rPr>
              <w:t xml:space="preserve"> mírný růst průmyslové produkce pokračoval (v 1. polol</w:t>
            </w:r>
            <w:r w:rsidRPr="008C2F46">
              <w:rPr>
                <w:spacing w:val="-5"/>
              </w:rPr>
              <w:t xml:space="preserve">etí 2023 </w:t>
            </w:r>
            <w:r>
              <w:rPr>
                <w:spacing w:val="-5"/>
              </w:rPr>
              <w:t>+1,1</w:t>
            </w:r>
            <w:r w:rsidRPr="008C2F46">
              <w:rPr>
                <w:color w:val="0D0D0D" w:themeColor="text1" w:themeTint="F2"/>
                <w:spacing w:val="-5"/>
              </w:rPr>
              <w:t> </w:t>
            </w:r>
            <w:r w:rsidRPr="008C2F46">
              <w:rPr>
                <w:spacing w:val="-5"/>
              </w:rPr>
              <w:t>%)</w:t>
            </w:r>
            <w:r>
              <w:rPr>
                <w:spacing w:val="-5"/>
              </w:rPr>
              <w:t>. Klíčovou</w:t>
            </w:r>
            <w:r w:rsidRPr="008C2F46">
              <w:rPr>
                <w:spacing w:val="-5"/>
              </w:rPr>
              <w:t xml:space="preserve"> roli zde sehráli výrobci mot</w:t>
            </w:r>
            <w:r>
              <w:rPr>
                <w:spacing w:val="-5"/>
              </w:rPr>
              <w:t>orových vozidel (příspěvek +4,5 p. b.), jimž svižně rostl odbyt v zahraničí i tuzemsku. V kontrastu s tím zůstal v</w:t>
            </w:r>
            <w:r w:rsidRPr="008C2F46">
              <w:rPr>
                <w:spacing w:val="-5"/>
              </w:rPr>
              <w:t xml:space="preserve">ýkon </w:t>
            </w:r>
            <w:r>
              <w:rPr>
                <w:spacing w:val="-5"/>
              </w:rPr>
              <w:t xml:space="preserve">více než dvou třetin průmyslových oborů </w:t>
            </w:r>
            <w:r w:rsidRPr="008C2F46">
              <w:rPr>
                <w:spacing w:val="-5"/>
              </w:rPr>
              <w:t>pod loňskou úrovní. Produkce v automobil</w:t>
            </w:r>
            <w:r>
              <w:rPr>
                <w:spacing w:val="-5"/>
              </w:rPr>
              <w:t>ovém průmyslu byla naopak téměř o</w:t>
            </w:r>
            <w:r w:rsidRPr="008C2F46">
              <w:rPr>
                <w:spacing w:val="-5"/>
              </w:rPr>
              <w:t xml:space="preserve"> čtvrtinu</w:t>
            </w:r>
            <w:r>
              <w:rPr>
                <w:spacing w:val="-5"/>
              </w:rPr>
              <w:t xml:space="preserve"> vyšší, a to zásluhou výrobců automobilů i dílů. Z velké části šlo ovšem </w:t>
            </w:r>
            <w:r w:rsidRPr="008C2F46">
              <w:rPr>
                <w:spacing w:val="-5"/>
              </w:rPr>
              <w:t>o</w:t>
            </w:r>
            <w:r>
              <w:rPr>
                <w:spacing w:val="-5"/>
              </w:rPr>
              <w:t> </w:t>
            </w:r>
            <w:r w:rsidRPr="008C2F46">
              <w:rPr>
                <w:spacing w:val="-5"/>
              </w:rPr>
              <w:t>kompenzaci nižší výroby z období na počá</w:t>
            </w:r>
            <w:r>
              <w:rPr>
                <w:spacing w:val="-5"/>
              </w:rPr>
              <w:t xml:space="preserve">tku loňského roku (kdy problémy </w:t>
            </w:r>
            <w:r w:rsidRPr="008C2F46">
              <w:rPr>
                <w:spacing w:val="-5"/>
              </w:rPr>
              <w:t xml:space="preserve">v dodavatelských řetězcích eskalovaly vinou </w:t>
            </w:r>
            <w:r w:rsidRPr="008C2F46">
              <w:rPr>
                <w:color w:val="0D0D0D" w:themeColor="text1" w:themeTint="F2"/>
                <w:spacing w:val="-5"/>
              </w:rPr>
              <w:t>zmrazení výroby některých zdrojových komponent v Číně i na Ukrajině</w:t>
            </w:r>
            <w:r>
              <w:rPr>
                <w:color w:val="0D0D0D" w:themeColor="text1" w:themeTint="F2"/>
                <w:spacing w:val="-5"/>
              </w:rPr>
              <w:t>). Rozvoj výroby autom</w:t>
            </w:r>
            <w:r w:rsidRPr="008C2F46">
              <w:rPr>
                <w:color w:val="0D0D0D" w:themeColor="text1" w:themeTint="F2"/>
                <w:spacing w:val="-5"/>
              </w:rPr>
              <w:t>obilů dokládají i údaje o fyzické produkci</w:t>
            </w:r>
            <w:r w:rsidRPr="008C2F46">
              <w:rPr>
                <w:rStyle w:val="Znakapoznpodarou"/>
                <w:color w:val="0D0D0D" w:themeColor="text1" w:themeTint="F2"/>
                <w:spacing w:val="-5"/>
              </w:rPr>
              <w:footnoteReference w:id="8"/>
            </w:r>
            <w:r w:rsidRPr="008C2F46">
              <w:rPr>
                <w:color w:val="0D0D0D" w:themeColor="text1" w:themeTint="F2"/>
                <w:spacing w:val="-5"/>
              </w:rPr>
              <w:t>.</w:t>
            </w:r>
            <w:r>
              <w:rPr>
                <w:color w:val="0D0D0D" w:themeColor="text1" w:themeTint="F2"/>
                <w:spacing w:val="-5"/>
              </w:rPr>
              <w:t xml:space="preserve"> Zlepšení dříve váznoucích dodávek některých výrobních komponentů se odrazilo citelným zvýšením využití výrobních kapacit automobilového průmyslu. To na počátku </w:t>
            </w:r>
            <w:r>
              <w:rPr>
                <w:color w:val="0D0D0D" w:themeColor="text1" w:themeTint="F2"/>
                <w:spacing w:val="-5"/>
              </w:rPr>
              <w:br/>
              <w:t>2. i 3. čtvrtletí 2023 přesáhlo 92 % (společně s petrochemií bylo nejvyšší ze všech hlavních zpracovatelských oborů) a vrátilo se na svou předkrizovou úroveň. Především vlivem domácí poptávky se dařilo také odvětví výroby ostatních (především kolejových) dopravních prostředků, kde v 1. pololetí díky dokončení významných dlouhodobých zakázek produkce meziročně vzrostla skoro o pětinu (k růstu celého průmyslu ovšem přispěla „jen“ 0,4 p. b).</w:t>
            </w:r>
          </w:p>
        </w:tc>
      </w:tr>
      <w:tr w:rsidR="00D27F07" w:rsidRPr="008C2F46" w14:paraId="67FB07EB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C93A1B1" w14:textId="77777777" w:rsidR="00D27F07" w:rsidRPr="00D40A02" w:rsidRDefault="00D27F07" w:rsidP="00AD035A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Produkce mírně rostla ve strojírenství či elektrotechnice, z malých oborů zejména ve farmacii.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6AEB7AE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7C9406A" w14:textId="77777777" w:rsidR="00D27F07" w:rsidRPr="008C2F46" w:rsidRDefault="00D27F07" w:rsidP="00AD035A">
            <w:pPr>
              <w:spacing w:after="0"/>
              <w:rPr>
                <w:spacing w:val="-5"/>
              </w:rPr>
            </w:pPr>
            <w:r>
              <w:rPr>
                <w:spacing w:val="-5"/>
              </w:rPr>
              <w:t>Rozvoj výroby automobilů podpořil i návazné odvětví elektrotechnického průmyslu, v němž k mírnému růstu produkce v 1. pololetí (+5,1 % meziročně) pomohla hlavně zahraniční poptávka. Naopak vyšší odbyt z tuzemska stál primárně za posílením produkce v dalších váhově významných oborech – strojírenství (+4,2 %) i výroby</w:t>
            </w:r>
            <w:r w:rsidRPr="00586EB4">
              <w:rPr>
                <w:spacing w:val="-5"/>
              </w:rPr>
              <w:t xml:space="preserve"> počítačů, elektronických a</w:t>
            </w:r>
            <w:r>
              <w:rPr>
                <w:spacing w:val="-5"/>
              </w:rPr>
              <w:t> </w:t>
            </w:r>
            <w:r w:rsidRPr="00586EB4">
              <w:rPr>
                <w:spacing w:val="-5"/>
              </w:rPr>
              <w:t>optických přístrojů</w:t>
            </w:r>
            <w:r>
              <w:rPr>
                <w:spacing w:val="-5"/>
              </w:rPr>
              <w:t xml:space="preserve"> (3,5 %), ve které se pozitivně projevil i </w:t>
            </w:r>
            <w:r>
              <w:rPr>
                <w:color w:val="0D0D0D" w:themeColor="text1" w:themeTint="F2"/>
                <w:spacing w:val="-4"/>
              </w:rPr>
              <w:t>dynamicky rostoucí trh v oblasti fotovoltaiky</w:t>
            </w:r>
            <w:r>
              <w:rPr>
                <w:spacing w:val="-5"/>
              </w:rPr>
              <w:t xml:space="preserve">. Z malých oborů se dařilo dlouhodobě rostoucímu a výrazně proexportnímu farmaceutickému průmyslu (+11,7 %, proti 1. pololetí 2019 +31,5 %), zahraniční odbyt výrazně pomohl k oživení kožedělného a obuvnického průmyslu (meziročně +7,4 %). Všechny výše uvedené obory přispěly letos k růstu výkonu průmyslu rovným 1 p. b. </w:t>
            </w:r>
          </w:p>
          <w:p w14:paraId="0EB8F0D0" w14:textId="77777777" w:rsidR="00D27F07" w:rsidRPr="008C2F46" w:rsidRDefault="00D27F07" w:rsidP="00AD035A">
            <w:pPr>
              <w:spacing w:after="0"/>
              <w:rPr>
                <w:spacing w:val="-5"/>
              </w:rPr>
            </w:pPr>
          </w:p>
        </w:tc>
      </w:tr>
      <w:tr w:rsidR="00D27F07" w:rsidRPr="00D40A02" w14:paraId="67E8AFCE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46BB098" w14:textId="77777777" w:rsidR="00D27F07" w:rsidRPr="00A27018" w:rsidRDefault="00D27F07" w:rsidP="00AD035A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Výkony energeticky nejnáročnějších zpracovatelských oborů byly nadále utlumené. V hutnictví propadla produkce skoro o pětinu.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62721D" w14:textId="77777777" w:rsidR="00D27F07" w:rsidRPr="00D40A02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5C09389" w14:textId="77777777" w:rsidR="00D27F07" w:rsidRPr="00D40A02" w:rsidRDefault="00D27F07" w:rsidP="00AD035A">
            <w:pPr>
              <w:spacing w:after="2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S přetrvávajícími vážnými problémy se potýkala významná a </w:t>
            </w:r>
            <w:r w:rsidRPr="00AC49FC">
              <w:rPr>
                <w:color w:val="0D0D0D" w:themeColor="text1" w:themeTint="F2"/>
                <w:spacing w:val="-4"/>
              </w:rPr>
              <w:t xml:space="preserve">energeticky </w:t>
            </w:r>
            <w:r>
              <w:rPr>
                <w:color w:val="0D0D0D" w:themeColor="text1" w:themeTint="F2"/>
                <w:spacing w:val="-4"/>
              </w:rPr>
              <w:t xml:space="preserve">velmi </w:t>
            </w:r>
            <w:r w:rsidRPr="00AC49FC">
              <w:rPr>
                <w:color w:val="0D0D0D" w:themeColor="text1" w:themeTint="F2"/>
                <w:spacing w:val="-4"/>
              </w:rPr>
              <w:t>náročná odvětví chem</w:t>
            </w:r>
            <w:r>
              <w:rPr>
                <w:color w:val="0D0D0D" w:themeColor="text1" w:themeTint="F2"/>
                <w:spacing w:val="-4"/>
              </w:rPr>
              <w:t>ického a hutnického</w:t>
            </w:r>
            <w:r w:rsidRPr="00AC49FC">
              <w:rPr>
                <w:color w:val="0D0D0D" w:themeColor="text1" w:themeTint="F2"/>
                <w:spacing w:val="-4"/>
              </w:rPr>
              <w:t xml:space="preserve"> průmyslu či výroby stavebních hmot</w:t>
            </w:r>
            <w:r>
              <w:rPr>
                <w:color w:val="0D0D0D" w:themeColor="text1" w:themeTint="F2"/>
                <w:spacing w:val="-4"/>
              </w:rPr>
              <w:t xml:space="preserve">. Prudký růst cen vstupů v loňském roce spolu s přetrvávající slabou tuzemskou i zahraniční poptávkou vyústily v 1. pololetí 2023 ve dvojciferný meziroční pokles produkce, jenž např. v hutnictví (včetně slévárenství) činil 18 % (podobně zastával výkon tohoto odvětví i za předkrizovým rokem 2019). Výše uvedené obory také významně poznamenaly výkon celého průmyslu (příspěvek −1,9 p. b.). Podstatně lépe si vedlo diverzifikované odvětví kovodělného průmyslu, kde byl pokles produkce řádově nižší (−2,4 %). Útlum energeticky náročných segmentů zde mohl být zčásti kompenzován rozvojem zbrojní výroby. Mírnějšího snížení produkce docílilo i gumárenství a plastikářství (−3,7 %), jež částečně profitovalo ze solidní poptávky v související výrobě motorových vozidel. </w:t>
            </w:r>
          </w:p>
        </w:tc>
      </w:tr>
      <w:tr w:rsidR="00D27F07" w14:paraId="75F880DB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4AD6526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Dvojciferný pokles produkce postihl tiskárenství, textilní či nábytkářský průmysl. </w:t>
            </w:r>
          </w:p>
          <w:p w14:paraId="6B0E518C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F5B5389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DA062FF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Klesající kupní síla tuzemských domácností vedla k nižší produkci </w:t>
            </w:r>
            <w:r>
              <w:rPr>
                <w:color w:val="0D0D0D" w:themeColor="text1" w:themeTint="F2"/>
                <w:spacing w:val="-4"/>
              </w:rPr>
              <w:lastRenderedPageBreak/>
              <w:t>v potravinářství i výrobě nápojů.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D029B44" w14:textId="77777777" w:rsidR="00D27F07" w:rsidRPr="00AC49FC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80B563F" w14:textId="77777777" w:rsidR="00D27F07" w:rsidRDefault="00D27F07" w:rsidP="00AD035A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S poklesem poptávky se v 1. pololetí potýkala i většina menších zpracovatelských oborů. V tiskárenství tak propadla produkce meziročně o 18,4 %, v textilním průmyslu o 11,7 %. V dřevozpracujícím průmyslu pokračoval zhruba 10% pokles produkce započatý loni. Efekt nižší těžby dřeva vlivem postupného ústupu kůrovcové kalamity převážil nad vlivem rostoucí poptávky po dřevě zažehnuté energetickou krizí. Také v navazujícím papírenském průmyslu se letos výkon meziročně snížil skoro o desetinu, v nábytkářství zasaženém především slabším odbytem v zahraničí pak o celou šestinu. Vysoký růst výrobních nákladů spolu </w:t>
            </w:r>
            <w:r w:rsidRPr="00372273">
              <w:rPr>
                <w:color w:val="0D0D0D" w:themeColor="text1" w:themeTint="F2"/>
                <w:spacing w:val="-3"/>
              </w:rPr>
              <w:lastRenderedPageBreak/>
              <w:t>s klesající spotřebou tuzemských domácností vyústily v nižší produkci nápojového (</w:t>
            </w:r>
            <w:r>
              <w:rPr>
                <w:color w:val="0D0D0D" w:themeColor="text1" w:themeTint="F2"/>
                <w:spacing w:val="-3"/>
              </w:rPr>
              <w:t>−</w:t>
            </w:r>
            <w:r w:rsidRPr="00372273">
              <w:rPr>
                <w:color w:val="0D0D0D" w:themeColor="text1" w:themeTint="F2"/>
                <w:spacing w:val="-3"/>
              </w:rPr>
              <w:t>2,7 %) či potravinářského průmyslu (</w:t>
            </w:r>
            <w:r>
              <w:rPr>
                <w:color w:val="0D0D0D" w:themeColor="text1" w:themeTint="F2"/>
                <w:spacing w:val="-3"/>
              </w:rPr>
              <w:t>−</w:t>
            </w:r>
            <w:r w:rsidRPr="00372273">
              <w:rPr>
                <w:color w:val="0D0D0D" w:themeColor="text1" w:themeTint="F2"/>
                <w:spacing w:val="-3"/>
              </w:rPr>
              <w:t>3,6 %, nejhorší pololetní výsledek od konce roku 2011).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</w:p>
        </w:tc>
      </w:tr>
      <w:tr w:rsidR="00D27F07" w:rsidRPr="005447DB" w14:paraId="450E5680" w14:textId="77777777" w:rsidTr="00AD035A">
        <w:trPr>
          <w:trHeight w:val="1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97446D2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 xml:space="preserve">Útlum produkce v těžbě uhlí i stavebních surovin, podobně jako v odvětví energetiky, se během 1. pololetí prohluboval. </w:t>
            </w:r>
          </w:p>
          <w:p w14:paraId="5CCDCA77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DDD31D0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9CCD8B3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2A2003B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Stála za tím slabší poptávka ze strany domácností i firem, jež reagovala na turbulentní cenový vývoj v této oblasti.</w:t>
            </w:r>
          </w:p>
          <w:p w14:paraId="6BEF898F" w14:textId="77777777" w:rsidR="00D27F07" w:rsidRPr="003B6934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F7D20A5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E5A30C8" w14:textId="77777777" w:rsidR="00D27F07" w:rsidRPr="005447DB" w:rsidRDefault="00D27F07" w:rsidP="00AD035A">
            <w:pPr>
              <w:spacing w:after="200"/>
              <w:rPr>
                <w:color w:val="0D0D0D" w:themeColor="text1" w:themeTint="F2"/>
                <w:spacing w:val="-5"/>
              </w:rPr>
            </w:pPr>
            <w:r w:rsidRPr="005447DB">
              <w:rPr>
                <w:color w:val="0D0D0D" w:themeColor="text1" w:themeTint="F2"/>
                <w:spacing w:val="-5"/>
              </w:rPr>
              <w:t>Produkce v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5447DB">
              <w:rPr>
                <w:color w:val="0D0D0D" w:themeColor="text1" w:themeTint="F2"/>
                <w:spacing w:val="-5"/>
              </w:rPr>
              <w:t>nezpracov</w:t>
            </w:r>
            <w:r>
              <w:rPr>
                <w:color w:val="0D0D0D" w:themeColor="text1" w:themeTint="F2"/>
                <w:spacing w:val="-5"/>
              </w:rPr>
              <w:t>atelském segmentu průmyslu, jenž zahrnuje vesměs jen energeticky vysoce náročné obory, pokračovala v útlumu, jehož náznaky byly patrné již ke konci loňského roku. Meziroční propad výkonu zde v 1. pololetí 2023 dosáhl dvojciferných hodnot</w:t>
            </w:r>
            <w:r w:rsidRPr="005447DB">
              <w:rPr>
                <w:color w:val="0D0D0D" w:themeColor="text1" w:themeTint="F2"/>
                <w:spacing w:val="-5"/>
              </w:rPr>
              <w:t xml:space="preserve"> a růst produkce v celém průmyslu </w:t>
            </w:r>
            <w:r>
              <w:rPr>
                <w:color w:val="0D0D0D" w:themeColor="text1" w:themeTint="F2"/>
                <w:spacing w:val="-5"/>
              </w:rPr>
              <w:t>tak v úhrnu snižoval o 1,4</w:t>
            </w:r>
            <w:r w:rsidRPr="005447DB">
              <w:rPr>
                <w:color w:val="0D0D0D" w:themeColor="text1" w:themeTint="F2"/>
                <w:spacing w:val="-5"/>
              </w:rPr>
              <w:t xml:space="preserve"> p. b. </w:t>
            </w:r>
            <w:r>
              <w:rPr>
                <w:color w:val="0D0D0D" w:themeColor="text1" w:themeTint="F2"/>
                <w:spacing w:val="-5"/>
              </w:rPr>
              <w:t>Klíčový</w:t>
            </w:r>
            <w:r w:rsidRPr="005447DB">
              <w:rPr>
                <w:color w:val="0D0D0D" w:themeColor="text1" w:themeTint="F2"/>
                <w:spacing w:val="-5"/>
              </w:rPr>
              <w:t xml:space="preserve"> vliv </w:t>
            </w:r>
            <w:r>
              <w:rPr>
                <w:color w:val="0D0D0D" w:themeColor="text1" w:themeTint="F2"/>
                <w:spacing w:val="-5"/>
              </w:rPr>
              <w:t xml:space="preserve">zde </w:t>
            </w:r>
            <w:r w:rsidRPr="005447DB">
              <w:rPr>
                <w:color w:val="0D0D0D" w:themeColor="text1" w:themeTint="F2"/>
                <w:spacing w:val="-5"/>
              </w:rPr>
              <w:t xml:space="preserve">mělo váhově významné odvětví energetiky, v němž produkce </w:t>
            </w:r>
            <w:r>
              <w:rPr>
                <w:color w:val="0D0D0D" w:themeColor="text1" w:themeTint="F2"/>
                <w:spacing w:val="-5"/>
              </w:rPr>
              <w:t>letos v 1. čtvrtletí klesla o 9,3 % a ve 2. kvartálu o 14,1 %. Za nižší výrobou elektřiny stál z drtivé části hlubší útlum u parních a paroplynových elektráren (naopak produkce u jaderných elektráren velmi mírně rostla). Vedle pravidelných odstávek výrobních zařízení souvisel výkon celé energetiky s očekávaným poklesem</w:t>
            </w:r>
            <w:r w:rsidRPr="005447DB">
              <w:rPr>
                <w:color w:val="0D0D0D" w:themeColor="text1" w:themeTint="F2"/>
                <w:spacing w:val="-5"/>
              </w:rPr>
              <w:t xml:space="preserve"> tuzemské poptávky (</w:t>
            </w:r>
            <w:r>
              <w:rPr>
                <w:color w:val="0D0D0D" w:themeColor="text1" w:themeTint="F2"/>
                <w:spacing w:val="-5"/>
              </w:rPr>
              <w:t xml:space="preserve">dopad </w:t>
            </w:r>
            <w:r w:rsidRPr="005447DB">
              <w:rPr>
                <w:color w:val="0D0D0D" w:themeColor="text1" w:themeTint="F2"/>
                <w:spacing w:val="-5"/>
              </w:rPr>
              <w:t>úspor ve spotřebě elektřiny, zemní</w:t>
            </w:r>
            <w:r>
              <w:rPr>
                <w:color w:val="0D0D0D" w:themeColor="text1" w:themeTint="F2"/>
                <w:spacing w:val="-5"/>
              </w:rPr>
              <w:t>ho</w:t>
            </w:r>
            <w:r w:rsidRPr="005447DB">
              <w:rPr>
                <w:color w:val="0D0D0D" w:themeColor="text1" w:themeTint="F2"/>
                <w:spacing w:val="-5"/>
              </w:rPr>
              <w:t xml:space="preserve"> plynu i tepla na straně domácností </w:t>
            </w:r>
            <w:r w:rsidRPr="00B0580E">
              <w:rPr>
                <w:color w:val="0D0D0D" w:themeColor="text1" w:themeTint="F2"/>
                <w:spacing w:val="-5"/>
              </w:rPr>
              <w:t>i firem</w:t>
            </w:r>
            <w:r w:rsidRPr="00B0580E">
              <w:rPr>
                <w:rStyle w:val="Znakapoznpodarou"/>
                <w:color w:val="0D0D0D" w:themeColor="text1" w:themeTint="F2"/>
                <w:spacing w:val="-5"/>
              </w:rPr>
              <w:footnoteReference w:id="9"/>
            </w:r>
            <w:r w:rsidRPr="00B0580E">
              <w:rPr>
                <w:color w:val="0D0D0D" w:themeColor="text1" w:themeTint="F2"/>
                <w:spacing w:val="-5"/>
              </w:rPr>
              <w:t xml:space="preserve"> byl umocněn</w:t>
            </w:r>
            <w:r>
              <w:rPr>
                <w:color w:val="0D0D0D" w:themeColor="text1" w:themeTint="F2"/>
                <w:spacing w:val="-5"/>
              </w:rPr>
              <w:t xml:space="preserve"> teplotně nadprůměrným zimním obdobím</w:t>
            </w:r>
            <w:r w:rsidRPr="005447DB">
              <w:rPr>
                <w:color w:val="0D0D0D" w:themeColor="text1" w:themeTint="F2"/>
                <w:spacing w:val="-5"/>
              </w:rPr>
              <w:t>)</w:t>
            </w:r>
            <w:r>
              <w:t>.</w:t>
            </w:r>
            <w:r w:rsidRPr="005447DB">
              <w:rPr>
                <w:color w:val="0D0D0D" w:themeColor="text1" w:themeTint="F2"/>
                <w:spacing w:val="-5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t>Útlum produkce se letos během 1. pololetí prohluboval i v těžebním průmyslu. Zvlášť patrné to bylo v těžbě uhlí, kde ve 2. čtvrtletí výkon propadl skoro o 23,3 %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10"/>
            </w:r>
            <w:r>
              <w:rPr>
                <w:color w:val="0D0D0D" w:themeColor="text1" w:themeTint="F2"/>
                <w:spacing w:val="-5"/>
              </w:rPr>
              <w:t>, v menší míře také</w:t>
            </w:r>
            <w:r w:rsidRPr="005447DB">
              <w:rPr>
                <w:color w:val="0D0D0D" w:themeColor="text1" w:themeTint="F2"/>
                <w:spacing w:val="-5"/>
              </w:rPr>
              <w:t xml:space="preserve"> v těžbě stavebních materiálů (</w:t>
            </w:r>
            <w:r>
              <w:rPr>
                <w:color w:val="0D0D0D" w:themeColor="text1" w:themeTint="F2"/>
                <w:spacing w:val="-5"/>
              </w:rPr>
              <w:t>−16,3</w:t>
            </w:r>
            <w:r w:rsidRPr="005447DB">
              <w:rPr>
                <w:color w:val="0D0D0D" w:themeColor="text1" w:themeTint="F2"/>
                <w:spacing w:val="-5"/>
              </w:rPr>
              <w:t xml:space="preserve"> %), což souviselo s oslabením</w:t>
            </w:r>
            <w:r>
              <w:rPr>
                <w:color w:val="0D0D0D" w:themeColor="text1" w:themeTint="F2"/>
                <w:spacing w:val="-5"/>
              </w:rPr>
              <w:t xml:space="preserve"> poptávky ze strany stavebníků i s </w:t>
            </w:r>
            <w:r w:rsidRPr="005447DB">
              <w:rPr>
                <w:color w:val="0D0D0D" w:themeColor="text1" w:themeTint="F2"/>
                <w:spacing w:val="-5"/>
              </w:rPr>
              <w:t>vyšší energetickou náročností tohoto oboru.</w:t>
            </w:r>
          </w:p>
        </w:tc>
      </w:tr>
      <w:tr w:rsidR="00D27F07" w:rsidRPr="00A92514" w14:paraId="1EDA50E8" w14:textId="77777777" w:rsidTr="00AD035A">
        <w:trPr>
          <w:trHeight w:val="17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195147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04FF666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6AC6639" w14:textId="77777777" w:rsidR="00D27F07" w:rsidRPr="00884AAD" w:rsidRDefault="00D27F07" w:rsidP="00AD035A">
            <w:pPr>
              <w:spacing w:after="0"/>
              <w:rPr>
                <w:spacing w:val="-2"/>
              </w:rPr>
            </w:pPr>
            <w:r w:rsidRPr="00884AAD">
              <w:rPr>
                <w:rFonts w:cs="Arial"/>
                <w:b/>
                <w:bCs/>
                <w:color w:val="000000"/>
                <w:spacing w:val="-2"/>
                <w:szCs w:val="20"/>
              </w:rPr>
              <w:t xml:space="preserve">Graf č. 4 </w:t>
            </w:r>
            <w:r w:rsidRPr="00884AAD">
              <w:rPr>
                <w:b/>
                <w:spacing w:val="-2"/>
              </w:rPr>
              <w:t xml:space="preserve">Příspěvky dílčích odvětví k meziroční změně průmyslové produkce v ČR </w:t>
            </w:r>
            <w:r w:rsidRPr="00884AAD">
              <w:rPr>
                <w:spacing w:val="-2"/>
              </w:rPr>
              <w:t xml:space="preserve">(očištěno o kalendářní vlivy, reálně, v p. b.) </w:t>
            </w:r>
            <w:r w:rsidRPr="00884AAD">
              <w:rPr>
                <w:b/>
                <w:spacing w:val="-2"/>
              </w:rPr>
              <w:t xml:space="preserve">a produkce v celém průmyslu v ČR, Německu a EU27 </w:t>
            </w:r>
            <w:r w:rsidRPr="00884AAD">
              <w:rPr>
                <w:spacing w:val="-2"/>
              </w:rPr>
              <w:t>(sezónně očištěno, úroveň roku 2015=100, pravá osa)</w:t>
            </w:r>
          </w:p>
        </w:tc>
      </w:tr>
      <w:tr w:rsidR="00D27F07" w:rsidRPr="0067514E" w14:paraId="4C286A51" w14:textId="77777777" w:rsidTr="00AD035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9099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1FE4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2D4B" w14:textId="77777777" w:rsidR="00D27F07" w:rsidRPr="0067514E" w:rsidRDefault="00D27F07" w:rsidP="00AD035A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6AB10FD0" wp14:editId="25B89148">
                  <wp:extent cx="4635776" cy="3692057"/>
                  <wp:effectExtent l="0" t="0" r="0" b="381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27F07" w:rsidRPr="00E52D45" w14:paraId="31CFE33F" w14:textId="77777777" w:rsidTr="00AD035A">
        <w:trPr>
          <w:trHeight w:val="17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583779F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F90F291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6B67C6A" w14:textId="77777777" w:rsidR="00D27F07" w:rsidRPr="00E52D45" w:rsidRDefault="00D27F07" w:rsidP="00AD035A">
            <w:pPr>
              <w:tabs>
                <w:tab w:val="right" w:pos="7683"/>
              </w:tabs>
              <w:spacing w:after="20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Tržby jsou uvedeny v běžných cenách. </w:t>
            </w:r>
            <w:r>
              <w:rPr>
                <w:rFonts w:cs="Arial"/>
                <w:sz w:val="14"/>
                <w:szCs w:val="14"/>
              </w:rPr>
              <w:tab/>
              <w:t xml:space="preserve">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>, Eurostat</w:t>
            </w:r>
          </w:p>
        </w:tc>
      </w:tr>
      <w:tr w:rsidR="00D27F07" w:rsidRPr="00823342" w14:paraId="3FC0B3D4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F4DC194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Průmyslovým podnikům rostly meziročně domácí tržby více než tržby </w:t>
            </w:r>
            <w:r>
              <w:rPr>
                <w:color w:val="0D0D0D" w:themeColor="text1" w:themeTint="F2"/>
              </w:rPr>
              <w:lastRenderedPageBreak/>
              <w:t>z přímého vývozu. V těžbě či potravinářství se tržby svižně zvyšovaly, navzdory poklesu reálné poptávky.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5080E80" w14:textId="77777777" w:rsidR="00D27F07" w:rsidRPr="00B51DC6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1212622" w14:textId="77777777" w:rsidR="00D27F07" w:rsidRPr="008F675B" w:rsidRDefault="00D27F07" w:rsidP="00AD035A">
            <w:pPr>
              <w:spacing w:after="200"/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</w:pPr>
            <w:r w:rsidRPr="003D0325"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Nominální tržby průmyslových </w:t>
            </w:r>
            <w:r w:rsidRPr="00030362"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>podniků</w:t>
            </w:r>
            <w:r w:rsidRPr="00030362">
              <w:rPr>
                <w:rStyle w:val="Znakapoznpodarou"/>
                <w:bCs/>
                <w:color w:val="0D0D0D" w:themeColor="text1" w:themeTint="F2"/>
                <w:spacing w:val="-5"/>
                <w:szCs w:val="20"/>
              </w:rPr>
              <w:footnoteReference w:id="11"/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 se v 1. pololetí 2023 zvýšily meziročně o 8,2 % (z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toho ve 2. čtvrtletí již jen o 5,4 %). Slábnoucí tempo tržeb lze z velké části připsat vlivu </w:t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lastRenderedPageBreak/>
              <w:t>pozvolna odeznívajícího cenového růstu na straně výrobců, zejména v samotném zpracovatelském průmyslu. Tuzemské tržby posílily o 9,9 % a již dva roky tak rostly dynamičtěji než tržby z přímého vývozu</w:t>
            </w:r>
            <w:r>
              <w:rPr>
                <w:rStyle w:val="Znakapoznpodarou"/>
                <w:bCs/>
                <w:color w:val="0D0D0D" w:themeColor="text1" w:themeTint="F2"/>
                <w:spacing w:val="-5"/>
                <w:szCs w:val="20"/>
              </w:rPr>
              <w:footnoteReference w:id="12"/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t xml:space="preserve">. Celkové tržby se zvýšily nejvíce výrobcům motorových vozidel (+27,5 %) a výrobcům ostatních dopravních prostředků (31,2 %). Klesly naopak v polovině hlavních průmyslových oborů (v hutnictví až o 22,6 %). V některých oborech postižených poklesem reálné poptávky však tržby díky přetrvávajícím cenovým vlivům svižně rostly (v těžbě uhlí a stavebních materiálů, v potravinářství či výrobě nápojů). Naproti tomu ve výrobě počítačů a elektronických a optických přístrojů tržby za úrovní </w:t>
            </w:r>
            <w:r>
              <w:rPr>
                <w:rFonts w:cs="Arial"/>
                <w:bCs/>
                <w:color w:val="0D0D0D" w:themeColor="text1" w:themeTint="F2"/>
                <w:spacing w:val="-5"/>
                <w:szCs w:val="20"/>
              </w:rPr>
              <w:br/>
              <w:t>z 1. pololetí 2022 lehce zaostaly (−1,3 %), a to i přesto, že produkce v tomto odvětví rostla.</w:t>
            </w:r>
          </w:p>
        </w:tc>
      </w:tr>
      <w:tr w:rsidR="00D27F07" w:rsidRPr="00FA6878" w14:paraId="3B36B5F8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EBF9ECF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 xml:space="preserve">Hodnota nových průmyslových zakázek se ve 2. čtvrtletí meziročně snížila. </w:t>
            </w:r>
          </w:p>
          <w:p w14:paraId="783C6062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</w:p>
          <w:p w14:paraId="3F4A931A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</w:p>
          <w:p w14:paraId="2AFA1DE5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</w:p>
          <w:p w14:paraId="58599EAD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Zřetelně pozitivní signál očekávané vyšší poptávky vysílal pouze farmaceutický průmysl.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1292D71" w14:textId="77777777" w:rsidR="00D27F07" w:rsidRPr="00B51DC6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3C0EC51" w14:textId="77777777" w:rsidR="00D27F07" w:rsidRDefault="00D27F07" w:rsidP="00AD035A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Dynamika nových průmyslových zakázek vykazovala známky slábnoucí poptávky. Zatímco v 1. čtvrtletí 2023 nominální hodnota zakázek </w:t>
            </w:r>
            <w:r w:rsidRPr="00D97905">
              <w:rPr>
                <w:color w:val="0D0D0D" w:themeColor="text1" w:themeTint="F2"/>
                <w:spacing w:val="-5"/>
              </w:rPr>
              <w:t xml:space="preserve">ve sledovaných </w:t>
            </w:r>
            <w:r w:rsidRPr="00030362">
              <w:rPr>
                <w:color w:val="0D0D0D" w:themeColor="text1" w:themeTint="F2"/>
                <w:spacing w:val="-5"/>
              </w:rPr>
              <w:t>průmyslových odvětvích</w:t>
            </w:r>
            <w:r w:rsidRPr="00030362">
              <w:rPr>
                <w:rStyle w:val="Znakapoznpodarou"/>
                <w:color w:val="0D0D0D" w:themeColor="text1" w:themeTint="F2"/>
                <w:spacing w:val="-5"/>
              </w:rPr>
              <w:footnoteReference w:id="13"/>
            </w:r>
            <w:r>
              <w:rPr>
                <w:color w:val="0D0D0D" w:themeColor="text1" w:themeTint="F2"/>
                <w:spacing w:val="-5"/>
              </w:rPr>
              <w:t xml:space="preserve"> meziročně rostla o 2,1 %, v následujícím období již zaznamenala pokles o 2,6 %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14"/>
            </w:r>
            <w:r>
              <w:rPr>
                <w:color w:val="0D0D0D" w:themeColor="text1" w:themeTint="F2"/>
                <w:spacing w:val="-5"/>
              </w:rPr>
              <w:t xml:space="preserve"> (první od pandemických uzávěr výroby v roce 2020). Rychlejší ochlazení naznačovala zahraniční poptávka. Za celé 1. pololetí se zakázky ze zahraničí snížily o 3,5 %, zatímco ty tuzemské meziročně narostly o 6,9 %. V chemickém průmyslu a v hutnictví se celkový objem zakázek zhruba o pětinu propadl. V automobilovém průmyslu však i vlivem slabší loňské základny zakázky rostly (+6,5 %, z toho tuzemské o 26,9 %). Ve strojírenství i elektrotechnice činil růst necelá 3 %. S přihlédnutím k loňské základně i růstu cen mezivstupů lze jako zřejmý pozitivní signál hodnotit pouze navýšení zakázek ve farmacii (+16,9 %).</w:t>
            </w:r>
          </w:p>
        </w:tc>
      </w:tr>
      <w:tr w:rsidR="00D27F07" w:rsidRPr="00705C3E" w14:paraId="0685C929" w14:textId="77777777" w:rsidTr="00AD035A">
        <w:trPr>
          <w:trHeight w:val="134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CEFC891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5EE402F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0213F4A" w14:textId="77777777" w:rsidR="00D27F07" w:rsidRPr="00705C3E" w:rsidRDefault="00D27F07" w:rsidP="00AD035A">
            <w:pPr>
              <w:spacing w:after="0"/>
              <w:rPr>
                <w:color w:val="0D0D0D" w:themeColor="text1" w:themeTint="F2"/>
                <w:spacing w:val="-5"/>
              </w:rPr>
            </w:pPr>
            <w:r w:rsidRPr="00760356">
              <w:rPr>
                <w:b/>
                <w:spacing w:val="-2"/>
              </w:rPr>
              <w:t>Graf č. 5</w:t>
            </w:r>
            <w:r>
              <w:rPr>
                <w:b/>
                <w:spacing w:val="-2"/>
              </w:rPr>
              <w:t xml:space="preserve"> Nové zakázky v </w:t>
            </w:r>
            <w:r w:rsidRPr="00760356">
              <w:rPr>
                <w:b/>
                <w:spacing w:val="-2"/>
              </w:rPr>
              <w:t xml:space="preserve">průmyslu </w:t>
            </w:r>
            <w:r w:rsidRPr="00760356">
              <w:rPr>
                <w:bCs/>
                <w:spacing w:val="-2"/>
              </w:rPr>
              <w:t>(</w:t>
            </w:r>
            <w:r>
              <w:rPr>
                <w:bCs/>
                <w:spacing w:val="-2"/>
              </w:rPr>
              <w:t>nominálně</w:t>
            </w:r>
            <w:r w:rsidRPr="00760356">
              <w:rPr>
                <w:bCs/>
                <w:spacing w:val="-2"/>
              </w:rPr>
              <w:t xml:space="preserve">, </w:t>
            </w:r>
            <w:r w:rsidRPr="00760356">
              <w:rPr>
                <w:spacing w:val="-2"/>
              </w:rPr>
              <w:t>meziročně</w:t>
            </w:r>
            <w:r>
              <w:rPr>
                <w:spacing w:val="-2"/>
              </w:rPr>
              <w:t>,</w:t>
            </w:r>
            <w:r w:rsidRPr="00760356">
              <w:rPr>
                <w:bCs/>
                <w:spacing w:val="-2"/>
              </w:rPr>
              <w:t xml:space="preserve"> v %)</w:t>
            </w:r>
            <w:r>
              <w:rPr>
                <w:b/>
                <w:spacing w:val="-2"/>
              </w:rPr>
              <w:t xml:space="preserve">, </w:t>
            </w:r>
            <w:r w:rsidRPr="00760356">
              <w:rPr>
                <w:b/>
                <w:spacing w:val="-2"/>
              </w:rPr>
              <w:t>využi</w:t>
            </w:r>
            <w:r>
              <w:rPr>
                <w:b/>
                <w:spacing w:val="-2"/>
              </w:rPr>
              <w:t xml:space="preserve">tí výrobních kapacit v průmyslu, </w:t>
            </w:r>
            <w:r w:rsidRPr="00760356">
              <w:rPr>
                <w:b/>
                <w:spacing w:val="-2"/>
              </w:rPr>
              <w:t>vybrané bariéry růst</w:t>
            </w:r>
            <w:r w:rsidRPr="006E759E">
              <w:rPr>
                <w:b/>
                <w:spacing w:val="-2"/>
              </w:rPr>
              <w:t>u</w:t>
            </w:r>
            <w:r w:rsidRPr="006E759E">
              <w:rPr>
                <w:spacing w:val="-2"/>
              </w:rPr>
              <w:t xml:space="preserve">* (v %, pravá osa) </w:t>
            </w:r>
            <w:r w:rsidRPr="006E759E">
              <w:rPr>
                <w:b/>
                <w:spacing w:val="-2"/>
              </w:rPr>
              <w:t>a </w:t>
            </w:r>
            <w:r>
              <w:rPr>
                <w:b/>
              </w:rPr>
              <w:t>saldo</w:t>
            </w:r>
            <w:r w:rsidRPr="006E759E">
              <w:rPr>
                <w:b/>
              </w:rPr>
              <w:t xml:space="preserve"> důvěry</w:t>
            </w:r>
            <w:r w:rsidRPr="00883202">
              <w:rPr>
                <w:b/>
              </w:rPr>
              <w:t xml:space="preserve"> </w:t>
            </w:r>
            <w:r>
              <w:rPr>
                <w:b/>
              </w:rPr>
              <w:t xml:space="preserve">podnikatelů </w:t>
            </w:r>
            <w:r w:rsidRPr="00883202">
              <w:rPr>
                <w:b/>
              </w:rPr>
              <w:t xml:space="preserve">v průmyslu* </w:t>
            </w:r>
            <w:r>
              <w:t xml:space="preserve">(v p. b., pravá </w:t>
            </w:r>
            <w:r w:rsidRPr="00883202">
              <w:t>osa)</w:t>
            </w:r>
          </w:p>
        </w:tc>
      </w:tr>
      <w:tr w:rsidR="00D27F07" w:rsidRPr="00705C3E" w14:paraId="50CEF8B4" w14:textId="77777777" w:rsidTr="00AD035A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E41D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0B8C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B99F" w14:textId="77777777" w:rsidR="00D27F07" w:rsidRPr="00705C3E" w:rsidRDefault="00D27F07" w:rsidP="00AD035A">
            <w:pPr>
              <w:spacing w:after="0"/>
              <w:rPr>
                <w:color w:val="0D0D0D" w:themeColor="text1" w:themeTint="F2"/>
                <w:spacing w:val="-5"/>
              </w:rPr>
            </w:pPr>
            <w:r>
              <w:rPr>
                <w:noProof/>
              </w:rPr>
              <w:drawing>
                <wp:inline distT="0" distB="0" distL="0" distR="0" wp14:anchorId="34AA2E28" wp14:editId="7FB97471">
                  <wp:extent cx="4666080" cy="3636780"/>
                  <wp:effectExtent l="0" t="0" r="1270" b="1905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27F07" w:rsidRPr="00705C3E" w14:paraId="09FF7248" w14:textId="77777777" w:rsidTr="00AD035A">
        <w:trPr>
          <w:trHeight w:val="133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F27F978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B9A2F89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51E646C" w14:textId="77777777" w:rsidR="00D27F07" w:rsidRPr="00705C3E" w:rsidRDefault="00D27F07" w:rsidP="00AD035A">
            <w:pPr>
              <w:spacing w:after="200" w:line="240" w:lineRule="auto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*</w:t>
            </w:r>
            <w:r w:rsidRPr="00883202">
              <w:rPr>
                <w:rFonts w:cs="Arial"/>
                <w:sz w:val="14"/>
                <w:szCs w:val="14"/>
              </w:rPr>
              <w:t>Využití průmys</w:t>
            </w:r>
            <w:r>
              <w:rPr>
                <w:rFonts w:cs="Arial"/>
                <w:sz w:val="14"/>
                <w:szCs w:val="14"/>
              </w:rPr>
              <w:t xml:space="preserve">lových kapacit i bariéry růstu vyjadřují stav v prvním měsíci daného čtvrtletí, </w:t>
            </w:r>
            <w:r w:rsidRPr="006E759E">
              <w:rPr>
                <w:rFonts w:cs="Arial"/>
                <w:sz w:val="14"/>
                <w:szCs w:val="14"/>
              </w:rPr>
              <w:t>saldo důvěry</w:t>
            </w:r>
            <w:r>
              <w:rPr>
                <w:rFonts w:cs="Arial"/>
                <w:sz w:val="14"/>
                <w:szCs w:val="14"/>
              </w:rPr>
              <w:t xml:space="preserve"> podnikatelů je vztaženo k</w:t>
            </w:r>
            <w:r w:rsidRPr="00883202">
              <w:rPr>
                <w:rFonts w:cs="Arial"/>
                <w:sz w:val="14"/>
                <w:szCs w:val="14"/>
              </w:rPr>
              <w:t xml:space="preserve">e </w:t>
            </w:r>
            <w:r>
              <w:rPr>
                <w:rFonts w:cs="Arial"/>
                <w:sz w:val="14"/>
                <w:szCs w:val="14"/>
              </w:rPr>
              <w:t xml:space="preserve">druhému měsíci čtvrtletí. Zakázky jsou očištěny o kalendářní vlivy, ostatní ukazatele jsou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sezónně očištěny</w:t>
            </w:r>
            <w:r>
              <w:rPr>
                <w:rFonts w:cs="Arial"/>
                <w:spacing w:val="-2"/>
                <w:sz w:val="14"/>
                <w:szCs w:val="14"/>
              </w:rPr>
              <w:t>.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Podniky mohly uvést více hlavních růstových bariér současně.                            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>, Eurostat</w:t>
            </w:r>
          </w:p>
        </w:tc>
      </w:tr>
      <w:tr w:rsidR="00D27F07" w:rsidRPr="005A37A7" w14:paraId="24845C67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7CFEEFA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 xml:space="preserve">Pesimismus podnikatelů v průmyslu narostl letos během 2. čtvrtletí na tříleté minimum. </w:t>
            </w:r>
          </w:p>
          <w:p w14:paraId="6F0FB6D9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8E68E5B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FF005B6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617E9FD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>Klíčovou růstovou bariérou je od počátku roku nedostatečná poptávka.</w:t>
            </w:r>
          </w:p>
          <w:p w14:paraId="1E7864B5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BBC2669" w14:textId="77777777" w:rsidR="00D27F07" w:rsidRPr="004B53F7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C1A3587" w14:textId="77777777" w:rsidR="00D27F07" w:rsidRPr="005A37A7" w:rsidRDefault="00D27F07" w:rsidP="00AD035A">
            <w:pPr>
              <w:spacing w:after="200"/>
              <w:rPr>
                <w:color w:val="0D0D0D" w:themeColor="text1" w:themeTint="F2"/>
                <w:spacing w:val="-3"/>
              </w:rPr>
            </w:pPr>
            <w:r w:rsidRPr="005A37A7">
              <w:rPr>
                <w:color w:val="0D0D0D" w:themeColor="text1" w:themeTint="F2"/>
                <w:spacing w:val="-3"/>
              </w:rPr>
              <w:t>Důvěra podnikatelů v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5A37A7">
              <w:rPr>
                <w:color w:val="0D0D0D" w:themeColor="text1" w:themeTint="F2"/>
                <w:spacing w:val="-3"/>
              </w:rPr>
              <w:t>průmyslu</w:t>
            </w:r>
            <w:r>
              <w:rPr>
                <w:color w:val="0D0D0D" w:themeColor="text1" w:themeTint="F2"/>
                <w:spacing w:val="-3"/>
              </w:rPr>
              <w:t xml:space="preserve"> po odeznění „horké fáze“ energetické krize během letošního jara postupně narůstala (v dubnu byla nejvyšší od loňského léta). Později se ale trend obrátil a i pod vlivem zhoršujících se hospodářských výhledů v klíčových exportních destinacích sestoupila důvěra v tuzemském průmyslu až na tříleté minimum. Narůstající pesimismus úzce souvisel se zhoršeným hodnocením poptávky, krátkodobým očekáváním vlastní výroby či hospodářské situace podniku, ale i zaměstnanosti</w:t>
            </w:r>
            <w:r w:rsidRPr="005A37A7">
              <w:rPr>
                <w:rStyle w:val="Znakapoznpodarou"/>
                <w:color w:val="0D0D0D" w:themeColor="text1" w:themeTint="F2"/>
                <w:spacing w:val="-3"/>
              </w:rPr>
              <w:footnoteReference w:id="15"/>
            </w:r>
            <w:r>
              <w:rPr>
                <w:color w:val="0D0D0D" w:themeColor="text1" w:themeTint="F2"/>
                <w:spacing w:val="-3"/>
              </w:rPr>
              <w:t>. Již takřka celý rok přetrvává</w:t>
            </w:r>
            <w:r w:rsidRPr="005A37A7">
              <w:rPr>
                <w:color w:val="0D0D0D" w:themeColor="text1" w:themeTint="F2"/>
                <w:spacing w:val="-3"/>
              </w:rPr>
              <w:t xml:space="preserve"> v průmyslu mírný pesimismus ohledně současné poptávky, kterou </w:t>
            </w:r>
            <w:r>
              <w:rPr>
                <w:color w:val="0D0D0D" w:themeColor="text1" w:themeTint="F2"/>
                <w:spacing w:val="-3"/>
              </w:rPr>
              <w:t>letos v červenci již téměř 45</w:t>
            </w:r>
            <w:r w:rsidRPr="005A37A7">
              <w:rPr>
                <w:color w:val="0D0D0D" w:themeColor="text1" w:themeTint="F2"/>
                <w:spacing w:val="-3"/>
              </w:rPr>
              <w:t xml:space="preserve"> % podniků</w:t>
            </w:r>
            <w:r w:rsidRPr="005A37A7">
              <w:rPr>
                <w:rStyle w:val="Znakapoznpodarou"/>
                <w:color w:val="0D0D0D" w:themeColor="text1" w:themeTint="F2"/>
                <w:spacing w:val="-3"/>
              </w:rPr>
              <w:footnoteReference w:id="16"/>
            </w:r>
            <w:r>
              <w:rPr>
                <w:color w:val="0D0D0D" w:themeColor="text1" w:themeTint="F2"/>
                <w:spacing w:val="-3"/>
              </w:rPr>
              <w:t xml:space="preserve"> vnímalo</w:t>
            </w:r>
            <w:r w:rsidRPr="005A37A7">
              <w:rPr>
                <w:color w:val="0D0D0D" w:themeColor="text1" w:themeTint="F2"/>
                <w:spacing w:val="-3"/>
              </w:rPr>
              <w:t xml:space="preserve"> jako významnou růstovou bariéru. Váznoucí odbyt se projevuje ve vy</w:t>
            </w:r>
            <w:r>
              <w:rPr>
                <w:color w:val="0D0D0D" w:themeColor="text1" w:themeTint="F2"/>
                <w:spacing w:val="-3"/>
              </w:rPr>
              <w:t>šším stavu zásob. Nedostatek pracovníků, obdobně jako materiálu a zařízení, limitoval již „pouze“ pětinu podniků. V některých průmyslových oborech se však stále jednalo o klíčovou rozvojovou bariéru</w:t>
            </w:r>
            <w:r>
              <w:rPr>
                <w:rStyle w:val="Znakapoznpodarou"/>
                <w:color w:val="0D0D0D" w:themeColor="text1" w:themeTint="F2"/>
                <w:spacing w:val="-3"/>
              </w:rPr>
              <w:footnoteReference w:id="17"/>
            </w:r>
            <w:r>
              <w:rPr>
                <w:color w:val="0D0D0D" w:themeColor="text1" w:themeTint="F2"/>
                <w:spacing w:val="-3"/>
              </w:rPr>
              <w:t>.</w:t>
            </w:r>
          </w:p>
        </w:tc>
      </w:tr>
      <w:tr w:rsidR="00D27F07" w:rsidRPr="00784EC8" w14:paraId="4CD58B4F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4D9A587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Výkon stavebnictví ovlivňovaly dosud významné nákladové tlaky i slábnoucí soukromá investiční aktivita.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CAFD1CF" w14:textId="77777777" w:rsidR="00D27F07" w:rsidRPr="00784EC8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010BAA7" w14:textId="77777777" w:rsidR="00D27F07" w:rsidRDefault="00D27F07" w:rsidP="00AD035A">
            <w:pPr>
              <w:spacing w:after="200"/>
              <w:rPr>
                <w:color w:val="0D0D0D" w:themeColor="text1" w:themeTint="F2"/>
                <w:spacing w:val="-6"/>
              </w:rPr>
            </w:pPr>
            <w:r>
              <w:rPr>
                <w:color w:val="0D0D0D" w:themeColor="text1" w:themeTint="F2"/>
                <w:spacing w:val="-6"/>
              </w:rPr>
              <w:t>Stavebnictví bylo v 1. pololetí stále ovlivňováno rostoucími nákladovými tlaky i slábnoucí investiční aktivitou v soukromé sféře. Ačkoli meziroční růst cen stavebních materiálů zmírňoval (meziměsíčně se během 2. čtvrtletí dokonce již snižoval), citelnějšímu poklesu realizovaných i očekávaných cen stavební výroby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18"/>
            </w:r>
            <w:r>
              <w:rPr>
                <w:color w:val="0D0D0D" w:themeColor="text1" w:themeTint="F2"/>
                <w:spacing w:val="-6"/>
              </w:rPr>
              <w:t xml:space="preserve"> bránil svižný růst pracovních nákladů (ovlivněný dlouhodobým nedostatkem kvalifikované pracovní síly). Oslabení investiční aktivity souviselo s mělkou recesí, respektive se stagnací celkového výkonu ekonomiky. </w:t>
            </w:r>
            <w:r>
              <w:rPr>
                <w:rStyle w:val="normaltextrun"/>
                <w:rFonts w:eastAsia="MS Gothic" w:cs="Arial"/>
                <w:szCs w:val="20"/>
              </w:rPr>
              <w:t>Zhoršená finanční situace domácností spolu s výrazně sníženou dostupností hypoték zásadně ochladily loňský boom realitního trhu. Proti hlubšímu útlumu výkonu stavebnictví naopak působil sílící příliv prostředků z rozpočtu EU určený na výstavbu i modernizaci dopravní infrastruktury či na snížení energetické náročnosti v oblasti bydlení.</w:t>
            </w:r>
          </w:p>
        </w:tc>
      </w:tr>
      <w:tr w:rsidR="00D27F07" w:rsidRPr="00784EC8" w14:paraId="15783060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74E2C3E" w14:textId="77777777" w:rsidR="00D27F07" w:rsidRPr="00784EC8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Stavební produkce se 2. čtvrtletí meziročně i mezikvartálně snížila. Pokles poptávky se zřetelně otiskl v zahajované bytové výstavbě, a to napříč kraji.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D04187F" w14:textId="77777777" w:rsidR="00D27F07" w:rsidRPr="00784EC8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12C8F0A" w14:textId="77777777" w:rsidR="00D27F07" w:rsidRPr="00784EC8" w:rsidRDefault="00D27F07" w:rsidP="00AD035A">
            <w:pPr>
              <w:spacing w:after="200"/>
              <w:rPr>
                <w:color w:val="0D0D0D" w:themeColor="text1" w:themeTint="F2"/>
                <w:spacing w:val="-6"/>
              </w:rPr>
            </w:pPr>
            <w:r>
              <w:rPr>
                <w:color w:val="0D0D0D" w:themeColor="text1" w:themeTint="F2"/>
                <w:spacing w:val="-6"/>
              </w:rPr>
              <w:t>Celková stavební produkce</w:t>
            </w:r>
            <w:r w:rsidRPr="00B63E5E">
              <w:rPr>
                <w:rStyle w:val="Znakapoznpodarou"/>
                <w:color w:val="0D0D0D" w:themeColor="text1" w:themeTint="F2"/>
                <w:spacing w:val="-6"/>
              </w:rPr>
              <w:footnoteReference w:id="19"/>
            </w:r>
            <w:r>
              <w:rPr>
                <w:color w:val="0D0D0D" w:themeColor="text1" w:themeTint="F2"/>
                <w:spacing w:val="-6"/>
              </w:rPr>
              <w:t xml:space="preserve"> letos od počátku roku kolísala. V 1. čtvrtletí mezikvartálně rostla o 2,2 % (zčásti díky velmi mírné zimě). V následujícím období se však o celá 3 % snížila, když slabší výkon zaznamenaly pozemní i inženýrské stavitelství. Meziročně mírně poklesla stavební produkce v 1. pololetí (o 2,3 %, z drtivé části vlivem inženýrského stavitelství, kde se výkon propadl o 7,2 %). Projevil se zde i vliv vyšší loňské základny (tehdy se produkce celého odvětví nacházela na nejvyšší úrovni od konce roku 2009). V pozemním stavitelství je současné ochlazení poptávky nejplastičtěji zachyceno v oblasti zahajované bytové výstavby. Počet bytů v 1. pololetí meziročně propadl o pětinu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20"/>
            </w:r>
            <w:r>
              <w:rPr>
                <w:color w:val="0D0D0D" w:themeColor="text1" w:themeTint="F2"/>
                <w:spacing w:val="-6"/>
              </w:rPr>
              <w:t xml:space="preserve"> (na 18,1 tis., v rámci tohoto období roku šlo o nejnižší hladinu za poslední pětiletí). Pokles měl plošný charakter (i v krajském pohledu), růstový trend byl zachován jen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 v okrajových segmentech (nástavby k bytovým domům, přestavby nebytových budov). Počet dokončených bytů vlivem vysoké </w:t>
            </w:r>
            <w:r w:rsidRPr="00D1005F">
              <w:rPr>
                <w:rStyle w:val="normaltextrun"/>
                <w:rFonts w:eastAsia="MS Gothic" w:cs="Arial"/>
                <w:spacing w:val="-2"/>
                <w:szCs w:val="20"/>
              </w:rPr>
              <w:t xml:space="preserve">rozestavěnosti z předchozích </w:t>
            </w:r>
            <w:r>
              <w:rPr>
                <w:rStyle w:val="normaltextrun"/>
                <w:rFonts w:eastAsia="MS Gothic" w:cs="Arial"/>
                <w:spacing w:val="-2"/>
                <w:szCs w:val="20"/>
              </w:rPr>
              <w:t xml:space="preserve">let </w:t>
            </w:r>
            <w:r w:rsidRPr="00D1005F">
              <w:rPr>
                <w:rStyle w:val="normaltextrun"/>
                <w:rFonts w:eastAsia="MS Gothic" w:cs="Arial"/>
                <w:spacing w:val="-2"/>
                <w:szCs w:val="20"/>
              </w:rPr>
              <w:t>setrvačně</w:t>
            </w:r>
            <w:r>
              <w:rPr>
                <w:rStyle w:val="normaltextrun"/>
                <w:rFonts w:eastAsia="MS Gothic" w:cs="Arial"/>
                <w:spacing w:val="-2"/>
                <w:szCs w:val="20"/>
              </w:rPr>
              <w:t xml:space="preserve"> pokračoval v mírném růstu (+2,9 %, na 17,9</w:t>
            </w:r>
            <w:r w:rsidRPr="00D1005F">
              <w:rPr>
                <w:rStyle w:val="normaltextrun"/>
                <w:rFonts w:eastAsia="MS Gothic" w:cs="Arial"/>
                <w:spacing w:val="-2"/>
                <w:szCs w:val="20"/>
              </w:rPr>
              <w:t xml:space="preserve"> tis.).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 </w:t>
            </w:r>
          </w:p>
        </w:tc>
      </w:tr>
      <w:tr w:rsidR="00D27F07" w:rsidRPr="00B63E5E" w14:paraId="24BBB0C6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EE4A020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Pokles hodnoty nových stavebních zakázek se během roku prohluboval. Výše celkové zásoby práce se meziročně snížila, poprvé za posledních pět a půl roku.</w:t>
            </w:r>
          </w:p>
          <w:p w14:paraId="63DFCFE1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C36C5EE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C53F11B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B559B1C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E2C5637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5F45C09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A7BC039" w14:textId="77777777" w:rsidR="00D27F07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K růstu hodnoty povolených staveb přispěly hlavně rekonstrukce či modernizace.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8A4DAF" w14:textId="77777777" w:rsidR="00D27F07" w:rsidRPr="00FB2830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CD2F988" w14:textId="77777777" w:rsidR="00D27F07" w:rsidRPr="00010D2A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Style w:val="normaltextrun"/>
                <w:rFonts w:eastAsia="MS Gothic" w:cs="Arial"/>
                <w:szCs w:val="20"/>
              </w:rPr>
              <w:t xml:space="preserve">Růst nominální hodnoty nových tuzemských stavebních zakázek (u stavebních firem nad 50 zaměstnanců) se letos po bezmála tříletém růstu zastavil. Za celé pololetí se zakázky propadly meziročně o 15,8 % (nejvíce po krizovém roce 2012), pokles se navíc od počátku letošního roku prohluboval (výhradně vinou inženýrského stavitelství). Objem všech zakázek se tak vrátil zhruba na úroveň předloňského roku. </w:t>
            </w:r>
            <w:r w:rsidRPr="009B0AD6">
              <w:rPr>
                <w:rFonts w:cs="Arial"/>
                <w:color w:val="0D0D0D" w:themeColor="text1" w:themeTint="F2"/>
                <w:spacing w:val="-6"/>
              </w:rPr>
              <w:t xml:space="preserve">Celková zásoba práce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(ve formě hodnoty </w:t>
            </w:r>
            <w:r>
              <w:rPr>
                <w:rFonts w:cs="Arial"/>
                <w:color w:val="0D0D0D" w:themeColor="text1" w:themeTint="F2"/>
                <w:spacing w:val="-4"/>
              </w:rPr>
              <w:t>dosud nerealizovaných</w:t>
            </w:r>
            <w:r w:rsidRPr="003448DB">
              <w:rPr>
                <w:rFonts w:cs="Arial"/>
                <w:color w:val="0D0D0D" w:themeColor="text1" w:themeTint="F2"/>
                <w:spacing w:val="-4"/>
              </w:rPr>
              <w:t xml:space="preserve"> stavební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ch zakázek) byla na sklonku 2. čtvrtletí 2023 meziročně nižší o 2,6 %, když klesla poprvé za posledních pět a půl roku. Snížila se zejména soukromá tuzemská poptávka, druhým rokem v řadě navíc klesal i spíše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 xml:space="preserve">doplňkový segment zahraničních zakázek. Zásoba tuzemských veřejných zakázek sice stále mírně rostla (+1,1 %), ale mnohem méně než na konci 1. čtvrtletí 2023 (+16,0 %). Slábnoucí růst během letošního roku vykázala též orientační hodnota povolených staveb. Ta naznačuje investiční aktivitu ve střednědobém horizontu. Za celé pololetí byla vyšší meziročně o 6,7 %, čímž za růstem cen stavebních prací lehce zaostala. V růstu hodnoty povolení se odrážela vyšší očekávaná aktivita firem v oblasti změn dokončených staveb (ve </w:t>
            </w:r>
            <w:r w:rsidRPr="007328AD">
              <w:rPr>
                <w:rFonts w:cs="Arial"/>
                <w:color w:val="0D0D0D" w:themeColor="text1" w:themeTint="F2"/>
                <w:spacing w:val="-5"/>
              </w:rPr>
              <w:t>všech klíčových směrech výstavby) a též nová výstavba inženýrských (primárně dopravních)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staveb. Naopak hodnota povolení u nové výstavby bytů propadla skoro o</w:t>
            </w:r>
            <w:r>
              <w:rPr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čtvrtinu (na 62 mld. korun – nejnižší úroveň za poslední dva roky). </w:t>
            </w:r>
          </w:p>
        </w:tc>
      </w:tr>
      <w:tr w:rsidR="00D27F07" w:rsidRPr="00B63E5E" w14:paraId="5F3E6ECA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F7951A7" w14:textId="77777777" w:rsidR="00D27F07" w:rsidRPr="00FB2830" w:rsidRDefault="00D27F07" w:rsidP="00AD035A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lastRenderedPageBreak/>
              <w:t>Pesimismus podnikatelů ve stavebnictví se letos dále prohluboval. Firmy očekávaly pokles stavební činnosti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zaměstnanosti.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C3E5692" w14:textId="77777777" w:rsidR="00D27F07" w:rsidRPr="00FB2830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E8C163F" w14:textId="77777777" w:rsidR="00D27F07" w:rsidRPr="00291A49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V červenci klesla celková důvěra podnikatelů ve stavebnictví pod dlouhodobý průměr </w:t>
            </w:r>
            <w:r>
              <w:rPr>
                <w:rFonts w:cs="Arial"/>
                <w:color w:val="0D0D0D" w:themeColor="text1" w:themeTint="F2"/>
                <w:spacing w:val="-6"/>
              </w:rPr>
              <w:br/>
              <w:t>(2003–2022) a pesimismus zároveň dosáhl takřka šestiletého maxima. I přes převažující nepříznivý pohled na současnou poptávku hodnotily stavební firmy svou aktuální ekonomickou situaci stále mírně pozitivně, v půlročním výhledu však dále převládal pesimismus. Negativní výhledy ve stavební činnosti se letos prohlubovaly, v srpnu očekávala (v tříměsíčním výhledu) pokles výroby více než čtvrtina podniků (růst zhruba osmina) a každá šestá firma navíc plánovala snižovat zaměstnanost. Podíl podniků, jež limituje nedostatečná poptávka, se meziročně o</w:t>
            </w:r>
            <w:r>
              <w:rPr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polovinu zvýšil (na 36 %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21"/>
            </w:r>
            <w:r>
              <w:rPr>
                <w:rFonts w:cs="Arial"/>
                <w:color w:val="0D0D0D" w:themeColor="text1" w:themeTint="F2"/>
                <w:spacing w:val="-6"/>
              </w:rPr>
              <w:t>), slabá poptávka se tak po více než dvou letech opět stala klíčovou bariérou celého odvětví. Klesla naopak role nedostatku materiálu a v menší míře i pracovních sil. I tak zůstává otázka lidských zdrojů důležitou růstovou bariérou (palčivá byla především v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A92A6A">
              <w:rPr>
                <w:rFonts w:cs="Arial"/>
                <w:color w:val="0D0D0D" w:themeColor="text1" w:themeTint="F2"/>
                <w:spacing w:val="-6"/>
              </w:rPr>
              <w:t>segmentu specia</w:t>
            </w:r>
            <w:r>
              <w:rPr>
                <w:rFonts w:cs="Arial"/>
                <w:color w:val="0D0D0D" w:themeColor="text1" w:themeTint="F2"/>
                <w:spacing w:val="-6"/>
              </w:rPr>
              <w:t>lizovaných stavebních činností, kde hrají důležit</w:t>
            </w:r>
            <w:r w:rsidRPr="00A92A6A">
              <w:rPr>
                <w:rFonts w:cs="Arial"/>
                <w:color w:val="0D0D0D" w:themeColor="text1" w:themeTint="F2"/>
                <w:spacing w:val="-6"/>
              </w:rPr>
              <w:t>ou roli malé a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A92A6A">
              <w:rPr>
                <w:rFonts w:cs="Arial"/>
                <w:color w:val="0D0D0D" w:themeColor="text1" w:themeTint="F2"/>
                <w:spacing w:val="-6"/>
              </w:rPr>
              <w:t>střední firmy).</w:t>
            </w:r>
          </w:p>
        </w:tc>
      </w:tr>
      <w:tr w:rsidR="00D27F07" w:rsidRPr="00D232BB" w14:paraId="002DF3F3" w14:textId="77777777" w:rsidTr="00AD035A">
        <w:trPr>
          <w:trHeight w:val="17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92D179E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1EFF93D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E398846" w14:textId="77777777" w:rsidR="00D27F07" w:rsidRPr="00D232BB" w:rsidRDefault="00D27F07" w:rsidP="00AD035A">
            <w:pPr>
              <w:spacing w:after="20"/>
              <w:rPr>
                <w:rFonts w:cs="Arial"/>
                <w:bCs/>
              </w:rPr>
            </w:pPr>
            <w:r w:rsidRPr="006E759E">
              <w:rPr>
                <w:b/>
                <w:spacing w:val="-5"/>
              </w:rPr>
              <w:t xml:space="preserve">Graf č. 6 Příspěvky odvětví k meziroční změně stavební produkce </w:t>
            </w:r>
            <w:r w:rsidRPr="006E759E">
              <w:rPr>
                <w:spacing w:val="-5"/>
              </w:rPr>
              <w:t>(reálně, v p. b.)</w:t>
            </w:r>
            <w:r w:rsidRPr="006E759E">
              <w:rPr>
                <w:b/>
                <w:bCs/>
                <w:spacing w:val="-5"/>
              </w:rPr>
              <w:t>,</w:t>
            </w:r>
            <w:r w:rsidRPr="006E759E">
              <w:rPr>
                <w:b/>
                <w:bCs/>
                <w:spacing w:val="-5"/>
              </w:rPr>
              <w:br/>
            </w:r>
            <w:r w:rsidRPr="006E759E">
              <w:rPr>
                <w:b/>
                <w:spacing w:val="-5"/>
              </w:rPr>
              <w:t xml:space="preserve">nové stavební zakázky </w:t>
            </w:r>
            <w:r w:rsidRPr="006E759E">
              <w:rPr>
                <w:spacing w:val="-5"/>
              </w:rPr>
              <w:t>(</w:t>
            </w:r>
            <w:r w:rsidRPr="006E759E">
              <w:rPr>
                <w:bCs/>
                <w:spacing w:val="-5"/>
              </w:rPr>
              <w:t xml:space="preserve">nominálně, </w:t>
            </w:r>
            <w:r w:rsidRPr="006E759E">
              <w:rPr>
                <w:spacing w:val="-5"/>
              </w:rPr>
              <w:t>meziročně,</w:t>
            </w:r>
            <w:r w:rsidRPr="006E759E">
              <w:rPr>
                <w:bCs/>
                <w:spacing w:val="-5"/>
              </w:rPr>
              <w:t xml:space="preserve"> v %)</w:t>
            </w:r>
            <w:r w:rsidRPr="006E759E">
              <w:rPr>
                <w:b/>
                <w:spacing w:val="-5"/>
              </w:rPr>
              <w:t>, saldo důvěry podnikatelů ve stavebnictví*</w:t>
            </w:r>
            <w:r w:rsidRPr="006E759E">
              <w:rPr>
                <w:spacing w:val="-5"/>
              </w:rPr>
              <w:t xml:space="preserve"> (v p. b., pravá osa) </w:t>
            </w:r>
            <w:r w:rsidRPr="006E759E">
              <w:rPr>
                <w:b/>
                <w:spacing w:val="-5"/>
              </w:rPr>
              <w:t>a vybrané bariéry růstu</w:t>
            </w:r>
            <w:r w:rsidRPr="006E759E">
              <w:rPr>
                <w:spacing w:val="-5"/>
              </w:rPr>
              <w:t>* (v %, pravá osa)</w:t>
            </w:r>
          </w:p>
        </w:tc>
      </w:tr>
      <w:tr w:rsidR="00D27F07" w:rsidRPr="0067514E" w14:paraId="6D322D02" w14:textId="77777777" w:rsidTr="00AD035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50F8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33EE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00A9" w14:textId="77777777" w:rsidR="00D27F07" w:rsidRPr="0067514E" w:rsidRDefault="00D27F07" w:rsidP="00AD035A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08B510EF" wp14:editId="25575A4C">
                  <wp:extent cx="4681982" cy="3598018"/>
                  <wp:effectExtent l="0" t="0" r="4445" b="254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27F07" w:rsidRPr="008F2BE2" w14:paraId="72E96D08" w14:textId="77777777" w:rsidTr="00AD035A">
        <w:trPr>
          <w:trHeight w:val="17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8F588DC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E901F63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A10ED09" w14:textId="77777777" w:rsidR="00D27F07" w:rsidRPr="00883202" w:rsidRDefault="00D27F07" w:rsidP="00AD035A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</w:t>
            </w:r>
            <w:r w:rsidRPr="00883202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36624477" w14:textId="77777777" w:rsidR="00D27F07" w:rsidRPr="008F2BE2" w:rsidRDefault="00D27F07" w:rsidP="00AD035A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6E759E">
              <w:rPr>
                <w:rFonts w:cs="Arial"/>
                <w:spacing w:val="-2"/>
                <w:sz w:val="14"/>
                <w:szCs w:val="14"/>
              </w:rPr>
              <w:t>Saldo důvěry podnikatelů i bariéry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 růstu jsou sezónně očištěny a vyjadřují stav ve druhém měsíci daného čtvrtletí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                                                                  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>, Eurostat</w:t>
            </w:r>
          </w:p>
        </w:tc>
      </w:tr>
      <w:tr w:rsidR="00D27F07" w:rsidRPr="008F2BE2" w14:paraId="52D0CA25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008CA04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C3AA38A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0A0C5CB" w14:textId="77777777" w:rsidR="00D27F07" w:rsidRDefault="00D27F07" w:rsidP="00AD035A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</w:tr>
      <w:tr w:rsidR="00D27F07" w14:paraId="250B4342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EE7DFA2" w14:textId="77777777" w:rsidR="00D27F07" w:rsidRDefault="00D27F07" w:rsidP="00AD035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Od meziročního poklesu uchránil stavební </w:t>
            </w:r>
            <w:r>
              <w:rPr>
                <w:spacing w:val="-4"/>
              </w:rPr>
              <w:lastRenderedPageBreak/>
              <w:t>produkci v EU mírně rostoucí segment inženýrského stavitelství.</w:t>
            </w:r>
          </w:p>
          <w:p w14:paraId="107B1CCD" w14:textId="77777777" w:rsidR="00D27F07" w:rsidRDefault="00D27F07" w:rsidP="00AD035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Ve dvou třetinách států Unie byl letošní výkon stavebnictví již nad úrovní z roku 2019.</w:t>
            </w:r>
          </w:p>
          <w:p w14:paraId="5E0C9ADE" w14:textId="77777777" w:rsidR="00D27F07" w:rsidRDefault="00D27F07" w:rsidP="00AD035A">
            <w:pPr>
              <w:pStyle w:val="Marginlie"/>
              <w:rPr>
                <w:spacing w:val="-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49E31E8" w14:textId="77777777" w:rsidR="00D27F07" w:rsidRPr="00FB2830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3ED6367" w14:textId="77777777" w:rsidR="00D27F07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Do stavebnictví se nejen v Česku, ale i v drtivé většině významných evropských ekonomik negativně promítaly dopady celkové hospodářské kontrakce. V 1. pololetí se stavební </w:t>
            </w:r>
            <w:r>
              <w:rPr>
                <w:rFonts w:cs="Arial"/>
                <w:color w:val="0D0D0D" w:themeColor="text1" w:themeTint="F2"/>
                <w:spacing w:val="-6"/>
              </w:rPr>
              <w:lastRenderedPageBreak/>
              <w:t>produkce v EU i eurozóně meziročně zvýšila jen o nepatrných 0,1 %, resp. 0,2 %. Při faktické stagnaci pozemního stavitelství pokračoval mírný růst inženýrského stavitelství (3,2 %, resp. 2,4 %). Celková stavební výroba se nejvíce zvýšila ve Slovinsku (+24 %), dvojciferné tempo zaznamenala i v Řecku, Rumunsku a Lotyšsku. Naopak nejvíce se snížila v Estonsku, Finsku a Maďarsku – tedy ve státech, které zažívají i celkovou recesi ekonomiky. Produkce mírně klesla v Německu (o 1,4 %), příznivější dynamiky než v tuzemsku docílila ale u všech našich sousedů (např. v Polsku +1,4 %). Ve srovnání s 1. pololetím roku 2019 byl výkon stavebnictví zhruba ve dvou třetinách členských zemí letos vyšší – nejvíce v Rumunsku a Slovinsku (skoro o polovinu), v Česku o 1,7 %, v EU o 5,2 %. Znatelně za předkrizovou úrovní ale zaostávaly Španělsko (−22 %) a Slovensko (−12 %).</w:t>
            </w:r>
          </w:p>
        </w:tc>
      </w:tr>
      <w:tr w:rsidR="00D27F07" w14:paraId="47BFF957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C1FF07A" w14:textId="77777777" w:rsidR="00D27F07" w:rsidRDefault="00D27F07" w:rsidP="00AD035A">
            <w:pPr>
              <w:pStyle w:val="Marginlie"/>
            </w:pPr>
            <w:r>
              <w:lastRenderedPageBreak/>
              <w:t xml:space="preserve">Přetrvával mírný mezikvartální pokles tržeb ve službách, započatý loni ve </w:t>
            </w:r>
            <w:r>
              <w:br/>
              <w:t>2. pololetí.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0594652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BEB94FF" w14:textId="77777777" w:rsidR="00D27F07" w:rsidRPr="00CF0DCE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Zastavení hospodářského růstu úzce provázaného s poklesem soukromé spotřeby se logicky muselo projevit na výkonu sektoru služeb. Mezikvartální růst jejich tržeb</w:t>
            </w:r>
            <w:r w:rsidRPr="00231745">
              <w:rPr>
                <w:color w:val="0D0D0D" w:themeColor="text1" w:themeTint="F2"/>
                <w:spacing w:val="-4"/>
                <w:vertAlign w:val="superscript"/>
              </w:rPr>
              <w:footnoteReference w:id="22"/>
            </w:r>
            <w:r>
              <w:rPr>
                <w:rFonts w:cs="Arial"/>
                <w:color w:val="0D0D0D" w:themeColor="text1" w:themeTint="F2"/>
                <w:spacing w:val="-6"/>
              </w:rPr>
              <w:t>, jenž trval od počátku roku 2021, ve druhé polovině loňského roku již nepokračoval a k oživení nedošlo dosud ani letos (v 1. čtvrtletí −0,7 %, ve 2. čtvrtletí −1,3 %). Za nepříznivým vývojem služeb stálo po celé toto období dominantní odvětví dopravy a skladování. Naopak proti hlubšímu útlumu služeb působila stabilně rostoucí poptávka v oblasti p</w:t>
            </w:r>
            <w:r w:rsidRPr="00225452">
              <w:rPr>
                <w:rFonts w:cs="Arial"/>
                <w:color w:val="0D0D0D" w:themeColor="text1" w:themeTint="F2"/>
                <w:spacing w:val="-6"/>
              </w:rPr>
              <w:t>rofesní</w:t>
            </w:r>
            <w:r>
              <w:rPr>
                <w:rFonts w:cs="Arial"/>
                <w:color w:val="0D0D0D" w:themeColor="text1" w:themeTint="F2"/>
                <w:spacing w:val="-6"/>
              </w:rPr>
              <w:t>ch, vědeckých a technických činností, která typicky zahrnuje sofistikovanější služby pro podniky. Tržby ve službách tak letos ve 2. čtvrtletí celkově mírně klesly (o 0,9 %) pod úroveň z vrcholu poslední předkrizové konjunktury (2. čtvrtletí 2019). Ve většině odvětví služeb se již patrně vyčerpal „efekt postpandemického živení“ poptávky a naopak se začalo významněji projevovat to, že část domácností omezovala své „zbytné“ výdaje. Dopady vysokého růstu cen v ekonomice postihly také podnikovou sféru, mj. v podobě zvýšené potřeby optimalizace výrobních nákladů.</w:t>
            </w:r>
          </w:p>
        </w:tc>
      </w:tr>
      <w:tr w:rsidR="00D27F07" w14:paraId="5F18160C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ACD5E71" w14:textId="77777777" w:rsidR="00D27F07" w:rsidRDefault="00D27F07" w:rsidP="00AD035A">
            <w:pPr>
              <w:pStyle w:val="Marginlie"/>
            </w:pPr>
            <w:r>
              <w:t>Meziroční růst tržeb ve službách se během 1.</w:t>
            </w:r>
            <w:r>
              <w:rPr>
                <w:spacing w:val="-4"/>
              </w:rPr>
              <w:t> </w:t>
            </w:r>
            <w:r>
              <w:t>pololetí prohloubil, a to především vlivem slábnoucí poptávky v dopravě a skladování.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3ACD4BE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86A3FA3" w14:textId="77777777" w:rsidR="00D27F07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V 1. čtvrtletí 2023 se tržby ve službách meziročně nepatrně snížily (o 0,3 %), když k jejich poklesu došlo poprvé za poslední dva roky. V následujícím kvartálu se redukce tržeb prohloubila, neboť ke slabé poptávce v dopravě a skladování se postupně přidávala většina ostatních odvětví. V celém 1. pololetí se tak tržby ve službách snížily o 1,8 %. Nejhlubší útlum poptávky postihl odvětví dopravy a skladování, kde tržby se meziročně propadly o rovných 8 % (a k poklesu všech služeb přispěly −2,5 p. b.). Zásadní roli se sehrál propad v segmentu skladování a </w:t>
            </w:r>
            <w:r w:rsidRPr="00610CE3">
              <w:rPr>
                <w:rFonts w:cs="Arial"/>
                <w:color w:val="0D0D0D" w:themeColor="text1" w:themeTint="F2"/>
                <w:spacing w:val="-6"/>
              </w:rPr>
              <w:t>vedlejší</w:t>
            </w:r>
            <w:r>
              <w:rPr>
                <w:rFonts w:cs="Arial"/>
                <w:color w:val="0D0D0D" w:themeColor="text1" w:themeTint="F2"/>
                <w:spacing w:val="-6"/>
              </w:rPr>
              <w:t>ch činností</w:t>
            </w:r>
            <w:r w:rsidRPr="00610CE3">
              <w:rPr>
                <w:rFonts w:cs="Arial"/>
                <w:color w:val="0D0D0D" w:themeColor="text1" w:themeTint="F2"/>
                <w:spacing w:val="-6"/>
              </w:rPr>
              <w:t xml:space="preserve"> v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610CE3">
              <w:rPr>
                <w:rFonts w:cs="Arial"/>
                <w:color w:val="0D0D0D" w:themeColor="text1" w:themeTint="F2"/>
                <w:spacing w:val="-6"/>
              </w:rPr>
              <w:t>dopravě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(−11,5 %, srovnatelně s celým rokem 2020). Výrazně poklesly i tržby v pozemní a potrubní dopravě (−6,9 %), k čemuž přispěly i slabší výkony potrubní dopravy (po mimořádném loňském roce ovlivněném energetickou krizí). Pokles poptávky byl nicméně patrný také v silniční dopravě (i vlivem nižší dynamiky zahraničního obchodu, hlavně dovozu) i na železnici. Mírnější, ale dlouhodobější meziroční pokles tržeb registrovaly p</w:t>
            </w:r>
            <w:r w:rsidRPr="001818F4">
              <w:rPr>
                <w:rFonts w:cs="Arial"/>
                <w:color w:val="0D0D0D" w:themeColor="text1" w:themeTint="F2"/>
                <w:spacing w:val="-6"/>
              </w:rPr>
              <w:t xml:space="preserve">oštovní a </w:t>
            </w:r>
            <w:r w:rsidRPr="00D64816">
              <w:rPr>
                <w:rFonts w:cs="Arial"/>
                <w:color w:val="0D0D0D" w:themeColor="text1" w:themeTint="F2"/>
                <w:spacing w:val="-6"/>
              </w:rPr>
              <w:t>kurý</w:t>
            </w:r>
            <w:r>
              <w:rPr>
                <w:rFonts w:cs="Arial"/>
                <w:color w:val="0D0D0D" w:themeColor="text1" w:themeTint="F2"/>
                <w:spacing w:val="-6"/>
              </w:rPr>
              <w:t>rní činnosti (−2,9 %), což úzce souviselo s hlubším snížením poptávky v oblasti</w:t>
            </w:r>
            <w:r w:rsidRPr="00D64816">
              <w:rPr>
                <w:rFonts w:cs="Arial"/>
                <w:color w:val="0D0D0D" w:themeColor="text1" w:themeTint="F2"/>
                <w:spacing w:val="-6"/>
              </w:rPr>
              <w:t xml:space="preserve"> in</w:t>
            </w:r>
            <w:r>
              <w:rPr>
                <w:rFonts w:cs="Arial"/>
                <w:color w:val="0D0D0D" w:themeColor="text1" w:themeTint="F2"/>
                <w:spacing w:val="-6"/>
              </w:rPr>
              <w:t>ternetového a zásilkového prodeje</w:t>
            </w:r>
            <w:r w:rsidRPr="00D64816">
              <w:rPr>
                <w:rFonts w:cs="Arial"/>
                <w:color w:val="0D0D0D" w:themeColor="text1" w:themeTint="F2"/>
                <w:spacing w:val="-6"/>
              </w:rPr>
              <w:t xml:space="preserve">. I tak zůstaly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letos </w:t>
            </w:r>
            <w:r w:rsidRPr="00D64816">
              <w:rPr>
                <w:rFonts w:cs="Arial"/>
                <w:color w:val="0D0D0D" w:themeColor="text1" w:themeTint="F2"/>
                <w:spacing w:val="-6"/>
              </w:rPr>
              <w:t xml:space="preserve">tržby těchto činností </w:t>
            </w:r>
            <w:r>
              <w:rPr>
                <w:rFonts w:cs="Arial"/>
                <w:color w:val="0D0D0D" w:themeColor="text1" w:themeTint="F2"/>
                <w:spacing w:val="-6"/>
              </w:rPr>
              <w:t>o pětinu nad úrovní z 1. pololetí 2019. Naopak v okrajových segmentech</w:t>
            </w:r>
            <w:r w:rsidRPr="00D64816">
              <w:rPr>
                <w:rFonts w:cs="Arial"/>
                <w:color w:val="0D0D0D" w:themeColor="text1" w:themeTint="F2"/>
                <w:spacing w:val="-6"/>
              </w:rPr>
              <w:t xml:space="preserve"> letecké a vodní dopravy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tržby dosud </w:t>
            </w:r>
            <w:r w:rsidRPr="00D64816">
              <w:rPr>
                <w:rFonts w:cs="Arial"/>
                <w:color w:val="0D0D0D" w:themeColor="text1" w:themeTint="F2"/>
                <w:spacing w:val="-6"/>
              </w:rPr>
              <w:t xml:space="preserve">setrvávají (i přes svižný letošní růst) pod předkrizovou </w:t>
            </w:r>
            <w:r>
              <w:rPr>
                <w:rFonts w:cs="Arial"/>
                <w:color w:val="0D0D0D" w:themeColor="text1" w:themeTint="F2"/>
                <w:spacing w:val="-6"/>
              </w:rPr>
              <w:t>úrovní (o 22,5 %, resp. o 18,7 %).</w:t>
            </w:r>
          </w:p>
        </w:tc>
      </w:tr>
      <w:tr w:rsidR="00D27F07" w14:paraId="2AF9A6AF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A12AF4A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Svižný růst tržeb v ubytování souvisel s pokračujícím oživením </w:t>
            </w:r>
            <w:r>
              <w:rPr>
                <w:color w:val="0D0D0D" w:themeColor="text1" w:themeTint="F2"/>
              </w:rPr>
              <w:lastRenderedPageBreak/>
              <w:t xml:space="preserve">turismu. Stravování </w:t>
            </w:r>
            <w:r>
              <w:rPr>
                <w:color w:val="0D0D0D" w:themeColor="text1" w:themeTint="F2"/>
              </w:rPr>
              <w:br/>
              <w:t>a pohostinství bylo více ovlivněno dopady klesající kupní síly tuzemských domácností.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9DB770E" w14:textId="77777777" w:rsidR="00D27F07" w:rsidRPr="00B63E5E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37357BB" w14:textId="77777777" w:rsidR="00D27F07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Dynamika tržeb v dílčích odvětvích sekce </w:t>
            </w:r>
            <w:r w:rsidRPr="00C60BAD">
              <w:rPr>
                <w:color w:val="0D0D0D" w:themeColor="text1" w:themeTint="F2"/>
                <w:spacing w:val="-6"/>
              </w:rPr>
              <w:t>ubytování, stravování a pohostin</w:t>
            </w:r>
            <w:r>
              <w:rPr>
                <w:color w:val="0D0D0D" w:themeColor="text1" w:themeTint="F2"/>
                <w:spacing w:val="-6"/>
              </w:rPr>
              <w:t>ství se letos významně odlišovala. V samotném ubytování stržily subjekty v 1. pololetí meziročně o 13,5 % více, neboť pokračovalo pokrizové zotavování příjezdového cestovního ruchu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23"/>
            </w:r>
            <w:r>
              <w:rPr>
                <w:color w:val="0D0D0D" w:themeColor="text1" w:themeTint="F2"/>
                <w:spacing w:val="-6"/>
              </w:rPr>
              <w:t>. Ve s</w:t>
            </w:r>
            <w:r w:rsidRPr="00C429B4">
              <w:rPr>
                <w:color w:val="0D0D0D" w:themeColor="text1" w:themeTint="F2"/>
                <w:spacing w:val="-6"/>
              </w:rPr>
              <w:t>travování</w:t>
            </w:r>
            <w:r>
              <w:rPr>
                <w:color w:val="0D0D0D" w:themeColor="text1" w:themeTint="F2"/>
                <w:spacing w:val="-6"/>
              </w:rPr>
              <w:t xml:space="preserve"> </w:t>
            </w:r>
            <w:r w:rsidRPr="00C429B4">
              <w:rPr>
                <w:color w:val="0D0D0D" w:themeColor="text1" w:themeTint="F2"/>
                <w:spacing w:val="-6"/>
              </w:rPr>
              <w:lastRenderedPageBreak/>
              <w:t>a pohostinství</w:t>
            </w:r>
            <w:r>
              <w:rPr>
                <w:color w:val="0D0D0D" w:themeColor="text1" w:themeTint="F2"/>
                <w:spacing w:val="-6"/>
              </w:rPr>
              <w:t xml:space="preserve"> byl zaznamenán pouze 1,8% nárůst tržeb. Nevýrazný růst poptávky zde souvisel s přetrvávajícím citelnějším poklesem kupní síly tuzemských domácností, jež vedl k redukci jejich zbytných výdajů. V mezikvartálním vyjádření klesly ve 2. čtvrtletí tržby ve stravování a pohostinství o 0,9 %. Oproti roku 2019 tržby stále výrazně zaostávaly, a to především v ubytování.</w:t>
            </w:r>
          </w:p>
        </w:tc>
      </w:tr>
      <w:tr w:rsidR="00D27F07" w14:paraId="11A082C9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67C43E4" w14:textId="77777777" w:rsidR="00D27F07" w:rsidRDefault="00D27F07" w:rsidP="00AD035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 xml:space="preserve">Tržby v oblasti ICT ve 2. čtvrtletí meziročně klesly, a to téměř napříč všemi dílčími odvětvími.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456423" w14:textId="77777777" w:rsidR="00D27F07" w:rsidRPr="00B63E5E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91F522F" w14:textId="77777777" w:rsidR="00D27F07" w:rsidRPr="00B56614" w:rsidRDefault="00D27F07" w:rsidP="00AD035A">
            <w:pPr>
              <w:spacing w:after="200"/>
              <w:rPr>
                <w:color w:val="0D0D0D" w:themeColor="text1" w:themeTint="F2"/>
                <w:spacing w:val="-6"/>
              </w:rPr>
            </w:pPr>
            <w:r>
              <w:rPr>
                <w:color w:val="0D0D0D" w:themeColor="text1" w:themeTint="F2"/>
                <w:spacing w:val="-4"/>
              </w:rPr>
              <w:t xml:space="preserve">Signály slábnoucí poptávky letos pocítilo i dlouhodobě rozvíjející se odvětví informačních </w:t>
            </w:r>
            <w:r>
              <w:rPr>
                <w:color w:val="0D0D0D" w:themeColor="text1" w:themeTint="F2"/>
                <w:spacing w:val="-4"/>
              </w:rPr>
              <w:br/>
              <w:t xml:space="preserve">a komunikačních činností. V 1. pololetí zde tržby meziročně fakticky spíše stagnovaly (+0,6 %), z toho ve 2. kvartálu dokonce mírně klesly (−1,0 %), když snížení poptávky zasáhlo takřka všechna dílčí odvětví. V úhrnu za celé </w:t>
            </w:r>
            <w:r w:rsidRPr="00A445E5">
              <w:rPr>
                <w:color w:val="0D0D0D" w:themeColor="text1" w:themeTint="F2"/>
                <w:spacing w:val="-6"/>
              </w:rPr>
              <w:t>1.</w:t>
            </w:r>
            <w:r w:rsidRPr="00A445E5"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A445E5">
              <w:rPr>
                <w:color w:val="0D0D0D" w:themeColor="text1" w:themeTint="F2"/>
                <w:spacing w:val="-6"/>
              </w:rPr>
              <w:t>pololetí se tržby mírně zvýšily v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A445E5">
              <w:rPr>
                <w:color w:val="0D0D0D" w:themeColor="text1" w:themeTint="F2"/>
                <w:spacing w:val="-6"/>
              </w:rPr>
              <w:t>programování či poradenství v IT a též v telekomunikacích</w:t>
            </w:r>
            <w:r>
              <w:rPr>
                <w:color w:val="0D0D0D" w:themeColor="text1" w:themeTint="F2"/>
                <w:spacing w:val="-4"/>
              </w:rPr>
              <w:t>.  Naproti tomu v informačních činnostech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4"/>
            </w:r>
            <w:r>
              <w:rPr>
                <w:color w:val="0D0D0D" w:themeColor="text1" w:themeTint="F2"/>
                <w:spacing w:val="-4"/>
              </w:rPr>
              <w:t>¨byly tržby nižší o 4,8 % a registrovaly nejhlubší pokles od 2. pololetí 2012. Tržby za tvorbu rozhlasových a televizních programů a vysílání klesly druhým rokem v řadě, meziročně nižší poptávku pocítil i tzv. filmový a hudební průmysl (−8,7 %)</w:t>
            </w:r>
            <w:r w:rsidRPr="0013531C">
              <w:rPr>
                <w:rStyle w:val="Znakapoznpodarou"/>
                <w:color w:val="0D0D0D" w:themeColor="text1" w:themeTint="F2"/>
                <w:spacing w:val="-6"/>
              </w:rPr>
              <w:footnoteReference w:id="25"/>
            </w:r>
            <w:r>
              <w:rPr>
                <w:color w:val="0D0D0D" w:themeColor="text1" w:themeTint="F2"/>
                <w:spacing w:val="-4"/>
              </w:rPr>
              <w:t>, jenž byl zvlášť citelně zasažen restrikcemi v období pandemie (proti roku 2019 zde letošní tržby o více než pětinu zaostaly).</w:t>
            </w:r>
          </w:p>
        </w:tc>
      </w:tr>
      <w:tr w:rsidR="00D27F07" w14:paraId="2D13BD66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5C604DA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B50300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340EEBE" w14:textId="77777777" w:rsidR="00D27F07" w:rsidRPr="00C32591" w:rsidRDefault="00D27F07" w:rsidP="00AD035A">
            <w:pPr>
              <w:spacing w:after="40"/>
              <w:rPr>
                <w:b/>
                <w:spacing w:val="-4"/>
              </w:rPr>
            </w:pPr>
            <w:r w:rsidRPr="00C32591">
              <w:rPr>
                <w:b/>
                <w:spacing w:val="-4"/>
              </w:rPr>
              <w:t xml:space="preserve">Graf č. 7 </w:t>
            </w:r>
            <w:r w:rsidRPr="00C32591">
              <w:rPr>
                <w:b/>
                <w:bCs/>
                <w:spacing w:val="-4"/>
              </w:rPr>
              <w:t>Příspěvky dílčích odvětví k meziroční změně tržeb ve službách*</w:t>
            </w:r>
            <w:r w:rsidRPr="00C32591">
              <w:rPr>
                <w:b/>
                <w:spacing w:val="-4"/>
              </w:rPr>
              <w:br/>
            </w:r>
            <w:r w:rsidRPr="00C32591">
              <w:rPr>
                <w:spacing w:val="-4"/>
              </w:rPr>
              <w:t>(reálně, v p. b),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b/>
                <w:bCs/>
                <w:spacing w:val="-4"/>
              </w:rPr>
              <w:t xml:space="preserve">celkové tržby ve službách* </w:t>
            </w:r>
            <w:r w:rsidRPr="00C32591">
              <w:rPr>
                <w:spacing w:val="-4"/>
              </w:rPr>
              <w:t>(báze 2015=100, pravá osa),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b/>
                <w:bCs/>
                <w:spacing w:val="-4"/>
              </w:rPr>
              <w:t>saldo důvěry podnikatelů ve službách**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spacing w:val="-4"/>
              </w:rPr>
              <w:t>(v p. b., pravá osa)</w:t>
            </w:r>
            <w:r w:rsidRPr="00C32591">
              <w:rPr>
                <w:b/>
                <w:bCs/>
                <w:spacing w:val="-4"/>
              </w:rPr>
              <w:t xml:space="preserve"> a vybrané bariéry růstu**</w:t>
            </w:r>
            <w:r w:rsidRPr="00C32591">
              <w:rPr>
                <w:b/>
                <w:spacing w:val="-4"/>
              </w:rPr>
              <w:t xml:space="preserve"> </w:t>
            </w:r>
            <w:r w:rsidRPr="00C32591">
              <w:rPr>
                <w:spacing w:val="-4"/>
              </w:rPr>
              <w:t xml:space="preserve">(v %, pravá osa) </w:t>
            </w:r>
          </w:p>
        </w:tc>
      </w:tr>
      <w:tr w:rsidR="00D27F07" w14:paraId="2F4B7EAB" w14:textId="77777777" w:rsidTr="00AD035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CBBE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2220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E0E5" w14:textId="77777777" w:rsidR="00D27F07" w:rsidRPr="004C1143" w:rsidRDefault="00D27F07" w:rsidP="00AD035A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32FD54D" wp14:editId="7D16AD95">
                  <wp:extent cx="4794885" cy="3506525"/>
                  <wp:effectExtent l="0" t="0" r="5715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27F07" w14:paraId="71F2428A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E4738EA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D5F5E33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EAD814D" w14:textId="77777777" w:rsidR="00D27F07" w:rsidRPr="00C32591" w:rsidRDefault="00D27F07" w:rsidP="00AD035A">
            <w:pPr>
              <w:spacing w:after="0" w:line="240" w:lineRule="auto"/>
              <w:rPr>
                <w:rFonts w:cs="Arial"/>
                <w:spacing w:val="-4"/>
                <w:sz w:val="14"/>
                <w:szCs w:val="14"/>
              </w:rPr>
            </w:pPr>
            <w:r w:rsidRPr="00C32591">
              <w:rPr>
                <w:rFonts w:cs="Arial"/>
                <w:spacing w:val="-4"/>
                <w:sz w:val="14"/>
                <w:szCs w:val="14"/>
              </w:rPr>
              <w:t>Poznámka: všechny údaje jsou sezónně očištěny, pouze příspěvky dílčích odvětví k růstu tržeb jsou očištěny jen o kalendářní vlivy.</w:t>
            </w:r>
          </w:p>
          <w:p w14:paraId="01463859" w14:textId="77777777" w:rsidR="00D27F07" w:rsidRPr="00C32591" w:rsidRDefault="00D27F07" w:rsidP="00AD035A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32591">
              <w:rPr>
                <w:rFonts w:cs="Arial"/>
                <w:sz w:val="14"/>
                <w:szCs w:val="14"/>
              </w:rPr>
              <w:t>*Bez odvětví obchodu, peněžnictví, pojišťovnictví, vědy, výzkumu a veřejných služeb.</w:t>
            </w:r>
          </w:p>
          <w:p w14:paraId="7DEC6BD8" w14:textId="77777777" w:rsidR="00D27F07" w:rsidRPr="004C1143" w:rsidRDefault="00D27F07" w:rsidP="00AD035A">
            <w:pPr>
              <w:spacing w:after="200" w:line="240" w:lineRule="auto"/>
              <w:rPr>
                <w:rFonts w:cs="Arial"/>
                <w:sz w:val="14"/>
                <w:szCs w:val="14"/>
              </w:rPr>
            </w:pPr>
            <w:r w:rsidRPr="00052ADA">
              <w:rPr>
                <w:rFonts w:cs="Arial"/>
                <w:sz w:val="14"/>
                <w:szCs w:val="14"/>
              </w:rPr>
              <w:t>.**</w:t>
            </w:r>
            <w:r w:rsidRPr="00052ADA">
              <w:rPr>
                <w:rFonts w:cs="Arial"/>
                <w:spacing w:val="-2"/>
                <w:sz w:val="14"/>
                <w:szCs w:val="14"/>
              </w:rPr>
              <w:t>Zahrnuje i finanční sektor. Saldo důvěry podnikatelů i barié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ry růstu </w:t>
            </w:r>
            <w:r w:rsidRPr="00052ADA">
              <w:rPr>
                <w:rFonts w:cs="Arial"/>
                <w:spacing w:val="-2"/>
                <w:sz w:val="14"/>
                <w:szCs w:val="14"/>
              </w:rPr>
              <w:t xml:space="preserve">vyjadřují stav v prvním (bariéry růstu), resp. ve druhém měsíci daného čtvrtletí (saldo důvěry). </w:t>
            </w:r>
            <w:r w:rsidRPr="00052ADA">
              <w:rPr>
                <w:rFonts w:cs="Arial"/>
                <w:sz w:val="14"/>
                <w:szCs w:val="14"/>
              </w:rPr>
              <w:t>Podniky mohly uvést více hlavních bariér současně.</w:t>
            </w:r>
            <w:r>
              <w:rPr>
                <w:rFonts w:cs="Arial"/>
                <w:sz w:val="14"/>
                <w:szCs w:val="14"/>
              </w:rPr>
              <w:t xml:space="preserve">                     </w:t>
            </w:r>
            <w:r w:rsidRPr="00052ADA">
              <w:rPr>
                <w:rFonts w:cs="Arial"/>
                <w:sz w:val="14"/>
                <w:szCs w:val="14"/>
              </w:rPr>
              <w:t xml:space="preserve">    Zdroj: ČSÚ, Eurostat</w:t>
            </w:r>
          </w:p>
        </w:tc>
      </w:tr>
      <w:tr w:rsidR="00D27F07" w14:paraId="623E2681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5EFA449" w14:textId="77777777" w:rsidR="00D27F07" w:rsidRDefault="00D27F07" w:rsidP="00AD035A">
            <w:pPr>
              <w:pStyle w:val="Marginlie"/>
            </w:pPr>
            <w:r>
              <w:t xml:space="preserve">Většina služeb v rámci administrativních </w:t>
            </w:r>
            <w:r>
              <w:br/>
              <w:t xml:space="preserve">a podpůrných činností </w:t>
            </w:r>
            <w:r>
              <w:lastRenderedPageBreak/>
              <w:t>čelila cyklickému útlumu poptávky.</w:t>
            </w:r>
          </w:p>
          <w:p w14:paraId="057E83FA" w14:textId="77777777" w:rsidR="00D27F07" w:rsidRDefault="00D27F07" w:rsidP="00AD035A">
            <w:pPr>
              <w:pStyle w:val="Marginlie"/>
            </w:pPr>
          </w:p>
          <w:p w14:paraId="6199C03F" w14:textId="77777777" w:rsidR="00D27F07" w:rsidRDefault="00D27F07" w:rsidP="00AD035A">
            <w:pPr>
              <w:pStyle w:val="Marginlie"/>
            </w:pPr>
          </w:p>
          <w:p w14:paraId="62711417" w14:textId="77777777" w:rsidR="00D27F07" w:rsidRDefault="00D27F07" w:rsidP="00AD035A">
            <w:pPr>
              <w:pStyle w:val="Marginlie"/>
            </w:pPr>
          </w:p>
          <w:p w14:paraId="271CA314" w14:textId="77777777" w:rsidR="00D27F07" w:rsidRDefault="00D27F07" w:rsidP="00AD035A">
            <w:pPr>
              <w:pStyle w:val="Marginlie"/>
            </w:pPr>
          </w:p>
          <w:p w14:paraId="10A8FF40" w14:textId="77777777" w:rsidR="00D27F07" w:rsidRDefault="00D27F07" w:rsidP="00AD035A">
            <w:pPr>
              <w:pStyle w:val="Marginlie"/>
            </w:pPr>
            <w:r>
              <w:t>Poptávka po sofistikovanějších podnikových službách zůstávala dosud relativně stabilní.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E54EA94" w14:textId="77777777" w:rsidR="00D27F07" w:rsidRPr="001844FE" w:rsidRDefault="00D27F07" w:rsidP="00AD035A">
            <w:pPr>
              <w:pStyle w:val="Textpoznpodarou"/>
              <w:jc w:val="both"/>
              <w:rPr>
                <w:spacing w:val="-6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AB80FAC" w14:textId="77777777" w:rsidR="00D27F07" w:rsidRPr="00583B84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2"/>
              </w:rPr>
            </w:pPr>
            <w:r w:rsidRPr="00583B84">
              <w:rPr>
                <w:rFonts w:cs="Arial"/>
                <w:color w:val="0D0D0D" w:themeColor="text1" w:themeTint="F2"/>
                <w:spacing w:val="-2"/>
              </w:rPr>
              <w:t xml:space="preserve">Se slabší poptávkou se potýkalo i odvětví administrativních a podpůrných činností, kde letos tržby oproti 1. pololetí 2022 klesly o 2,4 %. Stály za tím zejména pracovní agentury, kde tržby propadly o 12,1 % (za dva roky dokonce o 21,8 %). Poptávka klesla i v dalších </w:t>
            </w:r>
            <w:r w:rsidRPr="00583B84">
              <w:rPr>
                <w:rFonts w:cs="Arial"/>
                <w:color w:val="0D0D0D" w:themeColor="text1" w:themeTint="F2"/>
                <w:spacing w:val="-2"/>
              </w:rPr>
              <w:lastRenderedPageBreak/>
              <w:t>aktivitách citlivě reagujících na hospodářský cyklus (např. u pronájmu a</w:t>
            </w:r>
            <w:r w:rsidRPr="00583B84">
              <w:rPr>
                <w:color w:val="0D0D0D" w:themeColor="text1" w:themeTint="F2"/>
                <w:spacing w:val="-2"/>
              </w:rPr>
              <w:t> </w:t>
            </w:r>
            <w:r w:rsidRPr="00583B84">
              <w:rPr>
                <w:rFonts w:cs="Arial"/>
                <w:color w:val="0D0D0D" w:themeColor="text1" w:themeTint="F2"/>
                <w:spacing w:val="-2"/>
              </w:rPr>
              <w:t>operativního leasingu – zejména strojů a zařízení), méně stržily i firmy v oblasti bezpečnostních a</w:t>
            </w:r>
            <w:r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583B84">
              <w:rPr>
                <w:rFonts w:cs="Arial"/>
                <w:color w:val="0D0D0D" w:themeColor="text1" w:themeTint="F2"/>
                <w:spacing w:val="-2"/>
              </w:rPr>
              <w:t>pátracích činností. Lépe se vedlo cestovním agenturám a kancelářím, kde tržby (díky příznivému vývoji v jarních měsících) za celé pololetí mírně vzrostly (+3,5 %). Část podnikových služeb, zejména těch vyznačujících se vyšší</w:t>
            </w:r>
            <w:r>
              <w:rPr>
                <w:rFonts w:cs="Arial"/>
                <w:color w:val="0D0D0D" w:themeColor="text1" w:themeTint="F2"/>
                <w:spacing w:val="-2"/>
              </w:rPr>
              <w:t>mi</w:t>
            </w:r>
            <w:r w:rsidRPr="00583B84">
              <w:rPr>
                <w:rFonts w:cs="Arial"/>
                <w:color w:val="0D0D0D" w:themeColor="text1" w:themeTint="F2"/>
                <w:spacing w:val="-2"/>
              </w:rPr>
              <w:t xml:space="preserve"> nároky na kvalifikovanou pracovní sílu, se však stále těšila relativně stabilní poptávce. V odvětví profesní, vědecké a technické činnosti tak v 1. pololetí tržby vzrostly meziročně o 3,2 %. Byly taženy hlavně právními a účetnickými činnostmi (+6,4 %), v těsném závěsu pak architektonickými </w:t>
            </w:r>
            <w:r>
              <w:rPr>
                <w:rFonts w:cs="Arial"/>
                <w:color w:val="0D0D0D" w:themeColor="text1" w:themeTint="F2"/>
                <w:spacing w:val="-2"/>
              </w:rPr>
              <w:br/>
            </w:r>
            <w:r w:rsidRPr="00583B84">
              <w:rPr>
                <w:rFonts w:cs="Arial"/>
                <w:color w:val="0D0D0D" w:themeColor="text1" w:themeTint="F2"/>
                <w:spacing w:val="-2"/>
              </w:rPr>
              <w:t xml:space="preserve">a inženýrskými činnostmi (+3,3 %). Poptávka po poradenství v oblasti řízení se zvyšovala třetí rok v řadě. Po loňském snížení letos mírně posílily tržby v oblasti reklamy, u průzkumu trhu a veřejného mínění ovšem pokles poptávky přetrvával. </w:t>
            </w:r>
          </w:p>
        </w:tc>
      </w:tr>
      <w:tr w:rsidR="00D27F07" w14:paraId="43C56705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55807B8" w14:textId="77777777" w:rsidR="00D27F07" w:rsidRDefault="00D27F07" w:rsidP="00AD035A">
            <w:pPr>
              <w:pStyle w:val="Marginlie"/>
            </w:pPr>
            <w:r>
              <w:lastRenderedPageBreak/>
              <w:t>Mezikvartální pokles maloobchodních tržeb pokračoval sedmé čtvrtletí v řadě.</w:t>
            </w:r>
          </w:p>
          <w:p w14:paraId="1D2CE40E" w14:textId="77777777" w:rsidR="00D27F07" w:rsidRDefault="00D27F07" w:rsidP="00AD035A">
            <w:pPr>
              <w:pStyle w:val="Marginlie"/>
            </w:pPr>
          </w:p>
          <w:p w14:paraId="5E35A821" w14:textId="77777777" w:rsidR="00D27F07" w:rsidRDefault="00D27F07" w:rsidP="00AD035A">
            <w:pPr>
              <w:pStyle w:val="Marginlie"/>
            </w:pPr>
          </w:p>
          <w:p w14:paraId="4B7FD8EC" w14:textId="77777777" w:rsidR="00D27F07" w:rsidRDefault="00D27F07" w:rsidP="00AD035A">
            <w:pPr>
              <w:pStyle w:val="Marginlie"/>
            </w:pPr>
          </w:p>
          <w:p w14:paraId="02B1B4E6" w14:textId="77777777" w:rsidR="00D27F07" w:rsidRDefault="00D27F07" w:rsidP="00AD035A">
            <w:pPr>
              <w:pStyle w:val="Marginlie"/>
            </w:pPr>
          </w:p>
          <w:p w14:paraId="767582E4" w14:textId="77777777" w:rsidR="00D27F07" w:rsidRDefault="00D27F07" w:rsidP="00AD035A">
            <w:pPr>
              <w:pStyle w:val="Marginlie"/>
            </w:pPr>
          </w:p>
          <w:p w14:paraId="152B4C89" w14:textId="77777777" w:rsidR="00D27F07" w:rsidRDefault="00D27F07" w:rsidP="00AD035A">
            <w:pPr>
              <w:pStyle w:val="Marginlie"/>
            </w:pPr>
          </w:p>
          <w:p w14:paraId="3923D6F2" w14:textId="77777777" w:rsidR="00D27F07" w:rsidRDefault="00D27F07" w:rsidP="00AD035A">
            <w:pPr>
              <w:pStyle w:val="Marginlie"/>
            </w:pPr>
            <w:r>
              <w:t>Pesimismus tuzemských domácností se od loňského srpna snížil, lidé však zůstali velmi obezřetní v oblasti plánování velkých nákupů.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EF9DE14" w14:textId="77777777" w:rsidR="00D27F07" w:rsidRPr="001844FE" w:rsidRDefault="00D27F07" w:rsidP="00AD035A">
            <w:pPr>
              <w:pStyle w:val="Textpoznpodarou"/>
              <w:jc w:val="both"/>
              <w:rPr>
                <w:spacing w:val="-6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2C968C7" w14:textId="77777777" w:rsidR="00D27F07" w:rsidRPr="00583B84" w:rsidRDefault="00D27F07" w:rsidP="00AD035A">
            <w:pPr>
              <w:spacing w:after="200"/>
              <w:rPr>
                <w:rFonts w:cs="Arial"/>
                <w:color w:val="0D0D0D" w:themeColor="text1" w:themeTint="F2"/>
              </w:rPr>
            </w:pPr>
            <w:r w:rsidRPr="00583B84">
              <w:rPr>
                <w:rFonts w:cs="Arial"/>
                <w:color w:val="0D0D0D" w:themeColor="text1" w:themeTint="F2"/>
                <w:szCs w:val="20"/>
              </w:rPr>
              <w:t>Tržby v odvětví maloobchodu</w:t>
            </w:r>
            <w:r w:rsidRPr="00583B84">
              <w:rPr>
                <w:rStyle w:val="Znakapoznpodarou"/>
                <w:color w:val="0D0D0D" w:themeColor="text1" w:themeTint="F2"/>
              </w:rPr>
              <w:footnoteReference w:id="26"/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 pokračovaly v dlouhodobějším sestupném trendu. Na počátku letošního roku se mezikvartálně snížily o 0,4 %, ve 2. čtvrtletí se následně pokles prohloubil na 1,1 %. Mezičtvrtletní útlum poptávky v maloobchodu tak pokračoval sedmý kvartál v řadě a z velké části kopíroval trend celkových výdajů domácností na konečnou spotřebu. Jediným významným segmentem maloobchodu, ve kterém se v posledních čtvrtletích pokles poptávky neprojevoval, byl prodej pohonných hmot. </w:t>
            </w:r>
            <w:r w:rsidRPr="00583B84">
              <w:rPr>
                <w:rFonts w:cs="Arial"/>
                <w:color w:val="0D0D0D" w:themeColor="text1" w:themeTint="F2"/>
              </w:rPr>
              <w:t>Přispěl k tomu příznivý vývoj cen pro motoristy (podpořený také dočasně zavedenou nižší sazbou spotřební daně u motorové nafty). Vývoj celého maloobchodu úzce souvisel s přetrvávajícím negativním sentimentem tuzemských spotřebitelů.</w:t>
            </w:r>
            <w:r>
              <w:rPr>
                <w:rFonts w:cs="Arial"/>
                <w:color w:val="0D0D0D" w:themeColor="text1" w:themeTint="F2"/>
              </w:rPr>
              <w:t xml:space="preserve"> </w:t>
            </w:r>
            <w:r w:rsidRPr="00583B84">
              <w:rPr>
                <w:rFonts w:cs="Arial"/>
                <w:color w:val="0D0D0D" w:themeColor="text1" w:themeTint="F2"/>
              </w:rPr>
              <w:t>V posledních měsících je však možné pozorovat dílčí snižování pesimismu domácností</w:t>
            </w:r>
            <w:r w:rsidRPr="00583B84">
              <w:rPr>
                <w:rStyle w:val="Znakapoznpodarou"/>
                <w:color w:val="0D0D0D" w:themeColor="text1" w:themeTint="F2"/>
              </w:rPr>
              <w:footnoteReference w:id="27"/>
            </w:r>
            <w:r w:rsidRPr="00583B84">
              <w:rPr>
                <w:rFonts w:cs="Arial"/>
                <w:color w:val="0D0D0D" w:themeColor="text1" w:themeTint="F2"/>
              </w:rPr>
              <w:t>. Obavy lidí z cenového růstu se letos během jara z velké části rozpustily a strach z nezaměstnanosti již současně významně nepřevyšoval dlouhodobý průměr. Většina domácnost</w:t>
            </w:r>
            <w:r>
              <w:rPr>
                <w:rFonts w:cs="Arial"/>
                <w:color w:val="0D0D0D" w:themeColor="text1" w:themeTint="F2"/>
              </w:rPr>
              <w:t>í</w:t>
            </w:r>
            <w:r w:rsidRPr="00583B84">
              <w:rPr>
                <w:rFonts w:cs="Arial"/>
                <w:color w:val="0D0D0D" w:themeColor="text1" w:themeTint="F2"/>
              </w:rPr>
              <w:t xml:space="preserve"> nicméně stále očekávala, že jejich finanční situace, podobně jako celková hospodářská situace v Česku, se v nejbližších dvanácti měsících zhorší. Lidé proto stále 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>zůstávali dosti opatrní v oblasti plánování velkých nákupů (zejména zboží dlouhodobé spotřeby či investic</w:t>
            </w:r>
            <w:r>
              <w:rPr>
                <w:rFonts w:cs="Arial"/>
                <w:color w:val="0D0D0D" w:themeColor="text1" w:themeTint="F2"/>
                <w:szCs w:val="20"/>
              </w:rPr>
              <w:t>)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>. Větším optimismem již nehýřili ani podnikatelé</w:t>
            </w:r>
            <w:r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v obchodu. Zatímco letos </w:t>
            </w:r>
            <w:r>
              <w:rPr>
                <w:rFonts w:cs="Arial"/>
                <w:color w:val="0D0D0D" w:themeColor="text1" w:themeTint="F2"/>
                <w:szCs w:val="20"/>
              </w:rPr>
              <w:t xml:space="preserve">na 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>jaře se jejich důvěra pohybovala blízko dlouhodobého průměru, v srpnu jejich důvěra výrazně oslabila</w:t>
            </w:r>
            <w:r w:rsidRPr="00583B84">
              <w:rPr>
                <w:rStyle w:val="Znakapoznpodarou"/>
                <w:color w:val="0D0D0D" w:themeColor="text1" w:themeTint="F2"/>
                <w:szCs w:val="20"/>
              </w:rPr>
              <w:footnoteReference w:id="28"/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. Dílčí pozitivní vliv na vývoj maloobchodu má rostoucí počet spotřebitelů (vlivem příchodu uprchlíků z Ukrajiny </w:t>
            </w:r>
            <w:r w:rsidRPr="00882A24">
              <w:t>i</w:t>
            </w:r>
            <w:r>
              <w:t> </w:t>
            </w:r>
            <w:r w:rsidRPr="00882A24">
              <w:t>pokračujícího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 zotavování turismu), naopak negativně patrně působí stále častější výjezdy tuzemských domácnost</w:t>
            </w:r>
            <w:r>
              <w:rPr>
                <w:rFonts w:cs="Arial"/>
                <w:color w:val="0D0D0D" w:themeColor="text1" w:themeTint="F2"/>
                <w:szCs w:val="20"/>
              </w:rPr>
              <w:t>í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 za přeshraničními nákupy.  </w:t>
            </w:r>
          </w:p>
        </w:tc>
      </w:tr>
      <w:tr w:rsidR="00D27F07" w14:paraId="2FA5B3DB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70E04A9" w14:textId="77777777" w:rsidR="00D27F07" w:rsidRDefault="00D27F07" w:rsidP="00AD035A">
            <w:pPr>
              <w:pStyle w:val="Marginlie"/>
            </w:pPr>
            <w:r>
              <w:t>Za hlubokým meziročním poklesem celého maloobchodu stály nižší tržby za nepotravinářské zboží. Slabší poptávku pocítily takřka všechny sortimentní skupiny.</w:t>
            </w:r>
          </w:p>
          <w:p w14:paraId="3FD572B4" w14:textId="77777777" w:rsidR="00D27F07" w:rsidRDefault="00D27F07" w:rsidP="00AD035A">
            <w:pPr>
              <w:pStyle w:val="Marginlie"/>
            </w:pPr>
            <w:r>
              <w:t>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A9E3CC7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38E92E2" w14:textId="77777777" w:rsidR="00D27F07" w:rsidRPr="00583B84" w:rsidRDefault="00D27F07" w:rsidP="00AD035A">
            <w:pPr>
              <w:spacing w:after="200"/>
              <w:rPr>
                <w:rFonts w:cs="Arial"/>
                <w:color w:val="0D0D0D" w:themeColor="text1" w:themeTint="F2"/>
                <w:szCs w:val="20"/>
              </w:rPr>
            </w:pP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 Za 1. pololetí 2023 maloobchodní tržby meziročně propadly o rovných 7 %. Celé odvětví táhl dolů zejména segment nepotravinářského zboží (</w:t>
            </w:r>
            <w:r>
              <w:rPr>
                <w:rFonts w:cs="Arial"/>
                <w:color w:val="0D0D0D" w:themeColor="text1" w:themeTint="F2"/>
                <w:szCs w:val="20"/>
              </w:rPr>
              <w:t>−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8,8 %, příspěvek </w:t>
            </w:r>
            <w:r>
              <w:rPr>
                <w:rFonts w:cs="Arial"/>
                <w:color w:val="0D0D0D" w:themeColor="text1" w:themeTint="F2"/>
                <w:szCs w:val="20"/>
              </w:rPr>
              <w:t>−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>4,6 p. b.). V něm se nejvíce projevil více než 16%</w:t>
            </w:r>
            <w:r w:rsidRPr="00583B84">
              <w:rPr>
                <w:rStyle w:val="normaltextrun"/>
                <w:rFonts w:eastAsia="MS Gothic" w:cs="Arial"/>
                <w:szCs w:val="20"/>
              </w:rPr>
              <w:t xml:space="preserve"> propad tržeb za výrobky převážně pro domácnost (zahrnující hlavně železářské zboží, barvy, sklo, potřeby pro kutily, elektro, nábytek a svítidla). P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>optávka však klesla takřka ve všech sortimentních skupinách, vyjma velmi malého segmentu ostatního maloobchodu v nespecializovaných prodejnách (zahrnujícího typicky menší provozovny orientované na prodej různorodého drobné</w:t>
            </w:r>
            <w:r>
              <w:rPr>
                <w:rFonts w:cs="Arial"/>
                <w:color w:val="0D0D0D" w:themeColor="text1" w:themeTint="F2"/>
                <w:szCs w:val="20"/>
              </w:rPr>
              <w:t>ho</w:t>
            </w:r>
            <w:r w:rsidRPr="00583B84">
              <w:rPr>
                <w:rFonts w:cs="Arial"/>
                <w:color w:val="0D0D0D" w:themeColor="text1" w:themeTint="F2"/>
                <w:szCs w:val="20"/>
              </w:rPr>
              <w:t xml:space="preserve"> zboží, zpravidla ve slevových akcích). Jen minimální pokles tržeb ve specializovaných prodejnách nastal u </w:t>
            </w:r>
            <w:r w:rsidRPr="00583B84">
              <w:rPr>
                <w:rStyle w:val="normaltextrun"/>
                <w:rFonts w:eastAsia="MS Gothic" w:cs="Arial"/>
                <w:szCs w:val="20"/>
              </w:rPr>
              <w:t>farmaceutického a zdravotnického zboží (</w:t>
            </w:r>
            <w:r>
              <w:rPr>
                <w:rStyle w:val="normaltextrun"/>
                <w:rFonts w:eastAsia="MS Gothic" w:cs="Arial"/>
                <w:szCs w:val="20"/>
              </w:rPr>
              <w:t>−</w:t>
            </w:r>
            <w:r w:rsidRPr="00583B84">
              <w:rPr>
                <w:rStyle w:val="normaltextrun"/>
                <w:rFonts w:eastAsia="MS Gothic" w:cs="Arial"/>
                <w:szCs w:val="20"/>
              </w:rPr>
              <w:t>0,1 %), kosmetických a toaletních výrobků (</w:t>
            </w:r>
            <w:r>
              <w:rPr>
                <w:rStyle w:val="normaltextrun"/>
                <w:rFonts w:eastAsia="MS Gothic" w:cs="Arial"/>
                <w:szCs w:val="20"/>
              </w:rPr>
              <w:t>−</w:t>
            </w:r>
            <w:r w:rsidRPr="00583B84">
              <w:rPr>
                <w:rStyle w:val="normaltextrun"/>
                <w:rFonts w:eastAsia="MS Gothic" w:cs="Arial"/>
                <w:szCs w:val="20"/>
              </w:rPr>
              <w:t>1,8 %) či počítačového a komunikačního zařízení (</w:t>
            </w:r>
            <w:r>
              <w:rPr>
                <w:rStyle w:val="normaltextrun"/>
                <w:rFonts w:eastAsia="MS Gothic" w:cs="Arial"/>
                <w:szCs w:val="20"/>
              </w:rPr>
              <w:t>−</w:t>
            </w:r>
            <w:r w:rsidRPr="00583B84">
              <w:rPr>
                <w:rStyle w:val="normaltextrun"/>
                <w:rFonts w:eastAsia="MS Gothic" w:cs="Arial"/>
                <w:szCs w:val="20"/>
              </w:rPr>
              <w:t>0,8 %). V těchto oblastech jako v jedněch z m</w:t>
            </w:r>
            <w:r>
              <w:rPr>
                <w:rStyle w:val="normaltextrun"/>
                <w:rFonts w:eastAsia="MS Gothic" w:cs="Arial"/>
                <w:szCs w:val="20"/>
              </w:rPr>
              <w:t>ála</w:t>
            </w:r>
            <w:r w:rsidRPr="00583B84">
              <w:rPr>
                <w:rStyle w:val="normaltextrun"/>
                <w:rFonts w:eastAsia="MS Gothic" w:cs="Arial"/>
                <w:szCs w:val="20"/>
              </w:rPr>
              <w:t xml:space="preserve"> segmentů maloobchodu zároveň poptávka v letošním 1. pololetí převyšovala úroveň z roku 2019.</w:t>
            </w:r>
            <w:r w:rsidRPr="00583B84">
              <w:rPr>
                <w:rFonts w:cs="Arial"/>
                <w:color w:val="0D0D0D" w:themeColor="text1" w:themeTint="F2"/>
              </w:rPr>
              <w:t xml:space="preserve"> To stále platilo i pro prodeje prostřednictvím internetu nebo zásilkové služby (+34,3 %), přestože zde tržby v posledních devíti čtvrtletích nepřetržitě mezikvartálně klesaly. Přetrvávající pokles poptávky zaznamenává v posledních čtvrtletích také prodej potravinářského zboží. </w:t>
            </w:r>
            <w:r w:rsidRPr="00583B84">
              <w:rPr>
                <w:rFonts w:cs="Arial"/>
                <w:color w:val="0D0D0D" w:themeColor="text1" w:themeTint="F2"/>
              </w:rPr>
              <w:lastRenderedPageBreak/>
              <w:t>V 1.</w:t>
            </w:r>
            <w:r>
              <w:rPr>
                <w:rFonts w:cs="Arial"/>
                <w:color w:val="0D0D0D" w:themeColor="text1" w:themeTint="F2"/>
              </w:rPr>
              <w:t> </w:t>
            </w:r>
            <w:r w:rsidRPr="00583B84">
              <w:rPr>
                <w:rFonts w:cs="Arial"/>
                <w:color w:val="0D0D0D" w:themeColor="text1" w:themeTint="F2"/>
              </w:rPr>
              <w:t xml:space="preserve">pololetí zde tržby meziročně propadly o 7,9 % (podobným tempem klesaly ve velkých řetězcích i </w:t>
            </w:r>
            <w:r>
              <w:rPr>
                <w:rFonts w:cs="Arial"/>
                <w:color w:val="0D0D0D" w:themeColor="text1" w:themeTint="F2"/>
              </w:rPr>
              <w:t xml:space="preserve">v </w:t>
            </w:r>
            <w:r w:rsidRPr="00583B84">
              <w:rPr>
                <w:rFonts w:cs="Arial"/>
                <w:color w:val="0D0D0D" w:themeColor="text1" w:themeTint="F2"/>
              </w:rPr>
              <w:t>menších specializovaných prodej</w:t>
            </w:r>
            <w:r>
              <w:rPr>
                <w:rFonts w:cs="Arial"/>
                <w:color w:val="0D0D0D" w:themeColor="text1" w:themeTint="F2"/>
              </w:rPr>
              <w:t>nách</w:t>
            </w:r>
            <w:r w:rsidRPr="00583B84">
              <w:rPr>
                <w:rFonts w:cs="Arial"/>
                <w:color w:val="0D0D0D" w:themeColor="text1" w:themeTint="F2"/>
              </w:rPr>
              <w:t>) a oproti předkrizovému roku 2019 byly nižší o desetinu. Naopak tržby za nepotravinářské zboží se letos stále pohybovaly těsně nad předkrizovou úrovní (+1,7</w:t>
            </w:r>
            <w:r w:rsidRPr="00583B84">
              <w:rPr>
                <w:rStyle w:val="normaltextrun"/>
                <w:rFonts w:eastAsia="MS Gothic" w:cs="Arial"/>
                <w:szCs w:val="20"/>
              </w:rPr>
              <w:t> </w:t>
            </w:r>
            <w:r w:rsidRPr="00583B84">
              <w:rPr>
                <w:rFonts w:cs="Arial"/>
                <w:color w:val="0D0D0D" w:themeColor="text1" w:themeTint="F2"/>
              </w:rPr>
              <w:t>%).</w:t>
            </w:r>
          </w:p>
        </w:tc>
      </w:tr>
      <w:tr w:rsidR="00D27F07" w14:paraId="28318913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2F1A48A" w14:textId="77777777" w:rsidR="00D27F07" w:rsidRPr="00BD3BE9" w:rsidRDefault="00D27F07" w:rsidP="00AD035A">
            <w:pPr>
              <w:pStyle w:val="Marginlie"/>
              <w:rPr>
                <w:color w:val="0D0D0D" w:themeColor="text1" w:themeTint="F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B41FCA8" w14:textId="77777777" w:rsidR="00D27F07" w:rsidRPr="00BD3BE9" w:rsidRDefault="00D27F07" w:rsidP="00AD035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D866730" w14:textId="77777777" w:rsidR="00D27F07" w:rsidRPr="00C73A63" w:rsidRDefault="00D27F07" w:rsidP="00AD035A">
            <w:pPr>
              <w:spacing w:after="4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b/>
              </w:rPr>
              <w:t>Graf č. 8</w:t>
            </w:r>
            <w:r w:rsidRPr="00F0005D">
              <w:rPr>
                <w:b/>
              </w:rPr>
              <w:t xml:space="preserve"> </w:t>
            </w:r>
            <w:r w:rsidRPr="004405E2">
              <w:rPr>
                <w:rFonts w:cs="Arial"/>
                <w:b/>
                <w:bCs/>
                <w:color w:val="0D0D0D" w:themeColor="text1" w:themeTint="F2"/>
                <w:spacing w:val="-6"/>
              </w:rPr>
              <w:t xml:space="preserve">Příspěvky dílčích odvětví k meziroční změně tržeb v maloobchodu* </w:t>
            </w:r>
            <w:r w:rsidRPr="004405E2">
              <w:rPr>
                <w:rFonts w:cs="Arial"/>
                <w:color w:val="0D0D0D" w:themeColor="text1" w:themeTint="F2"/>
                <w:spacing w:val="-6"/>
              </w:rPr>
              <w:t xml:space="preserve">(reálně, v p. b.), </w:t>
            </w:r>
            <w:r w:rsidRPr="004405E2">
              <w:rPr>
                <w:rFonts w:cs="Arial"/>
                <w:b/>
                <w:bCs/>
                <w:color w:val="0D0D0D" w:themeColor="text1" w:themeTint="F2"/>
                <w:spacing w:val="-6"/>
              </w:rPr>
              <w:t xml:space="preserve">tržby v maloobchodu a v motoristickém segmentu obchodu** </w:t>
            </w:r>
            <w:r w:rsidRPr="004405E2">
              <w:rPr>
                <w:rFonts w:cs="Arial"/>
                <w:color w:val="0D0D0D" w:themeColor="text1" w:themeTint="F2"/>
                <w:spacing w:val="-6"/>
              </w:rPr>
              <w:t xml:space="preserve">(reálně, úroveň roku 2015=100, pravá osa) </w:t>
            </w:r>
            <w:r w:rsidRPr="004405E2">
              <w:rPr>
                <w:rFonts w:cs="Arial"/>
                <w:b/>
                <w:bCs/>
                <w:color w:val="0D0D0D" w:themeColor="text1" w:themeTint="F2"/>
                <w:spacing w:val="-6"/>
              </w:rPr>
              <w:t xml:space="preserve">a saldo celkové důvěry spotřebitelů*** </w:t>
            </w:r>
            <w:r w:rsidRPr="004405E2">
              <w:rPr>
                <w:rFonts w:cs="Arial"/>
                <w:color w:val="0D0D0D" w:themeColor="text1" w:themeTint="F2"/>
                <w:spacing w:val="-6"/>
              </w:rPr>
              <w:t>(v p. b., pravá osa)</w:t>
            </w:r>
          </w:p>
        </w:tc>
      </w:tr>
      <w:tr w:rsidR="00D27F07" w14:paraId="1FE780B1" w14:textId="77777777" w:rsidTr="00AD035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7725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86BB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87EE" w14:textId="77777777" w:rsidR="00D27F07" w:rsidRPr="004C1143" w:rsidRDefault="00D27F07" w:rsidP="00AD035A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A0E1953" wp14:editId="39EE6A15">
                  <wp:extent cx="4756785" cy="3563718"/>
                  <wp:effectExtent l="0" t="0" r="5715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27F07" w14:paraId="41693489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F40C7DE" w14:textId="77777777" w:rsidR="00D27F07" w:rsidRDefault="00D27F07" w:rsidP="00AD035A">
            <w:pPr>
              <w:pStyle w:val="Marginli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34040A7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2FD1891" w14:textId="77777777" w:rsidR="00D27F07" w:rsidRPr="00052ADA" w:rsidRDefault="00D27F07" w:rsidP="00AD035A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*</w:t>
            </w:r>
            <w:r w:rsidRPr="00052ADA">
              <w:rPr>
                <w:rFonts w:cs="Arial"/>
                <w:sz w:val="14"/>
                <w:szCs w:val="14"/>
              </w:rPr>
              <w:t xml:space="preserve"> Tržby jsou očištěny o kalendářní vlivy.       ** Tržby jsou sezónně i kalendářně očištěny.</w:t>
            </w:r>
          </w:p>
          <w:p w14:paraId="12A43A9C" w14:textId="77777777" w:rsidR="00D27F07" w:rsidRPr="004C1143" w:rsidRDefault="00D27F07" w:rsidP="00AD035A">
            <w:pPr>
              <w:spacing w:after="2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*** Salda důvěry jsou sezónně očištěna a vyjadřují</w:t>
            </w:r>
            <w:r w:rsidRPr="00052ADA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stav ve druhém měs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íci daného čtvrtletí.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ab/>
              <w:t xml:space="preserve">      </w:t>
            </w:r>
            <w:r w:rsidRPr="00052ADA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     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                 </w:t>
            </w:r>
            <w:r w:rsidRPr="00052ADA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Zdroj: ČSÚ</w:t>
            </w:r>
          </w:p>
        </w:tc>
      </w:tr>
      <w:tr w:rsidR="00D27F07" w14:paraId="35EA2471" w14:textId="77777777" w:rsidTr="00AD035A">
        <w:trPr>
          <w:trHeight w:val="1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C1138A5" w14:textId="77777777" w:rsidR="00D27F07" w:rsidRDefault="00D27F07" w:rsidP="00AD035A">
            <w:pPr>
              <w:pStyle w:val="Marginlie"/>
            </w:pPr>
            <w:r>
              <w:t>Tržby v motoristickém segmentu obchodu ožily, byly taženy vyšší poptávkou v oblasti nákupu motorových vozů.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BB6F9B8" w14:textId="77777777" w:rsidR="00D27F07" w:rsidRDefault="00D27F07" w:rsidP="00AD035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596D158" w14:textId="77777777" w:rsidR="00D27F07" w:rsidRPr="00460267" w:rsidRDefault="00D27F07" w:rsidP="00AD035A">
            <w:pPr>
              <w:spacing w:after="200"/>
              <w:rPr>
                <w:rFonts w:cs="Arial"/>
                <w:color w:val="0D0D0D" w:themeColor="text1" w:themeTint="F2"/>
                <w:spacing w:val="-6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 xml:space="preserve">Po dvou letech vzrostly letos meziročně tržby v motoristickém segmentu obchodu. 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br/>
              <w:t>V 1. pololetí byly meziročně vyšší o 3,3 %. Růst byl tažen obchodem s motorovými vozidly, což souviselo s relativně příznivou situací celého automobilového průmyslu v Česku i EU. Snížily se naopak tržby za o</w:t>
            </w:r>
            <w:r w:rsidRPr="003D6D1B">
              <w:rPr>
                <w:rFonts w:cs="Arial"/>
                <w:color w:val="0D0D0D" w:themeColor="text1" w:themeTint="F2"/>
                <w:spacing w:val="-6"/>
                <w:szCs w:val="20"/>
              </w:rPr>
              <w:t>bchod s díly a příslušenstvím pro motorová vozidl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 xml:space="preserve">a, poklesla 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br/>
              <w:t>i poptávka za obchod, opravy a údržbu</w:t>
            </w:r>
            <w:r w:rsidRPr="003D6D1B">
              <w:rPr>
                <w:rFonts w:cs="Arial"/>
                <w:color w:val="0D0D0D" w:themeColor="text1" w:themeTint="F2"/>
                <w:spacing w:val="-6"/>
                <w:szCs w:val="20"/>
              </w:rPr>
              <w:t xml:space="preserve"> motocyklů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. Oproti 1. pololetí 2019 byly letos tržby v celém motoristickém segmentu obchodu stále mírně nižší (o 6,1 %), zaostaly přitom zhruba srovnatelně ve všech jeho dílčích odvětvích.</w:t>
            </w:r>
          </w:p>
        </w:tc>
      </w:tr>
    </w:tbl>
    <w:p w14:paraId="7284C61C" w14:textId="77777777" w:rsidR="00D27F07" w:rsidRPr="00004D2D" w:rsidRDefault="00D27F07" w:rsidP="00D27F07">
      <w:pPr>
        <w:spacing w:after="0" w:line="240" w:lineRule="auto"/>
        <w:jc w:val="left"/>
        <w:rPr>
          <w:rFonts w:eastAsia="MS Gothic"/>
          <w:b/>
          <w:bCs/>
          <w:color w:val="71818C"/>
          <w:sz w:val="2"/>
          <w:szCs w:val="2"/>
        </w:rPr>
      </w:pPr>
    </w:p>
    <w:p w14:paraId="10E00B03" w14:textId="10C29566" w:rsidR="00D27F07" w:rsidRDefault="00D27F07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5" w:name="_GoBack"/>
      <w:bookmarkEnd w:id="1"/>
      <w:bookmarkEnd w:id="2"/>
      <w:bookmarkEnd w:id="3"/>
      <w:bookmarkEnd w:id="4"/>
      <w:bookmarkEnd w:id="5"/>
    </w:p>
    <w:sectPr w:rsidR="00D27F07" w:rsidSect="0018772A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680" w:footer="73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0F1E" w14:textId="77777777" w:rsidR="00624E48" w:rsidRDefault="00624E48" w:rsidP="00E71A58">
      <w:r>
        <w:separator/>
      </w:r>
    </w:p>
  </w:endnote>
  <w:endnote w:type="continuationSeparator" w:id="0">
    <w:p w14:paraId="51538D3C" w14:textId="77777777" w:rsidR="00624E48" w:rsidRDefault="00624E4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7CBD17B" w:rsidR="00DA0121" w:rsidRPr="00932443" w:rsidRDefault="00DA012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8772A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E3FDEB9" w:rsidR="00DA0121" w:rsidRPr="00932443" w:rsidRDefault="00DA0121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8772A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459F" w14:textId="77777777" w:rsidR="00624E48" w:rsidRDefault="00624E48" w:rsidP="00A21B4D">
      <w:pPr>
        <w:spacing w:after="0"/>
      </w:pPr>
      <w:r>
        <w:separator/>
      </w:r>
    </w:p>
  </w:footnote>
  <w:footnote w:type="continuationSeparator" w:id="0">
    <w:p w14:paraId="33203954" w14:textId="77777777" w:rsidR="00624E48" w:rsidRDefault="00624E48" w:rsidP="00E71A58">
      <w:r>
        <w:continuationSeparator/>
      </w:r>
    </w:p>
  </w:footnote>
  <w:footnote w:id="1">
    <w:p w14:paraId="0A6874CF" w14:textId="77777777" w:rsidR="00D27F07" w:rsidRPr="00A61085" w:rsidRDefault="00D27F07" w:rsidP="00D27F07">
      <w:pPr>
        <w:pStyle w:val="Textpoznpodarou"/>
        <w:rPr>
          <w:sz w:val="16"/>
          <w:szCs w:val="16"/>
        </w:rPr>
      </w:pPr>
      <w:r w:rsidRPr="00A61085">
        <w:rPr>
          <w:rStyle w:val="Znakapoznpodarou"/>
          <w:sz w:val="16"/>
          <w:szCs w:val="16"/>
        </w:rPr>
        <w:footnoteRef/>
      </w:r>
      <w:r w:rsidRPr="00A61085">
        <w:rPr>
          <w:sz w:val="16"/>
          <w:szCs w:val="16"/>
        </w:rPr>
        <w:t xml:space="preserve"> </w:t>
      </w:r>
      <w:r w:rsidRPr="00A61085">
        <w:rPr>
          <w:color w:val="0D0D0D" w:themeColor="text1" w:themeTint="F2"/>
          <w:sz w:val="16"/>
          <w:szCs w:val="16"/>
        </w:rPr>
        <w:t xml:space="preserve">Výkon všech odvětví ekonomiky </w:t>
      </w:r>
      <w:r>
        <w:rPr>
          <w:color w:val="0D0D0D" w:themeColor="text1" w:themeTint="F2"/>
          <w:sz w:val="16"/>
          <w:szCs w:val="16"/>
        </w:rPr>
        <w:t xml:space="preserve">letos </w:t>
      </w:r>
      <w:r w:rsidRPr="00A61085">
        <w:rPr>
          <w:color w:val="0D0D0D" w:themeColor="text1" w:themeTint="F2"/>
          <w:sz w:val="16"/>
          <w:szCs w:val="16"/>
        </w:rPr>
        <w:t>odpovídal vrcholu z konjunktury minulé dekády (4. čtvrtletí 2019).</w:t>
      </w:r>
    </w:p>
  </w:footnote>
  <w:footnote w:id="2">
    <w:p w14:paraId="6455E01F" w14:textId="77777777" w:rsidR="00D27F07" w:rsidRPr="00FB58F4" w:rsidRDefault="00D27F07" w:rsidP="00D27F07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3">
    <w:p w14:paraId="4D83E492" w14:textId="77777777" w:rsidR="00D27F07" w:rsidRPr="00DF51C6" w:rsidRDefault="00D27F07" w:rsidP="00D27F0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F51C6">
        <w:rPr>
          <w:rStyle w:val="Znakapoznpodarou"/>
          <w:rFonts w:ascii="Arial" w:hAnsi="Arial" w:cs="Arial"/>
          <w:sz w:val="16"/>
          <w:szCs w:val="16"/>
        </w:rPr>
        <w:footnoteRef/>
      </w:r>
      <w:r w:rsidRPr="00DF51C6">
        <w:rPr>
          <w:rFonts w:ascii="Arial" w:hAnsi="Arial" w:cs="Arial"/>
          <w:sz w:val="16"/>
          <w:szCs w:val="16"/>
        </w:rPr>
        <w:t xml:space="preserve"> </w:t>
      </w:r>
      <w:r w:rsidRPr="00DF51C6">
        <w:rPr>
          <w:rStyle w:val="normaltextrun"/>
          <w:rFonts w:ascii="Arial" w:eastAsia="MS Gothic" w:hAnsi="Arial" w:cs="Arial"/>
          <w:sz w:val="16"/>
          <w:szCs w:val="16"/>
        </w:rPr>
        <w:t>Ten souvisel s nízkými cenami jatečních prasat v roce 2021 a následným omez</w:t>
      </w:r>
      <w:r>
        <w:rPr>
          <w:rStyle w:val="normaltextrun"/>
          <w:rFonts w:ascii="Arial" w:eastAsia="MS Gothic" w:hAnsi="Arial" w:cs="Arial"/>
          <w:sz w:val="16"/>
          <w:szCs w:val="16"/>
        </w:rPr>
        <w:t xml:space="preserve">ováním chovů. I přes silný </w:t>
      </w:r>
      <w:r w:rsidRPr="00DF51C6">
        <w:rPr>
          <w:rStyle w:val="normaltextrun"/>
          <w:rFonts w:ascii="Arial" w:eastAsia="MS Gothic" w:hAnsi="Arial" w:cs="Arial"/>
          <w:sz w:val="16"/>
          <w:szCs w:val="16"/>
        </w:rPr>
        <w:t xml:space="preserve">meziroční růst dovozů zvířat k porážce </w:t>
      </w:r>
      <w:r>
        <w:rPr>
          <w:rStyle w:val="normaltextrun"/>
          <w:rFonts w:ascii="Arial" w:eastAsia="MS Gothic" w:hAnsi="Arial" w:cs="Arial"/>
          <w:sz w:val="16"/>
          <w:szCs w:val="16"/>
        </w:rPr>
        <w:t xml:space="preserve">(objemově ale málo významných) </w:t>
      </w:r>
      <w:r w:rsidRPr="00DF51C6">
        <w:rPr>
          <w:rStyle w:val="normaltextrun"/>
          <w:rFonts w:ascii="Arial" w:eastAsia="MS Gothic" w:hAnsi="Arial" w:cs="Arial"/>
          <w:sz w:val="16"/>
          <w:szCs w:val="16"/>
        </w:rPr>
        <w:t>kleslo v letošním 2. čtvrtletí množství vyrobeného vepřového masa na jatkách v ČR poprvé v historii pod 50 tis. tun. Vlivem nárůstu výkupních cen j</w:t>
      </w:r>
      <w:r>
        <w:rPr>
          <w:rStyle w:val="normaltextrun"/>
          <w:rFonts w:ascii="Arial" w:eastAsia="MS Gothic" w:hAnsi="Arial" w:cs="Arial"/>
          <w:sz w:val="16"/>
          <w:szCs w:val="16"/>
        </w:rPr>
        <w:t>atečních prasat od loňského jara</w:t>
      </w:r>
      <w:r w:rsidRPr="00DF51C6">
        <w:rPr>
          <w:rStyle w:val="normaltextrun"/>
          <w:rFonts w:ascii="Arial" w:eastAsia="MS Gothic" w:hAnsi="Arial" w:cs="Arial"/>
          <w:sz w:val="16"/>
          <w:szCs w:val="16"/>
        </w:rPr>
        <w:t xml:space="preserve"> došlo postupně k ustálení stavů prasnic </w:t>
      </w:r>
      <w:r>
        <w:rPr>
          <w:rStyle w:val="normaltextrun"/>
          <w:rFonts w:ascii="Arial" w:eastAsia="MS Gothic" w:hAnsi="Arial" w:cs="Arial"/>
          <w:sz w:val="16"/>
          <w:szCs w:val="16"/>
        </w:rPr>
        <w:br/>
      </w:r>
      <w:r w:rsidRPr="00DF51C6">
        <w:rPr>
          <w:rStyle w:val="normaltextrun"/>
          <w:rFonts w:ascii="Arial" w:eastAsia="MS Gothic" w:hAnsi="Arial" w:cs="Arial"/>
          <w:sz w:val="16"/>
          <w:szCs w:val="16"/>
        </w:rPr>
        <w:t xml:space="preserve">i omezení vývozu selat, což dává v </w:t>
      </w:r>
      <w:r>
        <w:rPr>
          <w:rStyle w:val="normaltextrun"/>
          <w:rFonts w:ascii="Arial" w:eastAsia="MS Gothic" w:hAnsi="Arial" w:cs="Arial"/>
          <w:sz w:val="16"/>
          <w:szCs w:val="16"/>
        </w:rPr>
        <w:t>blízké budoucnosti předpoklad pro</w:t>
      </w:r>
      <w:r w:rsidRPr="00DF51C6">
        <w:rPr>
          <w:rStyle w:val="normaltextrun"/>
          <w:rFonts w:ascii="Arial" w:eastAsia="MS Gothic" w:hAnsi="Arial" w:cs="Arial"/>
          <w:sz w:val="16"/>
          <w:szCs w:val="16"/>
        </w:rPr>
        <w:t xml:space="preserve"> stabilizaci úrovně tuzemské produkce vepřového masa.</w:t>
      </w:r>
    </w:p>
  </w:footnote>
  <w:footnote w:id="4">
    <w:p w14:paraId="57E490AD" w14:textId="77777777" w:rsidR="00D27F07" w:rsidRPr="00125BAD" w:rsidRDefault="00D27F07" w:rsidP="00D27F07">
      <w:pPr>
        <w:pStyle w:val="Textpoznpodarou"/>
        <w:rPr>
          <w:spacing w:val="-2"/>
          <w:sz w:val="16"/>
          <w:szCs w:val="16"/>
        </w:rPr>
      </w:pPr>
      <w:r w:rsidRPr="00125BAD">
        <w:rPr>
          <w:rStyle w:val="Znakapoznpodarou"/>
          <w:spacing w:val="-2"/>
          <w:sz w:val="16"/>
          <w:szCs w:val="16"/>
        </w:rPr>
        <w:footnoteRef/>
      </w:r>
      <w:r w:rsidRPr="00125BAD">
        <w:rPr>
          <w:spacing w:val="-2"/>
          <w:sz w:val="16"/>
          <w:szCs w:val="16"/>
        </w:rPr>
        <w:t xml:space="preserve"> </w:t>
      </w:r>
      <w:r w:rsidRPr="00125BAD">
        <w:rPr>
          <w:rStyle w:val="normaltextrun"/>
          <w:rFonts w:cs="Arial"/>
          <w:color w:val="000000"/>
          <w:spacing w:val="-2"/>
          <w:sz w:val="16"/>
          <w:szCs w:val="16"/>
        </w:rPr>
        <w:t xml:space="preserve">Oproti 1. odhadu ČSÚ (k 10.6) došlo u drtivé většiny základních obilovin k mírnému navýšení očekávané sklizně (celkem </w:t>
      </w:r>
      <w:r w:rsidRPr="00125BAD">
        <w:rPr>
          <w:rStyle w:val="normaltextrun"/>
          <w:rFonts w:cs="Arial"/>
          <w:sz w:val="16"/>
          <w:szCs w:val="16"/>
        </w:rPr>
        <w:t>o 415 tis. tun, resp. rovných +6,0 %).</w:t>
      </w:r>
    </w:p>
  </w:footnote>
  <w:footnote w:id="5">
    <w:p w14:paraId="768F1C4E" w14:textId="77777777" w:rsidR="00D27F07" w:rsidRPr="009D228C" w:rsidRDefault="00D27F07" w:rsidP="00D27F0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9D228C">
        <w:rPr>
          <w:rStyle w:val="Znakapoznpodarou"/>
          <w:rFonts w:ascii="Arial" w:hAnsi="Arial" w:cs="Arial"/>
          <w:sz w:val="16"/>
          <w:szCs w:val="16"/>
        </w:rPr>
        <w:footnoteRef/>
      </w:r>
      <w:r w:rsidRPr="009D228C">
        <w:rPr>
          <w:rFonts w:ascii="Arial" w:hAnsi="Arial" w:cs="Arial"/>
          <w:sz w:val="16"/>
          <w:szCs w:val="16"/>
        </w:rPr>
        <w:t xml:space="preserve"> </w:t>
      </w:r>
      <w:r w:rsidRPr="009D228C">
        <w:rPr>
          <w:rStyle w:val="normaltextrun"/>
          <w:rFonts w:ascii="Arial" w:eastAsia="MS Gothic" w:hAnsi="Arial" w:cs="Arial"/>
          <w:sz w:val="16"/>
          <w:szCs w:val="16"/>
        </w:rPr>
        <w:t>Předpokládaná úroda dalších olejnin (mimo řepk</w:t>
      </w:r>
      <w:r>
        <w:rPr>
          <w:rStyle w:val="normaltextrun"/>
          <w:rFonts w:ascii="Arial" w:eastAsia="MS Gothic" w:hAnsi="Arial" w:cs="Arial"/>
          <w:sz w:val="16"/>
          <w:szCs w:val="16"/>
        </w:rPr>
        <w:t>u</w:t>
      </w:r>
      <w:r w:rsidRPr="009D228C">
        <w:rPr>
          <w:rStyle w:val="normaltextrun"/>
          <w:rFonts w:ascii="Arial" w:eastAsia="MS Gothic" w:hAnsi="Arial" w:cs="Arial"/>
          <w:sz w:val="16"/>
          <w:szCs w:val="16"/>
        </w:rPr>
        <w:t xml:space="preserve">) je meziročně nižší. Slunečnice se sklidí 50 tis. tun (−16,2 %) a sóji 60 tis. tun (−8,0 %). Očekávaná úroda okopanin je zejména kvůli poklesu hektarových výnosů meziročně slabší. Brambor se sklidí 522 tis. tun, </w:t>
      </w:r>
      <w:r>
        <w:rPr>
          <w:rStyle w:val="normaltextrun"/>
          <w:rFonts w:ascii="Arial" w:eastAsia="MS Gothic" w:hAnsi="Arial" w:cs="Arial"/>
          <w:sz w:val="16"/>
          <w:szCs w:val="16"/>
        </w:rPr>
        <w:br/>
      </w:r>
      <w:r w:rsidRPr="009D228C">
        <w:rPr>
          <w:rStyle w:val="normaltextrun"/>
          <w:rFonts w:ascii="Arial" w:eastAsia="MS Gothic" w:hAnsi="Arial" w:cs="Arial"/>
          <w:sz w:val="16"/>
          <w:szCs w:val="16"/>
        </w:rPr>
        <w:t>o pětinu méně v meziročním srovnání (−20,3 %) i ve srovnání s průměrem sklizní za posledních pět let (−19,2 %). Řepy cukrové by se mohlo sklidit 3,635 milionu tun (meziročně −10,4 %; srovnání s pětiletým průměrem −5,6 %).</w:t>
      </w:r>
      <w:r w:rsidRPr="009D228C">
        <w:rPr>
          <w:rStyle w:val="eop"/>
          <w:rFonts w:ascii="Arial" w:eastAsia="MS Gothic" w:hAnsi="Arial" w:cs="Arial"/>
          <w:sz w:val="16"/>
          <w:szCs w:val="16"/>
        </w:rPr>
        <w:t xml:space="preserve"> </w:t>
      </w:r>
      <w:r w:rsidRPr="009D228C">
        <w:rPr>
          <w:rStyle w:val="normaltextrun"/>
          <w:rFonts w:ascii="Arial" w:eastAsia="MS Gothic" w:hAnsi="Arial" w:cs="Arial"/>
          <w:sz w:val="16"/>
          <w:szCs w:val="16"/>
        </w:rPr>
        <w:t>Odhaduje se také meziročně nižší sklizeň pícnin, kukuřice na zeleno se sklidí 6,308 milionu tun (−17,2 %) a vojtěšky 395 tis. tun (−24,7 %).</w:t>
      </w:r>
      <w:r w:rsidRPr="009D228C">
        <w:rPr>
          <w:rStyle w:val="eop"/>
          <w:rFonts w:ascii="Arial" w:hAnsi="Arial" w:cs="Arial"/>
          <w:sz w:val="16"/>
          <w:szCs w:val="16"/>
        </w:rPr>
        <w:t> </w:t>
      </w:r>
    </w:p>
  </w:footnote>
  <w:footnote w:id="6">
    <w:p w14:paraId="6B3DC5E8" w14:textId="77777777" w:rsidR="00D27F07" w:rsidRPr="00D55FC9" w:rsidRDefault="00D27F07" w:rsidP="00D27F07">
      <w:pPr>
        <w:pStyle w:val="Textpoznpodarou"/>
        <w:rPr>
          <w:spacing w:val="-3"/>
          <w:sz w:val="16"/>
          <w:szCs w:val="16"/>
        </w:rPr>
      </w:pPr>
      <w:r w:rsidRPr="00D55FC9">
        <w:rPr>
          <w:rStyle w:val="Znakapoznpodarou"/>
          <w:spacing w:val="-3"/>
          <w:sz w:val="16"/>
          <w:szCs w:val="16"/>
        </w:rPr>
        <w:footnoteRef/>
      </w:r>
      <w:r w:rsidRPr="00D55FC9">
        <w:rPr>
          <w:spacing w:val="-3"/>
          <w:sz w:val="16"/>
          <w:szCs w:val="16"/>
        </w:rPr>
        <w:t xml:space="preserve"> V 1. čtvrtletí 2023 vzrostl objem fixních investic meziročně o 0,8 %, z toho v samotném 2. čtvrtletí o 2,5 % a mezikvartálně dokonce o 3,4 %. </w:t>
      </w:r>
    </w:p>
  </w:footnote>
  <w:footnote w:id="7">
    <w:p w14:paraId="3BDE52F0" w14:textId="77777777" w:rsidR="00D27F07" w:rsidRPr="008C2F46" w:rsidRDefault="00D27F07" w:rsidP="00D27F07">
      <w:pPr>
        <w:spacing w:after="0" w:line="240" w:lineRule="auto"/>
        <w:rPr>
          <w:rFonts w:cs="Arial"/>
          <w:color w:val="0D0D0D" w:themeColor="text1" w:themeTint="F2"/>
          <w:spacing w:val="-4"/>
          <w:sz w:val="16"/>
          <w:szCs w:val="16"/>
        </w:rPr>
      </w:pPr>
      <w:r w:rsidRPr="008C2F46">
        <w:rPr>
          <w:rStyle w:val="Znakapoznpodarou"/>
          <w:spacing w:val="-4"/>
          <w:sz w:val="16"/>
          <w:szCs w:val="16"/>
        </w:rPr>
        <w:footnoteRef/>
      </w:r>
      <w:r w:rsidRPr="008C2F46">
        <w:rPr>
          <w:spacing w:val="-4"/>
          <w:sz w:val="16"/>
          <w:szCs w:val="16"/>
        </w:rPr>
        <w:t xml:space="preserve"> </w:t>
      </w:r>
      <w:r w:rsidRPr="008C2F46">
        <w:rPr>
          <w:rFonts w:cs="Arial"/>
          <w:color w:val="0D0D0D" w:themeColor="text1" w:themeTint="F2"/>
          <w:spacing w:val="-4"/>
          <w:sz w:val="16"/>
          <w:szCs w:val="16"/>
        </w:rPr>
        <w:t>Zahrnuje odvětví těžby a dobývání, zpracovatelského průmyslu a také energetiky (zde pojímané jako odvětví výroby a rozvodu elektřiny, plynu, tepla a klimatizovaného vzduchu). Všechna meziroční tempa produkce jsou očištěna o kalendářní vlivy, mezičtvrtletní tempa i o vliv sezónnosti.</w:t>
      </w:r>
    </w:p>
  </w:footnote>
  <w:footnote w:id="8">
    <w:p w14:paraId="5B208C30" w14:textId="77777777" w:rsidR="00D27F07" w:rsidRPr="00AF5F38" w:rsidRDefault="00D27F07" w:rsidP="00D27F07">
      <w:pPr>
        <w:pStyle w:val="Textpoznpodarou"/>
        <w:rPr>
          <w:sz w:val="16"/>
          <w:szCs w:val="16"/>
        </w:rPr>
      </w:pPr>
      <w:r w:rsidRPr="008C2F46">
        <w:rPr>
          <w:rStyle w:val="Znakapoznpodarou"/>
          <w:sz w:val="16"/>
          <w:szCs w:val="16"/>
        </w:rPr>
        <w:footnoteRef/>
      </w:r>
      <w:r w:rsidRPr="008C2F46">
        <w:rPr>
          <w:sz w:val="16"/>
          <w:szCs w:val="16"/>
        </w:rPr>
        <w:t xml:space="preserve"> Dle Sdružení</w:t>
      </w:r>
      <w:r w:rsidRPr="00033208">
        <w:rPr>
          <w:sz w:val="16"/>
          <w:szCs w:val="16"/>
        </w:rPr>
        <w:t xml:space="preserve"> automobilového pr</w:t>
      </w:r>
      <w:r>
        <w:rPr>
          <w:sz w:val="16"/>
          <w:szCs w:val="16"/>
        </w:rPr>
        <w:t xml:space="preserve">ůmyslu bylo letos </w:t>
      </w:r>
      <w:r w:rsidRPr="00033208">
        <w:rPr>
          <w:sz w:val="16"/>
          <w:szCs w:val="16"/>
        </w:rPr>
        <w:t xml:space="preserve">v Česku </w:t>
      </w:r>
      <w:r>
        <w:rPr>
          <w:sz w:val="16"/>
          <w:szCs w:val="16"/>
        </w:rPr>
        <w:t>v 1. pololetí</w:t>
      </w:r>
      <w:r w:rsidRPr="000332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vyrobeno 738 tis. osobních automobilů (nejvíce v tomto období za poslední čtyři roky a pouze o 3 % méně než v rekordním 1. pololetí 2018). Výroba meziročně posílila o 22 %. </w:t>
      </w:r>
      <w:r>
        <w:rPr>
          <w:spacing w:val="-3"/>
          <w:sz w:val="16"/>
          <w:szCs w:val="16"/>
        </w:rPr>
        <w:t xml:space="preserve">Březnová (139 tis.) </w:t>
      </w:r>
      <w:r>
        <w:rPr>
          <w:spacing w:val="-3"/>
          <w:sz w:val="16"/>
          <w:szCs w:val="16"/>
        </w:rPr>
        <w:br/>
        <w:t>a červnová výroba (143 tis.) byla v rámci shodných měsíců dokonce nejvyšší v historii. Na elektrická vozidla (vč. vozů s</w:t>
      </w:r>
      <w:r w:rsidRPr="00E04667">
        <w:rPr>
          <w:spacing w:val="-3"/>
          <w:sz w:val="16"/>
          <w:szCs w:val="16"/>
        </w:rPr>
        <w:t xml:space="preserve"> hybridní</w:t>
      </w:r>
      <w:r>
        <w:rPr>
          <w:spacing w:val="-3"/>
          <w:sz w:val="16"/>
          <w:szCs w:val="16"/>
        </w:rPr>
        <w:t>m</w:t>
      </w:r>
      <w:r w:rsidRPr="00E04667">
        <w:rPr>
          <w:spacing w:val="-3"/>
          <w:sz w:val="16"/>
          <w:szCs w:val="16"/>
        </w:rPr>
        <w:t xml:space="preserve"> pohon</w:t>
      </w:r>
      <w:r>
        <w:rPr>
          <w:spacing w:val="-3"/>
          <w:sz w:val="16"/>
          <w:szCs w:val="16"/>
        </w:rPr>
        <w:t>em)</w:t>
      </w:r>
      <w:r w:rsidRPr="00E04667"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připadala</w:t>
      </w:r>
      <w:r w:rsidRPr="00327346">
        <w:rPr>
          <w:spacing w:val="-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letos v 1. pololetí již více než osmina všech v tuzemsku vyrobených osobních automobilů. Meziročně nižší produkci zaznamenali naopak výrobci ostatních druhů motorových vozidel.</w:t>
      </w:r>
    </w:p>
  </w:footnote>
  <w:footnote w:id="9">
    <w:p w14:paraId="0AAF06D3" w14:textId="77777777" w:rsidR="00D27F07" w:rsidRPr="00BF5830" w:rsidRDefault="00D27F07" w:rsidP="00D27F07">
      <w:pPr>
        <w:pStyle w:val="Textpoznpodarou"/>
        <w:rPr>
          <w:spacing w:val="-2"/>
          <w:sz w:val="16"/>
          <w:szCs w:val="16"/>
        </w:rPr>
      </w:pPr>
      <w:r w:rsidRPr="00BF5830">
        <w:rPr>
          <w:rStyle w:val="Znakapoznpodarou"/>
          <w:spacing w:val="-4"/>
          <w:sz w:val="16"/>
          <w:szCs w:val="16"/>
        </w:rPr>
        <w:footnoteRef/>
      </w:r>
      <w:r w:rsidRPr="00BF5830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Hrubá</w:t>
      </w:r>
      <w:r w:rsidRPr="00BF5830">
        <w:rPr>
          <w:spacing w:val="-4"/>
          <w:sz w:val="16"/>
          <w:szCs w:val="16"/>
        </w:rPr>
        <w:t xml:space="preserve"> tuzemská spotřeba elektřiny se </w:t>
      </w:r>
      <w:r>
        <w:rPr>
          <w:spacing w:val="-4"/>
          <w:sz w:val="16"/>
          <w:szCs w:val="16"/>
        </w:rPr>
        <w:t xml:space="preserve">v 1. pololetí 2023 </w:t>
      </w:r>
      <w:r w:rsidRPr="00BF5830">
        <w:rPr>
          <w:spacing w:val="-4"/>
          <w:sz w:val="16"/>
          <w:szCs w:val="16"/>
        </w:rPr>
        <w:t xml:space="preserve">meziročně snížila </w:t>
      </w:r>
      <w:r>
        <w:rPr>
          <w:spacing w:val="-4"/>
          <w:sz w:val="16"/>
          <w:szCs w:val="16"/>
        </w:rPr>
        <w:t>o 6,4</w:t>
      </w:r>
      <w:r w:rsidRPr="00BF5830">
        <w:rPr>
          <w:spacing w:val="-4"/>
          <w:sz w:val="16"/>
          <w:szCs w:val="16"/>
        </w:rPr>
        <w:t xml:space="preserve"> % a prohloubila svůj pokles z předchozího </w:t>
      </w:r>
      <w:r>
        <w:rPr>
          <w:spacing w:val="-4"/>
          <w:sz w:val="16"/>
          <w:szCs w:val="16"/>
        </w:rPr>
        <w:t>roku (−1,5</w:t>
      </w:r>
      <w:r w:rsidRPr="00BF5830">
        <w:rPr>
          <w:spacing w:val="-4"/>
          <w:sz w:val="16"/>
          <w:szCs w:val="16"/>
        </w:rPr>
        <w:t xml:space="preserve"> %). K úspoře došlo letos </w:t>
      </w:r>
      <w:r w:rsidRPr="00BF5830">
        <w:rPr>
          <w:spacing w:val="-3"/>
          <w:sz w:val="16"/>
          <w:szCs w:val="16"/>
        </w:rPr>
        <w:t xml:space="preserve">u všech hlavních kategorií spotřeby – nejvíce u </w:t>
      </w:r>
      <w:r>
        <w:rPr>
          <w:spacing w:val="-3"/>
          <w:sz w:val="16"/>
          <w:szCs w:val="16"/>
        </w:rPr>
        <w:t xml:space="preserve">maloodběratelů (z řad </w:t>
      </w:r>
      <w:r w:rsidRPr="00BF5830">
        <w:rPr>
          <w:spacing w:val="-3"/>
          <w:sz w:val="16"/>
          <w:szCs w:val="16"/>
        </w:rPr>
        <w:t>podnikatelů</w:t>
      </w:r>
      <w:r>
        <w:rPr>
          <w:spacing w:val="-3"/>
          <w:sz w:val="16"/>
          <w:szCs w:val="16"/>
        </w:rPr>
        <w:t>), a to 5,6 %, nejméně u</w:t>
      </w:r>
      <w:r w:rsidRPr="00BF5830">
        <w:rPr>
          <w:spacing w:val="-4"/>
          <w:sz w:val="16"/>
          <w:szCs w:val="16"/>
        </w:rPr>
        <w:t> </w:t>
      </w:r>
      <w:r w:rsidRPr="00BF5830">
        <w:rPr>
          <w:spacing w:val="-3"/>
          <w:sz w:val="16"/>
          <w:szCs w:val="16"/>
        </w:rPr>
        <w:t>nejvýznamnějších velkoodběratelů</w:t>
      </w:r>
      <w:r>
        <w:rPr>
          <w:spacing w:val="-2"/>
          <w:sz w:val="16"/>
          <w:szCs w:val="16"/>
        </w:rPr>
        <w:t xml:space="preserve"> </w:t>
      </w:r>
      <w:r w:rsidRPr="00BF5830">
        <w:rPr>
          <w:spacing w:val="-4"/>
          <w:sz w:val="16"/>
          <w:szCs w:val="16"/>
        </w:rPr>
        <w:t>(</w:t>
      </w:r>
      <w:r>
        <w:rPr>
          <w:spacing w:val="-4"/>
          <w:sz w:val="16"/>
          <w:szCs w:val="16"/>
        </w:rPr>
        <w:t>−</w:t>
      </w:r>
      <w:r w:rsidRPr="00BF5830">
        <w:rPr>
          <w:spacing w:val="-4"/>
          <w:sz w:val="16"/>
          <w:szCs w:val="16"/>
        </w:rPr>
        <w:t xml:space="preserve">2,2 %). Domácnostem klesla spotřeba o 4,4 % (v 1. pololetí 2022 byl ale propad hlubší – 10,3 %). Citelně, byť mírněji než loni klesla v 1. pololetí i celková spotřeba plynu v ČR – meziročně o 12,3 % (po přepočtu na </w:t>
      </w:r>
      <w:r>
        <w:rPr>
          <w:spacing w:val="-4"/>
          <w:sz w:val="16"/>
          <w:szCs w:val="16"/>
        </w:rPr>
        <w:t xml:space="preserve">dlouhodobý </w:t>
      </w:r>
      <w:r w:rsidRPr="00BF5830">
        <w:rPr>
          <w:spacing w:val="-4"/>
          <w:sz w:val="16"/>
          <w:szCs w:val="16"/>
        </w:rPr>
        <w:t>teplotní normál o 11,7 %). Snížení spotřeby bylo u všech hlavních kategorií odběratelů srovnatelné. Domácnosti odebraly o 12,9 % plynu méně, v první polovině loňského roku činil ale jejich pokles 19,2 %.</w:t>
      </w:r>
    </w:p>
  </w:footnote>
  <w:footnote w:id="10">
    <w:p w14:paraId="77A58A04" w14:textId="77777777" w:rsidR="00D27F07" w:rsidRPr="00513FEA" w:rsidRDefault="00D27F07" w:rsidP="00D27F07">
      <w:pPr>
        <w:pStyle w:val="Textpoznpodarou"/>
        <w:rPr>
          <w:sz w:val="16"/>
          <w:szCs w:val="16"/>
        </w:rPr>
      </w:pPr>
      <w:r w:rsidRPr="00513FEA">
        <w:rPr>
          <w:rStyle w:val="Znakapoznpodarou"/>
          <w:sz w:val="16"/>
          <w:szCs w:val="16"/>
        </w:rPr>
        <w:footnoteRef/>
      </w:r>
      <w:r w:rsidRPr="00513FEA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5"/>
          <w:sz w:val="16"/>
          <w:szCs w:val="16"/>
        </w:rPr>
        <w:t>Vlivem přechodného</w:t>
      </w:r>
      <w:r w:rsidRPr="00513FEA">
        <w:rPr>
          <w:color w:val="0D0D0D" w:themeColor="text1" w:themeTint="F2"/>
          <w:spacing w:val="-5"/>
          <w:sz w:val="16"/>
          <w:szCs w:val="16"/>
        </w:rPr>
        <w:t xml:space="preserve"> období oživení těžby </w:t>
      </w:r>
      <w:r>
        <w:rPr>
          <w:color w:val="0D0D0D" w:themeColor="text1" w:themeTint="F2"/>
          <w:spacing w:val="-5"/>
          <w:sz w:val="16"/>
          <w:szCs w:val="16"/>
        </w:rPr>
        <w:t>uhlí v předchozích dvou letech klesla letos produkce</w:t>
      </w:r>
      <w:r w:rsidRPr="00513FEA">
        <w:rPr>
          <w:color w:val="0D0D0D" w:themeColor="text1" w:themeTint="F2"/>
          <w:spacing w:val="-5"/>
          <w:sz w:val="16"/>
          <w:szCs w:val="16"/>
        </w:rPr>
        <w:t xml:space="preserve"> v</w:t>
      </w:r>
      <w:r>
        <w:rPr>
          <w:color w:val="0D0D0D" w:themeColor="text1" w:themeTint="F2"/>
          <w:spacing w:val="-5"/>
          <w:sz w:val="16"/>
          <w:szCs w:val="16"/>
        </w:rPr>
        <w:t>e srovnání s 1. pololetím 2020 „jen“ o 11,2 %.</w:t>
      </w:r>
    </w:p>
  </w:footnote>
  <w:footnote w:id="11">
    <w:p w14:paraId="24ACB297" w14:textId="77777777" w:rsidR="00D27F07" w:rsidRPr="00F33536" w:rsidRDefault="00D27F07" w:rsidP="00D27F07">
      <w:pPr>
        <w:pStyle w:val="Textpoznpodarou"/>
        <w:jc w:val="both"/>
        <w:rPr>
          <w:spacing w:val="-2"/>
          <w:sz w:val="16"/>
          <w:szCs w:val="16"/>
        </w:rPr>
      </w:pPr>
      <w:r w:rsidRPr="00F33536">
        <w:rPr>
          <w:rStyle w:val="Znakapoznpodarou"/>
          <w:spacing w:val="-2"/>
          <w:sz w:val="16"/>
          <w:szCs w:val="16"/>
        </w:rPr>
        <w:footnoteRef/>
      </w:r>
      <w:r w:rsidRPr="00F33536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Jde o tržby z průmyslové činnosti. </w:t>
      </w:r>
      <w:r w:rsidRPr="00F33536">
        <w:rPr>
          <w:rFonts w:cs="Arial"/>
          <w:color w:val="0D0D0D" w:themeColor="text1" w:themeTint="F2"/>
          <w:spacing w:val="-2"/>
          <w:sz w:val="16"/>
          <w:szCs w:val="16"/>
        </w:rPr>
        <w:t>Meziroční tempa tržeb jsou očištěna o kalendářní vlivy.</w:t>
      </w:r>
    </w:p>
  </w:footnote>
  <w:footnote w:id="12">
    <w:p w14:paraId="104C1D81" w14:textId="77777777" w:rsidR="00D27F07" w:rsidRPr="00C8370A" w:rsidRDefault="00D27F07" w:rsidP="00D27F07">
      <w:pPr>
        <w:pStyle w:val="Textpoznpodarou"/>
        <w:rPr>
          <w:sz w:val="16"/>
          <w:szCs w:val="16"/>
        </w:rPr>
      </w:pPr>
      <w:r w:rsidRPr="00C8370A">
        <w:rPr>
          <w:rStyle w:val="Znakapoznpodarou"/>
          <w:sz w:val="16"/>
          <w:szCs w:val="16"/>
        </w:rPr>
        <w:footnoteRef/>
      </w:r>
      <w:r w:rsidRPr="00C8370A">
        <w:rPr>
          <w:sz w:val="16"/>
          <w:szCs w:val="16"/>
        </w:rPr>
        <w:t xml:space="preserve"> </w:t>
      </w:r>
      <w:r w:rsidRPr="00C8370A">
        <w:rPr>
          <w:rFonts w:cs="Arial"/>
          <w:bCs/>
          <w:color w:val="0D0D0D" w:themeColor="text1" w:themeTint="F2"/>
          <w:spacing w:val="-5"/>
          <w:sz w:val="16"/>
          <w:szCs w:val="16"/>
        </w:rPr>
        <w:t>Tato diskrepance souvisí s prudkým cenovým růstem v odvětvích, jejichž produkce tradičně směřuje primárně na domácí trh (energetika, těžba a dobývání či potravinářský průmysl).</w:t>
      </w:r>
    </w:p>
  </w:footnote>
  <w:footnote w:id="13">
    <w:p w14:paraId="53149EC0" w14:textId="77777777" w:rsidR="00D27F07" w:rsidRPr="00FB58F4" w:rsidRDefault="00D27F07" w:rsidP="00D27F07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33536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33536">
        <w:rPr>
          <w:rFonts w:cs="Arial"/>
          <w:color w:val="0D0D0D" w:themeColor="text1" w:themeTint="F2"/>
          <w:spacing w:val="-2"/>
          <w:sz w:val="16"/>
          <w:szCs w:val="16"/>
        </w:rPr>
        <w:t xml:space="preserve"> Zjišťování zakázek probíhá jen ve dvanácti zpracovatelských odvětvích vyrábějících převážně na zakázku, s dlouhodobějším výrobním cyklem a s většími zásobami zakázek. Meziroční tempa zakázek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sou očištěna o kalendářní vlivy, mezikvartální tempa také o vliv sezónnosti.</w:t>
      </w:r>
    </w:p>
  </w:footnote>
  <w:footnote w:id="14">
    <w:p w14:paraId="591B1120" w14:textId="77777777" w:rsidR="00D27F07" w:rsidRPr="003728A3" w:rsidRDefault="00D27F07" w:rsidP="00D27F07">
      <w:pPr>
        <w:pStyle w:val="Textpoznpodarou"/>
        <w:rPr>
          <w:sz w:val="16"/>
          <w:szCs w:val="16"/>
        </w:rPr>
      </w:pPr>
      <w:r w:rsidRPr="003728A3">
        <w:rPr>
          <w:rStyle w:val="Znakapoznpodarou"/>
          <w:sz w:val="16"/>
          <w:szCs w:val="16"/>
        </w:rPr>
        <w:footnoteRef/>
      </w:r>
      <w:r w:rsidRPr="003728A3">
        <w:rPr>
          <w:sz w:val="16"/>
          <w:szCs w:val="16"/>
        </w:rPr>
        <w:t xml:space="preserve"> V mezikvartálním srovnání zakázky ve 2. čtvrtletí stagnovaly, pokles ale zaznamenaly v prvním letošním čtvrtletí (o 3,8 %).</w:t>
      </w:r>
    </w:p>
  </w:footnote>
  <w:footnote w:id="15">
    <w:p w14:paraId="7E6CEF9C" w14:textId="77777777" w:rsidR="00D27F07" w:rsidRPr="002F35D0" w:rsidRDefault="00D27F07" w:rsidP="00D27F07">
      <w:pPr>
        <w:pStyle w:val="Textpoznpodarou"/>
        <w:rPr>
          <w:spacing w:val="-2"/>
          <w:sz w:val="16"/>
          <w:szCs w:val="16"/>
        </w:rPr>
      </w:pPr>
      <w:r w:rsidRPr="002F35D0">
        <w:rPr>
          <w:rStyle w:val="Znakapoznpodarou"/>
          <w:spacing w:val="-2"/>
          <w:sz w:val="16"/>
          <w:szCs w:val="16"/>
        </w:rPr>
        <w:footnoteRef/>
      </w:r>
      <w:r w:rsidRPr="002F35D0">
        <w:rPr>
          <w:spacing w:val="-2"/>
          <w:sz w:val="16"/>
          <w:szCs w:val="16"/>
        </w:rPr>
        <w:t xml:space="preserve"> Ty přetrvávají od konce loňského října. </w:t>
      </w:r>
      <w:r w:rsidRPr="002F35D0">
        <w:rPr>
          <w:sz w:val="16"/>
          <w:szCs w:val="16"/>
        </w:rPr>
        <w:t>To se již začalo projevovat na „tvrdých“ datech – evidenční počet zaměstnanců v</w:t>
      </w:r>
      <w:r>
        <w:rPr>
          <w:sz w:val="16"/>
          <w:szCs w:val="16"/>
        </w:rPr>
        <w:t> průmyslu v</w:t>
      </w:r>
      <w:r w:rsidRPr="002F35D0">
        <w:rPr>
          <w:sz w:val="16"/>
          <w:szCs w:val="16"/>
        </w:rPr>
        <w:t xml:space="preserve"> 1. čtvrtletí 2023 </w:t>
      </w:r>
      <w:r>
        <w:rPr>
          <w:sz w:val="16"/>
          <w:szCs w:val="16"/>
        </w:rPr>
        <w:t>meziročně poklesl o 0,7 %, v následujícím kvartále již o 1,3 %.</w:t>
      </w:r>
    </w:p>
  </w:footnote>
  <w:footnote w:id="16">
    <w:p w14:paraId="34311E98" w14:textId="77777777" w:rsidR="00D27F07" w:rsidRPr="00AF44D9" w:rsidRDefault="00D27F07" w:rsidP="00D27F07">
      <w:pPr>
        <w:pStyle w:val="Textpoznpodarou"/>
        <w:rPr>
          <w:sz w:val="16"/>
          <w:szCs w:val="16"/>
        </w:rPr>
      </w:pPr>
      <w:r w:rsidRPr="00AF44D9">
        <w:rPr>
          <w:rStyle w:val="Znakapoznpodarou"/>
          <w:sz w:val="16"/>
          <w:szCs w:val="16"/>
        </w:rPr>
        <w:footnoteRef/>
      </w:r>
      <w:r w:rsidRPr="00AF44D9">
        <w:rPr>
          <w:sz w:val="16"/>
          <w:szCs w:val="16"/>
        </w:rPr>
        <w:t xml:space="preserve"> Podniky mohly uvést více bariér současně.</w:t>
      </w:r>
      <w:r>
        <w:rPr>
          <w:sz w:val="16"/>
          <w:szCs w:val="16"/>
        </w:rPr>
        <w:t xml:space="preserve"> Bariéry jsou očištěny o vliv sezónnosti. Slabá poptávka představovala zásadní růstový limit především pro většinu energeticky náročných průmyslových oborů (hutnictví, výroba stavebních hmot, gumárenství a plastikářství, </w:t>
      </w:r>
      <w:r w:rsidRPr="001D37AB">
        <w:rPr>
          <w:sz w:val="16"/>
          <w:szCs w:val="16"/>
        </w:rPr>
        <w:t>dřevozpracující a papírenský průmysl), dále pro textilní či nápojový průmysl. Tuto bariéru uvedl i vysoký podíl podniků v</w:t>
      </w:r>
      <w:r>
        <w:rPr>
          <w:sz w:val="16"/>
          <w:szCs w:val="16"/>
        </w:rPr>
        <w:t>e výrobě elektrických zařízení</w:t>
      </w:r>
      <w:r w:rsidRPr="001D37AB">
        <w:rPr>
          <w:sz w:val="16"/>
          <w:szCs w:val="16"/>
        </w:rPr>
        <w:t>.</w:t>
      </w:r>
    </w:p>
  </w:footnote>
  <w:footnote w:id="17">
    <w:p w14:paraId="5B6F8ED9" w14:textId="77777777" w:rsidR="00D27F07" w:rsidRPr="002A5130" w:rsidRDefault="00D27F07" w:rsidP="00D27F07">
      <w:pPr>
        <w:pStyle w:val="Textpoznpodarou"/>
        <w:rPr>
          <w:sz w:val="16"/>
          <w:szCs w:val="16"/>
        </w:rPr>
      </w:pPr>
      <w:r w:rsidRPr="002A5130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U</w:t>
      </w:r>
      <w:r w:rsidRPr="002A5130">
        <w:rPr>
          <w:sz w:val="16"/>
          <w:szCs w:val="16"/>
        </w:rPr>
        <w:t xml:space="preserve"> n</w:t>
      </w:r>
      <w:r>
        <w:rPr>
          <w:sz w:val="16"/>
          <w:szCs w:val="16"/>
        </w:rPr>
        <w:t>edostatku zaměstnanců šlo o strojírenství, kožedělný i obuvnický průmysl či výrobu dopravních prostředků (mimo automobily).</w:t>
      </w:r>
    </w:p>
  </w:footnote>
  <w:footnote w:id="18">
    <w:p w14:paraId="61C80EAB" w14:textId="77777777" w:rsidR="00D27F07" w:rsidRPr="00291A49" w:rsidRDefault="00D27F07" w:rsidP="00D27F07">
      <w:pPr>
        <w:pStyle w:val="Textpoznpodarou"/>
        <w:rPr>
          <w:sz w:val="16"/>
          <w:szCs w:val="16"/>
        </w:rPr>
      </w:pPr>
      <w:r w:rsidRPr="00291A49">
        <w:rPr>
          <w:rStyle w:val="Znakapoznpodarou"/>
          <w:sz w:val="16"/>
          <w:szCs w:val="16"/>
        </w:rPr>
        <w:footnoteRef/>
      </w:r>
      <w:r w:rsidRPr="00291A49">
        <w:rPr>
          <w:sz w:val="16"/>
          <w:szCs w:val="16"/>
        </w:rPr>
        <w:t xml:space="preserve"> Dle kon</w:t>
      </w:r>
      <w:r>
        <w:rPr>
          <w:sz w:val="16"/>
          <w:szCs w:val="16"/>
        </w:rPr>
        <w:t xml:space="preserve">junkturálních průzkumů z letošního srpna očekávalo </w:t>
      </w:r>
      <w:r w:rsidRPr="00291A49">
        <w:rPr>
          <w:sz w:val="16"/>
          <w:szCs w:val="16"/>
        </w:rPr>
        <w:t xml:space="preserve">růst cen vlastní produkce </w:t>
      </w:r>
      <w:r>
        <w:rPr>
          <w:sz w:val="16"/>
          <w:szCs w:val="16"/>
        </w:rPr>
        <w:t xml:space="preserve">(v horizontu tří měsíců) více než 40 % tuzemských </w:t>
      </w:r>
      <w:r w:rsidRPr="00291A49">
        <w:rPr>
          <w:sz w:val="16"/>
          <w:szCs w:val="16"/>
        </w:rPr>
        <w:t xml:space="preserve">stavebních podniků. I přes postupný pokles (který je však mírnější než v průmyslu či maloobchodu) šlo </w:t>
      </w:r>
      <w:r>
        <w:rPr>
          <w:sz w:val="16"/>
          <w:szCs w:val="16"/>
        </w:rPr>
        <w:t xml:space="preserve">zdaleka </w:t>
      </w:r>
      <w:r w:rsidRPr="00291A49">
        <w:rPr>
          <w:sz w:val="16"/>
          <w:szCs w:val="16"/>
        </w:rPr>
        <w:t>o nejvyšší podíl mezi všemi hlavními odvětvími v ČR.</w:t>
      </w:r>
    </w:p>
  </w:footnote>
  <w:footnote w:id="19">
    <w:p w14:paraId="52E7AF48" w14:textId="77777777" w:rsidR="00D27F07" w:rsidRPr="002D2942" w:rsidRDefault="00D27F07" w:rsidP="00D27F07">
      <w:pPr>
        <w:pStyle w:val="Textpoznpodarou"/>
        <w:jc w:val="both"/>
        <w:rPr>
          <w:sz w:val="16"/>
          <w:szCs w:val="16"/>
        </w:rPr>
      </w:pPr>
      <w:r w:rsidRPr="002D2942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D2942">
        <w:rPr>
          <w:rFonts w:cs="Arial"/>
          <w:color w:val="0D0D0D" w:themeColor="text1" w:themeTint="F2"/>
          <w:sz w:val="16"/>
          <w:szCs w:val="16"/>
        </w:rPr>
        <w:t xml:space="preserve"> Údaje o stavební produkci jsou ve stálých cenách, meziroční tempa jsou očištěna o kalendářní vlivy, mezičtvrtletní též o vliv sezónnosti.</w:t>
      </w:r>
    </w:p>
  </w:footnote>
  <w:footnote w:id="20">
    <w:p w14:paraId="1D3C2BFC" w14:textId="77777777" w:rsidR="00D27F07" w:rsidRDefault="00D27F07" w:rsidP="00D27F07">
      <w:pPr>
        <w:pStyle w:val="Textpoznpodarou"/>
      </w:pPr>
      <w:r w:rsidRPr="006E2FE1">
        <w:rPr>
          <w:rStyle w:val="Znakapoznpodarou"/>
          <w:sz w:val="16"/>
          <w:szCs w:val="16"/>
        </w:rPr>
        <w:footnoteRef/>
      </w:r>
      <w:r w:rsidRPr="006E2FE1">
        <w:rPr>
          <w:sz w:val="16"/>
          <w:szCs w:val="16"/>
        </w:rPr>
        <w:t xml:space="preserve"> Počet zahájených bytů v ČR v 1. pololetí 2022 byl ovšem relativně vysoký, když vyšplhal na úroveň</w:t>
      </w:r>
      <w:r>
        <w:t xml:space="preserve"> </w:t>
      </w:r>
      <w:r w:rsidRPr="006E2FE1">
        <w:rPr>
          <w:sz w:val="16"/>
          <w:szCs w:val="16"/>
        </w:rPr>
        <w:t>srovnatelnou s</w:t>
      </w:r>
      <w:r>
        <w:rPr>
          <w:sz w:val="16"/>
          <w:szCs w:val="16"/>
        </w:rPr>
        <w:t xml:space="preserve"> konjunkturním </w:t>
      </w:r>
      <w:r w:rsidRPr="006E2FE1">
        <w:rPr>
          <w:sz w:val="16"/>
          <w:szCs w:val="16"/>
        </w:rPr>
        <w:t>obdobím 2006 až 2008.</w:t>
      </w:r>
    </w:p>
  </w:footnote>
  <w:footnote w:id="21">
    <w:p w14:paraId="28701952" w14:textId="77777777" w:rsidR="00D27F07" w:rsidRDefault="00D27F07" w:rsidP="00D27F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44D9">
        <w:rPr>
          <w:sz w:val="16"/>
          <w:szCs w:val="16"/>
        </w:rPr>
        <w:t>Podniky mohly uvést více bariér současně</w:t>
      </w:r>
      <w:r>
        <w:rPr>
          <w:sz w:val="16"/>
          <w:szCs w:val="16"/>
        </w:rPr>
        <w:t>.</w:t>
      </w:r>
    </w:p>
  </w:footnote>
  <w:footnote w:id="22">
    <w:p w14:paraId="6F883029" w14:textId="77777777" w:rsidR="00D27F07" w:rsidRPr="00E62461" w:rsidRDefault="00D27F07" w:rsidP="00D27F07">
      <w:pPr>
        <w:spacing w:after="0" w:line="240" w:lineRule="auto"/>
        <w:rPr>
          <w:spacing w:val="-2"/>
        </w:rPr>
      </w:pPr>
      <w:r w:rsidRPr="00E62461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62461">
        <w:rPr>
          <w:color w:val="0D0D0D" w:themeColor="text1" w:themeTint="F2"/>
          <w:spacing w:val="-2"/>
          <w:sz w:val="16"/>
          <w:szCs w:val="16"/>
        </w:rPr>
        <w:t xml:space="preserve"> Bez obchodu, peněžnictví, pojišťovnictví, vědy, výzkumu a veřejných služeb. Všechny údaje za tržby ve službách jsou ve stálých cenách, meziroční data jsou očištěna o kalendářní vlivy, mezičtvrtletní jsou očištěna o sezónní vlivy (včetně vlivu počtu pracovních dnů).</w:t>
      </w:r>
    </w:p>
  </w:footnote>
  <w:footnote w:id="23">
    <w:p w14:paraId="56AC78C6" w14:textId="77777777" w:rsidR="00D27F07" w:rsidRDefault="00D27F07" w:rsidP="00D27F0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16"/>
          <w:szCs w:val="16"/>
        </w:rPr>
      </w:pPr>
      <w:r w:rsidRPr="00C429B4">
        <w:rPr>
          <w:rFonts w:ascii="Arial" w:eastAsia="Calibri" w:hAnsi="Arial"/>
          <w:sz w:val="16"/>
          <w:szCs w:val="16"/>
          <w:vertAlign w:val="superscript"/>
        </w:rPr>
        <w:footnoteRef/>
      </w:r>
      <w:r w:rsidRPr="00C429B4">
        <w:rPr>
          <w:rFonts w:ascii="Arial" w:eastAsia="Calibri" w:hAnsi="Arial"/>
          <w:sz w:val="16"/>
          <w:szCs w:val="16"/>
        </w:rPr>
        <w:t xml:space="preserve"> Počet hostů i jejich přenocování v hromadných ubytovacích zařízeních (HUZ) v ČR se meziročně zvyšoval devátý kvartál v řadě. </w:t>
      </w:r>
      <w:r>
        <w:rPr>
          <w:rFonts w:ascii="Arial" w:eastAsia="Calibri" w:hAnsi="Arial"/>
          <w:sz w:val="16"/>
          <w:szCs w:val="16"/>
        </w:rPr>
        <w:br/>
      </w:r>
      <w:r w:rsidRPr="00C429B4">
        <w:rPr>
          <w:rFonts w:ascii="Arial" w:eastAsia="Calibri" w:hAnsi="Arial"/>
          <w:sz w:val="16"/>
          <w:szCs w:val="16"/>
        </w:rPr>
        <w:t>V 1. pololetí 2023 tak přijelo o 21,9 % hostů více a jejich přenoc</w:t>
      </w:r>
      <w:r>
        <w:rPr>
          <w:rFonts w:ascii="Arial" w:eastAsia="Calibri" w:hAnsi="Arial"/>
          <w:sz w:val="16"/>
          <w:szCs w:val="16"/>
        </w:rPr>
        <w:t>ování přibylo o 19,2 %. K růst</w:t>
      </w:r>
      <w:r w:rsidRPr="00C429B4">
        <w:rPr>
          <w:rFonts w:ascii="Arial" w:eastAsia="Calibri" w:hAnsi="Arial"/>
          <w:sz w:val="16"/>
          <w:szCs w:val="16"/>
        </w:rPr>
        <w:t>u počtu přenocování letos (stejně jako po celé 2. pololetí 2022) z drtivé většiny přispěli zahraniční hosté, neb</w:t>
      </w:r>
      <w:r>
        <w:rPr>
          <w:rFonts w:ascii="Arial" w:eastAsia="Calibri" w:hAnsi="Arial"/>
          <w:sz w:val="16"/>
          <w:szCs w:val="16"/>
        </w:rPr>
        <w:t>oť přenocování rezidentů se navýšila</w:t>
      </w:r>
      <w:r w:rsidRPr="00C429B4">
        <w:rPr>
          <w:rFonts w:ascii="Arial" w:eastAsia="Calibri" w:hAnsi="Arial"/>
          <w:sz w:val="16"/>
          <w:szCs w:val="16"/>
        </w:rPr>
        <w:t xml:space="preserve"> jen o 3,8 % (nerezidentů </w:t>
      </w:r>
      <w:r>
        <w:rPr>
          <w:rFonts w:ascii="Arial" w:eastAsia="Calibri" w:hAnsi="Arial"/>
          <w:sz w:val="16"/>
          <w:szCs w:val="16"/>
        </w:rPr>
        <w:br/>
      </w:r>
      <w:r w:rsidRPr="00C429B4">
        <w:rPr>
          <w:rFonts w:ascii="Arial" w:eastAsia="Calibri" w:hAnsi="Arial"/>
          <w:sz w:val="16"/>
          <w:szCs w:val="16"/>
        </w:rPr>
        <w:t xml:space="preserve">o 47,8 %). V samotném 2. čtvrtletí se letos </w:t>
      </w:r>
      <w:r>
        <w:rPr>
          <w:rFonts w:ascii="Arial" w:eastAsia="Calibri" w:hAnsi="Arial"/>
          <w:sz w:val="16"/>
          <w:szCs w:val="16"/>
        </w:rPr>
        <w:t>v</w:t>
      </w:r>
      <w:r w:rsidRPr="00C429B4">
        <w:rPr>
          <w:rFonts w:ascii="Arial" w:eastAsia="Calibri" w:hAnsi="Arial"/>
          <w:sz w:val="16"/>
          <w:szCs w:val="16"/>
        </w:rPr>
        <w:t>ýkon cestovní</w:t>
      </w:r>
      <w:r>
        <w:rPr>
          <w:rFonts w:ascii="Arial" w:eastAsia="Calibri" w:hAnsi="Arial"/>
          <w:sz w:val="16"/>
          <w:szCs w:val="16"/>
        </w:rPr>
        <w:t>ho</w:t>
      </w:r>
      <w:r w:rsidRPr="00C429B4">
        <w:rPr>
          <w:rFonts w:ascii="Arial" w:eastAsia="Calibri" w:hAnsi="Arial"/>
          <w:sz w:val="16"/>
          <w:szCs w:val="16"/>
        </w:rPr>
        <w:t xml:space="preserve"> ruchu </w:t>
      </w:r>
      <w:r>
        <w:rPr>
          <w:rFonts w:ascii="Arial" w:eastAsia="Calibri" w:hAnsi="Arial"/>
          <w:sz w:val="16"/>
          <w:szCs w:val="16"/>
        </w:rPr>
        <w:t>poprvé výrazně přiblížil úrovni</w:t>
      </w:r>
      <w:r w:rsidRPr="00C429B4">
        <w:rPr>
          <w:rFonts w:ascii="Arial" w:eastAsia="Calibri" w:hAnsi="Arial"/>
          <w:sz w:val="16"/>
          <w:szCs w:val="16"/>
        </w:rPr>
        <w:t xml:space="preserve"> ze shodného období roku 2019 </w:t>
      </w:r>
      <w:r>
        <w:rPr>
          <w:rFonts w:ascii="Arial" w:eastAsia="Calibri" w:hAnsi="Arial"/>
          <w:sz w:val="16"/>
          <w:szCs w:val="16"/>
        </w:rPr>
        <w:t>–</w:t>
      </w:r>
      <w:r w:rsidRPr="00C429B4">
        <w:rPr>
          <w:rFonts w:ascii="Arial" w:eastAsia="Calibri" w:hAnsi="Arial"/>
          <w:sz w:val="16"/>
          <w:szCs w:val="16"/>
        </w:rPr>
        <w:t xml:space="preserve"> počet všech přenocování byl nižší jen o necelá 2 %, u zahraničních hostů však stále o významných 15 % (domácí cestovní ruch se </w:t>
      </w:r>
      <w:r>
        <w:rPr>
          <w:rFonts w:ascii="Arial" w:eastAsia="Calibri" w:hAnsi="Arial"/>
          <w:sz w:val="16"/>
          <w:szCs w:val="16"/>
        </w:rPr>
        <w:t>již v létě 2021 zotavil z „</w:t>
      </w:r>
      <w:r w:rsidRPr="00C429B4">
        <w:rPr>
          <w:rFonts w:ascii="Arial" w:eastAsia="Calibri" w:hAnsi="Arial"/>
          <w:sz w:val="16"/>
          <w:szCs w:val="16"/>
        </w:rPr>
        <w:t>covidového šoku</w:t>
      </w:r>
      <w:r>
        <w:rPr>
          <w:rFonts w:ascii="Arial" w:eastAsia="Calibri" w:hAnsi="Arial"/>
          <w:sz w:val="16"/>
          <w:szCs w:val="16"/>
        </w:rPr>
        <w:t>“</w:t>
      </w:r>
      <w:r w:rsidRPr="00C429B4">
        <w:rPr>
          <w:rFonts w:ascii="Arial" w:eastAsia="Calibri" w:hAnsi="Arial"/>
          <w:sz w:val="16"/>
          <w:szCs w:val="16"/>
        </w:rPr>
        <w:t>). </w:t>
      </w:r>
      <w:r>
        <w:rPr>
          <w:rFonts w:ascii="Arial" w:eastAsia="Calibri" w:hAnsi="Arial"/>
          <w:sz w:val="16"/>
          <w:szCs w:val="16"/>
        </w:rPr>
        <w:t>Ubyto</w:t>
      </w:r>
      <w:r w:rsidRPr="00C429B4">
        <w:rPr>
          <w:rFonts w:ascii="Arial" w:eastAsia="Calibri" w:hAnsi="Arial"/>
          <w:sz w:val="16"/>
          <w:szCs w:val="16"/>
        </w:rPr>
        <w:t xml:space="preserve">vaných hostů přibylo oproti 2. čtvrtletí 2022 ve všech regionech </w:t>
      </w:r>
      <w:r>
        <w:rPr>
          <w:rFonts w:ascii="Arial" w:eastAsia="Calibri" w:hAnsi="Arial"/>
          <w:sz w:val="16"/>
          <w:szCs w:val="16"/>
        </w:rPr>
        <w:t>–</w:t>
      </w:r>
      <w:r w:rsidRPr="00C429B4">
        <w:rPr>
          <w:rFonts w:ascii="Arial" w:eastAsia="Calibri" w:hAnsi="Arial"/>
          <w:sz w:val="16"/>
          <w:szCs w:val="16"/>
        </w:rPr>
        <w:t xml:space="preserve"> nejvíce v Praze </w:t>
      </w:r>
      <w:r>
        <w:rPr>
          <w:rFonts w:ascii="Arial" w:eastAsia="Calibri" w:hAnsi="Arial"/>
          <w:sz w:val="16"/>
          <w:szCs w:val="16"/>
        </w:rPr>
        <w:br/>
      </w:r>
      <w:r w:rsidRPr="00C429B4">
        <w:rPr>
          <w:rFonts w:ascii="Arial" w:eastAsia="Calibri" w:hAnsi="Arial"/>
          <w:sz w:val="16"/>
          <w:szCs w:val="16"/>
        </w:rPr>
        <w:t xml:space="preserve">a Karlovarském kraji (shodně zhruba o pětinu), nejméně na Vysočině (+5 %) a </w:t>
      </w:r>
      <w:r>
        <w:rPr>
          <w:rFonts w:ascii="Arial" w:eastAsia="Calibri" w:hAnsi="Arial"/>
          <w:sz w:val="16"/>
          <w:szCs w:val="16"/>
        </w:rPr>
        <w:t xml:space="preserve">v </w:t>
      </w:r>
      <w:r w:rsidRPr="00C429B4">
        <w:rPr>
          <w:rFonts w:ascii="Arial" w:eastAsia="Calibri" w:hAnsi="Arial"/>
          <w:sz w:val="16"/>
          <w:szCs w:val="16"/>
        </w:rPr>
        <w:t>Plzeňském kraji (+7 %). Ve většině krajů (vyjma Královéhradeckého, Pardubického a Olomouckého) přispěli k růstu návštěvnosti primárně cizinci. V Praze a Jihomoravském kraji počet tuzemských hostů meziročně dokonce jen stagnoval. </w:t>
      </w:r>
    </w:p>
    <w:p w14:paraId="31A222B7" w14:textId="77777777" w:rsidR="00D27F07" w:rsidRPr="00C429B4" w:rsidRDefault="00D27F07" w:rsidP="00D27F0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16"/>
          <w:szCs w:val="16"/>
        </w:rPr>
      </w:pPr>
      <w:r w:rsidRPr="00C429B4">
        <w:rPr>
          <w:rFonts w:ascii="Arial" w:eastAsia="Calibri" w:hAnsi="Arial"/>
          <w:sz w:val="16"/>
          <w:szCs w:val="16"/>
        </w:rPr>
        <w:t xml:space="preserve">K meziročnímu růstu návštěvnosti nejvíce přispěli </w:t>
      </w:r>
      <w:r>
        <w:rPr>
          <w:rFonts w:ascii="Arial" w:eastAsia="Calibri" w:hAnsi="Arial"/>
          <w:sz w:val="16"/>
          <w:szCs w:val="16"/>
        </w:rPr>
        <w:t xml:space="preserve">ve 2. čtvrtletí </w:t>
      </w:r>
      <w:r w:rsidRPr="00C429B4">
        <w:rPr>
          <w:rFonts w:ascii="Arial" w:eastAsia="Calibri" w:hAnsi="Arial"/>
          <w:sz w:val="16"/>
          <w:szCs w:val="16"/>
        </w:rPr>
        <w:t xml:space="preserve">hosté z Německa (+116 tis.), Jižní Korey (+52 tis.), Polska (+47 tis.) </w:t>
      </w:r>
      <w:r>
        <w:rPr>
          <w:rFonts w:ascii="Arial" w:eastAsia="Calibri" w:hAnsi="Arial"/>
          <w:sz w:val="16"/>
          <w:szCs w:val="16"/>
        </w:rPr>
        <w:br/>
      </w:r>
      <w:r w:rsidRPr="00C429B4">
        <w:rPr>
          <w:rFonts w:ascii="Arial" w:eastAsia="Calibri" w:hAnsi="Arial"/>
          <w:sz w:val="16"/>
          <w:szCs w:val="16"/>
        </w:rPr>
        <w:t>a USA (+37 tis.). K obnovování vazeb se vzdálenějšími státy pomohly přípravy, resp. otevření nových přímých leteckých linek do Prahy (ze Soulu, Tchai-peie). Naopak jen minimální vazby v turismu přetrvávaly s Ruskem</w:t>
      </w:r>
      <w:r>
        <w:rPr>
          <w:rFonts w:ascii="Arial" w:eastAsia="Calibri" w:hAnsi="Arial"/>
          <w:sz w:val="16"/>
          <w:szCs w:val="16"/>
        </w:rPr>
        <w:t xml:space="preserve">, zhoršená geopolitická situace </w:t>
      </w:r>
      <w:r w:rsidRPr="00C429B4">
        <w:rPr>
          <w:rFonts w:ascii="Arial" w:eastAsia="Calibri" w:hAnsi="Arial"/>
          <w:sz w:val="16"/>
          <w:szCs w:val="16"/>
        </w:rPr>
        <w:t xml:space="preserve">se patrně promítla </w:t>
      </w:r>
      <w:r>
        <w:rPr>
          <w:rFonts w:ascii="Arial" w:eastAsia="Calibri" w:hAnsi="Arial"/>
          <w:sz w:val="16"/>
          <w:szCs w:val="16"/>
        </w:rPr>
        <w:br/>
      </w:r>
      <w:r w:rsidRPr="00C429B4">
        <w:rPr>
          <w:rFonts w:ascii="Arial" w:eastAsia="Calibri" w:hAnsi="Arial"/>
          <w:sz w:val="16"/>
          <w:szCs w:val="16"/>
        </w:rPr>
        <w:t>i do meziročního poklesu ubytovaných hostů z Izraele (</w:t>
      </w:r>
      <w:r>
        <w:rPr>
          <w:rFonts w:ascii="Arial" w:eastAsia="Calibri" w:hAnsi="Arial"/>
          <w:sz w:val="16"/>
          <w:szCs w:val="16"/>
        </w:rPr>
        <w:t>−</w:t>
      </w:r>
      <w:r w:rsidRPr="00C429B4">
        <w:rPr>
          <w:rFonts w:ascii="Arial" w:eastAsia="Calibri" w:hAnsi="Arial"/>
          <w:sz w:val="16"/>
          <w:szCs w:val="16"/>
        </w:rPr>
        <w:t>10 %). Oproti 2. čtvrtletí 2019 přijelo do ČR znatelně více hostů ze všech sousedních států (ze Slovenska dokonce skoro o 20 %), z ostatních významnějších partnerských zemí (top 30 z roku 2019) ale již jen z Nizozemska.</w:t>
      </w:r>
    </w:p>
  </w:footnote>
  <w:footnote w:id="24">
    <w:p w14:paraId="341A97B4" w14:textId="77777777" w:rsidR="00D27F07" w:rsidRPr="00880DA8" w:rsidRDefault="00D27F07" w:rsidP="00D27F07">
      <w:pPr>
        <w:pStyle w:val="Textpoznpodarou"/>
        <w:rPr>
          <w:sz w:val="16"/>
          <w:szCs w:val="16"/>
        </w:rPr>
      </w:pPr>
      <w:r w:rsidRPr="00880DA8">
        <w:rPr>
          <w:rStyle w:val="Znakapoznpodarou"/>
          <w:sz w:val="16"/>
          <w:szCs w:val="16"/>
        </w:rPr>
        <w:footnoteRef/>
      </w:r>
      <w:r w:rsidRPr="00880DA8">
        <w:rPr>
          <w:sz w:val="16"/>
          <w:szCs w:val="16"/>
        </w:rPr>
        <w:t xml:space="preserve"> Ty zahrnují činnosti související se zpracováním dat a hostingem</w:t>
      </w:r>
      <w:r>
        <w:rPr>
          <w:sz w:val="16"/>
          <w:szCs w:val="16"/>
        </w:rPr>
        <w:t>, webovými portály a dále</w:t>
      </w:r>
      <w:r w:rsidRPr="00880DA8">
        <w:rPr>
          <w:sz w:val="16"/>
          <w:szCs w:val="16"/>
        </w:rPr>
        <w:t xml:space="preserve"> </w:t>
      </w:r>
      <w:r>
        <w:rPr>
          <w:sz w:val="16"/>
          <w:szCs w:val="16"/>
        </w:rPr>
        <w:t>zpravodajské tiskové kanceláře</w:t>
      </w:r>
      <w:r w:rsidRPr="00880DA8">
        <w:rPr>
          <w:sz w:val="16"/>
          <w:szCs w:val="16"/>
        </w:rPr>
        <w:t xml:space="preserve"> a agentur</w:t>
      </w:r>
      <w:r>
        <w:rPr>
          <w:sz w:val="16"/>
          <w:szCs w:val="16"/>
        </w:rPr>
        <w:t>y</w:t>
      </w:r>
      <w:r w:rsidRPr="00880DA8">
        <w:rPr>
          <w:sz w:val="16"/>
          <w:szCs w:val="16"/>
        </w:rPr>
        <w:t>.</w:t>
      </w:r>
    </w:p>
  </w:footnote>
  <w:footnote w:id="25">
    <w:p w14:paraId="7B3AAA55" w14:textId="77777777" w:rsidR="00D27F07" w:rsidRDefault="00D27F07" w:rsidP="00D27F07">
      <w:pPr>
        <w:pStyle w:val="Textpoznpodarou"/>
      </w:pPr>
      <w:r w:rsidRPr="002622F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O něco l</w:t>
      </w:r>
      <w:r w:rsidRPr="002622F6">
        <w:rPr>
          <w:sz w:val="16"/>
          <w:szCs w:val="16"/>
        </w:rPr>
        <w:t xml:space="preserve">épe se vedlo segmentu filmové distribuce. </w:t>
      </w:r>
      <w:r w:rsidRPr="002622F6">
        <w:rPr>
          <w:rFonts w:cs="Arial"/>
          <w:color w:val="0D0D0D" w:themeColor="text1" w:themeTint="F2"/>
          <w:spacing w:val="-3"/>
          <w:sz w:val="16"/>
          <w:szCs w:val="16"/>
        </w:rPr>
        <w:t>Dle</w:t>
      </w:r>
      <w:r w:rsidRPr="00EB7D87">
        <w:rPr>
          <w:rFonts w:cs="Arial"/>
          <w:color w:val="0D0D0D" w:themeColor="text1" w:themeTint="F2"/>
          <w:spacing w:val="-3"/>
          <w:sz w:val="16"/>
          <w:szCs w:val="16"/>
        </w:rPr>
        <w:t xml:space="preserve"> údajů </w:t>
      </w:r>
      <w:r>
        <w:rPr>
          <w:spacing w:val="-3"/>
          <w:sz w:val="16"/>
          <w:szCs w:val="16"/>
        </w:rPr>
        <w:t xml:space="preserve">Unie filmových distributorů vzrostly v 1. pololetí 2023 hrubé nominální tržby provozovatelů tuzemských kin meziročně o necelá 2 %. Celková návštěvnost však vlivem slabších letošních výsledků ve 2. čtvrtletí v celém </w:t>
      </w:r>
      <w:r>
        <w:rPr>
          <w:spacing w:val="-3"/>
          <w:sz w:val="16"/>
          <w:szCs w:val="16"/>
        </w:rPr>
        <w:br/>
        <w:t>1. pololetí klesla o 6,1 %. Ve srovnání s rekordním rokem 2019 letos scházela skoro třetina diváků a tržby zaostávaly bezmála o pětinu (avšak počet odehraných představení byl nižší jen o necelých 7 %).</w:t>
      </w:r>
    </w:p>
  </w:footnote>
  <w:footnote w:id="26">
    <w:p w14:paraId="14A565D5" w14:textId="77777777" w:rsidR="00D27F07" w:rsidRPr="00EB7D87" w:rsidRDefault="00D27F07" w:rsidP="00D27F07">
      <w:pPr>
        <w:spacing w:after="0" w:line="240" w:lineRule="auto"/>
        <w:rPr>
          <w:spacing w:val="-2"/>
        </w:rPr>
      </w:pPr>
      <w:r w:rsidRPr="00EB7D87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B7D87">
        <w:rPr>
          <w:color w:val="0D0D0D" w:themeColor="text1" w:themeTint="F2"/>
          <w:spacing w:val="-2"/>
          <w:sz w:val="16"/>
          <w:szCs w:val="16"/>
        </w:rPr>
        <w:t xml:space="preserve"> Všechna meziroční tempa tržeb za maloobchod jsou uvedena ve stálých cenách a očištěna o kalendářní vlivy, mezičtvrtletní </w:t>
      </w:r>
      <w:r>
        <w:rPr>
          <w:color w:val="0D0D0D" w:themeColor="text1" w:themeTint="F2"/>
          <w:spacing w:val="-2"/>
          <w:sz w:val="16"/>
          <w:szCs w:val="16"/>
        </w:rPr>
        <w:br/>
        <w:t>i meziměsíční</w:t>
      </w:r>
      <w:r w:rsidRPr="00EB7D87">
        <w:rPr>
          <w:color w:val="0D0D0D" w:themeColor="text1" w:themeTint="F2"/>
          <w:spacing w:val="-2"/>
          <w:sz w:val="16"/>
          <w:szCs w:val="16"/>
        </w:rPr>
        <w:t xml:space="preserve"> tempa jsou očištěna o sezónní vlivy (včetně vlivu počtu pracovních dnů). Maloobchod zahrnuje odvětví CZ-NACE 47.</w:t>
      </w:r>
    </w:p>
  </w:footnote>
  <w:footnote w:id="27">
    <w:p w14:paraId="28406609" w14:textId="77777777" w:rsidR="00D27F07" w:rsidRPr="007C4D84" w:rsidRDefault="00D27F07" w:rsidP="00D27F07">
      <w:pPr>
        <w:pStyle w:val="Textpoznpodarou"/>
        <w:rPr>
          <w:sz w:val="16"/>
          <w:szCs w:val="16"/>
        </w:rPr>
      </w:pPr>
      <w:r w:rsidRPr="007C4D84">
        <w:rPr>
          <w:rStyle w:val="Znakapoznpodarou"/>
          <w:sz w:val="16"/>
          <w:szCs w:val="16"/>
        </w:rPr>
        <w:footnoteRef/>
      </w:r>
      <w:r w:rsidRPr="007C4D84">
        <w:rPr>
          <w:sz w:val="16"/>
          <w:szCs w:val="16"/>
        </w:rPr>
        <w:t xml:space="preserve"> Ten dosáhl loni v říjnu nejvyšší hodnoty od krizového roku 1999. V následujících měsících se </w:t>
      </w:r>
      <w:r>
        <w:rPr>
          <w:sz w:val="16"/>
          <w:szCs w:val="16"/>
        </w:rPr>
        <w:t xml:space="preserve">postupně zvyšovala důvěra domácností </w:t>
      </w:r>
      <w:r w:rsidRPr="007C4D84">
        <w:rPr>
          <w:sz w:val="16"/>
          <w:szCs w:val="16"/>
        </w:rPr>
        <w:t>i v souvislosti se zlepšováním situace s dostupností a cenovým vývojem klíčových energetických komodit v Evropě.</w:t>
      </w:r>
      <w:r>
        <w:rPr>
          <w:sz w:val="16"/>
          <w:szCs w:val="16"/>
        </w:rPr>
        <w:t xml:space="preserve"> Letos v červenci tak dosáhl pesimismus spotřebitelů fakticky nejnižší úrovně od počátku ruské invaze na Ukrajinu. </w:t>
      </w:r>
    </w:p>
  </w:footnote>
  <w:footnote w:id="28">
    <w:p w14:paraId="49972FF3" w14:textId="77777777" w:rsidR="00D27F07" w:rsidRPr="006C5EA8" w:rsidRDefault="00D27F07" w:rsidP="00D27F07">
      <w:pPr>
        <w:pStyle w:val="Textpoznpodarou"/>
        <w:rPr>
          <w:sz w:val="16"/>
          <w:szCs w:val="16"/>
        </w:rPr>
      </w:pPr>
      <w:r w:rsidRPr="006C5EA8">
        <w:rPr>
          <w:rStyle w:val="Znakapoznpodarou"/>
          <w:sz w:val="16"/>
          <w:szCs w:val="16"/>
        </w:rPr>
        <w:footnoteRef/>
      </w:r>
      <w:r w:rsidRPr="006C5EA8">
        <w:rPr>
          <w:sz w:val="16"/>
          <w:szCs w:val="16"/>
        </w:rPr>
        <w:t xml:space="preserve"> Odhlédneme-li od období pandemických uzávěr ekonomiky, byla aktuální důvěra v obchodě nejnižší od poloviny roku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A0121" w:rsidRDefault="00DA0121" w:rsidP="00937AE2">
    <w:pPr>
      <w:pStyle w:val="Zhlav"/>
    </w:pPr>
    <w:r>
      <w:t>Vývoj ekonomiky České republiky</w:t>
    </w:r>
  </w:p>
  <w:p w14:paraId="3E881AB3" w14:textId="77777777" w:rsidR="00DA0121" w:rsidRPr="006F5416" w:rsidRDefault="00DA012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A0121" w:rsidRDefault="00DA0121" w:rsidP="00937AE2">
    <w:pPr>
      <w:pStyle w:val="Zhlav"/>
    </w:pPr>
    <w:r>
      <w:t>Vývoj ekonomiky České republiky</w:t>
    </w:r>
  </w:p>
  <w:p w14:paraId="57266714" w14:textId="77777777" w:rsidR="00DA0121" w:rsidRPr="006F5416" w:rsidRDefault="00DA012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72A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4E48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4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2q%202023\Odv&#283;tv&#237;\Odv&#283;tv&#237;_grafy-2q-2023-ak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2q%202023\Odv&#283;tv&#237;\Odv&#283;tv&#237;_grafy-2q-2023-ak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2q%202023\Odv&#283;tv&#237;\Odv&#283;tv&#237;_grafy-2q-2023-ak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Makro-2023\2q%202023\Odv&#283;tv&#237;\Odv&#283;tv&#237;_grafy-2q-2023-ak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Makro-2023\2q%202023\Odv&#283;tv&#237;\Odv&#283;tv&#237;_grafy-2q-2023-ak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610992424025109E-2"/>
          <c:y val="1.5804777005479883E-2"/>
          <c:w val="0.84419102795189604"/>
          <c:h val="0.691357124810717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IPP'!$R$27:$AY$27</c:f>
              <c:numCache>
                <c:formatCode>0.0</c:formatCode>
                <c:ptCount val="34"/>
                <c:pt idx="0">
                  <c:v>1.5414336001551836</c:v>
                </c:pt>
                <c:pt idx="1">
                  <c:v>2.1741500812415602</c:v>
                </c:pt>
                <c:pt idx="2">
                  <c:v>2.3807451285231696</c:v>
                </c:pt>
                <c:pt idx="3">
                  <c:v>2.8689756615217954</c:v>
                </c:pt>
                <c:pt idx="4">
                  <c:v>3.3341210196737827</c:v>
                </c:pt>
                <c:pt idx="5">
                  <c:v>2.686672264317759</c:v>
                </c:pt>
                <c:pt idx="6">
                  <c:v>1.4809491976121276</c:v>
                </c:pt>
                <c:pt idx="7">
                  <c:v>1.0295786410238899</c:v>
                </c:pt>
                <c:pt idx="8">
                  <c:v>1.7176851530772046</c:v>
                </c:pt>
                <c:pt idx="9">
                  <c:v>2.162430036953364</c:v>
                </c:pt>
                <c:pt idx="10">
                  <c:v>1.6010808371876544</c:v>
                </c:pt>
                <c:pt idx="11">
                  <c:v>1.6765308689366043</c:v>
                </c:pt>
                <c:pt idx="12">
                  <c:v>0.76463369901420963</c:v>
                </c:pt>
                <c:pt idx="13">
                  <c:v>0.53745054525373026</c:v>
                </c:pt>
                <c:pt idx="14">
                  <c:v>0.24390176608722364</c:v>
                </c:pt>
                <c:pt idx="15">
                  <c:v>0.97145099568383719</c:v>
                </c:pt>
                <c:pt idx="16">
                  <c:v>-0.22653642884122777</c:v>
                </c:pt>
                <c:pt idx="17">
                  <c:v>0.48861091853368632</c:v>
                </c:pt>
                <c:pt idx="18">
                  <c:v>0.80855917746087291</c:v>
                </c:pt>
                <c:pt idx="19">
                  <c:v>-1.0897983527427599</c:v>
                </c:pt>
                <c:pt idx="20">
                  <c:v>-1.5435543851935798</c:v>
                </c:pt>
                <c:pt idx="21">
                  <c:v>-9.4039632081130193</c:v>
                </c:pt>
                <c:pt idx="22">
                  <c:v>-0.18743733484121575</c:v>
                </c:pt>
                <c:pt idx="23">
                  <c:v>2.0451875585567296</c:v>
                </c:pt>
                <c:pt idx="24">
                  <c:v>1.8998981300154258</c:v>
                </c:pt>
                <c:pt idx="25">
                  <c:v>10.981696435394754</c:v>
                </c:pt>
                <c:pt idx="26">
                  <c:v>-3.7777447309199408</c:v>
                </c:pt>
                <c:pt idx="27">
                  <c:v>-3.2745552925864532</c:v>
                </c:pt>
                <c:pt idx="28">
                  <c:v>-1.9134308617559561</c:v>
                </c:pt>
                <c:pt idx="29">
                  <c:v>6.7346726305186552E-2</c:v>
                </c:pt>
                <c:pt idx="30">
                  <c:v>5.6261275361156651</c:v>
                </c:pt>
                <c:pt idx="31">
                  <c:v>4.0481059565611357</c:v>
                </c:pt>
                <c:pt idx="32">
                  <c:v>4.8724307805941338</c:v>
                </c:pt>
                <c:pt idx="33">
                  <c:v>4.8421310753709568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B7-48CF-820C-4AF7ABBD47EF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IPP'!$R$28:$AY$28</c:f>
              <c:numCache>
                <c:formatCode>0.0</c:formatCode>
                <c:ptCount val="34"/>
                <c:pt idx="0">
                  <c:v>1.0327842576995614</c:v>
                </c:pt>
                <c:pt idx="1">
                  <c:v>1.2398193770878803</c:v>
                </c:pt>
                <c:pt idx="2">
                  <c:v>1.4194520754584399</c:v>
                </c:pt>
                <c:pt idx="3">
                  <c:v>0.62945179373892213</c:v>
                </c:pt>
                <c:pt idx="4">
                  <c:v>0.81066950070394839</c:v>
                </c:pt>
                <c:pt idx="5">
                  <c:v>0.15910929112689315</c:v>
                </c:pt>
                <c:pt idx="6">
                  <c:v>0.27430884251769189</c:v>
                </c:pt>
                <c:pt idx="7">
                  <c:v>0.42966812397126047</c:v>
                </c:pt>
                <c:pt idx="8">
                  <c:v>0.81190885185629913</c:v>
                </c:pt>
                <c:pt idx="9">
                  <c:v>1.4478162783570216</c:v>
                </c:pt>
                <c:pt idx="10">
                  <c:v>0.86831270392558868</c:v>
                </c:pt>
                <c:pt idx="11">
                  <c:v>1.6467937182997419</c:v>
                </c:pt>
                <c:pt idx="12">
                  <c:v>0.99355825089751959</c:v>
                </c:pt>
                <c:pt idx="13">
                  <c:v>0.32981714268582202</c:v>
                </c:pt>
                <c:pt idx="14">
                  <c:v>0.43066392508053108</c:v>
                </c:pt>
                <c:pt idx="15">
                  <c:v>-5.4042637097958611E-2</c:v>
                </c:pt>
                <c:pt idx="16">
                  <c:v>0.52511448325990218</c:v>
                </c:pt>
                <c:pt idx="17">
                  <c:v>0.41827161057405132</c:v>
                </c:pt>
                <c:pt idx="18">
                  <c:v>0.20321919004157399</c:v>
                </c:pt>
                <c:pt idx="19">
                  <c:v>0.40664545615593128</c:v>
                </c:pt>
                <c:pt idx="20">
                  <c:v>-0.54518803499189361</c:v>
                </c:pt>
                <c:pt idx="21">
                  <c:v>-4.0594843067761044</c:v>
                </c:pt>
                <c:pt idx="22">
                  <c:v>-0.42308415860457271</c:v>
                </c:pt>
                <c:pt idx="23">
                  <c:v>0.57531703991443739</c:v>
                </c:pt>
                <c:pt idx="24">
                  <c:v>0.72127374997619453</c:v>
                </c:pt>
                <c:pt idx="25">
                  <c:v>5.5133080211538479</c:v>
                </c:pt>
                <c:pt idx="26">
                  <c:v>0.63109141066247476</c:v>
                </c:pt>
                <c:pt idx="27">
                  <c:v>-0.40575686667122407</c:v>
                </c:pt>
                <c:pt idx="28">
                  <c:v>9.4281733767757503E-2</c:v>
                </c:pt>
                <c:pt idx="29">
                  <c:v>0.14521370184093607</c:v>
                </c:pt>
                <c:pt idx="30">
                  <c:v>0.5333658281425756</c:v>
                </c:pt>
                <c:pt idx="31">
                  <c:v>0.60873804206286231</c:v>
                </c:pt>
                <c:pt idx="32">
                  <c:v>0.18587396804024281</c:v>
                </c:pt>
                <c:pt idx="33">
                  <c:v>7.4362013451117717E-2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B7-48CF-820C-4AF7ABBD47EF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IPP'!$R$29:$AY$29</c:f>
              <c:numCache>
                <c:formatCode>0.0</c:formatCode>
                <c:ptCount val="34"/>
                <c:pt idx="0">
                  <c:v>0.27352741322260504</c:v>
                </c:pt>
                <c:pt idx="1">
                  <c:v>0.29435778863230155</c:v>
                </c:pt>
                <c:pt idx="2">
                  <c:v>0.38381901893821552</c:v>
                </c:pt>
                <c:pt idx="3">
                  <c:v>1.9907538862099922E-2</c:v>
                </c:pt>
                <c:pt idx="4">
                  <c:v>0.36213267281302258</c:v>
                </c:pt>
                <c:pt idx="5">
                  <c:v>-6.5064708510287728E-2</c:v>
                </c:pt>
                <c:pt idx="6">
                  <c:v>0.19502661099256188</c:v>
                </c:pt>
                <c:pt idx="7">
                  <c:v>0.31976595271137093</c:v>
                </c:pt>
                <c:pt idx="8">
                  <c:v>0.36260721751312475</c:v>
                </c:pt>
                <c:pt idx="9">
                  <c:v>1.0676230430151585</c:v>
                </c:pt>
                <c:pt idx="10">
                  <c:v>0.84856622097502898</c:v>
                </c:pt>
                <c:pt idx="11">
                  <c:v>0.8011679796708624</c:v>
                </c:pt>
                <c:pt idx="12">
                  <c:v>0.47154480134890697</c:v>
                </c:pt>
                <c:pt idx="13">
                  <c:v>0.14539794495792599</c:v>
                </c:pt>
                <c:pt idx="14">
                  <c:v>0.18518957990291937</c:v>
                </c:pt>
                <c:pt idx="15">
                  <c:v>-0.19190856298894723</c:v>
                </c:pt>
                <c:pt idx="16">
                  <c:v>0.14248219231403378</c:v>
                </c:pt>
                <c:pt idx="17">
                  <c:v>-2.1421773901395606E-2</c:v>
                </c:pt>
                <c:pt idx="18">
                  <c:v>-0.25698546548398382</c:v>
                </c:pt>
                <c:pt idx="19">
                  <c:v>-0.1385976419695116</c:v>
                </c:pt>
                <c:pt idx="20">
                  <c:v>-0.69677730727295739</c:v>
                </c:pt>
                <c:pt idx="21">
                  <c:v>-2.1434069100206701</c:v>
                </c:pt>
                <c:pt idx="22">
                  <c:v>-0.80071965285565583</c:v>
                </c:pt>
                <c:pt idx="23">
                  <c:v>-0.53337369043417615</c:v>
                </c:pt>
                <c:pt idx="24">
                  <c:v>7.0388429332234728E-2</c:v>
                </c:pt>
                <c:pt idx="25">
                  <c:v>2.1082132332125232</c:v>
                </c:pt>
                <c:pt idx="26">
                  <c:v>0.54002718228061808</c:v>
                </c:pt>
                <c:pt idx="27">
                  <c:v>0.28651169955913558</c:v>
                </c:pt>
                <c:pt idx="28">
                  <c:v>0.38093703992586597</c:v>
                </c:pt>
                <c:pt idx="29">
                  <c:v>0.10479825284280032</c:v>
                </c:pt>
                <c:pt idx="30">
                  <c:v>0.49700568632045139</c:v>
                </c:pt>
                <c:pt idx="31">
                  <c:v>0.65908299677033788</c:v>
                </c:pt>
                <c:pt idx="32">
                  <c:v>0.3321818252275528</c:v>
                </c:pt>
                <c:pt idx="33">
                  <c:v>0.3482266848343149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B7-48CF-820C-4AF7ABBD47EF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IPP'!$R$30:$AY$30</c:f>
              <c:numCache>
                <c:formatCode>0.0</c:formatCode>
                <c:ptCount val="34"/>
                <c:pt idx="0">
                  <c:v>0.69497691812608697</c:v>
                </c:pt>
                <c:pt idx="1">
                  <c:v>0.7850872599759442</c:v>
                </c:pt>
                <c:pt idx="2">
                  <c:v>0.99073344247385264</c:v>
                </c:pt>
                <c:pt idx="3">
                  <c:v>0.60112803930591463</c:v>
                </c:pt>
                <c:pt idx="4">
                  <c:v>0.8056510855242317</c:v>
                </c:pt>
                <c:pt idx="5">
                  <c:v>0.37292975928366623</c:v>
                </c:pt>
                <c:pt idx="6">
                  <c:v>0.22874403118707326</c:v>
                </c:pt>
                <c:pt idx="7">
                  <c:v>0.25105221227274938</c:v>
                </c:pt>
                <c:pt idx="8">
                  <c:v>0.39859566543955594</c:v>
                </c:pt>
                <c:pt idx="9">
                  <c:v>0.93860836876068798</c:v>
                </c:pt>
                <c:pt idx="10">
                  <c:v>0.85733344200421968</c:v>
                </c:pt>
                <c:pt idx="11">
                  <c:v>0.96180148351524553</c:v>
                </c:pt>
                <c:pt idx="12">
                  <c:v>0.66382399405022563</c:v>
                </c:pt>
                <c:pt idx="13">
                  <c:v>0.46639173271760581</c:v>
                </c:pt>
                <c:pt idx="14">
                  <c:v>0.40419840691742392</c:v>
                </c:pt>
                <c:pt idx="15">
                  <c:v>0.1444093288361632</c:v>
                </c:pt>
                <c:pt idx="16">
                  <c:v>0.25807569584954476</c:v>
                </c:pt>
                <c:pt idx="17">
                  <c:v>1.4459010693799897E-2</c:v>
                </c:pt>
                <c:pt idx="18">
                  <c:v>-0.2565104921358744</c:v>
                </c:pt>
                <c:pt idx="19">
                  <c:v>-0.34928328908715461</c:v>
                </c:pt>
                <c:pt idx="20">
                  <c:v>-0.60808014688232759</c:v>
                </c:pt>
                <c:pt idx="21">
                  <c:v>-2.0880437771647515</c:v>
                </c:pt>
                <c:pt idx="22">
                  <c:v>-0.5397213489370003</c:v>
                </c:pt>
                <c:pt idx="23">
                  <c:v>0.14511452076092651</c:v>
                </c:pt>
                <c:pt idx="24">
                  <c:v>0.49633095542560107</c:v>
                </c:pt>
                <c:pt idx="25">
                  <c:v>3.0129249260537696</c:v>
                </c:pt>
                <c:pt idx="26">
                  <c:v>0.73648478182031019</c:v>
                </c:pt>
                <c:pt idx="27">
                  <c:v>-5.6080447887036491E-2</c:v>
                </c:pt>
                <c:pt idx="28">
                  <c:v>0.14988190046361907</c:v>
                </c:pt>
                <c:pt idx="29">
                  <c:v>-0.43552695875331848</c:v>
                </c:pt>
                <c:pt idx="30">
                  <c:v>-0.39400819775201057</c:v>
                </c:pt>
                <c:pt idx="31">
                  <c:v>-0.25505671304535277</c:v>
                </c:pt>
                <c:pt idx="32">
                  <c:v>-0.35367147519159647</c:v>
                </c:pt>
                <c:pt idx="33">
                  <c:v>-0.15009408753219944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B7-48CF-820C-4AF7ABBD47EF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IPP'!$R$31:$AY$31</c:f>
              <c:numCache>
                <c:formatCode>0.0</c:formatCode>
                <c:ptCount val="34"/>
                <c:pt idx="0">
                  <c:v>0.10273275765267498</c:v>
                </c:pt>
                <c:pt idx="1">
                  <c:v>1.7022273503113715E-2</c:v>
                </c:pt>
                <c:pt idx="2">
                  <c:v>3.1451678515104962E-2</c:v>
                </c:pt>
                <c:pt idx="3">
                  <c:v>-6.7148299810871767E-2</c:v>
                </c:pt>
                <c:pt idx="4">
                  <c:v>-1.2685476667277843E-2</c:v>
                </c:pt>
                <c:pt idx="5">
                  <c:v>7.6588175669582967E-2</c:v>
                </c:pt>
                <c:pt idx="6">
                  <c:v>4.5204856094121497E-2</c:v>
                </c:pt>
                <c:pt idx="7">
                  <c:v>0.16194666355811346</c:v>
                </c:pt>
                <c:pt idx="8">
                  <c:v>0.16169573185966213</c:v>
                </c:pt>
                <c:pt idx="9">
                  <c:v>0.34034954986554078</c:v>
                </c:pt>
                <c:pt idx="10">
                  <c:v>0.22387493834902866</c:v>
                </c:pt>
                <c:pt idx="11">
                  <c:v>0.2347488357417308</c:v>
                </c:pt>
                <c:pt idx="12">
                  <c:v>0.37691682805498272</c:v>
                </c:pt>
                <c:pt idx="13">
                  <c:v>0.16170745152429084</c:v>
                </c:pt>
                <c:pt idx="14">
                  <c:v>0.63541368560223865</c:v>
                </c:pt>
                <c:pt idx="15">
                  <c:v>0.32151776055716935</c:v>
                </c:pt>
                <c:pt idx="16">
                  <c:v>-0.11432204894408443</c:v>
                </c:pt>
                <c:pt idx="17">
                  <c:v>-5.1757146500390386E-2</c:v>
                </c:pt>
                <c:pt idx="18">
                  <c:v>-0.58706510968263648</c:v>
                </c:pt>
                <c:pt idx="19">
                  <c:v>-0.35487188237441086</c:v>
                </c:pt>
                <c:pt idx="20">
                  <c:v>-8.5397778834990529E-2</c:v>
                </c:pt>
                <c:pt idx="21">
                  <c:v>-0.27817734072291866</c:v>
                </c:pt>
                <c:pt idx="22">
                  <c:v>-2.9065624151318075E-3</c:v>
                </c:pt>
                <c:pt idx="23">
                  <c:v>-5.9498285904227757E-3</c:v>
                </c:pt>
                <c:pt idx="24">
                  <c:v>0.12344573775217323</c:v>
                </c:pt>
                <c:pt idx="25">
                  <c:v>0.16503598968244643</c:v>
                </c:pt>
                <c:pt idx="26">
                  <c:v>0.21876908691427951</c:v>
                </c:pt>
                <c:pt idx="27">
                  <c:v>-0.21769009003114997</c:v>
                </c:pt>
                <c:pt idx="28">
                  <c:v>1.6785548675397853E-2</c:v>
                </c:pt>
                <c:pt idx="29">
                  <c:v>-1.1662751079334687E-2</c:v>
                </c:pt>
                <c:pt idx="30">
                  <c:v>6.6089208618214476E-2</c:v>
                </c:pt>
                <c:pt idx="31">
                  <c:v>0.43636866713601158</c:v>
                </c:pt>
                <c:pt idx="32">
                  <c:v>0.15424282771829353</c:v>
                </c:pt>
                <c:pt idx="33">
                  <c:v>6.4644984673718334E-2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B7-48CF-820C-4AF7ABBD47EF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IPP'!$R$32:$AY$32</c:f>
              <c:numCache>
                <c:formatCode>0.0</c:formatCode>
                <c:ptCount val="34"/>
                <c:pt idx="0">
                  <c:v>7.7208317080078304E-2</c:v>
                </c:pt>
                <c:pt idx="1">
                  <c:v>0.23592866818826699</c:v>
                </c:pt>
                <c:pt idx="2">
                  <c:v>-0.16336143877828871</c:v>
                </c:pt>
                <c:pt idx="3">
                  <c:v>-0.33439989501658013</c:v>
                </c:pt>
                <c:pt idx="4">
                  <c:v>-0.41779515285163221</c:v>
                </c:pt>
                <c:pt idx="5">
                  <c:v>-0.42569819359762051</c:v>
                </c:pt>
                <c:pt idx="6">
                  <c:v>-0.10788089066016887</c:v>
                </c:pt>
                <c:pt idx="7">
                  <c:v>0.23743965472329753</c:v>
                </c:pt>
                <c:pt idx="8">
                  <c:v>0.52311070740015453</c:v>
                </c:pt>
                <c:pt idx="9">
                  <c:v>0.82341422334347258</c:v>
                </c:pt>
                <c:pt idx="10">
                  <c:v>0.65076836480306144</c:v>
                </c:pt>
                <c:pt idx="11">
                  <c:v>0.50493978173151799</c:v>
                </c:pt>
                <c:pt idx="12">
                  <c:v>0.40295639892988111</c:v>
                </c:pt>
                <c:pt idx="13">
                  <c:v>8.0557374992047265E-2</c:v>
                </c:pt>
                <c:pt idx="14">
                  <c:v>-5.3154805616806716E-2</c:v>
                </c:pt>
                <c:pt idx="15">
                  <c:v>-6.7994611415210363E-2</c:v>
                </c:pt>
                <c:pt idx="16">
                  <c:v>0.10386183133359356</c:v>
                </c:pt>
                <c:pt idx="17">
                  <c:v>4.7610492592970489E-2</c:v>
                </c:pt>
                <c:pt idx="18">
                  <c:v>0.23071819932128149</c:v>
                </c:pt>
                <c:pt idx="19">
                  <c:v>3.0462943071166673E-2</c:v>
                </c:pt>
                <c:pt idx="20">
                  <c:v>-3.1218778316377285E-2</c:v>
                </c:pt>
                <c:pt idx="21">
                  <c:v>-0.54858975903434926</c:v>
                </c:pt>
                <c:pt idx="22">
                  <c:v>-0.21411469460909971</c:v>
                </c:pt>
                <c:pt idx="23">
                  <c:v>0.43233148897113949</c:v>
                </c:pt>
                <c:pt idx="24">
                  <c:v>0.28829426971776523</c:v>
                </c:pt>
                <c:pt idx="25">
                  <c:v>0.79933281321603367</c:v>
                </c:pt>
                <c:pt idx="26">
                  <c:v>0.31192170113272555</c:v>
                </c:pt>
                <c:pt idx="27">
                  <c:v>7.2471498351694669E-2</c:v>
                </c:pt>
                <c:pt idx="28">
                  <c:v>0.25171354682802022</c:v>
                </c:pt>
                <c:pt idx="29">
                  <c:v>0.17148055035811022</c:v>
                </c:pt>
                <c:pt idx="30">
                  <c:v>-8.8890710060444134E-2</c:v>
                </c:pt>
                <c:pt idx="31">
                  <c:v>-0.2676314955887259</c:v>
                </c:pt>
                <c:pt idx="32">
                  <c:v>-0.57253174056875167</c:v>
                </c:pt>
                <c:pt idx="33">
                  <c:v>-0.14472420150223347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B7-48CF-820C-4AF7ABBD47EF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IPP'!$R$33:$AY$33</c:f>
              <c:numCache>
                <c:formatCode>0.0</c:formatCode>
                <c:ptCount val="34"/>
                <c:pt idx="0">
                  <c:v>0.98358746940884201</c:v>
                </c:pt>
                <c:pt idx="1">
                  <c:v>0.89923246363091303</c:v>
                </c:pt>
                <c:pt idx="2">
                  <c:v>1.0053837817799574</c:v>
                </c:pt>
                <c:pt idx="3">
                  <c:v>-0.19974639261354685</c:v>
                </c:pt>
                <c:pt idx="4">
                  <c:v>0.24329990001740046</c:v>
                </c:pt>
                <c:pt idx="5">
                  <c:v>-0.35930073634947668</c:v>
                </c:pt>
                <c:pt idx="6">
                  <c:v>5.4611870755817526E-2</c:v>
                </c:pt>
                <c:pt idx="7">
                  <c:v>0.57938738739229778</c:v>
                </c:pt>
                <c:pt idx="8">
                  <c:v>0.10796722998385255</c:v>
                </c:pt>
                <c:pt idx="9">
                  <c:v>1.4849667962274027</c:v>
                </c:pt>
                <c:pt idx="10">
                  <c:v>0.76494329225869195</c:v>
                </c:pt>
                <c:pt idx="11">
                  <c:v>0.92981101776031461</c:v>
                </c:pt>
                <c:pt idx="12">
                  <c:v>1.1595945228996394</c:v>
                </c:pt>
                <c:pt idx="13">
                  <c:v>0.67905455733759568</c:v>
                </c:pt>
                <c:pt idx="14">
                  <c:v>1.1071544502276862</c:v>
                </c:pt>
                <c:pt idx="15">
                  <c:v>0.4584448107077318</c:v>
                </c:pt>
                <c:pt idx="16">
                  <c:v>-4.2034374602800031E-2</c:v>
                </c:pt>
                <c:pt idx="17">
                  <c:v>4.7080538912348473E-2</c:v>
                </c:pt>
                <c:pt idx="18">
                  <c:v>-0.67715517865176977</c:v>
                </c:pt>
                <c:pt idx="19">
                  <c:v>-0.19783909206023401</c:v>
                </c:pt>
                <c:pt idx="20">
                  <c:v>7.5330777097780618E-2</c:v>
                </c:pt>
                <c:pt idx="21">
                  <c:v>-2.8438492263065807</c:v>
                </c:pt>
                <c:pt idx="22">
                  <c:v>8.8873578450232568E-2</c:v>
                </c:pt>
                <c:pt idx="23">
                  <c:v>0.13876281570829024</c:v>
                </c:pt>
                <c:pt idx="24">
                  <c:v>0.21014615403229506</c:v>
                </c:pt>
                <c:pt idx="25">
                  <c:v>5.1936386612240169</c:v>
                </c:pt>
                <c:pt idx="26">
                  <c:v>1.0321859362308046</c:v>
                </c:pt>
                <c:pt idx="27">
                  <c:v>0.89717493659966963</c:v>
                </c:pt>
                <c:pt idx="28">
                  <c:v>1.4486041643537622</c:v>
                </c:pt>
                <c:pt idx="29">
                  <c:v>0.43152950164995879</c:v>
                </c:pt>
                <c:pt idx="30">
                  <c:v>-0.55860056263710678</c:v>
                </c:pt>
                <c:pt idx="31">
                  <c:v>-0.67902760551175612</c:v>
                </c:pt>
                <c:pt idx="32">
                  <c:v>-2.2497740130865838</c:v>
                </c:pt>
                <c:pt idx="33">
                  <c:v>-2.4285915196989682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B7-48CF-820C-4AF7ABBD47EF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IPP'!$R$34:$AY$34</c:f>
              <c:numCache>
                <c:formatCode>0.0</c:formatCode>
                <c:ptCount val="34"/>
                <c:pt idx="0">
                  <c:v>0.1453689780549717</c:v>
                </c:pt>
                <c:pt idx="1">
                  <c:v>-0.33983324755997296</c:v>
                </c:pt>
                <c:pt idx="2">
                  <c:v>-0.39725135811041795</c:v>
                </c:pt>
                <c:pt idx="3">
                  <c:v>-1.114644115487744</c:v>
                </c:pt>
                <c:pt idx="4">
                  <c:v>-0.64587487131351229</c:v>
                </c:pt>
                <c:pt idx="5">
                  <c:v>9.8834575359488239E-2</c:v>
                </c:pt>
                <c:pt idx="6">
                  <c:v>-0.47676721369922492</c:v>
                </c:pt>
                <c:pt idx="7">
                  <c:v>0.50385695934700236</c:v>
                </c:pt>
                <c:pt idx="8">
                  <c:v>0.66227118757014136</c:v>
                </c:pt>
                <c:pt idx="9">
                  <c:v>-0.18254891472265231</c:v>
                </c:pt>
                <c:pt idx="10">
                  <c:v>0.77170124339672352</c:v>
                </c:pt>
                <c:pt idx="11">
                  <c:v>0.73276064564397958</c:v>
                </c:pt>
                <c:pt idx="12">
                  <c:v>-0.53888499639537135</c:v>
                </c:pt>
                <c:pt idx="13">
                  <c:v>4.2147847309763065E-3</c:v>
                </c:pt>
                <c:pt idx="14">
                  <c:v>0.78783573859879152</c:v>
                </c:pt>
                <c:pt idx="15">
                  <c:v>0.33124933161720838</c:v>
                </c:pt>
                <c:pt idx="16">
                  <c:v>0.21326825173098607</c:v>
                </c:pt>
                <c:pt idx="17">
                  <c:v>4.5891627194929625E-2</c:v>
                </c:pt>
                <c:pt idx="18">
                  <c:v>-0.66559651426950006</c:v>
                </c:pt>
                <c:pt idx="19">
                  <c:v>-0.33090808889302392</c:v>
                </c:pt>
                <c:pt idx="20">
                  <c:v>-0.97342506810566554</c:v>
                </c:pt>
                <c:pt idx="21">
                  <c:v>-1.5875613971615934</c:v>
                </c:pt>
                <c:pt idx="22">
                  <c:v>-0.71564578738754903</c:v>
                </c:pt>
                <c:pt idx="23">
                  <c:v>-0.69506985368693874</c:v>
                </c:pt>
                <c:pt idx="24">
                  <c:v>0.48072477574831796</c:v>
                </c:pt>
                <c:pt idx="25">
                  <c:v>0.46331760076263334</c:v>
                </c:pt>
                <c:pt idx="26">
                  <c:v>0.22196846067872944</c:v>
                </c:pt>
                <c:pt idx="27">
                  <c:v>0.81349879426535543</c:v>
                </c:pt>
                <c:pt idx="28">
                  <c:v>-0.17516130075846145</c:v>
                </c:pt>
                <c:pt idx="29">
                  <c:v>0.27453065253565601</c:v>
                </c:pt>
                <c:pt idx="30">
                  <c:v>0.37988207575265837</c:v>
                </c:pt>
                <c:pt idx="31">
                  <c:v>-1.3729548731845103</c:v>
                </c:pt>
                <c:pt idx="32">
                  <c:v>-1.2157081226332949</c:v>
                </c:pt>
                <c:pt idx="33">
                  <c:v>-1.5181989153967135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BB7-48CF-820C-4AF7ABBD4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59397632"/>
        <c:axId val="59399168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IPP'!$R$35:$AY$35</c:f>
              <c:numCache>
                <c:formatCode>0.0</c:formatCode>
                <c:ptCount val="34"/>
                <c:pt idx="0">
                  <c:v>4.8516197114000095</c:v>
                </c:pt>
                <c:pt idx="1">
                  <c:v>5.3057646647000078</c:v>
                </c:pt>
                <c:pt idx="2">
                  <c:v>5.6509723288000355</c:v>
                </c:pt>
                <c:pt idx="3">
                  <c:v>2.4035243304999891</c:v>
                </c:pt>
                <c:pt idx="4">
                  <c:v>4.4795186778999661</c:v>
                </c:pt>
                <c:pt idx="5">
                  <c:v>2.5440704273000043</c:v>
                </c:pt>
                <c:pt idx="6">
                  <c:v>1.6941973048000019</c:v>
                </c:pt>
                <c:pt idx="7">
                  <c:v>3.5126955949999807</c:v>
                </c:pt>
                <c:pt idx="8">
                  <c:v>4.7458417446999954</c:v>
                </c:pt>
                <c:pt idx="9">
                  <c:v>8.0826593818000028</c:v>
                </c:pt>
                <c:pt idx="10">
                  <c:v>6.5865810428999945</c:v>
                </c:pt>
                <c:pt idx="11">
                  <c:v>7.4885543312999898</c:v>
                </c:pt>
                <c:pt idx="12">
                  <c:v>4.2941434987999925</c:v>
                </c:pt>
                <c:pt idx="13">
                  <c:v>2.4045915341999944</c:v>
                </c:pt>
                <c:pt idx="14">
                  <c:v>3.7412027468000102</c:v>
                </c:pt>
                <c:pt idx="15">
                  <c:v>1.9131264158999912</c:v>
                </c:pt>
                <c:pt idx="16">
                  <c:v>0.8599096020999486</c:v>
                </c:pt>
                <c:pt idx="17">
                  <c:v>0.98874527810000012</c:v>
                </c:pt>
                <c:pt idx="18">
                  <c:v>-1.2008161934000359</c:v>
                </c:pt>
                <c:pt idx="19">
                  <c:v>-2.0241899478999996</c:v>
                </c:pt>
                <c:pt idx="20">
                  <c:v>-4.408310722500012</c:v>
                </c:pt>
                <c:pt idx="21">
                  <c:v>-22.953075925300016</c:v>
                </c:pt>
                <c:pt idx="22">
                  <c:v>-2.7947559611999915</c:v>
                </c:pt>
                <c:pt idx="23">
                  <c:v>2.1023200511999853</c:v>
                </c:pt>
                <c:pt idx="24">
                  <c:v>4.2905022020000079</c:v>
                </c:pt>
                <c:pt idx="25">
                  <c:v>28.237467680700014</c:v>
                </c:pt>
                <c:pt idx="26">
                  <c:v>-8.5296171199999812E-2</c:v>
                </c:pt>
                <c:pt idx="27">
                  <c:v>-1.8829755502000003</c:v>
                </c:pt>
                <c:pt idx="28">
                  <c:v>0.25361177150000458</c:v>
                </c:pt>
                <c:pt idx="29">
                  <c:v>0.74770967569999514</c:v>
                </c:pt>
                <c:pt idx="30">
                  <c:v>6.0622390109000008</c:v>
                </c:pt>
                <c:pt idx="31">
                  <c:v>3.1781753375999955</c:v>
                </c:pt>
                <c:pt idx="32">
                  <c:v>1.1530440500999919</c:v>
                </c:pt>
                <c:pt idx="33">
                  <c:v>1.0877560341999979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BB7-48CF-820C-4AF7ABBD4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397632"/>
        <c:axId val="59399168"/>
      </c:lineChart>
      <c:lineChart>
        <c:grouping val="standard"/>
        <c:varyColors val="0"/>
        <c:ser>
          <c:idx val="9"/>
          <c:order val="9"/>
          <c:tx>
            <c:strRef>
              <c:f>'GRAF příspěvky IPP'!$A$36</c:f>
              <c:strCache>
                <c:ptCount val="1"/>
              </c:strCache>
            </c:strRef>
          </c:tx>
          <c:spPr>
            <a:ln w="15875">
              <a:noFill/>
              <a:prstDash val="sysDot"/>
            </a:ln>
          </c:spPr>
          <c:marker>
            <c:symbol val="none"/>
          </c:marker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IPP'!$R$36:$AY$36</c:f>
              <c:numCache>
                <c:formatCode>General</c:formatCode>
                <c:ptCount val="3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BB7-48CF-820C-4AF7ABBD47EF}"/>
            </c:ext>
          </c:extLst>
        </c:ser>
        <c:ser>
          <c:idx val="10"/>
          <c:order val="10"/>
          <c:tx>
            <c:strRef>
              <c:f>'GRAF příspěvky IPP'!$A$37</c:f>
              <c:strCache>
                <c:ptCount val="1"/>
                <c:pt idx="0">
                  <c:v>Produkce, prům. v ČR celkem (2015=100)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IPP'!$R$37:$AY$37</c:f>
              <c:numCache>
                <c:formatCode>##0.0</c:formatCode>
                <c:ptCount val="34"/>
                <c:pt idx="0">
                  <c:v>98.64560247999998</c:v>
                </c:pt>
                <c:pt idx="1">
                  <c:v>100.18242374</c:v>
                </c:pt>
                <c:pt idx="2">
                  <c:v>101.2850845633</c:v>
                </c:pt>
                <c:pt idx="3">
                  <c:v>100.52111345000006</c:v>
                </c:pt>
                <c:pt idx="4">
                  <c:v>103.0563593</c:v>
                </c:pt>
                <c:pt idx="5">
                  <c:v>102.59927942330008</c:v>
                </c:pt>
                <c:pt idx="6">
                  <c:v>102.83954233669988</c:v>
                </c:pt>
                <c:pt idx="7">
                  <c:v>104.07328304329998</c:v>
                </c:pt>
                <c:pt idx="8">
                  <c:v>107.56794223670001</c:v>
                </c:pt>
                <c:pt idx="9">
                  <c:v>110.67653847999991</c:v>
                </c:pt>
                <c:pt idx="10">
                  <c:v>109.9586102967</c:v>
                </c:pt>
                <c:pt idx="11">
                  <c:v>112.16043972999998</c:v>
                </c:pt>
                <c:pt idx="12">
                  <c:v>112.4788675433</c:v>
                </c:pt>
                <c:pt idx="13">
                  <c:v>113.5077588266999</c:v>
                </c:pt>
                <c:pt idx="14">
                  <c:v>114.2538401132999</c:v>
                </c:pt>
                <c:pt idx="15">
                  <c:v>113.8813012366999</c:v>
                </c:pt>
                <c:pt idx="16">
                  <c:v>113.38844283329988</c:v>
                </c:pt>
                <c:pt idx="17">
                  <c:v>115.08486213330001</c:v>
                </c:pt>
                <c:pt idx="18">
                  <c:v>112.53550211669985</c:v>
                </c:pt>
                <c:pt idx="19">
                  <c:v>111.44039929330008</c:v>
                </c:pt>
                <c:pt idx="20">
                  <c:v>108.6749157867</c:v>
                </c:pt>
                <c:pt idx="21">
                  <c:v>88.9758235133</c:v>
                </c:pt>
                <c:pt idx="22">
                  <c:v>109.4050159767</c:v>
                </c:pt>
                <c:pt idx="23">
                  <c:v>113.95534516999994</c:v>
                </c:pt>
                <c:pt idx="24">
                  <c:v>112.2920782132999</c:v>
                </c:pt>
                <c:pt idx="25">
                  <c:v>113.25779428000006</c:v>
                </c:pt>
                <c:pt idx="26">
                  <c:v>110.35191377330005</c:v>
                </c:pt>
                <c:pt idx="27">
                  <c:v>111.22766090330011</c:v>
                </c:pt>
                <c:pt idx="28">
                  <c:v>113.38530769330001</c:v>
                </c:pt>
                <c:pt idx="29">
                  <c:v>114.35851683999989</c:v>
                </c:pt>
                <c:pt idx="30">
                  <c:v>116.57853470329992</c:v>
                </c:pt>
                <c:pt idx="31">
                  <c:v>115.05557292330001</c:v>
                </c:pt>
                <c:pt idx="32">
                  <c:v>114.4414711566999</c:v>
                </c:pt>
                <c:pt idx="33">
                  <c:v>115.35664829999995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BB7-48CF-820C-4AF7ABBD47EF}"/>
            </c:ext>
          </c:extLst>
        </c:ser>
        <c:ser>
          <c:idx val="11"/>
          <c:order val="11"/>
          <c:tx>
            <c:strRef>
              <c:f>'GRAF příspěvky IPP'!$A$38</c:f>
              <c:strCache>
                <c:ptCount val="1"/>
                <c:pt idx="0">
                  <c:v>Produkce, prům. v EU27 celkem (2015=100)</c:v>
                </c:pt>
              </c:strCache>
            </c:strRef>
          </c:tx>
          <c:spPr>
            <a:ln w="15875">
              <a:solidFill>
                <a:schemeClr val="tx1">
                  <a:lumMod val="50000"/>
                  <a:lumOff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IPP'!$R$38:$AY$38</c:f>
              <c:numCache>
                <c:formatCode>##0.0</c:formatCode>
                <c:ptCount val="34"/>
                <c:pt idx="0">
                  <c:v>99.3</c:v>
                </c:pt>
                <c:pt idx="1">
                  <c:v>100</c:v>
                </c:pt>
                <c:pt idx="2">
                  <c:v>100.4</c:v>
                </c:pt>
                <c:pt idx="3">
                  <c:v>100.4</c:v>
                </c:pt>
                <c:pt idx="4">
                  <c:v>101.5</c:v>
                </c:pt>
                <c:pt idx="5">
                  <c:v>101.2</c:v>
                </c:pt>
                <c:pt idx="6">
                  <c:v>101.4</c:v>
                </c:pt>
                <c:pt idx="7">
                  <c:v>102.9</c:v>
                </c:pt>
                <c:pt idx="8">
                  <c:v>102.9</c:v>
                </c:pt>
                <c:pt idx="9">
                  <c:v>104.1</c:v>
                </c:pt>
                <c:pt idx="10">
                  <c:v>105.6</c:v>
                </c:pt>
                <c:pt idx="11">
                  <c:v>107.8</c:v>
                </c:pt>
                <c:pt idx="12">
                  <c:v>106.1</c:v>
                </c:pt>
                <c:pt idx="13">
                  <c:v>106.7</c:v>
                </c:pt>
                <c:pt idx="14">
                  <c:v>106.4</c:v>
                </c:pt>
                <c:pt idx="15">
                  <c:v>106.5</c:v>
                </c:pt>
                <c:pt idx="16">
                  <c:v>107</c:v>
                </c:pt>
                <c:pt idx="17">
                  <c:v>106.7</c:v>
                </c:pt>
                <c:pt idx="18">
                  <c:v>105.9</c:v>
                </c:pt>
                <c:pt idx="19">
                  <c:v>105.1</c:v>
                </c:pt>
                <c:pt idx="20">
                  <c:v>102.3</c:v>
                </c:pt>
                <c:pt idx="21">
                  <c:v>86.5</c:v>
                </c:pt>
                <c:pt idx="22">
                  <c:v>100.5</c:v>
                </c:pt>
                <c:pt idx="23">
                  <c:v>105.5</c:v>
                </c:pt>
                <c:pt idx="24">
                  <c:v>107.2</c:v>
                </c:pt>
                <c:pt idx="25">
                  <c:v>107.2</c:v>
                </c:pt>
                <c:pt idx="26">
                  <c:v>107</c:v>
                </c:pt>
                <c:pt idx="27">
                  <c:v>108.9</c:v>
                </c:pt>
                <c:pt idx="28">
                  <c:v>110.2</c:v>
                </c:pt>
                <c:pt idx="29">
                  <c:v>110.7</c:v>
                </c:pt>
                <c:pt idx="30">
                  <c:v>111.5</c:v>
                </c:pt>
                <c:pt idx="31">
                  <c:v>110.9</c:v>
                </c:pt>
                <c:pt idx="32">
                  <c:v>110.6</c:v>
                </c:pt>
                <c:pt idx="33">
                  <c:v>109.5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BB7-48CF-820C-4AF7ABBD47EF}"/>
            </c:ext>
          </c:extLst>
        </c:ser>
        <c:ser>
          <c:idx val="12"/>
          <c:order val="12"/>
          <c:tx>
            <c:strRef>
              <c:f>'GRAF příspěvky IPP'!$A$39</c:f>
              <c:strCache>
                <c:ptCount val="1"/>
                <c:pt idx="0">
                  <c:v>Produkce, prům. v Německu (2015=100)</c:v>
                </c:pt>
              </c:strCache>
            </c:strRef>
          </c:tx>
          <c:spPr>
            <a:ln w="15875">
              <a:solidFill>
                <a:srgbClr val="996633"/>
              </a:solidFill>
              <a:prstDash val="dash"/>
            </a:ln>
          </c:spPr>
          <c:marker>
            <c:symbol val="none"/>
          </c:marker>
          <c:cat>
            <c:multiLvlStrRef>
              <c:f>'GRAF příspěvky IPP'!$R$25:$AY$26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'GRAF příspěvky IPP'!$R$39:$AY$39</c:f>
              <c:numCache>
                <c:formatCode>##0.0</c:formatCode>
                <c:ptCount val="34"/>
                <c:pt idx="0">
                  <c:v>99.1</c:v>
                </c:pt>
                <c:pt idx="1">
                  <c:v>100.3</c:v>
                </c:pt>
                <c:pt idx="2">
                  <c:v>100.1</c:v>
                </c:pt>
                <c:pt idx="3">
                  <c:v>99.6</c:v>
                </c:pt>
                <c:pt idx="4">
                  <c:v>100.7</c:v>
                </c:pt>
                <c:pt idx="5">
                  <c:v>100.3</c:v>
                </c:pt>
                <c:pt idx="6">
                  <c:v>100.6</c:v>
                </c:pt>
                <c:pt idx="7">
                  <c:v>100.7</c:v>
                </c:pt>
                <c:pt idx="8">
                  <c:v>101.2</c:v>
                </c:pt>
                <c:pt idx="9">
                  <c:v>103.2</c:v>
                </c:pt>
                <c:pt idx="10">
                  <c:v>104.9</c:v>
                </c:pt>
                <c:pt idx="11">
                  <c:v>105.7</c:v>
                </c:pt>
                <c:pt idx="12">
                  <c:v>105.1</c:v>
                </c:pt>
                <c:pt idx="13">
                  <c:v>105.9</c:v>
                </c:pt>
                <c:pt idx="14">
                  <c:v>104.8</c:v>
                </c:pt>
                <c:pt idx="15">
                  <c:v>103.3</c:v>
                </c:pt>
                <c:pt idx="16">
                  <c:v>103.2</c:v>
                </c:pt>
                <c:pt idx="17">
                  <c:v>102</c:v>
                </c:pt>
                <c:pt idx="18">
                  <c:v>100.8</c:v>
                </c:pt>
                <c:pt idx="19">
                  <c:v>99.2</c:v>
                </c:pt>
                <c:pt idx="20">
                  <c:v>97.7</c:v>
                </c:pt>
                <c:pt idx="21">
                  <c:v>80</c:v>
                </c:pt>
                <c:pt idx="22">
                  <c:v>91.4</c:v>
                </c:pt>
                <c:pt idx="23">
                  <c:v>97.3</c:v>
                </c:pt>
                <c:pt idx="24">
                  <c:v>97</c:v>
                </c:pt>
                <c:pt idx="25">
                  <c:v>96.4</c:v>
                </c:pt>
                <c:pt idx="26">
                  <c:v>93.8</c:v>
                </c:pt>
                <c:pt idx="27">
                  <c:v>96.1</c:v>
                </c:pt>
                <c:pt idx="28">
                  <c:v>95.8</c:v>
                </c:pt>
                <c:pt idx="29">
                  <c:v>95.2</c:v>
                </c:pt>
                <c:pt idx="30">
                  <c:v>95.7</c:v>
                </c:pt>
                <c:pt idx="31">
                  <c:v>95.3</c:v>
                </c:pt>
                <c:pt idx="32">
                  <c:v>96.2</c:v>
                </c:pt>
                <c:pt idx="33">
                  <c:v>95.1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BB7-48CF-820C-4AF7ABBD4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407360"/>
        <c:axId val="59405440"/>
      </c:lineChart>
      <c:catAx>
        <c:axId val="5939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59399168"/>
        <c:crosses val="autoZero"/>
        <c:auto val="1"/>
        <c:lblAlgn val="ctr"/>
        <c:lblOffset val="0"/>
        <c:noMultiLvlLbl val="0"/>
      </c:catAx>
      <c:valAx>
        <c:axId val="59399168"/>
        <c:scaling>
          <c:orientation val="minMax"/>
          <c:max val="30"/>
          <c:min val="-25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 u="none" strike="noStrike" baseline="0">
                    <a:effectLst/>
                  </a:rPr>
                  <a:t>Prům. produkce v dílčích odvětvích v ČR (příspěvek k růstu)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5.190534610993229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59397632"/>
        <c:crosses val="autoZero"/>
        <c:crossBetween val="between"/>
        <c:majorUnit val="5"/>
      </c:valAx>
      <c:valAx>
        <c:axId val="59405440"/>
        <c:scaling>
          <c:orientation val="minMax"/>
          <c:max val="118"/>
          <c:min val="52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Produkce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v průmyslu (báze 2015=100)</a:t>
                </a:r>
              </a:p>
            </c:rich>
          </c:tx>
          <c:layout>
            <c:manualLayout>
              <c:xMode val="edge"/>
              <c:yMode val="edge"/>
              <c:x val="0.97040158454025238"/>
              <c:y val="0.1664992231222944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59407360"/>
        <c:crosses val="max"/>
        <c:crossBetween val="between"/>
        <c:majorUnit val="6"/>
      </c:valAx>
      <c:catAx>
        <c:axId val="59407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9405440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5.2576650680252295E-3"/>
          <c:y val="0.78956533796177808"/>
          <c:w val="0.9886658953822488"/>
          <c:h val="0.20327688625655532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72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1.5647041011259362E-2"/>
          <c:w val="0.84974974879787546"/>
          <c:h val="0.75063602214308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2'!$A$36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2'!$R$36:$AZ$36</c:f>
              <c:numCache>
                <c:formatCode>##0.0</c:formatCode>
                <c:ptCount val="35"/>
                <c:pt idx="0">
                  <c:v>8.5353894548000024</c:v>
                </c:pt>
                <c:pt idx="1">
                  <c:v>6.3740032441999945</c:v>
                </c:pt>
                <c:pt idx="2">
                  <c:v>6.0540271236999956</c:v>
                </c:pt>
                <c:pt idx="3">
                  <c:v>5.2610868973000002</c:v>
                </c:pt>
                <c:pt idx="4">
                  <c:v>2.6398924800999999</c:v>
                </c:pt>
                <c:pt idx="5">
                  <c:v>7.5233833736999962</c:v>
                </c:pt>
                <c:pt idx="6">
                  <c:v>2.3667401951999931</c:v>
                </c:pt>
                <c:pt idx="7">
                  <c:v>6.6372980220999978</c:v>
                </c:pt>
                <c:pt idx="8">
                  <c:v>7.2642637417000095</c:v>
                </c:pt>
                <c:pt idx="9">
                  <c:v>8.2151073244999964</c:v>
                </c:pt>
                <c:pt idx="10">
                  <c:v>7.9541665196999913</c:v>
                </c:pt>
                <c:pt idx="11">
                  <c:v>7.3518853409999938</c:v>
                </c:pt>
                <c:pt idx="12">
                  <c:v>3.4479253911000001</c:v>
                </c:pt>
                <c:pt idx="13">
                  <c:v>3.7095478141000058</c:v>
                </c:pt>
                <c:pt idx="14">
                  <c:v>3.8047927777000012</c:v>
                </c:pt>
                <c:pt idx="15">
                  <c:v>3.0958525625999997</c:v>
                </c:pt>
                <c:pt idx="16">
                  <c:v>3.2186335616000012</c:v>
                </c:pt>
                <c:pt idx="17">
                  <c:v>1.4218114762000056</c:v>
                </c:pt>
                <c:pt idx="18">
                  <c:v>-0.25322037120000146</c:v>
                </c:pt>
                <c:pt idx="19">
                  <c:v>-3.8029715272000004</c:v>
                </c:pt>
                <c:pt idx="20">
                  <c:v>-2.0918519482000022</c:v>
                </c:pt>
                <c:pt idx="21">
                  <c:v>-27.667187618300005</c:v>
                </c:pt>
                <c:pt idx="22">
                  <c:v>-1.310591588500003</c:v>
                </c:pt>
                <c:pt idx="23">
                  <c:v>7.1560873368999944</c:v>
                </c:pt>
                <c:pt idx="24">
                  <c:v>8.4043556738999996</c:v>
                </c:pt>
                <c:pt idx="25">
                  <c:v>47.896596400900002</c:v>
                </c:pt>
                <c:pt idx="26">
                  <c:v>7.3132490553000089</c:v>
                </c:pt>
                <c:pt idx="27">
                  <c:v>3.5534586679000029</c:v>
                </c:pt>
                <c:pt idx="28">
                  <c:v>6.0307372501000005</c:v>
                </c:pt>
                <c:pt idx="29">
                  <c:v>9.7702291395000032</c:v>
                </c:pt>
                <c:pt idx="30">
                  <c:v>14.900137869200005</c:v>
                </c:pt>
                <c:pt idx="31">
                  <c:v>12.536924903200003</c:v>
                </c:pt>
                <c:pt idx="32">
                  <c:v>2.105044401699999</c:v>
                </c:pt>
                <c:pt idx="33">
                  <c:v>-2.5827554574999994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A-46AE-9031-E21ECA8A6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59605376"/>
        <c:axId val="59607296"/>
      </c:barChart>
      <c:lineChart>
        <c:grouping val="standard"/>
        <c:varyColors val="0"/>
        <c:ser>
          <c:idx val="1"/>
          <c:order val="1"/>
          <c:tx>
            <c:strRef>
              <c:f>'výkonnost odvětví 2'!$A$37</c:f>
              <c:strCache>
                <c:ptCount val="1"/>
                <c:pt idx="0">
                  <c:v>z toho: zakázky z tuzemska</c:v>
                </c:pt>
              </c:strCache>
            </c:strRef>
          </c:tx>
          <c:spPr>
            <a:ln w="15875">
              <a:noFill/>
              <a:prstDash val="sysDot"/>
            </a:ln>
          </c:spPr>
          <c:marker>
            <c:symbol val="diamond"/>
            <c:size val="5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2'!$R$37:$AZ$37</c:f>
              <c:numCache>
                <c:formatCode>#\ ##0.0</c:formatCode>
                <c:ptCount val="35"/>
                <c:pt idx="0">
                  <c:v>4.3680291455000031</c:v>
                </c:pt>
                <c:pt idx="1">
                  <c:v>9.9337675293000007</c:v>
                </c:pt>
                <c:pt idx="2">
                  <c:v>-2.8164715103000031</c:v>
                </c:pt>
                <c:pt idx="3">
                  <c:v>-0.26717379199999447</c:v>
                </c:pt>
                <c:pt idx="4">
                  <c:v>1.5962247260000026</c:v>
                </c:pt>
                <c:pt idx="5">
                  <c:v>1.3728557044999981</c:v>
                </c:pt>
                <c:pt idx="6">
                  <c:v>0.22425600770000642</c:v>
                </c:pt>
                <c:pt idx="7">
                  <c:v>2.8114611785999983</c:v>
                </c:pt>
                <c:pt idx="8">
                  <c:v>12.524366763299993</c:v>
                </c:pt>
                <c:pt idx="9">
                  <c:v>15.845604900100007</c:v>
                </c:pt>
                <c:pt idx="10">
                  <c:v>15.906017294300007</c:v>
                </c:pt>
                <c:pt idx="11">
                  <c:v>15.434615524600005</c:v>
                </c:pt>
                <c:pt idx="12">
                  <c:v>1.446960414299993</c:v>
                </c:pt>
                <c:pt idx="13">
                  <c:v>2.4870435246999989</c:v>
                </c:pt>
                <c:pt idx="14">
                  <c:v>4.7255448689999957</c:v>
                </c:pt>
                <c:pt idx="15">
                  <c:v>3.4943150181999982</c:v>
                </c:pt>
                <c:pt idx="16">
                  <c:v>8.0495745223000057</c:v>
                </c:pt>
                <c:pt idx="17">
                  <c:v>5.3160296459000023</c:v>
                </c:pt>
                <c:pt idx="18">
                  <c:v>0.34661811540000542</c:v>
                </c:pt>
                <c:pt idx="19">
                  <c:v>-1.3207332955000046</c:v>
                </c:pt>
                <c:pt idx="20">
                  <c:v>5.5377026294000018</c:v>
                </c:pt>
                <c:pt idx="21">
                  <c:v>-25.895568979299988</c:v>
                </c:pt>
                <c:pt idx="22">
                  <c:v>-3.0276470073000041</c:v>
                </c:pt>
                <c:pt idx="23">
                  <c:v>6.9204263800999968</c:v>
                </c:pt>
                <c:pt idx="24">
                  <c:v>-2.8106372719999952</c:v>
                </c:pt>
                <c:pt idx="25">
                  <c:v>43.420786243100011</c:v>
                </c:pt>
                <c:pt idx="26">
                  <c:v>9.3034312720000081</c:v>
                </c:pt>
                <c:pt idx="27">
                  <c:v>5.3772359177000055</c:v>
                </c:pt>
                <c:pt idx="28">
                  <c:v>8.297580932200006</c:v>
                </c:pt>
                <c:pt idx="29">
                  <c:v>15.0965459605</c:v>
                </c:pt>
                <c:pt idx="30">
                  <c:v>25.947982424900005</c:v>
                </c:pt>
                <c:pt idx="31">
                  <c:v>19.229193864400003</c:v>
                </c:pt>
                <c:pt idx="32">
                  <c:v>11.62344655710001</c:v>
                </c:pt>
                <c:pt idx="33">
                  <c:v>2.095125947300005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EA-46AE-9031-E21ECA8A6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605376"/>
        <c:axId val="59607296"/>
      </c:lineChart>
      <c:lineChart>
        <c:grouping val="standard"/>
        <c:varyColors val="0"/>
        <c:ser>
          <c:idx val="2"/>
          <c:order val="2"/>
          <c:tx>
            <c:strRef>
              <c:f>'výkonnost odvětví 2'!$A$38</c:f>
              <c:strCache>
                <c:ptCount val="1"/>
                <c:pt idx="0">
                  <c:v>Využití výrob. kapacit v průmyslu celkem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2'!$R$38:$AZ$38</c:f>
              <c:numCache>
                <c:formatCode>##0.0</c:formatCode>
                <c:ptCount val="35"/>
                <c:pt idx="0">
                  <c:v>85.6</c:v>
                </c:pt>
                <c:pt idx="1">
                  <c:v>85.1</c:v>
                </c:pt>
                <c:pt idx="2">
                  <c:v>84.9</c:v>
                </c:pt>
                <c:pt idx="3">
                  <c:v>84.3</c:v>
                </c:pt>
                <c:pt idx="4">
                  <c:v>84</c:v>
                </c:pt>
                <c:pt idx="5">
                  <c:v>85.2</c:v>
                </c:pt>
                <c:pt idx="6">
                  <c:v>84</c:v>
                </c:pt>
                <c:pt idx="7">
                  <c:v>84.8</c:v>
                </c:pt>
                <c:pt idx="8">
                  <c:v>84.7</c:v>
                </c:pt>
                <c:pt idx="9">
                  <c:v>83.7</c:v>
                </c:pt>
                <c:pt idx="10">
                  <c:v>83.8</c:v>
                </c:pt>
                <c:pt idx="11">
                  <c:v>84.4</c:v>
                </c:pt>
                <c:pt idx="12">
                  <c:v>85.33</c:v>
                </c:pt>
                <c:pt idx="13">
                  <c:v>84.89</c:v>
                </c:pt>
                <c:pt idx="14">
                  <c:v>85.13</c:v>
                </c:pt>
                <c:pt idx="15">
                  <c:v>84.76</c:v>
                </c:pt>
                <c:pt idx="16">
                  <c:v>84.93</c:v>
                </c:pt>
                <c:pt idx="17">
                  <c:v>85.19</c:v>
                </c:pt>
                <c:pt idx="18">
                  <c:v>83.6</c:v>
                </c:pt>
                <c:pt idx="19">
                  <c:v>83.7</c:v>
                </c:pt>
                <c:pt idx="20">
                  <c:v>84.2</c:v>
                </c:pt>
                <c:pt idx="21">
                  <c:v>70.400000000000006</c:v>
                </c:pt>
                <c:pt idx="22">
                  <c:v>76.3</c:v>
                </c:pt>
                <c:pt idx="23">
                  <c:v>82.7</c:v>
                </c:pt>
                <c:pt idx="24">
                  <c:v>85.8</c:v>
                </c:pt>
                <c:pt idx="25">
                  <c:v>84.4</c:v>
                </c:pt>
                <c:pt idx="26">
                  <c:v>86.410000000000025</c:v>
                </c:pt>
                <c:pt idx="27">
                  <c:v>77.599999999999994</c:v>
                </c:pt>
                <c:pt idx="28">
                  <c:v>83.6</c:v>
                </c:pt>
                <c:pt idx="29">
                  <c:v>82.169999999999987</c:v>
                </c:pt>
                <c:pt idx="30">
                  <c:v>83.5</c:v>
                </c:pt>
                <c:pt idx="31">
                  <c:v>81.099999999999994</c:v>
                </c:pt>
                <c:pt idx="32">
                  <c:v>81.400000000000006</c:v>
                </c:pt>
                <c:pt idx="33">
                  <c:v>83.7</c:v>
                </c:pt>
                <c:pt idx="34">
                  <c:v>83.5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EA-46AE-9031-E21ECA8A61E4}"/>
            </c:ext>
          </c:extLst>
        </c:ser>
        <c:ser>
          <c:idx val="3"/>
          <c:order val="3"/>
          <c:tx>
            <c:strRef>
              <c:f>'výkonnost odvětví 2'!$A$39</c:f>
              <c:strCache>
                <c:ptCount val="1"/>
                <c:pt idx="0">
                  <c:v>Využití výrob. kapacit v automobil. prům.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2'!$R$39:$AZ$39</c:f>
              <c:numCache>
                <c:formatCode>##0.0</c:formatCode>
                <c:ptCount val="35"/>
                <c:pt idx="0">
                  <c:v>91.4</c:v>
                </c:pt>
                <c:pt idx="1">
                  <c:v>91.4</c:v>
                </c:pt>
                <c:pt idx="2">
                  <c:v>91.5</c:v>
                </c:pt>
                <c:pt idx="3">
                  <c:v>88.8</c:v>
                </c:pt>
                <c:pt idx="4">
                  <c:v>90.2</c:v>
                </c:pt>
                <c:pt idx="5">
                  <c:v>91.8</c:v>
                </c:pt>
                <c:pt idx="6">
                  <c:v>92.2</c:v>
                </c:pt>
                <c:pt idx="7">
                  <c:v>91.5</c:v>
                </c:pt>
                <c:pt idx="8">
                  <c:v>92.4</c:v>
                </c:pt>
                <c:pt idx="9">
                  <c:v>87.9</c:v>
                </c:pt>
                <c:pt idx="10">
                  <c:v>90.8</c:v>
                </c:pt>
                <c:pt idx="11">
                  <c:v>90.5</c:v>
                </c:pt>
                <c:pt idx="12">
                  <c:v>91.4</c:v>
                </c:pt>
                <c:pt idx="13">
                  <c:v>91.3</c:v>
                </c:pt>
                <c:pt idx="14">
                  <c:v>92.9</c:v>
                </c:pt>
                <c:pt idx="15">
                  <c:v>92.5</c:v>
                </c:pt>
                <c:pt idx="16">
                  <c:v>92.9</c:v>
                </c:pt>
                <c:pt idx="17">
                  <c:v>92.7</c:v>
                </c:pt>
                <c:pt idx="18">
                  <c:v>92.8</c:v>
                </c:pt>
                <c:pt idx="19">
                  <c:v>93</c:v>
                </c:pt>
                <c:pt idx="20">
                  <c:v>90.6</c:v>
                </c:pt>
                <c:pt idx="21">
                  <c:v>45</c:v>
                </c:pt>
                <c:pt idx="22">
                  <c:v>79.099999999999994</c:v>
                </c:pt>
                <c:pt idx="23">
                  <c:v>96.9</c:v>
                </c:pt>
                <c:pt idx="24">
                  <c:v>94.9</c:v>
                </c:pt>
                <c:pt idx="25">
                  <c:v>89.6</c:v>
                </c:pt>
                <c:pt idx="26">
                  <c:v>95.3</c:v>
                </c:pt>
                <c:pt idx="27">
                  <c:v>55.8</c:v>
                </c:pt>
                <c:pt idx="28">
                  <c:v>84.5</c:v>
                </c:pt>
                <c:pt idx="29">
                  <c:v>76.7</c:v>
                </c:pt>
                <c:pt idx="30">
                  <c:v>79</c:v>
                </c:pt>
                <c:pt idx="31">
                  <c:v>74.099999999999994</c:v>
                </c:pt>
                <c:pt idx="32">
                  <c:v>79.400000000000006</c:v>
                </c:pt>
                <c:pt idx="33">
                  <c:v>92.7</c:v>
                </c:pt>
                <c:pt idx="34">
                  <c:v>92.2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EA-46AE-9031-E21ECA8A61E4}"/>
            </c:ext>
          </c:extLst>
        </c:ser>
        <c:ser>
          <c:idx val="4"/>
          <c:order val="4"/>
          <c:tx>
            <c:strRef>
              <c:f>'výkonnost odvětví 2'!$A$40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2'!$R$40:$AZ$40</c:f>
              <c:numCache>
                <c:formatCode>#\ ##0.0</c:formatCode>
                <c:ptCount val="35"/>
                <c:pt idx="0">
                  <c:v>45.3</c:v>
                </c:pt>
                <c:pt idx="1">
                  <c:v>49.6</c:v>
                </c:pt>
                <c:pt idx="2">
                  <c:v>49.7</c:v>
                </c:pt>
                <c:pt idx="3">
                  <c:v>46.4</c:v>
                </c:pt>
                <c:pt idx="4">
                  <c:v>45.9</c:v>
                </c:pt>
                <c:pt idx="5">
                  <c:v>44.6</c:v>
                </c:pt>
                <c:pt idx="6">
                  <c:v>43.8</c:v>
                </c:pt>
                <c:pt idx="7">
                  <c:v>42.9</c:v>
                </c:pt>
                <c:pt idx="8">
                  <c:v>42.7</c:v>
                </c:pt>
                <c:pt idx="9">
                  <c:v>41</c:v>
                </c:pt>
                <c:pt idx="10">
                  <c:v>41.2</c:v>
                </c:pt>
                <c:pt idx="11">
                  <c:v>35.800000000000004</c:v>
                </c:pt>
                <c:pt idx="12">
                  <c:v>35.4</c:v>
                </c:pt>
                <c:pt idx="13">
                  <c:v>36.300000000000004</c:v>
                </c:pt>
                <c:pt idx="14">
                  <c:v>32.4</c:v>
                </c:pt>
                <c:pt idx="15">
                  <c:v>32.9</c:v>
                </c:pt>
                <c:pt idx="16">
                  <c:v>33.800000000000004</c:v>
                </c:pt>
                <c:pt idx="17">
                  <c:v>36.200000000000003</c:v>
                </c:pt>
                <c:pt idx="18">
                  <c:v>41</c:v>
                </c:pt>
                <c:pt idx="19">
                  <c:v>47.1</c:v>
                </c:pt>
                <c:pt idx="20">
                  <c:v>49.8</c:v>
                </c:pt>
                <c:pt idx="21">
                  <c:v>58.8</c:v>
                </c:pt>
                <c:pt idx="22">
                  <c:v>63</c:v>
                </c:pt>
                <c:pt idx="23">
                  <c:v>44.4</c:v>
                </c:pt>
                <c:pt idx="24">
                  <c:v>46.9</c:v>
                </c:pt>
                <c:pt idx="25">
                  <c:v>38.700000000000003</c:v>
                </c:pt>
                <c:pt idx="26">
                  <c:v>25.4</c:v>
                </c:pt>
                <c:pt idx="27">
                  <c:v>27.9</c:v>
                </c:pt>
                <c:pt idx="28">
                  <c:v>29.9</c:v>
                </c:pt>
                <c:pt idx="29">
                  <c:v>21.3</c:v>
                </c:pt>
                <c:pt idx="30">
                  <c:v>18.7</c:v>
                </c:pt>
                <c:pt idx="31">
                  <c:v>29.4</c:v>
                </c:pt>
                <c:pt idx="32">
                  <c:v>42.5</c:v>
                </c:pt>
                <c:pt idx="33">
                  <c:v>42</c:v>
                </c:pt>
                <c:pt idx="34">
                  <c:v>44.3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1EA-46AE-9031-E21ECA8A61E4}"/>
            </c:ext>
          </c:extLst>
        </c:ser>
        <c:ser>
          <c:idx val="5"/>
          <c:order val="5"/>
          <c:tx>
            <c:strRef>
              <c:f>'výkonnost odvětví 2'!$A$41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2'!$R$41:$AZ$41</c:f>
              <c:numCache>
                <c:formatCode>#\ ##0.0</c:formatCode>
                <c:ptCount val="35"/>
                <c:pt idx="0">
                  <c:v>6.1</c:v>
                </c:pt>
                <c:pt idx="1">
                  <c:v>6.9</c:v>
                </c:pt>
                <c:pt idx="2">
                  <c:v>8.7000000000000011</c:v>
                </c:pt>
                <c:pt idx="3">
                  <c:v>14</c:v>
                </c:pt>
                <c:pt idx="4">
                  <c:v>14.8</c:v>
                </c:pt>
                <c:pt idx="5">
                  <c:v>16.5</c:v>
                </c:pt>
                <c:pt idx="6">
                  <c:v>18.899999999999999</c:v>
                </c:pt>
                <c:pt idx="7">
                  <c:v>30.1</c:v>
                </c:pt>
                <c:pt idx="8">
                  <c:v>32.700000000000003</c:v>
                </c:pt>
                <c:pt idx="9">
                  <c:v>33.5</c:v>
                </c:pt>
                <c:pt idx="10">
                  <c:v>40.5</c:v>
                </c:pt>
                <c:pt idx="11">
                  <c:v>38.700000000000003</c:v>
                </c:pt>
                <c:pt idx="12">
                  <c:v>43.5</c:v>
                </c:pt>
                <c:pt idx="13">
                  <c:v>42.3</c:v>
                </c:pt>
                <c:pt idx="14">
                  <c:v>43.2</c:v>
                </c:pt>
                <c:pt idx="15">
                  <c:v>46.3</c:v>
                </c:pt>
                <c:pt idx="16">
                  <c:v>39</c:v>
                </c:pt>
                <c:pt idx="17">
                  <c:v>35.1</c:v>
                </c:pt>
                <c:pt idx="18">
                  <c:v>40.200000000000003</c:v>
                </c:pt>
                <c:pt idx="19">
                  <c:v>39.200000000000003</c:v>
                </c:pt>
                <c:pt idx="20">
                  <c:v>27.7</c:v>
                </c:pt>
                <c:pt idx="21">
                  <c:v>13.5</c:v>
                </c:pt>
                <c:pt idx="22">
                  <c:v>16.7</c:v>
                </c:pt>
                <c:pt idx="23">
                  <c:v>17.600000000000001</c:v>
                </c:pt>
                <c:pt idx="24">
                  <c:v>22</c:v>
                </c:pt>
                <c:pt idx="25">
                  <c:v>18.399999999999999</c:v>
                </c:pt>
                <c:pt idx="26">
                  <c:v>27.6</c:v>
                </c:pt>
                <c:pt idx="27">
                  <c:v>22.6</c:v>
                </c:pt>
                <c:pt idx="28">
                  <c:v>24.9</c:v>
                </c:pt>
                <c:pt idx="29">
                  <c:v>18.600000000000001</c:v>
                </c:pt>
                <c:pt idx="30">
                  <c:v>26.1</c:v>
                </c:pt>
                <c:pt idx="31">
                  <c:v>24.9</c:v>
                </c:pt>
                <c:pt idx="32">
                  <c:v>16.600000000000001</c:v>
                </c:pt>
                <c:pt idx="33">
                  <c:v>20.6</c:v>
                </c:pt>
                <c:pt idx="34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1EA-46AE-9031-E21ECA8A61E4}"/>
            </c:ext>
          </c:extLst>
        </c:ser>
        <c:ser>
          <c:idx val="6"/>
          <c:order val="6"/>
          <c:tx>
            <c:strRef>
              <c:f>'výkonnost odvětví 2'!$A$42</c:f>
              <c:strCache>
                <c:ptCount val="1"/>
                <c:pt idx="0">
                  <c:v>Bariéra růstu: nedost. materiálu a zařízení</c:v>
                </c:pt>
              </c:strCache>
            </c:strRef>
          </c:tx>
          <c:spPr>
            <a:ln w="15875">
              <a:solidFill>
                <a:srgbClr val="1EB222"/>
              </a:solidFill>
              <a:prstDash val="dashDot"/>
            </a:ln>
          </c:spPr>
          <c:marker>
            <c:symbol val="none"/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2'!$R$42:$AZ$42</c:f>
              <c:numCache>
                <c:formatCode>#\ ##0.0</c:formatCode>
                <c:ptCount val="35"/>
                <c:pt idx="0">
                  <c:v>5.9</c:v>
                </c:pt>
                <c:pt idx="1">
                  <c:v>11.3</c:v>
                </c:pt>
                <c:pt idx="2">
                  <c:v>10</c:v>
                </c:pt>
                <c:pt idx="3">
                  <c:v>9.9</c:v>
                </c:pt>
                <c:pt idx="4">
                  <c:v>8.9</c:v>
                </c:pt>
                <c:pt idx="5">
                  <c:v>7.7</c:v>
                </c:pt>
                <c:pt idx="6">
                  <c:v>8.9</c:v>
                </c:pt>
                <c:pt idx="7">
                  <c:v>8.5</c:v>
                </c:pt>
                <c:pt idx="8">
                  <c:v>8.8000000000000007</c:v>
                </c:pt>
                <c:pt idx="9">
                  <c:v>8.3000000000000007</c:v>
                </c:pt>
                <c:pt idx="10">
                  <c:v>10.9</c:v>
                </c:pt>
                <c:pt idx="11">
                  <c:v>22.7</c:v>
                </c:pt>
                <c:pt idx="12">
                  <c:v>11.9</c:v>
                </c:pt>
                <c:pt idx="13">
                  <c:v>11.7</c:v>
                </c:pt>
                <c:pt idx="14">
                  <c:v>13.9</c:v>
                </c:pt>
                <c:pt idx="15">
                  <c:v>23.5</c:v>
                </c:pt>
                <c:pt idx="16">
                  <c:v>26.4</c:v>
                </c:pt>
                <c:pt idx="17">
                  <c:v>24.7</c:v>
                </c:pt>
                <c:pt idx="18">
                  <c:v>22</c:v>
                </c:pt>
                <c:pt idx="19">
                  <c:v>10.5</c:v>
                </c:pt>
                <c:pt idx="20">
                  <c:v>17.899999999999999</c:v>
                </c:pt>
                <c:pt idx="21">
                  <c:v>10.200000000000001</c:v>
                </c:pt>
                <c:pt idx="22">
                  <c:v>6.7</c:v>
                </c:pt>
                <c:pt idx="23">
                  <c:v>10.9</c:v>
                </c:pt>
                <c:pt idx="24">
                  <c:v>23.1</c:v>
                </c:pt>
                <c:pt idx="25">
                  <c:v>32.1</c:v>
                </c:pt>
                <c:pt idx="26">
                  <c:v>45.9</c:v>
                </c:pt>
                <c:pt idx="27">
                  <c:v>41.2</c:v>
                </c:pt>
                <c:pt idx="28">
                  <c:v>39.300000000000004</c:v>
                </c:pt>
                <c:pt idx="29">
                  <c:v>47.8</c:v>
                </c:pt>
                <c:pt idx="30">
                  <c:v>53.4</c:v>
                </c:pt>
                <c:pt idx="31">
                  <c:v>46.4</c:v>
                </c:pt>
                <c:pt idx="32">
                  <c:v>37.4</c:v>
                </c:pt>
                <c:pt idx="33">
                  <c:v>32.5</c:v>
                </c:pt>
                <c:pt idx="34">
                  <c:v>20.6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1EA-46AE-9031-E21ECA8A61E4}"/>
            </c:ext>
          </c:extLst>
        </c:ser>
        <c:ser>
          <c:idx val="7"/>
          <c:order val="7"/>
          <c:tx>
            <c:strRef>
              <c:f>'výkonnost odvětví 2'!$A$43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'výkonnost odvětví 2'!$R$34:$AZ$35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2'!$R$43:$AZ$43</c:f>
              <c:numCache>
                <c:formatCode>#\ ##0.0</c:formatCode>
                <c:ptCount val="35"/>
                <c:pt idx="0">
                  <c:v>2.2999999999999998</c:v>
                </c:pt>
                <c:pt idx="1">
                  <c:v>3.3</c:v>
                </c:pt>
                <c:pt idx="2">
                  <c:v>3</c:v>
                </c:pt>
                <c:pt idx="3">
                  <c:v>1</c:v>
                </c:pt>
                <c:pt idx="4">
                  <c:v>3.7</c:v>
                </c:pt>
                <c:pt idx="5">
                  <c:v>2.7</c:v>
                </c:pt>
                <c:pt idx="6">
                  <c:v>5</c:v>
                </c:pt>
                <c:pt idx="7">
                  <c:v>6.3</c:v>
                </c:pt>
                <c:pt idx="8">
                  <c:v>3.7</c:v>
                </c:pt>
                <c:pt idx="9">
                  <c:v>0.5</c:v>
                </c:pt>
                <c:pt idx="10">
                  <c:v>4</c:v>
                </c:pt>
                <c:pt idx="11">
                  <c:v>4.7</c:v>
                </c:pt>
                <c:pt idx="12">
                  <c:v>3.7</c:v>
                </c:pt>
                <c:pt idx="13">
                  <c:v>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0.30000000000000021</c:v>
                </c:pt>
                <c:pt idx="17">
                  <c:v>-2</c:v>
                </c:pt>
                <c:pt idx="18">
                  <c:v>-3</c:v>
                </c:pt>
                <c:pt idx="19">
                  <c:v>-6.7</c:v>
                </c:pt>
                <c:pt idx="20">
                  <c:v>-5</c:v>
                </c:pt>
                <c:pt idx="21">
                  <c:v>-25</c:v>
                </c:pt>
                <c:pt idx="22">
                  <c:v>-6.3</c:v>
                </c:pt>
                <c:pt idx="23">
                  <c:v>-10</c:v>
                </c:pt>
                <c:pt idx="24">
                  <c:v>-1.3</c:v>
                </c:pt>
                <c:pt idx="25">
                  <c:v>5.3</c:v>
                </c:pt>
                <c:pt idx="26">
                  <c:v>-1.3</c:v>
                </c:pt>
                <c:pt idx="27">
                  <c:v>-5.3</c:v>
                </c:pt>
                <c:pt idx="28">
                  <c:v>-0.30000000000000021</c:v>
                </c:pt>
                <c:pt idx="29">
                  <c:v>8.3000000000000007</c:v>
                </c:pt>
                <c:pt idx="30">
                  <c:v>-1.7</c:v>
                </c:pt>
                <c:pt idx="31">
                  <c:v>-8.3000000000000007</c:v>
                </c:pt>
                <c:pt idx="32">
                  <c:v>-10.1</c:v>
                </c:pt>
                <c:pt idx="33">
                  <c:v>-7</c:v>
                </c:pt>
                <c:pt idx="34">
                  <c:v>-7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1EA-46AE-9031-E21ECA8A6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627776"/>
        <c:axId val="59625856"/>
      </c:lineChart>
      <c:catAx>
        <c:axId val="5960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59607296"/>
        <c:crosses val="autoZero"/>
        <c:auto val="1"/>
        <c:lblAlgn val="ctr"/>
        <c:lblOffset val="0"/>
        <c:noMultiLvlLbl val="0"/>
      </c:catAx>
      <c:valAx>
        <c:axId val="59607296"/>
        <c:scaling>
          <c:orientation val="minMax"/>
          <c:max val="90"/>
          <c:min val="-4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Zakázky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59605376"/>
        <c:crosses val="autoZero"/>
        <c:crossBetween val="between"/>
        <c:majorUnit val="10"/>
      </c:valAx>
      <c:valAx>
        <c:axId val="59625856"/>
        <c:scaling>
          <c:orientation val="minMax"/>
          <c:max val="100"/>
          <c:min val="-3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/>
                  <a:t>Využití výrob.</a:t>
                </a:r>
                <a:r>
                  <a:rPr lang="cs-CZ" sz="700" b="0" i="1" baseline="0"/>
                  <a:t> </a:t>
                </a:r>
                <a:r>
                  <a:rPr lang="cs-CZ" sz="700" b="0" i="1"/>
                  <a:t>kapacit, bariéry růstu, </a:t>
                </a:r>
                <a:r>
                  <a:rPr lang="cs-CZ" sz="700" b="0" i="1" baseline="0">
                    <a:effectLst/>
                  </a:rPr>
                  <a:t>saldo důvěry</a:t>
                </a:r>
                <a:endParaRPr lang="cs-CZ" sz="700" i="1">
                  <a:effectLst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9627776"/>
        <c:crosses val="max"/>
        <c:crossBetween val="between"/>
        <c:majorUnit val="10"/>
      </c:valAx>
      <c:catAx>
        <c:axId val="59627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9625856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1.062395230772256E-2"/>
          <c:y val="0.85586448957034"/>
          <c:w val="0.98342327494608206"/>
          <c:h val="0.14063307954958187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78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95346289980299E-2"/>
          <c:y val="1.5663550999370293E-2"/>
          <c:w val="0.85237839893753009"/>
          <c:h val="0.7541319148337040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3'!$Y$31:$Y$65</c:f>
              <c:numCache>
                <c:formatCode>0.0</c:formatCode>
                <c:ptCount val="35"/>
                <c:pt idx="0">
                  <c:v>6.1608280021117059</c:v>
                </c:pt>
                <c:pt idx="1">
                  <c:v>5.233145758167141</c:v>
                </c:pt>
                <c:pt idx="2">
                  <c:v>0.80759607612224849</c:v>
                </c:pt>
                <c:pt idx="3">
                  <c:v>-1.7801931736017571</c:v>
                </c:pt>
                <c:pt idx="4">
                  <c:v>-4.9260426394610803</c:v>
                </c:pt>
                <c:pt idx="5">
                  <c:v>-5.3893761554105266</c:v>
                </c:pt>
                <c:pt idx="6">
                  <c:v>0.86353074351830095</c:v>
                </c:pt>
                <c:pt idx="7">
                  <c:v>4.0249196212832787</c:v>
                </c:pt>
                <c:pt idx="8">
                  <c:v>1.9522274027606881</c:v>
                </c:pt>
                <c:pt idx="9">
                  <c:v>10.53618103638459</c:v>
                </c:pt>
                <c:pt idx="10">
                  <c:v>3.6081127397870389</c:v>
                </c:pt>
                <c:pt idx="11">
                  <c:v>2.5440603272321791</c:v>
                </c:pt>
                <c:pt idx="12">
                  <c:v>13.904954514953621</c:v>
                </c:pt>
                <c:pt idx="13">
                  <c:v>6.2181132474761114</c:v>
                </c:pt>
                <c:pt idx="14">
                  <c:v>7.7210558178298534</c:v>
                </c:pt>
                <c:pt idx="15">
                  <c:v>2.6259550657116648</c:v>
                </c:pt>
                <c:pt idx="16">
                  <c:v>2.9182336777181717</c:v>
                </c:pt>
                <c:pt idx="17">
                  <c:v>2.5364056565930455</c:v>
                </c:pt>
                <c:pt idx="18">
                  <c:v>-0.98563922125675008</c:v>
                </c:pt>
                <c:pt idx="19">
                  <c:v>2.5504281086949971</c:v>
                </c:pt>
                <c:pt idx="20">
                  <c:v>-0.49220764984023602</c:v>
                </c:pt>
                <c:pt idx="21">
                  <c:v>-7.4230457928670921</c:v>
                </c:pt>
                <c:pt idx="22">
                  <c:v>-7.0813271193038121</c:v>
                </c:pt>
                <c:pt idx="23">
                  <c:v>-8.6028814784154495</c:v>
                </c:pt>
                <c:pt idx="24">
                  <c:v>-5.1009695388914054</c:v>
                </c:pt>
                <c:pt idx="25">
                  <c:v>3.0560581093700758</c:v>
                </c:pt>
                <c:pt idx="26">
                  <c:v>3.0719025371360345</c:v>
                </c:pt>
                <c:pt idx="27">
                  <c:v>5.9460478744023399</c:v>
                </c:pt>
                <c:pt idx="28">
                  <c:v>7.6819685361320653</c:v>
                </c:pt>
                <c:pt idx="29">
                  <c:v>3.7814576445833752</c:v>
                </c:pt>
                <c:pt idx="30">
                  <c:v>-0.85327142935784861</c:v>
                </c:pt>
                <c:pt idx="31">
                  <c:v>-1.0455707862924806</c:v>
                </c:pt>
                <c:pt idx="32">
                  <c:v>1.2183773602147601</c:v>
                </c:pt>
                <c:pt idx="33">
                  <c:v>-1.442007466314668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4-44BD-9EF1-8BED52AA0D68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(příspěvek v p. b.)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3'!$Z$31:$Z$65</c:f>
              <c:numCache>
                <c:formatCode>0.0</c:formatCode>
                <c:ptCount val="35"/>
                <c:pt idx="0">
                  <c:v>3.0705403267338003</c:v>
                </c:pt>
                <c:pt idx="1">
                  <c:v>6.874163187417027</c:v>
                </c:pt>
                <c:pt idx="2">
                  <c:v>6.9999177914089774</c:v>
                </c:pt>
                <c:pt idx="3">
                  <c:v>2.7886022034567057</c:v>
                </c:pt>
                <c:pt idx="4">
                  <c:v>-1.1526078736731102</c:v>
                </c:pt>
                <c:pt idx="5">
                  <c:v>-5.3513808653344856</c:v>
                </c:pt>
                <c:pt idx="6">
                  <c:v>-6.6686113975825858</c:v>
                </c:pt>
                <c:pt idx="7">
                  <c:v>-5.6971134882260293</c:v>
                </c:pt>
                <c:pt idx="8">
                  <c:v>-3.3555905673646342</c:v>
                </c:pt>
                <c:pt idx="9">
                  <c:v>-0.90415176747402504</c:v>
                </c:pt>
                <c:pt idx="10">
                  <c:v>-1.376901288471623</c:v>
                </c:pt>
                <c:pt idx="11">
                  <c:v>0.14984865454421994</c:v>
                </c:pt>
                <c:pt idx="12">
                  <c:v>1.86612346173193</c:v>
                </c:pt>
                <c:pt idx="13">
                  <c:v>1.1653457222281625</c:v>
                </c:pt>
                <c:pt idx="14">
                  <c:v>4.7441915436444759</c:v>
                </c:pt>
                <c:pt idx="15">
                  <c:v>1.625625895897117</c:v>
                </c:pt>
                <c:pt idx="16">
                  <c:v>0.73895008865178302</c:v>
                </c:pt>
                <c:pt idx="17">
                  <c:v>1.9508614834308369</c:v>
                </c:pt>
                <c:pt idx="18">
                  <c:v>0.52155296100802928</c:v>
                </c:pt>
                <c:pt idx="19">
                  <c:v>0.95967685432478655</c:v>
                </c:pt>
                <c:pt idx="20">
                  <c:v>3.1388269340693769</c:v>
                </c:pt>
                <c:pt idx="21">
                  <c:v>1.2056036060568238</c:v>
                </c:pt>
                <c:pt idx="22">
                  <c:v>-1.7953878786263247</c:v>
                </c:pt>
                <c:pt idx="23">
                  <c:v>0.4120502728616815</c:v>
                </c:pt>
                <c:pt idx="24">
                  <c:v>-3.6947321791003282E-2</c:v>
                </c:pt>
                <c:pt idx="25">
                  <c:v>0.86454694955435607</c:v>
                </c:pt>
                <c:pt idx="26">
                  <c:v>-0.16377223085432233</c:v>
                </c:pt>
                <c:pt idx="27">
                  <c:v>-0.95395400670827901</c:v>
                </c:pt>
                <c:pt idx="28">
                  <c:v>3.6238163873298972</c:v>
                </c:pt>
                <c:pt idx="29">
                  <c:v>0.20346823864492589</c:v>
                </c:pt>
                <c:pt idx="30">
                  <c:v>2.9020734708543466E-2</c:v>
                </c:pt>
                <c:pt idx="31">
                  <c:v>0.93743664957589101</c:v>
                </c:pt>
                <c:pt idx="32">
                  <c:v>-2.3836667110268435</c:v>
                </c:pt>
                <c:pt idx="33">
                  <c:v>-1.5467627595305431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E4-44BD-9EF1-8BED52AA0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78851456"/>
        <c:axId val="78919168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3'!$X$31:$X$65</c:f>
              <c:numCache>
                <c:formatCode>0.0</c:formatCode>
                <c:ptCount val="35"/>
                <c:pt idx="0">
                  <c:v>9.2313683288454929</c:v>
                </c:pt>
                <c:pt idx="1">
                  <c:v>12.107308945584158</c:v>
                </c:pt>
                <c:pt idx="2">
                  <c:v>7.8075138675311937</c:v>
                </c:pt>
                <c:pt idx="3">
                  <c:v>1.0084090298549313</c:v>
                </c:pt>
                <c:pt idx="4">
                  <c:v>-6.0786505131341961</c:v>
                </c:pt>
                <c:pt idx="5">
                  <c:v>-10.740757020745008</c:v>
                </c:pt>
                <c:pt idx="6">
                  <c:v>-5.8050806540642697</c:v>
                </c:pt>
                <c:pt idx="7">
                  <c:v>-1.6721938669427361</c:v>
                </c:pt>
                <c:pt idx="8">
                  <c:v>-1.4033631646039169</c:v>
                </c:pt>
                <c:pt idx="9">
                  <c:v>9.63202926891055</c:v>
                </c:pt>
                <c:pt idx="10">
                  <c:v>2.2312114513154189</c:v>
                </c:pt>
                <c:pt idx="11">
                  <c:v>2.6939089817763762</c:v>
                </c:pt>
                <c:pt idx="12">
                  <c:v>15.771077976685531</c:v>
                </c:pt>
                <c:pt idx="13">
                  <c:v>7.3834589697042894</c:v>
                </c:pt>
                <c:pt idx="14">
                  <c:v>12.465247361474326</c:v>
                </c:pt>
                <c:pt idx="15">
                  <c:v>4.2515809616087772</c:v>
                </c:pt>
                <c:pt idx="16">
                  <c:v>3.6571837663699287</c:v>
                </c:pt>
                <c:pt idx="17">
                  <c:v>4.4872671400238815</c:v>
                </c:pt>
                <c:pt idx="18">
                  <c:v>-0.46408626024870647</c:v>
                </c:pt>
                <c:pt idx="19">
                  <c:v>3.5101049630197987</c:v>
                </c:pt>
                <c:pt idx="20">
                  <c:v>2.6466192842291587</c:v>
                </c:pt>
                <c:pt idx="21">
                  <c:v>-6.2174421868102776</c:v>
                </c:pt>
                <c:pt idx="22">
                  <c:v>-8.8767149979301365</c:v>
                </c:pt>
                <c:pt idx="23">
                  <c:v>-8.1908312055537706</c:v>
                </c:pt>
                <c:pt idx="24">
                  <c:v>-5.1379168606824024</c:v>
                </c:pt>
                <c:pt idx="25">
                  <c:v>3.9206050589244388</c:v>
                </c:pt>
                <c:pt idx="26">
                  <c:v>2.9081303062816937</c:v>
                </c:pt>
                <c:pt idx="27">
                  <c:v>4.9920938676940505</c:v>
                </c:pt>
                <c:pt idx="28">
                  <c:v>11.305784923461985</c:v>
                </c:pt>
                <c:pt idx="29">
                  <c:v>3.9849258832282981</c:v>
                </c:pt>
                <c:pt idx="30">
                  <c:v>-0.82425069464929424</c:v>
                </c:pt>
                <c:pt idx="31">
                  <c:v>-0.10813413671660059</c:v>
                </c:pt>
                <c:pt idx="32">
                  <c:v>-1.1652893508120878</c:v>
                </c:pt>
                <c:pt idx="33">
                  <c:v>-2.9887702258452151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E4-44BD-9EF1-8BED52AA0D68}"/>
            </c:ext>
          </c:extLst>
        </c:ser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v tuzemsku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3'!$AA$31:$AA$65</c:f>
              <c:numCache>
                <c:formatCode>0.0</c:formatCode>
                <c:ptCount val="35"/>
                <c:pt idx="0">
                  <c:v>-3.1547956675580053</c:v>
                </c:pt>
                <c:pt idx="1">
                  <c:v>9.7504961091663276</c:v>
                </c:pt>
                <c:pt idx="2">
                  <c:v>-1.0976060227612559</c:v>
                </c:pt>
                <c:pt idx="3">
                  <c:v>-2.3987783410040464</c:v>
                </c:pt>
                <c:pt idx="4">
                  <c:v>-6.6406358945753805</c:v>
                </c:pt>
                <c:pt idx="5">
                  <c:v>-0.49977652269311085</c:v>
                </c:pt>
                <c:pt idx="6">
                  <c:v>-7.0322087253454839</c:v>
                </c:pt>
                <c:pt idx="7">
                  <c:v>10.122126124559955</c:v>
                </c:pt>
                <c:pt idx="8">
                  <c:v>16.177217458847451</c:v>
                </c:pt>
                <c:pt idx="9">
                  <c:v>9.5350878984013079</c:v>
                </c:pt>
                <c:pt idx="10">
                  <c:v>-1.2817324431350698</c:v>
                </c:pt>
                <c:pt idx="11">
                  <c:v>15.620806693503823</c:v>
                </c:pt>
                <c:pt idx="12">
                  <c:v>30.106973873688574</c:v>
                </c:pt>
                <c:pt idx="13">
                  <c:v>32.836878110611956</c:v>
                </c:pt>
                <c:pt idx="14">
                  <c:v>5.2768249907951237</c:v>
                </c:pt>
                <c:pt idx="15">
                  <c:v>1.894456581103229</c:v>
                </c:pt>
                <c:pt idx="16">
                  <c:v>14.157245632065782</c:v>
                </c:pt>
                <c:pt idx="17">
                  <c:v>-9.3849543241233224</c:v>
                </c:pt>
                <c:pt idx="18">
                  <c:v>17.407871000993993</c:v>
                </c:pt>
                <c:pt idx="19">
                  <c:v>5.8323004254463804</c:v>
                </c:pt>
                <c:pt idx="20">
                  <c:v>-12.441635069859252</c:v>
                </c:pt>
                <c:pt idx="21">
                  <c:v>7.4973457220286726</c:v>
                </c:pt>
                <c:pt idx="22">
                  <c:v>2.0599736606932861</c:v>
                </c:pt>
                <c:pt idx="23">
                  <c:v>7.5507850088630155</c:v>
                </c:pt>
                <c:pt idx="24">
                  <c:v>28.856340981154403</c:v>
                </c:pt>
                <c:pt idx="25">
                  <c:v>22.047871359987191</c:v>
                </c:pt>
                <c:pt idx="26">
                  <c:v>10.015015612184266</c:v>
                </c:pt>
                <c:pt idx="27">
                  <c:v>1.0053213537781134</c:v>
                </c:pt>
                <c:pt idx="28">
                  <c:v>13.067478460417863</c:v>
                </c:pt>
                <c:pt idx="29">
                  <c:v>17.619163607261132</c:v>
                </c:pt>
                <c:pt idx="30">
                  <c:v>12.421954480552532</c:v>
                </c:pt>
                <c:pt idx="31">
                  <c:v>13.031852753748723</c:v>
                </c:pt>
                <c:pt idx="32">
                  <c:v>-11.830812069596632</c:v>
                </c:pt>
                <c:pt idx="33">
                  <c:v>-18.746380023175064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FE4-44BD-9EF1-8BED52AA0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51456"/>
        <c:axId val="78919168"/>
      </c:lineChart>
      <c:lineChart>
        <c:grouping val="standard"/>
        <c:varyColors val="0"/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3'!$AB$31:$AB$65</c:f>
              <c:numCache>
                <c:formatCode>#\ ##0.0</c:formatCode>
                <c:ptCount val="35"/>
                <c:pt idx="0">
                  <c:v>67.3</c:v>
                </c:pt>
                <c:pt idx="1">
                  <c:v>60.7</c:v>
                </c:pt>
                <c:pt idx="2">
                  <c:v>58.6</c:v>
                </c:pt>
                <c:pt idx="3">
                  <c:v>58.2</c:v>
                </c:pt>
                <c:pt idx="4">
                  <c:v>58.5</c:v>
                </c:pt>
                <c:pt idx="5">
                  <c:v>62.6</c:v>
                </c:pt>
                <c:pt idx="6">
                  <c:v>60.3</c:v>
                </c:pt>
                <c:pt idx="7">
                  <c:v>55.7</c:v>
                </c:pt>
                <c:pt idx="8">
                  <c:v>55.7</c:v>
                </c:pt>
                <c:pt idx="9">
                  <c:v>54.8</c:v>
                </c:pt>
                <c:pt idx="10">
                  <c:v>49.1</c:v>
                </c:pt>
                <c:pt idx="11">
                  <c:v>47.1</c:v>
                </c:pt>
                <c:pt idx="12">
                  <c:v>40.1</c:v>
                </c:pt>
                <c:pt idx="13">
                  <c:v>39.4</c:v>
                </c:pt>
                <c:pt idx="14">
                  <c:v>33</c:v>
                </c:pt>
                <c:pt idx="15">
                  <c:v>23.3</c:v>
                </c:pt>
                <c:pt idx="16">
                  <c:v>26.5</c:v>
                </c:pt>
                <c:pt idx="17">
                  <c:v>26.7</c:v>
                </c:pt>
                <c:pt idx="18">
                  <c:v>18.899999999999999</c:v>
                </c:pt>
                <c:pt idx="19">
                  <c:v>19.600000000000001</c:v>
                </c:pt>
                <c:pt idx="20">
                  <c:v>31.6</c:v>
                </c:pt>
                <c:pt idx="21">
                  <c:v>31.3</c:v>
                </c:pt>
                <c:pt idx="22">
                  <c:v>38.6</c:v>
                </c:pt>
                <c:pt idx="23" formatCode="General">
                  <c:v>39.200000000000003</c:v>
                </c:pt>
                <c:pt idx="24">
                  <c:v>30.8</c:v>
                </c:pt>
                <c:pt idx="25">
                  <c:v>35.9</c:v>
                </c:pt>
                <c:pt idx="26">
                  <c:v>23.2</c:v>
                </c:pt>
                <c:pt idx="27">
                  <c:v>19.5</c:v>
                </c:pt>
                <c:pt idx="28">
                  <c:v>21.3</c:v>
                </c:pt>
                <c:pt idx="29">
                  <c:v>21.1</c:v>
                </c:pt>
                <c:pt idx="30">
                  <c:v>19.3</c:v>
                </c:pt>
                <c:pt idx="31">
                  <c:v>20.6</c:v>
                </c:pt>
                <c:pt idx="32">
                  <c:v>31.9</c:v>
                </c:pt>
                <c:pt idx="33">
                  <c:v>32.300000000000004</c:v>
                </c:pt>
                <c:pt idx="34">
                  <c:v>36.300000000000004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FE4-44BD-9EF1-8BED52AA0D68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00B050"/>
              </a:solidFill>
              <a:prstDash val="dash"/>
            </a:ln>
          </c:spPr>
          <c:marker>
            <c:symbol val="none"/>
          </c:marker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3'!$AC$31:$AC$65</c:f>
              <c:numCache>
                <c:formatCode>#\ ##0.0</c:formatCode>
                <c:ptCount val="35"/>
                <c:pt idx="0">
                  <c:v>8.3000000000000007</c:v>
                </c:pt>
                <c:pt idx="1">
                  <c:v>8.1</c:v>
                </c:pt>
                <c:pt idx="2">
                  <c:v>6.1</c:v>
                </c:pt>
                <c:pt idx="3">
                  <c:v>6</c:v>
                </c:pt>
                <c:pt idx="4">
                  <c:v>6.5</c:v>
                </c:pt>
                <c:pt idx="5">
                  <c:v>7.2</c:v>
                </c:pt>
                <c:pt idx="6">
                  <c:v>7</c:v>
                </c:pt>
                <c:pt idx="7">
                  <c:v>10.4</c:v>
                </c:pt>
                <c:pt idx="8">
                  <c:v>14</c:v>
                </c:pt>
                <c:pt idx="9">
                  <c:v>14.8</c:v>
                </c:pt>
                <c:pt idx="10">
                  <c:v>21.4</c:v>
                </c:pt>
                <c:pt idx="11">
                  <c:v>21.1</c:v>
                </c:pt>
                <c:pt idx="12">
                  <c:v>27.3</c:v>
                </c:pt>
                <c:pt idx="13">
                  <c:v>30.1</c:v>
                </c:pt>
                <c:pt idx="14">
                  <c:v>28.1</c:v>
                </c:pt>
                <c:pt idx="15">
                  <c:v>38.200000000000003</c:v>
                </c:pt>
                <c:pt idx="16">
                  <c:v>36.9</c:v>
                </c:pt>
                <c:pt idx="17">
                  <c:v>43.4</c:v>
                </c:pt>
                <c:pt idx="18">
                  <c:v>49.6</c:v>
                </c:pt>
                <c:pt idx="19">
                  <c:v>46.2</c:v>
                </c:pt>
                <c:pt idx="20">
                  <c:v>52.5</c:v>
                </c:pt>
                <c:pt idx="21">
                  <c:v>46</c:v>
                </c:pt>
                <c:pt idx="22">
                  <c:v>35.300000000000004</c:v>
                </c:pt>
                <c:pt idx="23" formatCode="0.0">
                  <c:v>31.9</c:v>
                </c:pt>
                <c:pt idx="24">
                  <c:v>48.6</c:v>
                </c:pt>
                <c:pt idx="25">
                  <c:v>31.6</c:v>
                </c:pt>
                <c:pt idx="26">
                  <c:v>40.700000000000003</c:v>
                </c:pt>
                <c:pt idx="27">
                  <c:v>42</c:v>
                </c:pt>
                <c:pt idx="28">
                  <c:v>57.7</c:v>
                </c:pt>
                <c:pt idx="29">
                  <c:v>44.4</c:v>
                </c:pt>
                <c:pt idx="30">
                  <c:v>39.1</c:v>
                </c:pt>
                <c:pt idx="31">
                  <c:v>46.7</c:v>
                </c:pt>
                <c:pt idx="32">
                  <c:v>39.9</c:v>
                </c:pt>
                <c:pt idx="33">
                  <c:v>35.5</c:v>
                </c:pt>
                <c:pt idx="34">
                  <c:v>30.1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FE4-44BD-9EF1-8BED52AA0D68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Bariéra růstu: nedost. materiálu a vybavení</c:v>
                </c:pt>
              </c:strCache>
            </c:strRef>
          </c:tx>
          <c:spPr>
            <a:ln w="15875">
              <a:solidFill>
                <a:srgbClr val="37DD3B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3'!$AD$31:$AD$65</c:f>
              <c:numCache>
                <c:formatCode>#\ ##0.0</c:formatCode>
                <c:ptCount val="35"/>
                <c:pt idx="0">
                  <c:v>0.1</c:v>
                </c:pt>
                <c:pt idx="1">
                  <c:v>0.4</c:v>
                </c:pt>
                <c:pt idx="2">
                  <c:v>4</c:v>
                </c:pt>
                <c:pt idx="3">
                  <c:v>0.5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  <c:pt idx="7">
                  <c:v>1.5</c:v>
                </c:pt>
                <c:pt idx="8">
                  <c:v>0.30000000000000021</c:v>
                </c:pt>
                <c:pt idx="9">
                  <c:v>0.30000000000000021</c:v>
                </c:pt>
                <c:pt idx="10">
                  <c:v>3.3</c:v>
                </c:pt>
                <c:pt idx="11">
                  <c:v>4.2</c:v>
                </c:pt>
                <c:pt idx="12">
                  <c:v>5.5</c:v>
                </c:pt>
                <c:pt idx="13">
                  <c:v>1.2</c:v>
                </c:pt>
                <c:pt idx="14">
                  <c:v>6.8</c:v>
                </c:pt>
                <c:pt idx="15">
                  <c:v>3.5</c:v>
                </c:pt>
                <c:pt idx="16">
                  <c:v>4.3</c:v>
                </c:pt>
                <c:pt idx="17">
                  <c:v>5.7</c:v>
                </c:pt>
                <c:pt idx="18">
                  <c:v>5.3</c:v>
                </c:pt>
                <c:pt idx="19">
                  <c:v>4</c:v>
                </c:pt>
                <c:pt idx="20">
                  <c:v>1.9000000000000001</c:v>
                </c:pt>
                <c:pt idx="21">
                  <c:v>3.4</c:v>
                </c:pt>
                <c:pt idx="22">
                  <c:v>1.3</c:v>
                </c:pt>
                <c:pt idx="23">
                  <c:v>0.8</c:v>
                </c:pt>
                <c:pt idx="24">
                  <c:v>1.3</c:v>
                </c:pt>
                <c:pt idx="25">
                  <c:v>4.3</c:v>
                </c:pt>
                <c:pt idx="26">
                  <c:v>16.3</c:v>
                </c:pt>
                <c:pt idx="27">
                  <c:v>22.8</c:v>
                </c:pt>
                <c:pt idx="28">
                  <c:v>24.7</c:v>
                </c:pt>
                <c:pt idx="29">
                  <c:v>41.3</c:v>
                </c:pt>
                <c:pt idx="30">
                  <c:v>38.6</c:v>
                </c:pt>
                <c:pt idx="31">
                  <c:v>23.4</c:v>
                </c:pt>
                <c:pt idx="32">
                  <c:v>19.5</c:v>
                </c:pt>
                <c:pt idx="33">
                  <c:v>17</c:v>
                </c:pt>
                <c:pt idx="34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FE4-44BD-9EF1-8BED52AA0D68}"/>
            </c:ext>
          </c:extLst>
        </c:ser>
        <c:ser>
          <c:idx val="7"/>
          <c:order val="7"/>
          <c:tx>
            <c:strRef>
              <c:f>'výkonnost odvětví 3'!$AE$10</c:f>
              <c:strCache>
                <c:ptCount val="1"/>
                <c:pt idx="0">
                  <c:v>Saldo indikátoru důvěry ve stavebnictví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'výkonnost odvětví 3'!$V$31:$W$65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3'!$AE$31:$AE$65</c:f>
              <c:numCache>
                <c:formatCode>0.0</c:formatCode>
                <c:ptCount val="35"/>
                <c:pt idx="0">
                  <c:v>-21</c:v>
                </c:pt>
                <c:pt idx="1">
                  <c:v>-16</c:v>
                </c:pt>
                <c:pt idx="2">
                  <c:v>-20</c:v>
                </c:pt>
                <c:pt idx="3">
                  <c:v>-14.5</c:v>
                </c:pt>
                <c:pt idx="4">
                  <c:v>-14.5</c:v>
                </c:pt>
                <c:pt idx="5">
                  <c:v>-25.5</c:v>
                </c:pt>
                <c:pt idx="6">
                  <c:v>-24.5</c:v>
                </c:pt>
                <c:pt idx="7">
                  <c:v>-23</c:v>
                </c:pt>
                <c:pt idx="8">
                  <c:v>-22.5</c:v>
                </c:pt>
                <c:pt idx="9">
                  <c:v>-24.5</c:v>
                </c:pt>
                <c:pt idx="10">
                  <c:v>-18.5</c:v>
                </c:pt>
                <c:pt idx="11">
                  <c:v>-15</c:v>
                </c:pt>
                <c:pt idx="12">
                  <c:v>-9</c:v>
                </c:pt>
                <c:pt idx="13">
                  <c:v>-6</c:v>
                </c:pt>
                <c:pt idx="14">
                  <c:v>-2</c:v>
                </c:pt>
                <c:pt idx="15">
                  <c:v>1</c:v>
                </c:pt>
                <c:pt idx="16">
                  <c:v>3.5</c:v>
                </c:pt>
                <c:pt idx="17">
                  <c:v>4</c:v>
                </c:pt>
                <c:pt idx="18">
                  <c:v>-1</c:v>
                </c:pt>
                <c:pt idx="19">
                  <c:v>1</c:v>
                </c:pt>
                <c:pt idx="20">
                  <c:v>-3</c:v>
                </c:pt>
                <c:pt idx="21">
                  <c:v>-15</c:v>
                </c:pt>
                <c:pt idx="22">
                  <c:v>-13</c:v>
                </c:pt>
                <c:pt idx="23">
                  <c:v>-11.5</c:v>
                </c:pt>
                <c:pt idx="24">
                  <c:v>-6</c:v>
                </c:pt>
                <c:pt idx="25">
                  <c:v>-5.5</c:v>
                </c:pt>
                <c:pt idx="26">
                  <c:v>-4.5</c:v>
                </c:pt>
                <c:pt idx="27">
                  <c:v>-6.5</c:v>
                </c:pt>
                <c:pt idx="28">
                  <c:v>6.5</c:v>
                </c:pt>
                <c:pt idx="29">
                  <c:v>-2</c:v>
                </c:pt>
                <c:pt idx="30">
                  <c:v>-9</c:v>
                </c:pt>
                <c:pt idx="31">
                  <c:v>-4.5</c:v>
                </c:pt>
                <c:pt idx="32">
                  <c:v>-11.5</c:v>
                </c:pt>
                <c:pt idx="33">
                  <c:v>-15.5</c:v>
                </c:pt>
                <c:pt idx="34">
                  <c:v>-16.5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FE4-44BD-9EF1-8BED52AA0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39648"/>
        <c:axId val="78921088"/>
      </c:lineChart>
      <c:catAx>
        <c:axId val="7885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8919168"/>
        <c:crosses val="autoZero"/>
        <c:auto val="1"/>
        <c:lblAlgn val="ctr"/>
        <c:lblOffset val="0"/>
        <c:noMultiLvlLbl val="0"/>
      </c:catAx>
      <c:valAx>
        <c:axId val="78919168"/>
        <c:scaling>
          <c:orientation val="minMax"/>
          <c:max val="80"/>
          <c:min val="-2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Zakázky, příspěvky k změně stavební produkce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8851456"/>
        <c:crosses val="autoZero"/>
        <c:crossBetween val="between"/>
        <c:majorUnit val="10"/>
      </c:valAx>
      <c:valAx>
        <c:axId val="78921088"/>
        <c:scaling>
          <c:orientation val="minMax"/>
          <c:max val="100"/>
          <c:min val="-10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Saldo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78939648"/>
        <c:crosses val="max"/>
        <c:crossBetween val="between"/>
        <c:majorUnit val="20"/>
      </c:valAx>
      <c:catAx>
        <c:axId val="78939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8921088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1.8499319708759499E-2"/>
          <c:y val="0.85936703322638652"/>
          <c:w val="0.96925714241885441"/>
          <c:h val="0.1336282177894256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426691729323407E-2"/>
          <c:y val="1.5803328678987472E-2"/>
          <c:w val="0.84775483743554847"/>
          <c:h val="0.69902590308489521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růstu-4'!$D$33</c:f>
              <c:strCache>
                <c:ptCount val="1"/>
                <c:pt idx="0">
                  <c:v>Doprava a skladování (p. b.)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růstu-4'!$D$46:$D$80</c:f>
              <c:numCache>
                <c:formatCode>0.0</c:formatCode>
                <c:ptCount val="35"/>
                <c:pt idx="0">
                  <c:v>0.17627373165999941</c:v>
                </c:pt>
                <c:pt idx="1">
                  <c:v>-4.1398260783598463E-2</c:v>
                </c:pt>
                <c:pt idx="2">
                  <c:v>0.20127676583260184</c:v>
                </c:pt>
                <c:pt idx="3">
                  <c:v>4.2331882175001882E-2</c:v>
                </c:pt>
                <c:pt idx="4">
                  <c:v>0.2604828945619988</c:v>
                </c:pt>
                <c:pt idx="5">
                  <c:v>0.20044719477909842</c:v>
                </c:pt>
                <c:pt idx="6">
                  <c:v>0.14004615678000049</c:v>
                </c:pt>
                <c:pt idx="7">
                  <c:v>0.86059283114800145</c:v>
                </c:pt>
                <c:pt idx="8">
                  <c:v>1.6559965627289979</c:v>
                </c:pt>
                <c:pt idx="9">
                  <c:v>1.0934548874629979</c:v>
                </c:pt>
                <c:pt idx="10">
                  <c:v>1.1374484601479997</c:v>
                </c:pt>
                <c:pt idx="11">
                  <c:v>0.6047080971790002</c:v>
                </c:pt>
                <c:pt idx="12">
                  <c:v>1.7518533558900002</c:v>
                </c:pt>
                <c:pt idx="13">
                  <c:v>1.9191714775479998</c:v>
                </c:pt>
                <c:pt idx="14">
                  <c:v>1.4689069805629977</c:v>
                </c:pt>
                <c:pt idx="15">
                  <c:v>0.49822211685500067</c:v>
                </c:pt>
                <c:pt idx="16">
                  <c:v>0.75210969494300184</c:v>
                </c:pt>
                <c:pt idx="17">
                  <c:v>-7.8943058121998602E-2</c:v>
                </c:pt>
                <c:pt idx="18">
                  <c:v>-0.6761559609970017</c:v>
                </c:pt>
                <c:pt idx="19">
                  <c:v>-0.53883087511919914</c:v>
                </c:pt>
                <c:pt idx="20">
                  <c:v>-1.7873099078691983</c:v>
                </c:pt>
                <c:pt idx="21">
                  <c:v>-6.8790162520431002</c:v>
                </c:pt>
                <c:pt idx="22">
                  <c:v>-4.215675848624997</c:v>
                </c:pt>
                <c:pt idx="23">
                  <c:v>-1.7596921701599983</c:v>
                </c:pt>
                <c:pt idx="24">
                  <c:v>-0.1501713878405998</c:v>
                </c:pt>
                <c:pt idx="25">
                  <c:v>6.9506599035744037</c:v>
                </c:pt>
                <c:pt idx="26">
                  <c:v>4.0996709945155994</c:v>
                </c:pt>
                <c:pt idx="27">
                  <c:v>4.5444705336066278</c:v>
                </c:pt>
                <c:pt idx="28">
                  <c:v>4.6413485285034968</c:v>
                </c:pt>
                <c:pt idx="29">
                  <c:v>4.7978183130189818</c:v>
                </c:pt>
                <c:pt idx="30">
                  <c:v>3.771511945530472</c:v>
                </c:pt>
                <c:pt idx="31">
                  <c:v>-0.10260527547599918</c:v>
                </c:pt>
                <c:pt idx="32">
                  <c:v>-1.3478319744959979</c:v>
                </c:pt>
                <c:pt idx="33">
                  <c:v>-3.6318517020952465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9-4EC4-BAA6-73D3D1E61353}"/>
            </c:ext>
          </c:extLst>
        </c:ser>
        <c:ser>
          <c:idx val="1"/>
          <c:order val="2"/>
          <c:tx>
            <c:strRef>
              <c:f>'Služby-příspěvkyk růstu-4'!$E$33</c:f>
              <c:strCache>
                <c:ptCount val="1"/>
                <c:pt idx="0">
                  <c:v>Ubytování, stravování a pohostinství (p. b.)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růstu-4'!$E$46:$E$80</c:f>
              <c:numCache>
                <c:formatCode>0.0</c:formatCode>
                <c:ptCount val="35"/>
                <c:pt idx="0">
                  <c:v>0.23064326026020021</c:v>
                </c:pt>
                <c:pt idx="1">
                  <c:v>0.65490030172000013</c:v>
                </c:pt>
                <c:pt idx="2">
                  <c:v>0.65615704203699965</c:v>
                </c:pt>
                <c:pt idx="3">
                  <c:v>0.40198126828160052</c:v>
                </c:pt>
                <c:pt idx="4">
                  <c:v>0.47264498177679992</c:v>
                </c:pt>
                <c:pt idx="5">
                  <c:v>0.16809598308499987</c:v>
                </c:pt>
                <c:pt idx="6">
                  <c:v>0.5678502803826001</c:v>
                </c:pt>
                <c:pt idx="7">
                  <c:v>0.60026021753880121</c:v>
                </c:pt>
                <c:pt idx="8">
                  <c:v>0.90716175756749962</c:v>
                </c:pt>
                <c:pt idx="9">
                  <c:v>1.2351843183735998</c:v>
                </c:pt>
                <c:pt idx="10">
                  <c:v>0.55372633890920031</c:v>
                </c:pt>
                <c:pt idx="11">
                  <c:v>0.45414701226059939</c:v>
                </c:pt>
                <c:pt idx="12">
                  <c:v>0.20562277238639989</c:v>
                </c:pt>
                <c:pt idx="13">
                  <c:v>4.6481198053399876E-2</c:v>
                </c:pt>
                <c:pt idx="14">
                  <c:v>5.8790755202600173E-2</c:v>
                </c:pt>
                <c:pt idx="15">
                  <c:v>-3.8611122396599751E-2</c:v>
                </c:pt>
                <c:pt idx="16">
                  <c:v>0.19877668230760023</c:v>
                </c:pt>
                <c:pt idx="17">
                  <c:v>0.19106550885020049</c:v>
                </c:pt>
                <c:pt idx="18">
                  <c:v>-2.1031638824599935E-2</c:v>
                </c:pt>
                <c:pt idx="19">
                  <c:v>-1.8881872245599843E-2</c:v>
                </c:pt>
                <c:pt idx="20">
                  <c:v>-1.1578648579121602</c:v>
                </c:pt>
                <c:pt idx="21">
                  <c:v>-4.9674966649835008</c:v>
                </c:pt>
                <c:pt idx="22">
                  <c:v>-1.9520417393251039</c:v>
                </c:pt>
                <c:pt idx="23">
                  <c:v>-4.5017067627894276</c:v>
                </c:pt>
                <c:pt idx="24">
                  <c:v>-3.6933845036437498</c:v>
                </c:pt>
                <c:pt idx="25">
                  <c:v>1.3724082127149841</c:v>
                </c:pt>
                <c:pt idx="26">
                  <c:v>0.6361791628575002</c:v>
                </c:pt>
                <c:pt idx="27">
                  <c:v>2.8391165022808131</c:v>
                </c:pt>
                <c:pt idx="28">
                  <c:v>2.9561078391668985</c:v>
                </c:pt>
                <c:pt idx="29">
                  <c:v>2.6813701390722935</c:v>
                </c:pt>
                <c:pt idx="30">
                  <c:v>-0.42126370124067841</c:v>
                </c:pt>
                <c:pt idx="31">
                  <c:v>0.60066614945780028</c:v>
                </c:pt>
                <c:pt idx="32">
                  <c:v>0.54106440281159984</c:v>
                </c:pt>
                <c:pt idx="33">
                  <c:v>3.7104883741050136E-2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29-4EC4-BAA6-73D3D1E61353}"/>
            </c:ext>
          </c:extLst>
        </c:ser>
        <c:ser>
          <c:idx val="2"/>
          <c:order val="3"/>
          <c:tx>
            <c:strRef>
              <c:f>'Služby-příspěvkyk růstu-4'!$F$33</c:f>
              <c:strCache>
                <c:ptCount val="1"/>
                <c:pt idx="0">
                  <c:v>Informační a komunikační činnosti (p. b.)</c:v>
                </c:pt>
              </c:strCache>
            </c:strRef>
          </c:tx>
          <c:spPr>
            <a:solidFill>
              <a:srgbClr val="E6E100"/>
            </a:solidFill>
            <a:ln>
              <a:noFill/>
            </a:ln>
          </c:spPr>
          <c:invertIfNegative val="0"/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růstu-4'!$F$46:$F$80</c:f>
              <c:numCache>
                <c:formatCode>0.0</c:formatCode>
                <c:ptCount val="35"/>
                <c:pt idx="0">
                  <c:v>1.4083798915137009</c:v>
                </c:pt>
                <c:pt idx="1">
                  <c:v>0.82540650715499952</c:v>
                </c:pt>
                <c:pt idx="2">
                  <c:v>0.80424272675400077</c:v>
                </c:pt>
                <c:pt idx="3">
                  <c:v>1.3174140502479983</c:v>
                </c:pt>
                <c:pt idx="4">
                  <c:v>0.35985664064800132</c:v>
                </c:pt>
                <c:pt idx="5">
                  <c:v>0.15751383681999892</c:v>
                </c:pt>
                <c:pt idx="6">
                  <c:v>0.32598498922400015</c:v>
                </c:pt>
                <c:pt idx="7">
                  <c:v>0.17761340848900078</c:v>
                </c:pt>
                <c:pt idx="8">
                  <c:v>0.76438636704000096</c:v>
                </c:pt>
                <c:pt idx="9">
                  <c:v>0.98207704425299891</c:v>
                </c:pt>
                <c:pt idx="10">
                  <c:v>0.77093881661000241</c:v>
                </c:pt>
                <c:pt idx="11">
                  <c:v>0.58294315828299859</c:v>
                </c:pt>
                <c:pt idx="12">
                  <c:v>1.4398200028309982</c:v>
                </c:pt>
                <c:pt idx="13">
                  <c:v>0.76531943813199965</c:v>
                </c:pt>
                <c:pt idx="14">
                  <c:v>1.415831001736001</c:v>
                </c:pt>
                <c:pt idx="15">
                  <c:v>0.98684323348800185</c:v>
                </c:pt>
                <c:pt idx="16">
                  <c:v>1.2348474246799996</c:v>
                </c:pt>
                <c:pt idx="17">
                  <c:v>1.1603884990620001</c:v>
                </c:pt>
                <c:pt idx="18">
                  <c:v>0.91591834325400012</c:v>
                </c:pt>
                <c:pt idx="19">
                  <c:v>1.1621880049516025</c:v>
                </c:pt>
                <c:pt idx="20">
                  <c:v>0.8191341781949999</c:v>
                </c:pt>
                <c:pt idx="21">
                  <c:v>1.3223529237600385E-2</c:v>
                </c:pt>
                <c:pt idx="22">
                  <c:v>-0.20840783961800002</c:v>
                </c:pt>
                <c:pt idx="23">
                  <c:v>-0.54142483054800206</c:v>
                </c:pt>
                <c:pt idx="24">
                  <c:v>0.71316924858200104</c:v>
                </c:pt>
                <c:pt idx="25">
                  <c:v>1.5486406955901642</c:v>
                </c:pt>
                <c:pt idx="26">
                  <c:v>1.4405780988855996</c:v>
                </c:pt>
                <c:pt idx="27">
                  <c:v>1.9065499671602741</c:v>
                </c:pt>
                <c:pt idx="28">
                  <c:v>1.4241015860772992</c:v>
                </c:pt>
                <c:pt idx="29">
                  <c:v>0.86579080876800096</c:v>
                </c:pt>
                <c:pt idx="30">
                  <c:v>0.69569690090645042</c:v>
                </c:pt>
                <c:pt idx="31">
                  <c:v>0.23551368312941112</c:v>
                </c:pt>
                <c:pt idx="32">
                  <c:v>0.50979013389719985</c:v>
                </c:pt>
                <c:pt idx="33">
                  <c:v>-0.21067253915528883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29-4EC4-BAA6-73D3D1E61353}"/>
            </c:ext>
          </c:extLst>
        </c:ser>
        <c:ser>
          <c:idx val="4"/>
          <c:order val="4"/>
          <c:tx>
            <c:strRef>
              <c:f>'Služby-příspěvkyk růstu-4'!$G$33</c:f>
              <c:strCache>
                <c:ptCount val="1"/>
                <c:pt idx="0">
                  <c:v>Činnosti v oblasti nemovitostí (p. b.)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růstu-4'!$G$46:$G$80</c:f>
              <c:numCache>
                <c:formatCode>0.0</c:formatCode>
                <c:ptCount val="35"/>
                <c:pt idx="0">
                  <c:v>4.7588818498199952E-2</c:v>
                </c:pt>
                <c:pt idx="1">
                  <c:v>-7.3007550905993838E-3</c:v>
                </c:pt>
                <c:pt idx="2">
                  <c:v>0.12810762983039936</c:v>
                </c:pt>
                <c:pt idx="3">
                  <c:v>2.4617916117599486E-2</c:v>
                </c:pt>
                <c:pt idx="4">
                  <c:v>0.25752090895740026</c:v>
                </c:pt>
                <c:pt idx="5">
                  <c:v>-4.2228184845005514E-3</c:v>
                </c:pt>
                <c:pt idx="6">
                  <c:v>0.14993183101380081</c:v>
                </c:pt>
                <c:pt idx="7">
                  <c:v>-6.6530028186599505E-2</c:v>
                </c:pt>
                <c:pt idx="8">
                  <c:v>0.20977398058900038</c:v>
                </c:pt>
                <c:pt idx="9">
                  <c:v>0.44953617213779962</c:v>
                </c:pt>
                <c:pt idx="10">
                  <c:v>-2.2338348474500516E-2</c:v>
                </c:pt>
                <c:pt idx="11">
                  <c:v>0.13984723093740006</c:v>
                </c:pt>
                <c:pt idx="12">
                  <c:v>2.6966101253399585E-2</c:v>
                </c:pt>
                <c:pt idx="13">
                  <c:v>-0.24884766500039987</c:v>
                </c:pt>
                <c:pt idx="14">
                  <c:v>-0.12645184379759991</c:v>
                </c:pt>
                <c:pt idx="15">
                  <c:v>-0.22378801642200064</c:v>
                </c:pt>
                <c:pt idx="16">
                  <c:v>0.14753986907940037</c:v>
                </c:pt>
                <c:pt idx="17">
                  <c:v>-7.3797086292003737E-3</c:v>
                </c:pt>
                <c:pt idx="18">
                  <c:v>-0.23287434101939941</c:v>
                </c:pt>
                <c:pt idx="19">
                  <c:v>-0.1014703732620004</c:v>
                </c:pt>
                <c:pt idx="20">
                  <c:v>0.42431890762080116</c:v>
                </c:pt>
                <c:pt idx="21">
                  <c:v>-0.29919163957060046</c:v>
                </c:pt>
                <c:pt idx="22">
                  <c:v>-0.26426338474666694</c:v>
                </c:pt>
                <c:pt idx="23">
                  <c:v>-0.23118426949069976</c:v>
                </c:pt>
                <c:pt idx="24">
                  <c:v>-0.20085438476490081</c:v>
                </c:pt>
                <c:pt idx="25">
                  <c:v>0.43434705815385066</c:v>
                </c:pt>
                <c:pt idx="26">
                  <c:v>2.9423998310004183E-3</c:v>
                </c:pt>
                <c:pt idx="27">
                  <c:v>0.23837123738399993</c:v>
                </c:pt>
                <c:pt idx="28">
                  <c:v>0.9317798842872006</c:v>
                </c:pt>
                <c:pt idx="29">
                  <c:v>0.47103938028000031</c:v>
                </c:pt>
                <c:pt idx="30">
                  <c:v>0.24148183282894761</c:v>
                </c:pt>
                <c:pt idx="31">
                  <c:v>0.36276827915000037</c:v>
                </c:pt>
                <c:pt idx="32">
                  <c:v>-2.9053651535999966E-2</c:v>
                </c:pt>
                <c:pt idx="33">
                  <c:v>-0.21207411126600276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29-4EC4-BAA6-73D3D1E61353}"/>
            </c:ext>
          </c:extLst>
        </c:ser>
        <c:ser>
          <c:idx val="5"/>
          <c:order val="5"/>
          <c:tx>
            <c:strRef>
              <c:f>'Služby-příspěvkyk růstu-4'!$H$33</c:f>
              <c:strCache>
                <c:ptCount val="1"/>
                <c:pt idx="0">
                  <c:v>Profesní, vědecké a technické činnosti (p. b.)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růstu-4'!$H$46:$H$80</c:f>
              <c:numCache>
                <c:formatCode>0.0</c:formatCode>
                <c:ptCount val="35"/>
                <c:pt idx="0">
                  <c:v>1.0468505532869989</c:v>
                </c:pt>
                <c:pt idx="1">
                  <c:v>0.72007462620000018</c:v>
                </c:pt>
                <c:pt idx="2">
                  <c:v>1.0906393004399992</c:v>
                </c:pt>
                <c:pt idx="3">
                  <c:v>-4.2990021238901457E-2</c:v>
                </c:pt>
                <c:pt idx="4">
                  <c:v>-0.43098075353700138</c:v>
                </c:pt>
                <c:pt idx="5">
                  <c:v>-1.3389465804999978</c:v>
                </c:pt>
                <c:pt idx="6">
                  <c:v>3.0728374200130306E-4</c:v>
                </c:pt>
                <c:pt idx="7">
                  <c:v>-0.31210716654949933</c:v>
                </c:pt>
                <c:pt idx="8">
                  <c:v>0.95807798756000062</c:v>
                </c:pt>
                <c:pt idx="9">
                  <c:v>0.5944783948877993</c:v>
                </c:pt>
                <c:pt idx="10">
                  <c:v>0.30863690562090024</c:v>
                </c:pt>
                <c:pt idx="11">
                  <c:v>0.42814590144940107</c:v>
                </c:pt>
                <c:pt idx="12">
                  <c:v>1.0521629274264996</c:v>
                </c:pt>
                <c:pt idx="13">
                  <c:v>0.5501113250554992</c:v>
                </c:pt>
                <c:pt idx="14">
                  <c:v>0.3596254694963989</c:v>
                </c:pt>
                <c:pt idx="15">
                  <c:v>-0.26680052765060164</c:v>
                </c:pt>
                <c:pt idx="16">
                  <c:v>0.7098884861869007</c:v>
                </c:pt>
                <c:pt idx="17">
                  <c:v>0.5915662586714</c:v>
                </c:pt>
                <c:pt idx="18">
                  <c:v>-0.7775404471821008</c:v>
                </c:pt>
                <c:pt idx="19">
                  <c:v>-0.56889162352000056</c:v>
                </c:pt>
                <c:pt idx="20">
                  <c:v>-0.86298756252779962</c:v>
                </c:pt>
                <c:pt idx="21">
                  <c:v>-3.1826786933129987</c:v>
                </c:pt>
                <c:pt idx="22">
                  <c:v>-1.4951268594295071</c:v>
                </c:pt>
                <c:pt idx="23">
                  <c:v>-1.5495215129057986</c:v>
                </c:pt>
                <c:pt idx="24">
                  <c:v>-1.5897570854689647</c:v>
                </c:pt>
                <c:pt idx="25">
                  <c:v>2.7177633580318035</c:v>
                </c:pt>
                <c:pt idx="26">
                  <c:v>1.7630975025485993</c:v>
                </c:pt>
                <c:pt idx="27">
                  <c:v>2.0930310136979391</c:v>
                </c:pt>
                <c:pt idx="28">
                  <c:v>2.2703464324547991</c:v>
                </c:pt>
                <c:pt idx="29">
                  <c:v>1.2338620529777755</c:v>
                </c:pt>
                <c:pt idx="30">
                  <c:v>1.0045707012391294</c:v>
                </c:pt>
                <c:pt idx="31">
                  <c:v>3.1260807364285555E-2</c:v>
                </c:pt>
                <c:pt idx="32">
                  <c:v>0.4985359538535003</c:v>
                </c:pt>
                <c:pt idx="33">
                  <c:v>0.80402607013840122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29-4EC4-BAA6-73D3D1E61353}"/>
            </c:ext>
          </c:extLst>
        </c:ser>
        <c:ser>
          <c:idx val="6"/>
          <c:order val="6"/>
          <c:tx>
            <c:strRef>
              <c:f>'Služby-příspěvkyk růstu-4'!$I$33</c:f>
              <c:strCache>
                <c:ptCount val="1"/>
                <c:pt idx="0">
                  <c:v>Administr. a podpůrné čin. (příspěvek v p. b.)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růstu-4'!$I$46:$I$80</c:f>
              <c:numCache>
                <c:formatCode>0.0</c:formatCode>
                <c:ptCount val="35"/>
                <c:pt idx="0">
                  <c:v>0.5155037038964998</c:v>
                </c:pt>
                <c:pt idx="1">
                  <c:v>0.62101310773750029</c:v>
                </c:pt>
                <c:pt idx="2">
                  <c:v>0.43506961802500066</c:v>
                </c:pt>
                <c:pt idx="3">
                  <c:v>0.50168865387909989</c:v>
                </c:pt>
                <c:pt idx="4">
                  <c:v>0.4550707532813994</c:v>
                </c:pt>
                <c:pt idx="5">
                  <c:v>0.16398578688570084</c:v>
                </c:pt>
                <c:pt idx="6">
                  <c:v>0.26977885261849965</c:v>
                </c:pt>
                <c:pt idx="7">
                  <c:v>0.51378188366290034</c:v>
                </c:pt>
                <c:pt idx="8">
                  <c:v>1.320133173034</c:v>
                </c:pt>
                <c:pt idx="9">
                  <c:v>1.0879288678140997</c:v>
                </c:pt>
                <c:pt idx="10">
                  <c:v>0.64134107873250035</c:v>
                </c:pt>
                <c:pt idx="11">
                  <c:v>0.30531118010650082</c:v>
                </c:pt>
                <c:pt idx="12">
                  <c:v>0.53332072309840062</c:v>
                </c:pt>
                <c:pt idx="13">
                  <c:v>0.37840292387820096</c:v>
                </c:pt>
                <c:pt idx="14">
                  <c:v>0.43569101400389965</c:v>
                </c:pt>
                <c:pt idx="15">
                  <c:v>-1.3079338160200678E-2</c:v>
                </c:pt>
                <c:pt idx="16">
                  <c:v>0.47288540072630031</c:v>
                </c:pt>
                <c:pt idx="17">
                  <c:v>0.12968213694649988</c:v>
                </c:pt>
                <c:pt idx="18">
                  <c:v>-0.12322397481159982</c:v>
                </c:pt>
                <c:pt idx="19">
                  <c:v>-0.21537552647130034</c:v>
                </c:pt>
                <c:pt idx="20">
                  <c:v>-1.1051686942919998</c:v>
                </c:pt>
                <c:pt idx="21">
                  <c:v>-4.3129281059486004</c:v>
                </c:pt>
                <c:pt idx="22">
                  <c:v>-4.4460675231578985</c:v>
                </c:pt>
                <c:pt idx="23">
                  <c:v>-2.3716048373777987</c:v>
                </c:pt>
                <c:pt idx="24">
                  <c:v>-1.4732703403763998</c:v>
                </c:pt>
                <c:pt idx="25">
                  <c:v>1.7697809683939403</c:v>
                </c:pt>
                <c:pt idx="26">
                  <c:v>1.8505450464600013</c:v>
                </c:pt>
                <c:pt idx="27">
                  <c:v>1.0498709638992363</c:v>
                </c:pt>
                <c:pt idx="28">
                  <c:v>1.8422319047019369</c:v>
                </c:pt>
                <c:pt idx="29">
                  <c:v>2.1447223452546744</c:v>
                </c:pt>
                <c:pt idx="30">
                  <c:v>1.8858572291093003</c:v>
                </c:pt>
                <c:pt idx="31">
                  <c:v>0.46980802110479997</c:v>
                </c:pt>
                <c:pt idx="32">
                  <c:v>-0.41208206934960112</c:v>
                </c:pt>
                <c:pt idx="33">
                  <c:v>-0.12512264228690917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29-4EC4-BAA6-73D3D1E61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4152320"/>
        <c:axId val="84153856"/>
      </c:barChart>
      <c:lineChart>
        <c:grouping val="standard"/>
        <c:varyColors val="0"/>
        <c:ser>
          <c:idx val="3"/>
          <c:order val="0"/>
          <c:tx>
            <c:strRef>
              <c:f>'Služby-příspěvkyk růstu-4'!$C$33</c:f>
              <c:strCache>
                <c:ptCount val="1"/>
                <c:pt idx="0">
                  <c:v>Služby celkem (meziroční růst v %)</c:v>
                </c:pt>
              </c:strCache>
            </c:strRef>
          </c:tx>
          <c:spPr>
            <a:ln>
              <a:noFill/>
            </a:ln>
          </c:spPr>
          <c:marker>
            <c:symbol val="dot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růstu-4'!$C$46:$C$80</c:f>
              <c:numCache>
                <c:formatCode>0.0</c:formatCode>
                <c:ptCount val="35"/>
                <c:pt idx="0">
                  <c:v>3.3389757055000047</c:v>
                </c:pt>
                <c:pt idx="1">
                  <c:v>2.7067050277999982</c:v>
                </c:pt>
                <c:pt idx="2">
                  <c:v>3.2709178656</c:v>
                </c:pt>
                <c:pt idx="3">
                  <c:v>2.2089354800999956</c:v>
                </c:pt>
                <c:pt idx="4">
                  <c:v>1.3188134916999978</c:v>
                </c:pt>
                <c:pt idx="5">
                  <c:v>-0.87184735920000422</c:v>
                </c:pt>
                <c:pt idx="6">
                  <c:v>1.4329163225999926</c:v>
                </c:pt>
                <c:pt idx="7">
                  <c:v>1.6231078297000054</c:v>
                </c:pt>
                <c:pt idx="8">
                  <c:v>5.6612801194000042</c:v>
                </c:pt>
                <c:pt idx="9">
                  <c:v>5.4428853814000036</c:v>
                </c:pt>
                <c:pt idx="10">
                  <c:v>3.3993920882000026</c:v>
                </c:pt>
                <c:pt idx="11">
                  <c:v>2.5070727970000082</c:v>
                </c:pt>
                <c:pt idx="12">
                  <c:v>5.0684890596999939</c:v>
                </c:pt>
                <c:pt idx="13">
                  <c:v>3.4835722001000002</c:v>
                </c:pt>
                <c:pt idx="14">
                  <c:v>3.6922427452000037</c:v>
                </c:pt>
                <c:pt idx="15">
                  <c:v>1.0703178197999961</c:v>
                </c:pt>
                <c:pt idx="16">
                  <c:v>3.5773888025999998</c:v>
                </c:pt>
                <c:pt idx="17">
                  <c:v>1.9755475901000077</c:v>
                </c:pt>
                <c:pt idx="18">
                  <c:v>-0.81246141469999644</c:v>
                </c:pt>
                <c:pt idx="19">
                  <c:v>-0.15760277260000066</c:v>
                </c:pt>
                <c:pt idx="20">
                  <c:v>-3.7058485394999963</c:v>
                </c:pt>
                <c:pt idx="21">
                  <c:v>-19.646669998500002</c:v>
                </c:pt>
                <c:pt idx="22">
                  <c:v>-12.602196924200006</c:v>
                </c:pt>
                <c:pt idx="23">
                  <c:v>-10.913780029100005</c:v>
                </c:pt>
                <c:pt idx="24">
                  <c:v>-6.4008194153999938</c:v>
                </c:pt>
                <c:pt idx="25">
                  <c:v>14.785941922700005</c:v>
                </c:pt>
                <c:pt idx="26">
                  <c:v>9.8363909518000003</c:v>
                </c:pt>
                <c:pt idx="27">
                  <c:v>12.659313517100006</c:v>
                </c:pt>
                <c:pt idx="28">
                  <c:v>14.074786841800014</c:v>
                </c:pt>
                <c:pt idx="29">
                  <c:v>12.2638927088</c:v>
                </c:pt>
                <c:pt idx="30">
                  <c:v>7.1865401442999968</c:v>
                </c:pt>
                <c:pt idx="31">
                  <c:v>1.6032947772999915</c:v>
                </c:pt>
                <c:pt idx="32">
                  <c:v>-0.26218876490000337</c:v>
                </c:pt>
                <c:pt idx="33">
                  <c:v>-3.3386251069999977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229-4EC4-BAA6-73D3D1E61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52320"/>
        <c:axId val="84153856"/>
      </c:lineChart>
      <c:lineChart>
        <c:grouping val="standard"/>
        <c:varyColors val="0"/>
        <c:ser>
          <c:idx val="7"/>
          <c:order val="7"/>
          <c:tx>
            <c:strRef>
              <c:f>'Služby-příspěvkyk růstu-4'!$J$33</c:f>
              <c:strCache>
                <c:ptCount val="1"/>
                <c:pt idx="0">
                  <c:v>Saldo indikátoru důvěry ve službách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růstu-4'!$J$46:$J$80</c:f>
              <c:numCache>
                <c:formatCode>#\ ##0.0</c:formatCode>
                <c:ptCount val="35"/>
                <c:pt idx="0">
                  <c:v>29.7</c:v>
                </c:pt>
                <c:pt idx="1">
                  <c:v>28.7</c:v>
                </c:pt>
                <c:pt idx="2">
                  <c:v>31.3</c:v>
                </c:pt>
                <c:pt idx="3">
                  <c:v>32.700000000000003</c:v>
                </c:pt>
                <c:pt idx="4">
                  <c:v>32.300000000000004</c:v>
                </c:pt>
                <c:pt idx="5">
                  <c:v>33</c:v>
                </c:pt>
                <c:pt idx="6">
                  <c:v>33</c:v>
                </c:pt>
                <c:pt idx="7">
                  <c:v>37.700000000000003</c:v>
                </c:pt>
                <c:pt idx="8">
                  <c:v>35.300000000000004</c:v>
                </c:pt>
                <c:pt idx="9">
                  <c:v>37.700000000000003</c:v>
                </c:pt>
                <c:pt idx="10">
                  <c:v>37.300000000000004</c:v>
                </c:pt>
                <c:pt idx="11">
                  <c:v>35.700000000000003</c:v>
                </c:pt>
                <c:pt idx="12">
                  <c:v>38.300000000000004</c:v>
                </c:pt>
                <c:pt idx="13">
                  <c:v>37</c:v>
                </c:pt>
                <c:pt idx="14">
                  <c:v>38.300000000000004</c:v>
                </c:pt>
                <c:pt idx="15">
                  <c:v>40.700000000000003</c:v>
                </c:pt>
                <c:pt idx="16">
                  <c:v>39.300000000000004</c:v>
                </c:pt>
                <c:pt idx="17">
                  <c:v>33.700000000000003</c:v>
                </c:pt>
                <c:pt idx="18">
                  <c:v>35</c:v>
                </c:pt>
                <c:pt idx="19">
                  <c:v>32.700000000000003</c:v>
                </c:pt>
                <c:pt idx="20">
                  <c:v>29</c:v>
                </c:pt>
                <c:pt idx="21">
                  <c:v>-13.3</c:v>
                </c:pt>
                <c:pt idx="22">
                  <c:v>1</c:v>
                </c:pt>
                <c:pt idx="23">
                  <c:v>-5</c:v>
                </c:pt>
                <c:pt idx="24">
                  <c:v>8</c:v>
                </c:pt>
                <c:pt idx="25">
                  <c:v>22.3</c:v>
                </c:pt>
                <c:pt idx="26">
                  <c:v>24.3</c:v>
                </c:pt>
                <c:pt idx="27">
                  <c:v>27</c:v>
                </c:pt>
                <c:pt idx="28">
                  <c:v>31</c:v>
                </c:pt>
                <c:pt idx="29">
                  <c:v>40</c:v>
                </c:pt>
                <c:pt idx="30">
                  <c:v>27.7</c:v>
                </c:pt>
                <c:pt idx="31">
                  <c:v>21.3</c:v>
                </c:pt>
                <c:pt idx="32">
                  <c:v>24</c:v>
                </c:pt>
                <c:pt idx="33" formatCode="0.0">
                  <c:v>28</c:v>
                </c:pt>
                <c:pt idx="34" formatCode="0.0">
                  <c:v>25.7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229-4EC4-BAA6-73D3D1E61353}"/>
            </c:ext>
          </c:extLst>
        </c:ser>
        <c:ser>
          <c:idx val="8"/>
          <c:order val="8"/>
          <c:tx>
            <c:strRef>
              <c:f>'Služby-příspěvkyk růstu-4'!$K$33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CA945E"/>
              </a:solidFill>
              <a:prstDash val="solid"/>
            </a:ln>
          </c:spPr>
          <c:marker>
            <c:symbol val="none"/>
          </c:marker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růstu-4'!$K$46:$K$80</c:f>
              <c:numCache>
                <c:formatCode>#\ ##0.0</c:formatCode>
                <c:ptCount val="35"/>
                <c:pt idx="0">
                  <c:v>26</c:v>
                </c:pt>
                <c:pt idx="1">
                  <c:v>29.3</c:v>
                </c:pt>
                <c:pt idx="2">
                  <c:v>26.1</c:v>
                </c:pt>
                <c:pt idx="3">
                  <c:v>24.7</c:v>
                </c:pt>
                <c:pt idx="4">
                  <c:v>23.3</c:v>
                </c:pt>
                <c:pt idx="5">
                  <c:v>25.1</c:v>
                </c:pt>
                <c:pt idx="6">
                  <c:v>20.2</c:v>
                </c:pt>
                <c:pt idx="7">
                  <c:v>24.4</c:v>
                </c:pt>
                <c:pt idx="8">
                  <c:v>25.8</c:v>
                </c:pt>
                <c:pt idx="9">
                  <c:v>20.5</c:v>
                </c:pt>
                <c:pt idx="10">
                  <c:v>18.399999999999999</c:v>
                </c:pt>
                <c:pt idx="11">
                  <c:v>21.6</c:v>
                </c:pt>
                <c:pt idx="12">
                  <c:v>16.899999999999999</c:v>
                </c:pt>
                <c:pt idx="13">
                  <c:v>19.399999999999999</c:v>
                </c:pt>
                <c:pt idx="14">
                  <c:v>17.899999999999999</c:v>
                </c:pt>
                <c:pt idx="15">
                  <c:v>20.7</c:v>
                </c:pt>
                <c:pt idx="16">
                  <c:v>20.6</c:v>
                </c:pt>
                <c:pt idx="17">
                  <c:v>16.899999999999999</c:v>
                </c:pt>
                <c:pt idx="18">
                  <c:v>20.5</c:v>
                </c:pt>
                <c:pt idx="19">
                  <c:v>14.4</c:v>
                </c:pt>
                <c:pt idx="20">
                  <c:v>21.3</c:v>
                </c:pt>
                <c:pt idx="21">
                  <c:v>30.2</c:v>
                </c:pt>
                <c:pt idx="22">
                  <c:v>30.4</c:v>
                </c:pt>
                <c:pt idx="23">
                  <c:v>39.200000000000003</c:v>
                </c:pt>
                <c:pt idx="24">
                  <c:v>34.800000000000004</c:v>
                </c:pt>
                <c:pt idx="25">
                  <c:v>36.800000000000004</c:v>
                </c:pt>
                <c:pt idx="26">
                  <c:v>28.9</c:v>
                </c:pt>
                <c:pt idx="27">
                  <c:v>26.3</c:v>
                </c:pt>
                <c:pt idx="28">
                  <c:v>31.6</c:v>
                </c:pt>
                <c:pt idx="29">
                  <c:v>15</c:v>
                </c:pt>
                <c:pt idx="30">
                  <c:v>30.2</c:v>
                </c:pt>
                <c:pt idx="31">
                  <c:v>17.600000000000001</c:v>
                </c:pt>
                <c:pt idx="32">
                  <c:v>25.4</c:v>
                </c:pt>
                <c:pt idx="33">
                  <c:v>19.100000000000001</c:v>
                </c:pt>
                <c:pt idx="34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229-4EC4-BAA6-73D3D1E61353}"/>
            </c:ext>
          </c:extLst>
        </c:ser>
        <c:ser>
          <c:idx val="9"/>
          <c:order val="9"/>
          <c:tx>
            <c:strRef>
              <c:f>'Služby-příspěvkyk růstu-4'!$L$33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CA945E"/>
              </a:solidFill>
              <a:prstDash val="lgDash"/>
            </a:ln>
          </c:spPr>
          <c:marker>
            <c:symbol val="none"/>
          </c:marker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růstu-4'!$L$46:$L$80</c:f>
              <c:numCache>
                <c:formatCode>#\ ##0.0</c:formatCode>
                <c:ptCount val="35"/>
                <c:pt idx="0">
                  <c:v>1.3</c:v>
                </c:pt>
                <c:pt idx="1">
                  <c:v>6</c:v>
                </c:pt>
                <c:pt idx="2">
                  <c:v>7.2</c:v>
                </c:pt>
                <c:pt idx="3">
                  <c:v>5.6</c:v>
                </c:pt>
                <c:pt idx="4">
                  <c:v>7.5</c:v>
                </c:pt>
                <c:pt idx="5">
                  <c:v>4.5</c:v>
                </c:pt>
                <c:pt idx="6">
                  <c:v>7.9</c:v>
                </c:pt>
                <c:pt idx="7">
                  <c:v>9.5</c:v>
                </c:pt>
                <c:pt idx="8">
                  <c:v>9.4</c:v>
                </c:pt>
                <c:pt idx="9">
                  <c:v>9.7000000000000011</c:v>
                </c:pt>
                <c:pt idx="10">
                  <c:v>9.8000000000000007</c:v>
                </c:pt>
                <c:pt idx="11">
                  <c:v>12.8</c:v>
                </c:pt>
                <c:pt idx="12">
                  <c:v>13.9</c:v>
                </c:pt>
                <c:pt idx="13">
                  <c:v>16.3</c:v>
                </c:pt>
                <c:pt idx="14">
                  <c:v>17.5</c:v>
                </c:pt>
                <c:pt idx="15">
                  <c:v>18.899999999999999</c:v>
                </c:pt>
                <c:pt idx="16">
                  <c:v>19.3</c:v>
                </c:pt>
                <c:pt idx="17">
                  <c:v>15</c:v>
                </c:pt>
                <c:pt idx="18">
                  <c:v>21.5</c:v>
                </c:pt>
                <c:pt idx="19">
                  <c:v>19.8</c:v>
                </c:pt>
                <c:pt idx="20">
                  <c:v>19.5</c:v>
                </c:pt>
                <c:pt idx="21">
                  <c:v>10</c:v>
                </c:pt>
                <c:pt idx="22">
                  <c:v>10</c:v>
                </c:pt>
                <c:pt idx="23">
                  <c:v>12.6</c:v>
                </c:pt>
                <c:pt idx="24">
                  <c:v>12.7</c:v>
                </c:pt>
                <c:pt idx="25">
                  <c:v>8.5</c:v>
                </c:pt>
                <c:pt idx="26">
                  <c:v>17.399999999999999</c:v>
                </c:pt>
                <c:pt idx="27">
                  <c:v>20.6</c:v>
                </c:pt>
                <c:pt idx="28">
                  <c:v>20.2</c:v>
                </c:pt>
                <c:pt idx="29">
                  <c:v>10.9</c:v>
                </c:pt>
                <c:pt idx="30">
                  <c:v>17.899999999999999</c:v>
                </c:pt>
                <c:pt idx="31">
                  <c:v>6.6</c:v>
                </c:pt>
                <c:pt idx="32">
                  <c:v>9.3000000000000007</c:v>
                </c:pt>
                <c:pt idx="33">
                  <c:v>9.7000000000000011</c:v>
                </c:pt>
                <c:pt idx="34">
                  <c:v>9.2000000000000011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229-4EC4-BAA6-73D3D1E61353}"/>
            </c:ext>
          </c:extLst>
        </c:ser>
        <c:ser>
          <c:idx val="10"/>
          <c:order val="10"/>
          <c:tx>
            <c:strRef>
              <c:f>'Služby-příspěvkyk růstu-4'!$M$33</c:f>
              <c:strCache>
                <c:ptCount val="1"/>
                <c:pt idx="0">
                  <c:v>Tržby celkem (báze 2015=100, stálé ceny)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růstu-4'!$M$46:$M$80</c:f>
              <c:numCache>
                <c:formatCode>0.0</c:formatCode>
                <c:ptCount val="35"/>
                <c:pt idx="0">
                  <c:v>98.905869400000057</c:v>
                </c:pt>
                <c:pt idx="1">
                  <c:v>99.939744966700005</c:v>
                </c:pt>
                <c:pt idx="2">
                  <c:v>100.46069412999999</c:v>
                </c:pt>
                <c:pt idx="3">
                  <c:v>100.69369150670001</c:v>
                </c:pt>
                <c:pt idx="4">
                  <c:v>99.506269490000079</c:v>
                </c:pt>
                <c:pt idx="5">
                  <c:v>99.882932769999925</c:v>
                </c:pt>
                <c:pt idx="6">
                  <c:v>101.6454132667</c:v>
                </c:pt>
                <c:pt idx="7">
                  <c:v>103.1425757933</c:v>
                </c:pt>
                <c:pt idx="8">
                  <c:v>103.7536856167</c:v>
                </c:pt>
                <c:pt idx="9">
                  <c:v>105.1986778866999</c:v>
                </c:pt>
                <c:pt idx="10">
                  <c:v>105.3356622867</c:v>
                </c:pt>
                <c:pt idx="11">
                  <c:v>106.72097377670001</c:v>
                </c:pt>
                <c:pt idx="12">
                  <c:v>107.9153511366999</c:v>
                </c:pt>
                <c:pt idx="13">
                  <c:v>108.70616911330002</c:v>
                </c:pt>
                <c:pt idx="14">
                  <c:v>109.37278169669985</c:v>
                </c:pt>
                <c:pt idx="15">
                  <c:v>108.88805681669984</c:v>
                </c:pt>
                <c:pt idx="16">
                  <c:v>110.44627128330011</c:v>
                </c:pt>
                <c:pt idx="17">
                  <c:v>110.87756216</c:v>
                </c:pt>
                <c:pt idx="18">
                  <c:v>109.16473103669988</c:v>
                </c:pt>
                <c:pt idx="19">
                  <c:v>108.93584104999998</c:v>
                </c:pt>
                <c:pt idx="20">
                  <c:v>105.36793023669991</c:v>
                </c:pt>
                <c:pt idx="21">
                  <c:v>90.203880829999989</c:v>
                </c:pt>
                <c:pt idx="22">
                  <c:v>97.528267896699916</c:v>
                </c:pt>
                <c:pt idx="23">
                  <c:v>95.952761640000006</c:v>
                </c:pt>
                <c:pt idx="24">
                  <c:v>97.5220549533</c:v>
                </c:pt>
                <c:pt idx="25">
                  <c:v>102.23534626670001</c:v>
                </c:pt>
                <c:pt idx="26">
                  <c:v>106.43087342000005</c:v>
                </c:pt>
                <c:pt idx="27">
                  <c:v>109.46740578000011</c:v>
                </c:pt>
                <c:pt idx="28">
                  <c:v>111.4959124467</c:v>
                </c:pt>
                <c:pt idx="29">
                  <c:v>114.0583342466999</c:v>
                </c:pt>
                <c:pt idx="30">
                  <c:v>113.47681789000001</c:v>
                </c:pt>
                <c:pt idx="31">
                  <c:v>112.0620536767</c:v>
                </c:pt>
                <c:pt idx="32">
                  <c:v>111.33107182000001</c:v>
                </c:pt>
                <c:pt idx="33">
                  <c:v>109.8464367166999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229-4EC4-BAA6-73D3D1E61353}"/>
            </c:ext>
          </c:extLst>
        </c:ser>
        <c:ser>
          <c:idx val="11"/>
          <c:order val="11"/>
          <c:tx>
            <c:strRef>
              <c:f>'Služby-příspěvkyk růstu-4'!$N$33</c:f>
              <c:strCache>
                <c:ptCount val="1"/>
                <c:pt idx="0">
                  <c:v>Tržby celkem (báze 2015=100, běžné ceny)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růstu-4'!$A$46:$B$80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'Služby-příspěvkyk růstu-4'!$N$46:$N$80</c:f>
              <c:numCache>
                <c:formatCode>0.0</c:formatCode>
                <c:ptCount val="35"/>
                <c:pt idx="0">
                  <c:v>98.878809526699854</c:v>
                </c:pt>
                <c:pt idx="1">
                  <c:v>99.932801119999894</c:v>
                </c:pt>
                <c:pt idx="2">
                  <c:v>100.47612456000006</c:v>
                </c:pt>
                <c:pt idx="3">
                  <c:v>100.71226479000011</c:v>
                </c:pt>
                <c:pt idx="4">
                  <c:v>99.601623460000098</c:v>
                </c:pt>
                <c:pt idx="5">
                  <c:v>100.2234790433</c:v>
                </c:pt>
                <c:pt idx="6">
                  <c:v>102.1359375799999</c:v>
                </c:pt>
                <c:pt idx="7">
                  <c:v>103.95381924330007</c:v>
                </c:pt>
                <c:pt idx="8">
                  <c:v>105.28339829999994</c:v>
                </c:pt>
                <c:pt idx="9">
                  <c:v>107.13280340670001</c:v>
                </c:pt>
                <c:pt idx="10">
                  <c:v>107.78245525</c:v>
                </c:pt>
                <c:pt idx="11">
                  <c:v>109.74135017</c:v>
                </c:pt>
                <c:pt idx="12">
                  <c:v>111.4458726133</c:v>
                </c:pt>
                <c:pt idx="13">
                  <c:v>112.96754313330005</c:v>
                </c:pt>
                <c:pt idx="14">
                  <c:v>114.3275498366999</c:v>
                </c:pt>
                <c:pt idx="15">
                  <c:v>114.67629783669985</c:v>
                </c:pt>
                <c:pt idx="16">
                  <c:v>116.72200621330001</c:v>
                </c:pt>
                <c:pt idx="17">
                  <c:v>118.4237964933</c:v>
                </c:pt>
                <c:pt idx="18">
                  <c:v>117.19000776670001</c:v>
                </c:pt>
                <c:pt idx="19">
                  <c:v>117.1905607767</c:v>
                </c:pt>
                <c:pt idx="20">
                  <c:v>113.2309142367</c:v>
                </c:pt>
                <c:pt idx="21">
                  <c:v>96.647774276699906</c:v>
                </c:pt>
                <c:pt idx="22">
                  <c:v>105.48850793</c:v>
                </c:pt>
                <c:pt idx="23">
                  <c:v>103.67207354999989</c:v>
                </c:pt>
                <c:pt idx="24">
                  <c:v>105.51279886669988</c:v>
                </c:pt>
                <c:pt idx="25">
                  <c:v>111.3587283799999</c:v>
                </c:pt>
                <c:pt idx="26">
                  <c:v>117.05419338670002</c:v>
                </c:pt>
                <c:pt idx="27">
                  <c:v>121.5423597267</c:v>
                </c:pt>
                <c:pt idx="28">
                  <c:v>126.65151452329998</c:v>
                </c:pt>
                <c:pt idx="29">
                  <c:v>132.08979573669995</c:v>
                </c:pt>
                <c:pt idx="30">
                  <c:v>134.49142177670001</c:v>
                </c:pt>
                <c:pt idx="31">
                  <c:v>134.99990681330004</c:v>
                </c:pt>
                <c:pt idx="32">
                  <c:v>137.00854212329997</c:v>
                </c:pt>
                <c:pt idx="33" formatCode="General">
                  <c:v>137.47462017329997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229-4EC4-BAA6-73D3D1E61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57952"/>
        <c:axId val="84155776"/>
      </c:lineChart>
      <c:catAx>
        <c:axId val="8415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84153856"/>
        <c:crosses val="autoZero"/>
        <c:auto val="1"/>
        <c:lblAlgn val="ctr"/>
        <c:lblOffset val="0"/>
        <c:noMultiLvlLbl val="0"/>
      </c:catAx>
      <c:valAx>
        <c:axId val="84153856"/>
        <c:scaling>
          <c:orientation val="minMax"/>
          <c:max val="15"/>
          <c:min val="-3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Příspěvky ke změně tržeb ve službách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4152320"/>
        <c:crosses val="autoZero"/>
        <c:crossBetween val="between"/>
        <c:majorUnit val="5"/>
      </c:valAx>
      <c:valAx>
        <c:axId val="84155776"/>
        <c:scaling>
          <c:orientation val="minMax"/>
          <c:max val="140"/>
          <c:min val="-2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+mn-cs"/>
                  </a:defRPr>
                </a:pPr>
                <a:r>
                  <a:rPr lang="cs-CZ" sz="700" b="0" i="1" baseline="0">
                    <a:effectLst/>
                  </a:rPr>
                  <a:t>Tržby celkem (báze 2015=100)</a:t>
                </a:r>
                <a:r>
                  <a:rPr lang="cs-CZ" sz="700" b="0" i="1"/>
                  <a:t>,Saldo důvěry, bariéry růstu</a:t>
                </a:r>
              </a:p>
            </c:rich>
          </c:tx>
          <c:layout>
            <c:manualLayout>
              <c:xMode val="edge"/>
              <c:yMode val="edge"/>
              <c:x val="0.97059971540629864"/>
              <c:y val="1.841526794378751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4157952"/>
        <c:crosses val="max"/>
        <c:crossBetween val="between"/>
        <c:majorUnit val="10"/>
      </c:valAx>
      <c:catAx>
        <c:axId val="84157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4155776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2.7894149438737284E-3"/>
          <c:y val="0.80683901693256166"/>
          <c:w val="0.99229354112782953"/>
          <c:h val="0.18952404020147046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2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21841398004157E-2"/>
          <c:y val="1.5803328678987472E-2"/>
          <c:w val="0.85082101335719484"/>
          <c:h val="0.74167997750452386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'výkonnost odvětví 5a'!$E$66</c:f>
              <c:strCache>
                <c:ptCount val="1"/>
                <c:pt idx="0">
                  <c:v>Maloobchod s potravinami (příspěvek)</c:v>
                </c:pt>
              </c:strCache>
            </c:strRef>
          </c:tx>
          <c:spPr>
            <a:solidFill>
              <a:srgbClr val="92D050"/>
            </a:solidFill>
            <a:ln w="15875">
              <a:noFill/>
            </a:ln>
          </c:spPr>
          <c:invertIfNegative val="0"/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5a'!$E$67:$E$101</c:f>
              <c:numCache>
                <c:formatCode>#\ ##0.0</c:formatCode>
                <c:ptCount val="35"/>
                <c:pt idx="0">
                  <c:v>1.7968525782652029</c:v>
                </c:pt>
                <c:pt idx="1">
                  <c:v>1.1791224568789191</c:v>
                </c:pt>
                <c:pt idx="2">
                  <c:v>1.9051719303199939</c:v>
                </c:pt>
                <c:pt idx="3">
                  <c:v>1.445121529582484</c:v>
                </c:pt>
                <c:pt idx="4">
                  <c:v>1.7447279503492539</c:v>
                </c:pt>
                <c:pt idx="5">
                  <c:v>1.4640451669330614</c:v>
                </c:pt>
                <c:pt idx="6">
                  <c:v>0.97147083630208353</c:v>
                </c:pt>
                <c:pt idx="7">
                  <c:v>-7.5069133018737272E-2</c:v>
                </c:pt>
                <c:pt idx="8">
                  <c:v>0.73425778243231121</c:v>
                </c:pt>
                <c:pt idx="9">
                  <c:v>1.3336221651849498</c:v>
                </c:pt>
                <c:pt idx="10">
                  <c:v>1.148264067935566</c:v>
                </c:pt>
                <c:pt idx="11">
                  <c:v>0.8954293037390092</c:v>
                </c:pt>
                <c:pt idx="12">
                  <c:v>1.5129556035207505</c:v>
                </c:pt>
                <c:pt idx="13">
                  <c:v>0.53724684179172899</c:v>
                </c:pt>
                <c:pt idx="14">
                  <c:v>0.9809783861319451</c:v>
                </c:pt>
                <c:pt idx="15">
                  <c:v>0.45895493544282651</c:v>
                </c:pt>
                <c:pt idx="16">
                  <c:v>0.67460527770247769</c:v>
                </c:pt>
                <c:pt idx="17">
                  <c:v>1.1938610134109731</c:v>
                </c:pt>
                <c:pt idx="18">
                  <c:v>0.63015847733735941</c:v>
                </c:pt>
                <c:pt idx="19">
                  <c:v>0.62923634699872177</c:v>
                </c:pt>
                <c:pt idx="20">
                  <c:v>0.94695941255828353</c:v>
                </c:pt>
                <c:pt idx="21">
                  <c:v>-1.1878021201060329</c:v>
                </c:pt>
                <c:pt idx="22">
                  <c:v>-0.39836946074768936</c:v>
                </c:pt>
                <c:pt idx="23">
                  <c:v>0.24484515142503163</c:v>
                </c:pt>
                <c:pt idx="24">
                  <c:v>-0.44870069660916562</c:v>
                </c:pt>
                <c:pt idx="25">
                  <c:v>0.43470456459783857</c:v>
                </c:pt>
                <c:pt idx="26">
                  <c:v>-0.30638524812564855</c:v>
                </c:pt>
                <c:pt idx="27">
                  <c:v>-0.18456896753972313</c:v>
                </c:pt>
                <c:pt idx="28">
                  <c:v>-0.2644332124970542</c:v>
                </c:pt>
                <c:pt idx="29">
                  <c:v>-1.298273733857183</c:v>
                </c:pt>
                <c:pt idx="30">
                  <c:v>-2.2978022374091576</c:v>
                </c:pt>
                <c:pt idx="31">
                  <c:v>-3.2183996089311857</c:v>
                </c:pt>
                <c:pt idx="32">
                  <c:v>-3.0573440803694312</c:v>
                </c:pt>
                <c:pt idx="33">
                  <c:v>-2.6835328353129522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F5-4010-8FBD-9338D9BF0A6C}"/>
            </c:ext>
          </c:extLst>
        </c:ser>
        <c:ser>
          <c:idx val="1"/>
          <c:order val="2"/>
          <c:tx>
            <c:strRef>
              <c:f>'výkonnost odvětví 5a'!$F$66</c:f>
              <c:strCache>
                <c:ptCount val="1"/>
                <c:pt idx="0">
                  <c:v>Mal. s nepotravinářským zbož. (příspěvek)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5875">
              <a:noFill/>
            </a:ln>
          </c:spPr>
          <c:invertIfNegative val="0"/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5a'!$F$67:$F$101</c:f>
              <c:numCache>
                <c:formatCode>#\ ##0.0</c:formatCode>
                <c:ptCount val="35"/>
                <c:pt idx="0">
                  <c:v>3.533764762860522</c:v>
                </c:pt>
                <c:pt idx="1">
                  <c:v>4.0403269648807054</c:v>
                </c:pt>
                <c:pt idx="2">
                  <c:v>2.8414781046087634</c:v>
                </c:pt>
                <c:pt idx="3">
                  <c:v>3.7696029154089437</c:v>
                </c:pt>
                <c:pt idx="4">
                  <c:v>2.8247932220754692</c:v>
                </c:pt>
                <c:pt idx="5">
                  <c:v>2.6799731375621909</c:v>
                </c:pt>
                <c:pt idx="6">
                  <c:v>3.347941642924769</c:v>
                </c:pt>
                <c:pt idx="7">
                  <c:v>3.6402362968460396</c:v>
                </c:pt>
                <c:pt idx="8">
                  <c:v>4.37671114479362</c:v>
                </c:pt>
                <c:pt idx="9">
                  <c:v>4.6063896710500005</c:v>
                </c:pt>
                <c:pt idx="10">
                  <c:v>4.1933467197549064</c:v>
                </c:pt>
                <c:pt idx="11">
                  <c:v>4.8248475939610485</c:v>
                </c:pt>
                <c:pt idx="12">
                  <c:v>4.1828625238720027</c:v>
                </c:pt>
                <c:pt idx="13">
                  <c:v>3.5054484803167894</c:v>
                </c:pt>
                <c:pt idx="14">
                  <c:v>2.8194389746795379</c:v>
                </c:pt>
                <c:pt idx="15">
                  <c:v>3.9553867638573235</c:v>
                </c:pt>
                <c:pt idx="16">
                  <c:v>4.4354535369958406</c:v>
                </c:pt>
                <c:pt idx="17">
                  <c:v>3.3723462442148224</c:v>
                </c:pt>
                <c:pt idx="18">
                  <c:v>3.7256703958918869</c:v>
                </c:pt>
                <c:pt idx="19">
                  <c:v>3.4440592495195479</c:v>
                </c:pt>
                <c:pt idx="20">
                  <c:v>-2.8251709833996521E-2</c:v>
                </c:pt>
                <c:pt idx="21">
                  <c:v>0.37120321946990475</c:v>
                </c:pt>
                <c:pt idx="22">
                  <c:v>1.7529788946207687</c:v>
                </c:pt>
                <c:pt idx="23">
                  <c:v>-1.0606589154268831</c:v>
                </c:pt>
                <c:pt idx="24">
                  <c:v>1.1032352547156199</c:v>
                </c:pt>
                <c:pt idx="25">
                  <c:v>5.7270426184807492</c:v>
                </c:pt>
                <c:pt idx="26">
                  <c:v>3.8044410655375258</c:v>
                </c:pt>
                <c:pt idx="27">
                  <c:v>5.2471277682417368</c:v>
                </c:pt>
                <c:pt idx="28">
                  <c:v>5.410120611589333</c:v>
                </c:pt>
                <c:pt idx="29">
                  <c:v>-1.1295059503721878</c:v>
                </c:pt>
                <c:pt idx="30">
                  <c:v>-3.8961561368469937</c:v>
                </c:pt>
                <c:pt idx="31">
                  <c:v>-5.6070211315812966</c:v>
                </c:pt>
                <c:pt idx="32">
                  <c:v>-4.8173300878479832</c:v>
                </c:pt>
                <c:pt idx="33">
                  <c:v>-4.4692976001873292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F5-4010-8FBD-9338D9BF0A6C}"/>
            </c:ext>
          </c:extLst>
        </c:ser>
        <c:ser>
          <c:idx val="4"/>
          <c:order val="3"/>
          <c:tx>
            <c:strRef>
              <c:f>'výkonnost odvětví 5a'!$G$66</c:f>
              <c:strCache>
                <c:ptCount val="1"/>
                <c:pt idx="0">
                  <c:v>Maloobchodní prodej PHM (příspěvek)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5875">
              <a:noFill/>
            </a:ln>
          </c:spPr>
          <c:invertIfNegative val="0"/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5a'!$G$67:$G$101</c:f>
              <c:numCache>
                <c:formatCode>#\ ##0.0</c:formatCode>
                <c:ptCount val="35"/>
                <c:pt idx="0">
                  <c:v>0.75359194510045113</c:v>
                </c:pt>
                <c:pt idx="1">
                  <c:v>0.58821183102713259</c:v>
                </c:pt>
                <c:pt idx="2">
                  <c:v>0.79399459687356055</c:v>
                </c:pt>
                <c:pt idx="3">
                  <c:v>0.93961068819571214</c:v>
                </c:pt>
                <c:pt idx="4">
                  <c:v>0.69214098521927592</c:v>
                </c:pt>
                <c:pt idx="5">
                  <c:v>0.70440464135882064</c:v>
                </c:pt>
                <c:pt idx="6">
                  <c:v>0.6281432005036871</c:v>
                </c:pt>
                <c:pt idx="7">
                  <c:v>0.6256127692880088</c:v>
                </c:pt>
                <c:pt idx="8">
                  <c:v>0.51956983975724635</c:v>
                </c:pt>
                <c:pt idx="9">
                  <c:v>0.77336135806484263</c:v>
                </c:pt>
                <c:pt idx="10">
                  <c:v>0.84841829183324158</c:v>
                </c:pt>
                <c:pt idx="11">
                  <c:v>0.68454565742255213</c:v>
                </c:pt>
                <c:pt idx="12">
                  <c:v>0.67561195848099098</c:v>
                </c:pt>
                <c:pt idx="13">
                  <c:v>0.59075079613408366</c:v>
                </c:pt>
                <c:pt idx="14">
                  <c:v>0.37399713498271248</c:v>
                </c:pt>
                <c:pt idx="15">
                  <c:v>0.42674113172704531</c:v>
                </c:pt>
                <c:pt idx="16">
                  <c:v>0.55629349987096399</c:v>
                </c:pt>
                <c:pt idx="17">
                  <c:v>0.26295616202476957</c:v>
                </c:pt>
                <c:pt idx="18">
                  <c:v>0.19423130649799944</c:v>
                </c:pt>
                <c:pt idx="19">
                  <c:v>5.5904565164944207E-2</c:v>
                </c:pt>
                <c:pt idx="20">
                  <c:v>-0.75350296737444378</c:v>
                </c:pt>
                <c:pt idx="21">
                  <c:v>-2.0525680822481127</c:v>
                </c:pt>
                <c:pt idx="22">
                  <c:v>-4.8140542119499495E-2</c:v>
                </c:pt>
                <c:pt idx="23">
                  <c:v>-1.2048671034914455</c:v>
                </c:pt>
                <c:pt idx="24">
                  <c:v>-0.81267731005197164</c:v>
                </c:pt>
                <c:pt idx="25">
                  <c:v>1.0340829352131828</c:v>
                </c:pt>
                <c:pt idx="26">
                  <c:v>0.39031023614333382</c:v>
                </c:pt>
                <c:pt idx="27">
                  <c:v>0.99584083683099511</c:v>
                </c:pt>
                <c:pt idx="28">
                  <c:v>1.3779403028643198</c:v>
                </c:pt>
                <c:pt idx="29">
                  <c:v>-0.54234422696138462</c:v>
                </c:pt>
                <c:pt idx="30">
                  <c:v>-1.2771841004606979</c:v>
                </c:pt>
                <c:pt idx="31">
                  <c:v>-0.33373215205594292</c:v>
                </c:pt>
                <c:pt idx="32">
                  <c:v>0.10805669220757919</c:v>
                </c:pt>
                <c:pt idx="33">
                  <c:v>0.99136450755943051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F5-4010-8FBD-9338D9BF0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100"/>
        <c:axId val="84219008"/>
        <c:axId val="84220928"/>
      </c:barChart>
      <c:lineChart>
        <c:grouping val="standard"/>
        <c:varyColors val="0"/>
        <c:ser>
          <c:idx val="3"/>
          <c:order val="0"/>
          <c:tx>
            <c:strRef>
              <c:f>'výkonnost odvětví 5a'!$D$66</c:f>
              <c:strCache>
                <c:ptCount val="1"/>
                <c:pt idx="0">
                  <c:v>Maloobchod celkem (meziroční růst)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85000"/>
                  <a:lumOff val="15000"/>
                </a:schemeClr>
              </a:solidFill>
              <a:ln w="6350">
                <a:noFill/>
              </a:ln>
            </c:spPr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5a'!$D$67:$D$101</c:f>
              <c:numCache>
                <c:formatCode>#\ ##0.0</c:formatCode>
                <c:ptCount val="35"/>
                <c:pt idx="0">
                  <c:v>5.9636205444000012</c:v>
                </c:pt>
                <c:pt idx="1">
                  <c:v>5.5921884395999877</c:v>
                </c:pt>
                <c:pt idx="2">
                  <c:v>5.5022460545000094</c:v>
                </c:pt>
                <c:pt idx="3">
                  <c:v>6.0250321769999937</c:v>
                </c:pt>
                <c:pt idx="4">
                  <c:v>5.2059376710999992</c:v>
                </c:pt>
                <c:pt idx="5">
                  <c:v>4.7779836855000077</c:v>
                </c:pt>
                <c:pt idx="6">
                  <c:v>4.7634220096000064</c:v>
                </c:pt>
                <c:pt idx="7">
                  <c:v>3.906217172500007</c:v>
                </c:pt>
                <c:pt idx="8">
                  <c:v>5.3191682382000067</c:v>
                </c:pt>
                <c:pt idx="9">
                  <c:v>6.4643894589999995</c:v>
                </c:pt>
                <c:pt idx="10">
                  <c:v>5.9751578491999986</c:v>
                </c:pt>
                <c:pt idx="11">
                  <c:v>6.1621326275999939</c:v>
                </c:pt>
                <c:pt idx="12">
                  <c:v>6.3390670470000003</c:v>
                </c:pt>
                <c:pt idx="13">
                  <c:v>4.6648962080999956</c:v>
                </c:pt>
                <c:pt idx="14">
                  <c:v>4.1971443662999848</c:v>
                </c:pt>
                <c:pt idx="15">
                  <c:v>4.8161135707999918</c:v>
                </c:pt>
                <c:pt idx="16">
                  <c:v>5.6537188417999946</c:v>
                </c:pt>
                <c:pt idx="17">
                  <c:v>4.8265636037999968</c:v>
                </c:pt>
                <c:pt idx="18">
                  <c:v>4.5452014837000023</c:v>
                </c:pt>
                <c:pt idx="19">
                  <c:v>4.1996486233999963</c:v>
                </c:pt>
                <c:pt idx="20">
                  <c:v>6.0491738300001471E-2</c:v>
                </c:pt>
                <c:pt idx="21">
                  <c:v>-2.8962995720000038</c:v>
                </c:pt>
                <c:pt idx="22">
                  <c:v>1.3291675252000061</c:v>
                </c:pt>
                <c:pt idx="23">
                  <c:v>-2.0263752827000019</c:v>
                </c:pt>
                <c:pt idx="24">
                  <c:v>-0.1841270346999978</c:v>
                </c:pt>
                <c:pt idx="25">
                  <c:v>7.2801836782000002</c:v>
                </c:pt>
                <c:pt idx="26">
                  <c:v>3.9051822130000033</c:v>
                </c:pt>
                <c:pt idx="27">
                  <c:v>6.1725521780000001</c:v>
                </c:pt>
                <c:pt idx="28">
                  <c:v>6.5192475478000063</c:v>
                </c:pt>
                <c:pt idx="29">
                  <c:v>-2.9723923762000037</c:v>
                </c:pt>
                <c:pt idx="30">
                  <c:v>-7.4744015895000064</c:v>
                </c:pt>
                <c:pt idx="31">
                  <c:v>-9.1621347523000125</c:v>
                </c:pt>
                <c:pt idx="32">
                  <c:v>-7.7693666181999959</c:v>
                </c:pt>
                <c:pt idx="33">
                  <c:v>-6.1613365768999886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F5-4010-8FBD-9338D9BF0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19008"/>
        <c:axId val="84220928"/>
      </c:lineChart>
      <c:lineChart>
        <c:grouping val="standard"/>
        <c:varyColors val="0"/>
        <c:ser>
          <c:idx val="5"/>
          <c:order val="4"/>
          <c:tx>
            <c:strRef>
              <c:f>'výkonnost odvětví 5a'!$H$66</c:f>
              <c:strCache>
                <c:ptCount val="1"/>
                <c:pt idx="0">
                  <c:v>Maloobchod, bez motor. segm. (2015=100)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5a'!$H$67:$H$101</c:f>
              <c:numCache>
                <c:formatCode>#\ ##0.0</c:formatCode>
                <c:ptCount val="35"/>
                <c:pt idx="0">
                  <c:v>98.108903473300003</c:v>
                </c:pt>
                <c:pt idx="1">
                  <c:v>99.176423353299896</c:v>
                </c:pt>
                <c:pt idx="2">
                  <c:v>100.24040488000006</c:v>
                </c:pt>
                <c:pt idx="3">
                  <c:v>102.4742682967</c:v>
                </c:pt>
                <c:pt idx="4">
                  <c:v>103.00654075999998</c:v>
                </c:pt>
                <c:pt idx="5">
                  <c:v>104.00728415330002</c:v>
                </c:pt>
                <c:pt idx="6">
                  <c:v>105.24950234329998</c:v>
                </c:pt>
                <c:pt idx="7">
                  <c:v>106.61154646670002</c:v>
                </c:pt>
                <c:pt idx="8">
                  <c:v>108.19528997</c:v>
                </c:pt>
                <c:pt idx="9">
                  <c:v>110.6786786799999</c:v>
                </c:pt>
                <c:pt idx="10">
                  <c:v>111.78129380670002</c:v>
                </c:pt>
                <c:pt idx="11">
                  <c:v>113.06724078329999</c:v>
                </c:pt>
                <c:pt idx="12">
                  <c:v>114.63997826000001</c:v>
                </c:pt>
                <c:pt idx="13">
                  <c:v>116.12165418330002</c:v>
                </c:pt>
                <c:pt idx="14">
                  <c:v>116.8100051867</c:v>
                </c:pt>
                <c:pt idx="15">
                  <c:v>118.44840057330002</c:v>
                </c:pt>
                <c:pt idx="16">
                  <c:v>120.62811213669984</c:v>
                </c:pt>
                <c:pt idx="17">
                  <c:v>122.01406147330007</c:v>
                </c:pt>
                <c:pt idx="18">
                  <c:v>122.34251458330006</c:v>
                </c:pt>
                <c:pt idx="19">
                  <c:v>123.4531821266999</c:v>
                </c:pt>
                <c:pt idx="20">
                  <c:v>120.2493864533</c:v>
                </c:pt>
                <c:pt idx="21">
                  <c:v>118.9229640667</c:v>
                </c:pt>
                <c:pt idx="22">
                  <c:v>124.49863366330011</c:v>
                </c:pt>
                <c:pt idx="23">
                  <c:v>120.6687672466999</c:v>
                </c:pt>
                <c:pt idx="24">
                  <c:v>118.25474940330002</c:v>
                </c:pt>
                <c:pt idx="25">
                  <c:v>127.38867849330001</c:v>
                </c:pt>
                <c:pt idx="26">
                  <c:v>129.80928313329997</c:v>
                </c:pt>
                <c:pt idx="27">
                  <c:v>128.80356586329995</c:v>
                </c:pt>
                <c:pt idx="28">
                  <c:v>126.7213985132999</c:v>
                </c:pt>
                <c:pt idx="29">
                  <c:v>123.46006303670002</c:v>
                </c:pt>
                <c:pt idx="30">
                  <c:v>119.72144556000002</c:v>
                </c:pt>
                <c:pt idx="31">
                  <c:v>117.7221057166999</c:v>
                </c:pt>
                <c:pt idx="32">
                  <c:v>117.3039514</c:v>
                </c:pt>
                <c:pt idx="33">
                  <c:v>115.96347349330006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F5-4010-8FBD-9338D9BF0A6C}"/>
            </c:ext>
          </c:extLst>
        </c:ser>
        <c:ser>
          <c:idx val="2"/>
          <c:order val="5"/>
          <c:tx>
            <c:strRef>
              <c:f>'výkonnost odvětví 5a'!$I$66</c:f>
              <c:strCache>
                <c:ptCount val="1"/>
                <c:pt idx="0">
                  <c:v>z toho: maloobchod.prodej PHM (2015=100)</c:v>
                </c:pt>
              </c:strCache>
            </c:strRef>
          </c:tx>
          <c:spPr>
            <a:ln w="15875">
              <a:solidFill>
                <a:schemeClr val="bg2">
                  <a:lumMod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5a'!$I$67:$I$101</c:f>
              <c:numCache>
                <c:formatCode>#\ ##0.0</c:formatCode>
                <c:ptCount val="35"/>
                <c:pt idx="0">
                  <c:v>98.90286168330006</c:v>
                </c:pt>
                <c:pt idx="1">
                  <c:v>98.641762076699905</c:v>
                </c:pt>
                <c:pt idx="2">
                  <c:v>99.862770576699845</c:v>
                </c:pt>
                <c:pt idx="3">
                  <c:v>102.59260566000007</c:v>
                </c:pt>
                <c:pt idx="4">
                  <c:v>103.8285317032999</c:v>
                </c:pt>
                <c:pt idx="5">
                  <c:v>104.32379246999994</c:v>
                </c:pt>
                <c:pt idx="6">
                  <c:v>104.5221357666999</c:v>
                </c:pt>
                <c:pt idx="7">
                  <c:v>107.6023051832999</c:v>
                </c:pt>
                <c:pt idx="8">
                  <c:v>108.0502921966999</c:v>
                </c:pt>
                <c:pt idx="9">
                  <c:v>110.91734060330008</c:v>
                </c:pt>
                <c:pt idx="10">
                  <c:v>110.9835808433</c:v>
                </c:pt>
                <c:pt idx="11">
                  <c:v>114.18133894999994</c:v>
                </c:pt>
                <c:pt idx="12">
                  <c:v>114.0189565133</c:v>
                </c:pt>
                <c:pt idx="13">
                  <c:v>116.6800979633</c:v>
                </c:pt>
                <c:pt idx="14">
                  <c:v>114.09303906000002</c:v>
                </c:pt>
                <c:pt idx="15">
                  <c:v>117.57587906329989</c:v>
                </c:pt>
                <c:pt idx="16">
                  <c:v>119.1994867132999</c:v>
                </c:pt>
                <c:pt idx="17">
                  <c:v>120.02304511669988</c:v>
                </c:pt>
                <c:pt idx="18">
                  <c:v>115.19566012999998</c:v>
                </c:pt>
                <c:pt idx="19">
                  <c:v>118.16034126999998</c:v>
                </c:pt>
                <c:pt idx="20">
                  <c:v>111.22961624330006</c:v>
                </c:pt>
                <c:pt idx="21">
                  <c:v>100.0761487332999</c:v>
                </c:pt>
                <c:pt idx="22">
                  <c:v>114.00860915</c:v>
                </c:pt>
                <c:pt idx="23">
                  <c:v>104.65409344000005</c:v>
                </c:pt>
                <c:pt idx="24">
                  <c:v>102.30890399</c:v>
                </c:pt>
                <c:pt idx="25">
                  <c:v>111.00930954330002</c:v>
                </c:pt>
                <c:pt idx="26">
                  <c:v>117.89445022000002</c:v>
                </c:pt>
                <c:pt idx="27">
                  <c:v>114.65352857329992</c:v>
                </c:pt>
                <c:pt idx="28">
                  <c:v>114.9526703933</c:v>
                </c:pt>
                <c:pt idx="29">
                  <c:v>105.8215033166999</c:v>
                </c:pt>
                <c:pt idx="30">
                  <c:v>105.88666473000002</c:v>
                </c:pt>
                <c:pt idx="31">
                  <c:v>111.18406157</c:v>
                </c:pt>
                <c:pt idx="32">
                  <c:v>115.6996360333</c:v>
                </c:pt>
                <c:pt idx="33">
                  <c:v>115.7992331367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F5-4010-8FBD-9338D9BF0A6C}"/>
            </c:ext>
          </c:extLst>
        </c:ser>
        <c:ser>
          <c:idx val="6"/>
          <c:order val="6"/>
          <c:tx>
            <c:strRef>
              <c:f>'výkonnost odvětví 5a'!$J$66</c:f>
              <c:strCache>
                <c:ptCount val="1"/>
                <c:pt idx="0">
                  <c:v>Obchod a opravy motor. vozidel (2015=100)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5a'!$J$67:$J$101</c:f>
              <c:numCache>
                <c:formatCode>#\ ##0.0</c:formatCode>
                <c:ptCount val="35"/>
                <c:pt idx="0">
                  <c:v>95.674913026699926</c:v>
                </c:pt>
                <c:pt idx="1">
                  <c:v>98.560016843300005</c:v>
                </c:pt>
                <c:pt idx="2">
                  <c:v>101.31104914330002</c:v>
                </c:pt>
                <c:pt idx="3">
                  <c:v>104.45402098330011</c:v>
                </c:pt>
                <c:pt idx="4">
                  <c:v>105.0998844667</c:v>
                </c:pt>
                <c:pt idx="5">
                  <c:v>106.74665345330011</c:v>
                </c:pt>
                <c:pt idx="6">
                  <c:v>108.98378878</c:v>
                </c:pt>
                <c:pt idx="7">
                  <c:v>109.86758091</c:v>
                </c:pt>
                <c:pt idx="8">
                  <c:v>110.82769768000006</c:v>
                </c:pt>
                <c:pt idx="9">
                  <c:v>111.3855907466999</c:v>
                </c:pt>
                <c:pt idx="10">
                  <c:v>109.70167963000006</c:v>
                </c:pt>
                <c:pt idx="11">
                  <c:v>112.16470216999994</c:v>
                </c:pt>
                <c:pt idx="12">
                  <c:v>110.27402299000002</c:v>
                </c:pt>
                <c:pt idx="13">
                  <c:v>109.89581527670001</c:v>
                </c:pt>
                <c:pt idx="14">
                  <c:v>109.1303319866999</c:v>
                </c:pt>
                <c:pt idx="15">
                  <c:v>106.6551817399999</c:v>
                </c:pt>
                <c:pt idx="16">
                  <c:v>109.01463176999999</c:v>
                </c:pt>
                <c:pt idx="17">
                  <c:v>110.7507360833</c:v>
                </c:pt>
                <c:pt idx="18">
                  <c:v>109.8768517732999</c:v>
                </c:pt>
                <c:pt idx="19">
                  <c:v>110.48031871000001</c:v>
                </c:pt>
                <c:pt idx="20">
                  <c:v>95.676395003299916</c:v>
                </c:pt>
                <c:pt idx="21">
                  <c:v>77.407445156699907</c:v>
                </c:pt>
                <c:pt idx="22">
                  <c:v>101.0189567533</c:v>
                </c:pt>
                <c:pt idx="23">
                  <c:v>102.6341597167</c:v>
                </c:pt>
                <c:pt idx="24">
                  <c:v>101.92430179</c:v>
                </c:pt>
                <c:pt idx="25">
                  <c:v>104.87521292999998</c:v>
                </c:pt>
                <c:pt idx="26">
                  <c:v>99.9690871233</c:v>
                </c:pt>
                <c:pt idx="27">
                  <c:v>98.537373770000002</c:v>
                </c:pt>
                <c:pt idx="28">
                  <c:v>98.516458040000003</c:v>
                </c:pt>
                <c:pt idx="29">
                  <c:v>97.982255116699918</c:v>
                </c:pt>
                <c:pt idx="30">
                  <c:v>96.567339416699895</c:v>
                </c:pt>
                <c:pt idx="31">
                  <c:v>97.582321260000001</c:v>
                </c:pt>
                <c:pt idx="32">
                  <c:v>102.41315423000007</c:v>
                </c:pt>
                <c:pt idx="33">
                  <c:v>99.666500956699906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6F5-4010-8FBD-9338D9BF0A6C}"/>
            </c:ext>
          </c:extLst>
        </c:ser>
        <c:ser>
          <c:idx val="7"/>
          <c:order val="7"/>
          <c:tx>
            <c:strRef>
              <c:f>'výkonnost odvětví 5a'!$K$66</c:f>
              <c:strCache>
                <c:ptCount val="1"/>
              </c:strCache>
            </c:strRef>
          </c:tx>
          <c:spPr>
            <a:ln w="3175">
              <a:noFill/>
              <a:prstDash val="sysDash"/>
            </a:ln>
          </c:spPr>
          <c:marker>
            <c:symbol val="none"/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5a'!$K$67:$K$101</c:f>
              <c:numCache>
                <c:formatCode>General</c:formatCode>
                <c:ptCount val="3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6F5-4010-8FBD-9338D9BF0A6C}"/>
            </c:ext>
          </c:extLst>
        </c:ser>
        <c:ser>
          <c:idx val="8"/>
          <c:order val="8"/>
          <c:tx>
            <c:strRef>
              <c:f>'výkonnost odvětví 5a'!$L$66</c:f>
              <c:strCache>
                <c:ptCount val="1"/>
                <c:pt idx="0">
                  <c:v>Saldo indikátoru důvěry spotřebitelů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5a'!$L$67:$L$101</c:f>
              <c:numCache>
                <c:formatCode>0.0</c:formatCode>
                <c:ptCount val="35"/>
                <c:pt idx="0">
                  <c:v>-1.75</c:v>
                </c:pt>
                <c:pt idx="1">
                  <c:v>0.25</c:v>
                </c:pt>
                <c:pt idx="2">
                  <c:v>-3.75</c:v>
                </c:pt>
                <c:pt idx="3">
                  <c:v>-0.25</c:v>
                </c:pt>
                <c:pt idx="4">
                  <c:v>-1.5</c:v>
                </c:pt>
                <c:pt idx="5">
                  <c:v>0</c:v>
                </c:pt>
                <c:pt idx="6">
                  <c:v>-2.25</c:v>
                </c:pt>
                <c:pt idx="7">
                  <c:v>0.75000000000000044</c:v>
                </c:pt>
                <c:pt idx="8">
                  <c:v>1.25</c:v>
                </c:pt>
                <c:pt idx="9">
                  <c:v>-0.5</c:v>
                </c:pt>
                <c:pt idx="10">
                  <c:v>0.5</c:v>
                </c:pt>
                <c:pt idx="11">
                  <c:v>5</c:v>
                </c:pt>
                <c:pt idx="12">
                  <c:v>3.75</c:v>
                </c:pt>
                <c:pt idx="13">
                  <c:v>6</c:v>
                </c:pt>
                <c:pt idx="14">
                  <c:v>4</c:v>
                </c:pt>
                <c:pt idx="15">
                  <c:v>1</c:v>
                </c:pt>
                <c:pt idx="16">
                  <c:v>3.25</c:v>
                </c:pt>
                <c:pt idx="17">
                  <c:v>0</c:v>
                </c:pt>
                <c:pt idx="18">
                  <c:v>2.25</c:v>
                </c:pt>
                <c:pt idx="19">
                  <c:v>-0.5</c:v>
                </c:pt>
                <c:pt idx="20">
                  <c:v>-1.75</c:v>
                </c:pt>
                <c:pt idx="21">
                  <c:v>-9.25</c:v>
                </c:pt>
                <c:pt idx="22">
                  <c:v>-8.75</c:v>
                </c:pt>
                <c:pt idx="23">
                  <c:v>-18.5</c:v>
                </c:pt>
                <c:pt idx="24">
                  <c:v>-16.25</c:v>
                </c:pt>
                <c:pt idx="25">
                  <c:v>-6.75</c:v>
                </c:pt>
                <c:pt idx="26">
                  <c:v>-4.5</c:v>
                </c:pt>
                <c:pt idx="27">
                  <c:v>-17</c:v>
                </c:pt>
                <c:pt idx="28">
                  <c:v>-16.5</c:v>
                </c:pt>
                <c:pt idx="29">
                  <c:v>-31</c:v>
                </c:pt>
                <c:pt idx="30">
                  <c:v>-29.8</c:v>
                </c:pt>
                <c:pt idx="31">
                  <c:v>-30.8</c:v>
                </c:pt>
                <c:pt idx="32">
                  <c:v>-21</c:v>
                </c:pt>
                <c:pt idx="33">
                  <c:v>-20.3</c:v>
                </c:pt>
                <c:pt idx="34">
                  <c:v>-18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6F5-4010-8FBD-9338D9BF0A6C}"/>
            </c:ext>
          </c:extLst>
        </c:ser>
        <c:ser>
          <c:idx val="9"/>
          <c:order val="9"/>
          <c:tx>
            <c:strRef>
              <c:f>'výkonnost odvětví 5a'!$M$66</c:f>
              <c:strCache>
                <c:ptCount val="1"/>
                <c:pt idx="0">
                  <c:v>Saldo indikátoru důvěry obchodníků</c:v>
                </c:pt>
              </c:strCache>
            </c:strRef>
          </c:tx>
          <c:spPr>
            <a:ln w="635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triangle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'výkonnost odvětví 5a'!$B$67:$C$101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'výkonnost odvětví 5a'!$M$67:$M$101</c:f>
              <c:numCache>
                <c:formatCode>0.0</c:formatCode>
                <c:ptCount val="35"/>
                <c:pt idx="0">
                  <c:v>20</c:v>
                </c:pt>
                <c:pt idx="1">
                  <c:v>20.7</c:v>
                </c:pt>
                <c:pt idx="2">
                  <c:v>17.600000000000001</c:v>
                </c:pt>
                <c:pt idx="3">
                  <c:v>19.7</c:v>
                </c:pt>
                <c:pt idx="4">
                  <c:v>22.7</c:v>
                </c:pt>
                <c:pt idx="5">
                  <c:v>17.7</c:v>
                </c:pt>
                <c:pt idx="6">
                  <c:v>17.7</c:v>
                </c:pt>
                <c:pt idx="7">
                  <c:v>21</c:v>
                </c:pt>
                <c:pt idx="8">
                  <c:v>24.3</c:v>
                </c:pt>
                <c:pt idx="9">
                  <c:v>17.3</c:v>
                </c:pt>
                <c:pt idx="10">
                  <c:v>22.7</c:v>
                </c:pt>
                <c:pt idx="11">
                  <c:v>21.7</c:v>
                </c:pt>
                <c:pt idx="12">
                  <c:v>23.3</c:v>
                </c:pt>
                <c:pt idx="13">
                  <c:v>17.3</c:v>
                </c:pt>
                <c:pt idx="14">
                  <c:v>15.6</c:v>
                </c:pt>
                <c:pt idx="15">
                  <c:v>15</c:v>
                </c:pt>
                <c:pt idx="16">
                  <c:v>12.7</c:v>
                </c:pt>
                <c:pt idx="17">
                  <c:v>12.3</c:v>
                </c:pt>
                <c:pt idx="18">
                  <c:v>14.7</c:v>
                </c:pt>
                <c:pt idx="19">
                  <c:v>14.7</c:v>
                </c:pt>
                <c:pt idx="20">
                  <c:v>18.7</c:v>
                </c:pt>
                <c:pt idx="21">
                  <c:v>-1</c:v>
                </c:pt>
                <c:pt idx="22">
                  <c:v>12</c:v>
                </c:pt>
                <c:pt idx="23">
                  <c:v>7</c:v>
                </c:pt>
                <c:pt idx="24">
                  <c:v>1.3</c:v>
                </c:pt>
                <c:pt idx="25">
                  <c:v>15</c:v>
                </c:pt>
                <c:pt idx="26">
                  <c:v>18.3</c:v>
                </c:pt>
                <c:pt idx="27">
                  <c:v>21.3</c:v>
                </c:pt>
                <c:pt idx="28">
                  <c:v>19.7</c:v>
                </c:pt>
                <c:pt idx="29">
                  <c:v>19.600000000000001</c:v>
                </c:pt>
                <c:pt idx="30">
                  <c:v>10.3</c:v>
                </c:pt>
                <c:pt idx="31">
                  <c:v>14.7</c:v>
                </c:pt>
                <c:pt idx="32">
                  <c:v>9.3000000000000007</c:v>
                </c:pt>
                <c:pt idx="33">
                  <c:v>13.3</c:v>
                </c:pt>
                <c:pt idx="34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6F5-4010-8FBD-9338D9BF0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37312"/>
        <c:axId val="84235392"/>
      </c:lineChart>
      <c:catAx>
        <c:axId val="842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84220928"/>
        <c:crosses val="autoZero"/>
        <c:auto val="1"/>
        <c:lblAlgn val="ctr"/>
        <c:lblOffset val="0"/>
        <c:noMultiLvlLbl val="0"/>
      </c:catAx>
      <c:valAx>
        <c:axId val="84220928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50" b="0" i="1"/>
                </a:pPr>
                <a:r>
                  <a:rPr lang="cs-CZ" sz="750" b="0" i="1"/>
                  <a:t>Tržby</a:t>
                </a:r>
                <a:r>
                  <a:rPr lang="cs-CZ" sz="750" b="0" i="1" baseline="0"/>
                  <a:t> (příspěvěk k meziroč. růstu)</a:t>
                </a:r>
                <a:endParaRPr lang="cs-CZ" sz="750" b="0" i="1"/>
              </a:p>
            </c:rich>
          </c:tx>
          <c:layout>
            <c:manualLayout>
              <c:xMode val="edge"/>
              <c:yMode val="edge"/>
              <c:x val="2.6087065478328985E-3"/>
              <c:y val="0.1818695081593062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4219008"/>
        <c:crosses val="autoZero"/>
        <c:crossBetween val="between"/>
        <c:majorUnit val="2"/>
      </c:valAx>
      <c:valAx>
        <c:axId val="84235392"/>
        <c:scaling>
          <c:orientation val="minMax"/>
          <c:max val="14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50" b="0" i="1"/>
                </a:pPr>
                <a:r>
                  <a:rPr lang="cs-CZ" sz="750" b="0" i="1">
                    <a:latin typeface="Arial" panose="020B0604020202020204" pitchFamily="34" charset="0"/>
                    <a:cs typeface="Arial" panose="020B0604020202020204" pitchFamily="34" charset="0"/>
                  </a:rPr>
                  <a:t>Tržby</a:t>
                </a:r>
                <a:r>
                  <a:rPr lang="cs-CZ" sz="75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(rok 2015=100), </a:t>
                </a:r>
                <a:r>
                  <a:rPr lang="cs-CZ" sz="750" b="0" i="1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důvěra domácností (p. b.)</a:t>
                </a:r>
                <a:endParaRPr lang="cs-CZ" sz="75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4237312"/>
        <c:crosses val="max"/>
        <c:crossBetween val="between"/>
        <c:majorUnit val="10"/>
      </c:valAx>
      <c:catAx>
        <c:axId val="84237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423539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7.8026315789473683E-3"/>
          <c:y val="0.83721607601948345"/>
          <c:w val="0.98158751044277359"/>
          <c:h val="0.1556565362354709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9EABA-0A4A-4BF9-92CD-164A7F3AFD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FFE0B7-9264-4BA4-8351-35D1041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10</Pages>
  <Words>4664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3</cp:revision>
  <cp:lastPrinted>2023-06-09T17:23:00Z</cp:lastPrinted>
  <dcterms:created xsi:type="dcterms:W3CDTF">2023-09-14T08:51:00Z</dcterms:created>
  <dcterms:modified xsi:type="dcterms:W3CDTF">2023-09-14T09:31:00Z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