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33" w:rsidRPr="00262F9A" w:rsidRDefault="0089463A" w:rsidP="00262F9A">
      <w:pPr>
        <w:spacing w:line="360" w:lineRule="auto"/>
        <w:rPr>
          <w:b/>
          <w:sz w:val="32"/>
          <w:szCs w:val="32"/>
        </w:rPr>
      </w:pPr>
      <w:bookmarkStart w:id="0" w:name="_Toc438111975"/>
      <w:bookmarkStart w:id="1" w:name="_Toc444112498"/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="00DA4C0F">
        <w:rPr>
          <w:b/>
          <w:sz w:val="32"/>
          <w:szCs w:val="32"/>
        </w:rPr>
        <w:t>2</w:t>
      </w:r>
      <w:r w:rsidR="00F92871" w:rsidRPr="00262F9A">
        <w:rPr>
          <w:b/>
          <w:sz w:val="32"/>
          <w:szCs w:val="32"/>
        </w:rPr>
        <w:t>. Cizinci pobývající na území ČR podle kategorií pobytu</w:t>
      </w:r>
      <w:bookmarkEnd w:id="0"/>
    </w:p>
    <w:p w:rsidR="00EC6727" w:rsidRPr="00525904" w:rsidRDefault="00F92871" w:rsidP="00EC6727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="00EC6727" w:rsidRPr="0004037F">
        <w:rPr>
          <w:rFonts w:cs="Arial"/>
          <w:szCs w:val="20"/>
        </w:rPr>
        <w:t xml:space="preserve">K 31. 12. </w:t>
      </w:r>
      <w:r w:rsidR="000F32C2">
        <w:rPr>
          <w:rFonts w:cs="Arial"/>
          <w:szCs w:val="20"/>
        </w:rPr>
        <w:t>2022</w:t>
      </w:r>
      <w:r w:rsidR="00EC6727" w:rsidRPr="0004037F">
        <w:rPr>
          <w:rFonts w:cs="Arial"/>
          <w:szCs w:val="20"/>
        </w:rPr>
        <w:t xml:space="preserve"> pobývalo legálně </w:t>
      </w:r>
      <w:r w:rsidR="000F32C2">
        <w:rPr>
          <w:rFonts w:cs="Arial"/>
          <w:szCs w:val="20"/>
        </w:rPr>
        <w:t>na území České republiky celkem 1 </w:t>
      </w:r>
      <w:r w:rsidR="00FA3880">
        <w:rPr>
          <w:rFonts w:cs="Arial"/>
          <w:szCs w:val="20"/>
        </w:rPr>
        <w:t>116</w:t>
      </w:r>
      <w:r w:rsidR="000F32C2">
        <w:rPr>
          <w:rFonts w:cs="Arial"/>
          <w:szCs w:val="20"/>
        </w:rPr>
        <w:t xml:space="preserve"> </w:t>
      </w:r>
      <w:r w:rsidR="00FA3880">
        <w:rPr>
          <w:rFonts w:cs="Arial"/>
          <w:szCs w:val="20"/>
        </w:rPr>
        <w:t>154</w:t>
      </w:r>
      <w:r w:rsidR="00EC6727" w:rsidRPr="0004037F">
        <w:rPr>
          <w:rFonts w:cs="Arial"/>
          <w:szCs w:val="20"/>
        </w:rPr>
        <w:t xml:space="preserve"> cizinců, z to</w:t>
      </w:r>
      <w:r w:rsidR="000A2F2C">
        <w:rPr>
          <w:rFonts w:cs="Arial"/>
          <w:szCs w:val="20"/>
        </w:rPr>
        <w:t xml:space="preserve">ho </w:t>
      </w:r>
      <w:r w:rsidR="00FA3880">
        <w:rPr>
          <w:rFonts w:cs="Arial"/>
          <w:szCs w:val="20"/>
        </w:rPr>
        <w:t xml:space="preserve">70 % </w:t>
      </w:r>
      <w:r w:rsidR="00EC6727">
        <w:rPr>
          <w:rFonts w:cs="Arial"/>
          <w:szCs w:val="20"/>
        </w:rPr>
        <w:t>(</w:t>
      </w:r>
      <w:r w:rsidR="000A2F2C">
        <w:rPr>
          <w:rFonts w:cs="Arial"/>
          <w:szCs w:val="20"/>
        </w:rPr>
        <w:t>780 926</w:t>
      </w:r>
      <w:r w:rsidR="00EC6727" w:rsidRPr="0004037F">
        <w:rPr>
          <w:rFonts w:cs="Arial"/>
          <w:szCs w:val="20"/>
        </w:rPr>
        <w:t>) na základě</w:t>
      </w:r>
      <w:r w:rsidR="00EC6727">
        <w:rPr>
          <w:rFonts w:cs="Arial"/>
          <w:szCs w:val="20"/>
        </w:rPr>
        <w:t xml:space="preserve"> některého z druhů</w:t>
      </w:r>
      <w:r w:rsidR="00EC6727" w:rsidRPr="0004037F">
        <w:rPr>
          <w:rFonts w:cs="Arial"/>
          <w:szCs w:val="20"/>
        </w:rPr>
        <w:t xml:space="preserve"> </w:t>
      </w:r>
      <w:r w:rsidR="00EC6727">
        <w:rPr>
          <w:rFonts w:cs="Arial"/>
          <w:szCs w:val="20"/>
        </w:rPr>
        <w:t>přechodného pobytu (občané tzv. třetích zemí na dlouhodobá víza</w:t>
      </w:r>
      <w:r w:rsidR="00FA3880">
        <w:rPr>
          <w:rFonts w:cs="Arial"/>
          <w:szCs w:val="20"/>
        </w:rPr>
        <w:t>, dlouhod</w:t>
      </w:r>
      <w:r w:rsidR="00381BEF">
        <w:rPr>
          <w:rFonts w:cs="Arial"/>
          <w:szCs w:val="20"/>
        </w:rPr>
        <w:t>obý pobyt nebo s uděleným status</w:t>
      </w:r>
      <w:r w:rsidR="00FA3880">
        <w:rPr>
          <w:rFonts w:cs="Arial"/>
          <w:szCs w:val="20"/>
        </w:rPr>
        <w:t>em dočasné ochrany,</w:t>
      </w:r>
      <w:r w:rsidR="00EC6727" w:rsidRPr="0004037F">
        <w:rPr>
          <w:rFonts w:cs="Arial"/>
          <w:szCs w:val="20"/>
        </w:rPr>
        <w:t xml:space="preserve"> občané EU a jejich rodinní příslušníci </w:t>
      </w:r>
      <w:r w:rsidR="00EC6727">
        <w:rPr>
          <w:rFonts w:cs="Arial"/>
          <w:szCs w:val="20"/>
        </w:rPr>
        <w:t xml:space="preserve">na základě  registrovaného </w:t>
      </w:r>
      <w:r w:rsidR="00EC6727" w:rsidRPr="0004037F">
        <w:rPr>
          <w:rFonts w:cs="Arial"/>
          <w:szCs w:val="20"/>
        </w:rPr>
        <w:t>pře</w:t>
      </w:r>
      <w:r w:rsidR="00FA3880">
        <w:rPr>
          <w:rFonts w:cs="Arial"/>
          <w:szCs w:val="20"/>
        </w:rPr>
        <w:t>chodného pobytu). Celkem 332 772</w:t>
      </w:r>
      <w:r w:rsidR="00EC6727">
        <w:rPr>
          <w:rFonts w:cs="Arial"/>
          <w:szCs w:val="20"/>
        </w:rPr>
        <w:t xml:space="preserve"> cizinců mělo na území našeho státu platné povolení k tr</w:t>
      </w:r>
      <w:r w:rsidR="00FA3880">
        <w:rPr>
          <w:rFonts w:cs="Arial"/>
          <w:szCs w:val="20"/>
        </w:rPr>
        <w:t>valému pobytu. Zbytek, tj. 2 456</w:t>
      </w:r>
      <w:r w:rsidR="00EC6727" w:rsidRPr="0004037F">
        <w:rPr>
          <w:rFonts w:cs="Arial"/>
          <w:szCs w:val="20"/>
        </w:rPr>
        <w:t xml:space="preserve"> osob, tvořili cizinci</w:t>
      </w:r>
      <w:r w:rsidR="00245F90">
        <w:rPr>
          <w:rFonts w:cs="Arial"/>
          <w:szCs w:val="20"/>
        </w:rPr>
        <w:t xml:space="preserve"> evidovaní na našem území s platným azylem</w:t>
      </w:r>
      <w:r w:rsidR="00EC6727" w:rsidRPr="0004037F">
        <w:rPr>
          <w:rFonts w:cs="Arial"/>
          <w:szCs w:val="20"/>
        </w:rPr>
        <w:t>.</w:t>
      </w:r>
      <w:r w:rsidR="00EC6727">
        <w:rPr>
          <w:rFonts w:cs="Arial"/>
          <w:szCs w:val="20"/>
        </w:rPr>
        <w:t xml:space="preserve"> Podíl cizinců na populaci ČR ta</w:t>
      </w:r>
      <w:r w:rsidR="00FA3880">
        <w:rPr>
          <w:rFonts w:cs="Arial"/>
          <w:szCs w:val="20"/>
        </w:rPr>
        <w:t>k v roce 2022</w:t>
      </w:r>
      <w:r w:rsidR="006B308C">
        <w:rPr>
          <w:rFonts w:cs="Arial"/>
          <w:szCs w:val="20"/>
        </w:rPr>
        <w:t xml:space="preserve"> vzrostl </w:t>
      </w:r>
      <w:r w:rsidR="00053F1D">
        <w:rPr>
          <w:rFonts w:cs="Arial"/>
          <w:szCs w:val="20"/>
        </w:rPr>
        <w:t>na</w:t>
      </w:r>
      <w:r w:rsidR="00FA3880">
        <w:rPr>
          <w:rFonts w:cs="Arial"/>
          <w:szCs w:val="20"/>
        </w:rPr>
        <w:t xml:space="preserve"> zatím nejvyšší registrovanou hodnotu 10</w:t>
      </w:r>
      <w:r w:rsidR="00053F1D">
        <w:rPr>
          <w:rFonts w:cs="Arial"/>
          <w:szCs w:val="20"/>
        </w:rPr>
        <w:t>,3</w:t>
      </w:r>
      <w:r w:rsidR="00EC6727">
        <w:rPr>
          <w:rFonts w:cs="Arial"/>
          <w:szCs w:val="20"/>
        </w:rPr>
        <w:t xml:space="preserve"> %, přičemž meziroční přírůstek c</w:t>
      </w:r>
      <w:r w:rsidR="006B308C">
        <w:rPr>
          <w:rFonts w:cs="Arial"/>
          <w:szCs w:val="20"/>
        </w:rPr>
        <w:t xml:space="preserve">elkového počtu cizinců činil </w:t>
      </w:r>
      <w:r w:rsidR="00FA3880">
        <w:rPr>
          <w:rFonts w:cs="Arial"/>
          <w:szCs w:val="20"/>
        </w:rPr>
        <w:t>455</w:t>
      </w:r>
      <w:r w:rsidR="00155898">
        <w:rPr>
          <w:rFonts w:cs="Arial"/>
          <w:szCs w:val="20"/>
        </w:rPr>
        <w:t xml:space="preserve"> 305 osob</w:t>
      </w:r>
      <w:r w:rsidR="00EC6727">
        <w:rPr>
          <w:rFonts w:cs="Arial"/>
          <w:szCs w:val="20"/>
        </w:rPr>
        <w:t>.</w:t>
      </w:r>
    </w:p>
    <w:p w:rsidR="0078279D" w:rsidRPr="006A234E" w:rsidRDefault="006A234E" w:rsidP="006A234E">
      <w:pPr>
        <w:spacing w:line="360" w:lineRule="auto"/>
        <w:jc w:val="both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56D4B41F" wp14:editId="246DC182">
            <wp:extent cx="5048250" cy="345757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1A31" w:rsidRPr="00262F9A" w:rsidRDefault="00EC6727" w:rsidP="0048588F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Podíváme-li se na časovou řadu podle jednotlivých kategor</w:t>
      </w:r>
      <w:r>
        <w:rPr>
          <w:rFonts w:cs="Arial"/>
          <w:szCs w:val="20"/>
        </w:rPr>
        <w:t>ií pobytu, je patrné, že</w:t>
      </w:r>
      <w:r w:rsidRPr="0004037F">
        <w:rPr>
          <w:rFonts w:cs="Arial"/>
          <w:szCs w:val="20"/>
        </w:rPr>
        <w:t xml:space="preserve"> do roku 2012 převažovali mezi cizinci s udě</w:t>
      </w:r>
      <w:r>
        <w:rPr>
          <w:rFonts w:cs="Arial"/>
          <w:szCs w:val="20"/>
        </w:rPr>
        <w:t>leným povolením k pobytu zahraniční občané</w:t>
      </w:r>
      <w:r w:rsidRPr="0004037F">
        <w:rPr>
          <w:rFonts w:cs="Arial"/>
          <w:szCs w:val="20"/>
        </w:rPr>
        <w:t xml:space="preserve"> s něk</w:t>
      </w:r>
      <w:r>
        <w:rPr>
          <w:rFonts w:cs="Arial"/>
          <w:szCs w:val="20"/>
        </w:rPr>
        <w:t>terým z typů přechodného pobytu.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 roky 2013 – 2019 byl tento poměr obrácený a převažovali</w:t>
      </w:r>
      <w:r w:rsidRPr="0004037F">
        <w:rPr>
          <w:rFonts w:cs="Arial"/>
          <w:szCs w:val="20"/>
        </w:rPr>
        <w:t xml:space="preserve"> držit</w:t>
      </w:r>
      <w:r>
        <w:rPr>
          <w:rFonts w:cs="Arial"/>
          <w:szCs w:val="20"/>
        </w:rPr>
        <w:t>elé povolení k trvalému pobytu, přičemž počty cizinců s přechodným pobytem od začátku ekonomické krize v roce 2009 až do konce ro</w:t>
      </w:r>
      <w:r w:rsidR="00490060">
        <w:rPr>
          <w:rFonts w:cs="Arial"/>
          <w:szCs w:val="20"/>
        </w:rPr>
        <w:t>ku 2014 klesaly. Od roku 2015 je</w:t>
      </w:r>
      <w:r>
        <w:rPr>
          <w:rFonts w:cs="Arial"/>
          <w:szCs w:val="20"/>
        </w:rPr>
        <w:t xml:space="preserve"> však u posledně </w:t>
      </w:r>
      <w:r w:rsidR="00490060">
        <w:rPr>
          <w:rFonts w:cs="Arial"/>
          <w:szCs w:val="20"/>
        </w:rPr>
        <w:t>zmíněné kategorie cizinců příznačné</w:t>
      </w:r>
      <w:r>
        <w:rPr>
          <w:rFonts w:cs="Arial"/>
          <w:szCs w:val="20"/>
        </w:rPr>
        <w:t xml:space="preserve"> opětovné oživení a růst, které postupně vedou až k obrácení trendu ve vývoji legálně pobývajících cizinců na našem území v roc</w:t>
      </w:r>
      <w:r w:rsidR="00155898">
        <w:rPr>
          <w:rFonts w:cs="Arial"/>
          <w:szCs w:val="20"/>
        </w:rPr>
        <w:t>e 2020. Za období až do roku 2021</w:t>
      </w:r>
      <w:r>
        <w:rPr>
          <w:rFonts w:cs="Arial"/>
          <w:szCs w:val="20"/>
        </w:rPr>
        <w:t xml:space="preserve"> je patrný vliv střídajících se ekonomických cyklů (klesající počty cizinců s přechodným pobytem v období ekonomické recese a naopak jejich rostoucí stavy v době ekonomické konjunktury). </w:t>
      </w:r>
      <w:r w:rsidR="00E927C3">
        <w:rPr>
          <w:rFonts w:cs="Arial"/>
          <w:szCs w:val="20"/>
        </w:rPr>
        <w:t xml:space="preserve"> V roce 2022 dochází k bezprecedentnímu nárůstu</w:t>
      </w:r>
      <w:r w:rsidR="000D61B3">
        <w:rPr>
          <w:rFonts w:cs="Arial"/>
          <w:szCs w:val="20"/>
        </w:rPr>
        <w:t xml:space="preserve"> (</w:t>
      </w:r>
      <w:r w:rsidR="00176405">
        <w:rPr>
          <w:rFonts w:cs="Arial"/>
          <w:szCs w:val="20"/>
        </w:rPr>
        <w:t>zvýšení o 443 067 osob neboli</w:t>
      </w:r>
      <w:r w:rsidR="003855F0">
        <w:rPr>
          <w:rFonts w:cs="Arial"/>
          <w:szCs w:val="20"/>
        </w:rPr>
        <w:t xml:space="preserve"> o 132 %)</w:t>
      </w:r>
      <w:r w:rsidR="00E927C3">
        <w:rPr>
          <w:rFonts w:cs="Arial"/>
          <w:szCs w:val="20"/>
        </w:rPr>
        <w:t xml:space="preserve"> v kategorii </w:t>
      </w:r>
      <w:r w:rsidR="003855F0">
        <w:rPr>
          <w:rFonts w:cs="Arial"/>
          <w:szCs w:val="20"/>
        </w:rPr>
        <w:t>cizinců</w:t>
      </w:r>
      <w:r w:rsidR="00E927C3">
        <w:rPr>
          <w:rFonts w:cs="Arial"/>
          <w:szCs w:val="20"/>
        </w:rPr>
        <w:t xml:space="preserve"> s přechodným pobytem, způsobeným přílive</w:t>
      </w:r>
      <w:r w:rsidR="00834D9A">
        <w:rPr>
          <w:rFonts w:cs="Arial"/>
          <w:szCs w:val="20"/>
        </w:rPr>
        <w:t>m občanů Ukrajiny, přicházejících</w:t>
      </w:r>
      <w:r w:rsidR="000D61B3">
        <w:rPr>
          <w:rFonts w:cs="Arial"/>
          <w:szCs w:val="20"/>
        </w:rPr>
        <w:t xml:space="preserve"> do ČR</w:t>
      </w:r>
      <w:r w:rsidR="00E927C3">
        <w:rPr>
          <w:rFonts w:cs="Arial"/>
          <w:szCs w:val="20"/>
        </w:rPr>
        <w:t xml:space="preserve"> v</w:t>
      </w:r>
      <w:r w:rsidR="000D61B3">
        <w:rPr>
          <w:rFonts w:cs="Arial"/>
          <w:szCs w:val="20"/>
        </w:rPr>
        <w:t> </w:t>
      </w:r>
      <w:r w:rsidR="00E927C3">
        <w:rPr>
          <w:rFonts w:cs="Arial"/>
          <w:szCs w:val="20"/>
        </w:rPr>
        <w:t>důsledku</w:t>
      </w:r>
      <w:r w:rsidR="000D61B3">
        <w:rPr>
          <w:rFonts w:cs="Arial"/>
          <w:szCs w:val="20"/>
        </w:rPr>
        <w:t xml:space="preserve"> vypuknutí</w:t>
      </w:r>
      <w:r w:rsidR="00E927C3">
        <w:rPr>
          <w:rFonts w:cs="Arial"/>
          <w:szCs w:val="20"/>
        </w:rPr>
        <w:t xml:space="preserve"> </w:t>
      </w:r>
      <w:r w:rsidR="000D61B3">
        <w:rPr>
          <w:rFonts w:cs="Arial"/>
          <w:szCs w:val="20"/>
        </w:rPr>
        <w:t>válečného konfliktu s</w:t>
      </w:r>
      <w:r w:rsidR="00A23A63">
        <w:rPr>
          <w:rFonts w:cs="Arial"/>
          <w:szCs w:val="20"/>
        </w:rPr>
        <w:t> Ruskem. Tito cizinci hledají v České republice</w:t>
      </w:r>
      <w:r w:rsidR="003855F0">
        <w:rPr>
          <w:rFonts w:cs="Arial"/>
          <w:szCs w:val="20"/>
        </w:rPr>
        <w:t xml:space="preserve"> dočasné útočiště, resp. dočasnou ochranu</w:t>
      </w:r>
      <w:r w:rsidR="000D61B3">
        <w:rPr>
          <w:rFonts w:cs="Arial"/>
          <w:szCs w:val="20"/>
        </w:rPr>
        <w:t xml:space="preserve">. </w:t>
      </w:r>
      <w:r w:rsidR="003855F0">
        <w:rPr>
          <w:rFonts w:cs="Arial"/>
          <w:szCs w:val="20"/>
        </w:rPr>
        <w:t>Oproti tomu p</w:t>
      </w:r>
      <w:r w:rsidRPr="0004037F">
        <w:rPr>
          <w:rFonts w:cs="Arial"/>
          <w:szCs w:val="20"/>
        </w:rPr>
        <w:t>očet cizinců, kteří v</w:t>
      </w:r>
      <w:r w:rsidR="00245F90">
        <w:rPr>
          <w:rFonts w:cs="Arial"/>
          <w:szCs w:val="20"/>
        </w:rPr>
        <w:t> </w:t>
      </w:r>
      <w:r w:rsidRPr="0004037F">
        <w:rPr>
          <w:rFonts w:cs="Arial"/>
          <w:szCs w:val="20"/>
        </w:rPr>
        <w:t>ČR</w:t>
      </w:r>
      <w:r w:rsidR="00245F90">
        <w:rPr>
          <w:rFonts w:cs="Arial"/>
          <w:szCs w:val="20"/>
        </w:rPr>
        <w:t xml:space="preserve"> žijí a</w:t>
      </w:r>
      <w:r w:rsidRPr="0004037F">
        <w:rPr>
          <w:rFonts w:cs="Arial"/>
          <w:szCs w:val="20"/>
        </w:rPr>
        <w:t xml:space="preserve"> získali</w:t>
      </w:r>
      <w:r w:rsidR="003855F0">
        <w:rPr>
          <w:rFonts w:cs="Arial"/>
          <w:szCs w:val="20"/>
        </w:rPr>
        <w:t xml:space="preserve"> jiný statut mezinárodní ochrany, </w:t>
      </w:r>
      <w:r w:rsidR="003855F0">
        <w:rPr>
          <w:rFonts w:cs="Arial"/>
          <w:szCs w:val="20"/>
        </w:rPr>
        <w:lastRenderedPageBreak/>
        <w:t>tzn.</w:t>
      </w:r>
      <w:r w:rsidRPr="0004037F">
        <w:rPr>
          <w:rFonts w:cs="Arial"/>
          <w:szCs w:val="20"/>
        </w:rPr>
        <w:t xml:space="preserve"> azyl nebo do</w:t>
      </w:r>
      <w:r w:rsidR="00C3578F">
        <w:rPr>
          <w:rFonts w:cs="Arial"/>
          <w:szCs w:val="20"/>
        </w:rPr>
        <w:t>plňkovou</w:t>
      </w:r>
      <w:r w:rsidRPr="0004037F">
        <w:rPr>
          <w:rFonts w:cs="Arial"/>
          <w:szCs w:val="20"/>
        </w:rPr>
        <w:t xml:space="preserve"> ochranu</w:t>
      </w:r>
      <w:r w:rsidR="00834D9A">
        <w:rPr>
          <w:rFonts w:cs="Arial"/>
          <w:szCs w:val="20"/>
        </w:rPr>
        <w:t>, se</w:t>
      </w:r>
      <w:r w:rsidRPr="0004037F">
        <w:rPr>
          <w:rFonts w:cs="Arial"/>
          <w:szCs w:val="20"/>
        </w:rPr>
        <w:t xml:space="preserve"> vzhledem k nízkým počtům kladně vyřízených žádostí</w:t>
      </w:r>
      <w:r>
        <w:rPr>
          <w:rFonts w:cs="Arial"/>
          <w:szCs w:val="20"/>
        </w:rPr>
        <w:t xml:space="preserve"> udržuje v poslední době na zhruba stejné, nízké úrovni</w:t>
      </w:r>
      <w:r w:rsidR="00245F90">
        <w:rPr>
          <w:rFonts w:cs="Arial"/>
          <w:szCs w:val="20"/>
        </w:rPr>
        <w:t>,</w:t>
      </w:r>
      <w:r w:rsidR="003855F0">
        <w:rPr>
          <w:rFonts w:cs="Arial"/>
          <w:szCs w:val="20"/>
        </w:rPr>
        <w:t xml:space="preserve"> oscilující kolem 2 tisíc osob</w:t>
      </w:r>
      <w:r w:rsidR="002774FC">
        <w:rPr>
          <w:rFonts w:cs="Arial"/>
          <w:szCs w:val="20"/>
        </w:rPr>
        <w:t xml:space="preserve"> ročně</w:t>
      </w:r>
      <w:r w:rsidR="003855F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2</w:t>
      </w:r>
      <w:r w:rsidR="003855F0">
        <w:rPr>
          <w:rFonts w:cs="Arial"/>
          <w:szCs w:val="20"/>
        </w:rPr>
        <w:t>,4</w:t>
      </w:r>
      <w:r>
        <w:rPr>
          <w:rFonts w:cs="Arial"/>
          <w:szCs w:val="20"/>
        </w:rPr>
        <w:t xml:space="preserve"> tis. osob</w:t>
      </w:r>
      <w:r w:rsidR="003855F0">
        <w:rPr>
          <w:rFonts w:cs="Arial"/>
          <w:szCs w:val="20"/>
        </w:rPr>
        <w:t xml:space="preserve"> v roce 2022</w:t>
      </w:r>
      <w:r>
        <w:rPr>
          <w:rFonts w:cs="Arial"/>
          <w:szCs w:val="20"/>
        </w:rPr>
        <w:t>).</w:t>
      </w:r>
    </w:p>
    <w:p w:rsidR="00A51A31" w:rsidRDefault="0048588F" w:rsidP="0078279D">
      <w:pPr>
        <w:pStyle w:val="Nadpis3"/>
        <w:jc w:val="center"/>
      </w:pPr>
      <w:r>
        <w:rPr>
          <w:noProof/>
        </w:rPr>
        <w:drawing>
          <wp:inline distT="0" distB="0" distL="0" distR="0" wp14:anchorId="197FC1C6" wp14:editId="0C4EE699">
            <wp:extent cx="5838825" cy="3933825"/>
            <wp:effectExtent l="0" t="0" r="9525" b="952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1A31" w:rsidRDefault="00A51A31" w:rsidP="0047735C">
      <w:pPr>
        <w:pStyle w:val="Nadpis3"/>
      </w:pPr>
    </w:p>
    <w:p w:rsidR="00EC6727" w:rsidRDefault="00EC6727" w:rsidP="00EC6727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</w:t>
      </w:r>
      <w:r w:rsidR="00245F90">
        <w:rPr>
          <w:rFonts w:cs="Arial"/>
          <w:szCs w:val="20"/>
        </w:rPr>
        <w:t xml:space="preserve"> v roce 2022</w:t>
      </w:r>
      <w:r w:rsidR="00853A71">
        <w:rPr>
          <w:rFonts w:cs="Arial"/>
          <w:szCs w:val="20"/>
        </w:rPr>
        <w:t xml:space="preserve"> se</w:t>
      </w:r>
      <w:r w:rsidR="00245F90">
        <w:rPr>
          <w:rFonts w:cs="Arial"/>
          <w:szCs w:val="20"/>
        </w:rPr>
        <w:t xml:space="preserve"> v důsledku přílivu převážně matek s d</w:t>
      </w:r>
      <w:r w:rsidR="00853A71">
        <w:rPr>
          <w:rFonts w:cs="Arial"/>
          <w:szCs w:val="20"/>
        </w:rPr>
        <w:t>ětmi z válkou napadené Ukrajiny</w:t>
      </w:r>
      <w:r w:rsidR="00245F90">
        <w:rPr>
          <w:rFonts w:cs="Arial"/>
          <w:szCs w:val="20"/>
        </w:rPr>
        <w:t xml:space="preserve"> oproti předchozím letům výrazně zvýšilo a dosáhlo </w:t>
      </w:r>
      <w:r w:rsidR="001676D2">
        <w:rPr>
          <w:rFonts w:cs="Arial"/>
          <w:szCs w:val="20"/>
        </w:rPr>
        <w:t xml:space="preserve">poprvé za </w:t>
      </w:r>
      <w:r w:rsidR="00354F00">
        <w:rPr>
          <w:rFonts w:cs="Arial"/>
          <w:szCs w:val="20"/>
        </w:rPr>
        <w:t xml:space="preserve">celou </w:t>
      </w:r>
      <w:r w:rsidR="001676D2">
        <w:rPr>
          <w:rFonts w:cs="Arial"/>
          <w:szCs w:val="20"/>
        </w:rPr>
        <w:t xml:space="preserve">dobu sledování migračních statistik u nás </w:t>
      </w:r>
      <w:r w:rsidR="00853A71">
        <w:rPr>
          <w:rFonts w:cs="Arial"/>
          <w:szCs w:val="20"/>
        </w:rPr>
        <w:t>nadpoloviční většiny (51,1 % -</w:t>
      </w:r>
      <w:r w:rsidR="00245F90">
        <w:rPr>
          <w:rFonts w:cs="Arial"/>
          <w:szCs w:val="20"/>
        </w:rPr>
        <w:t xml:space="preserve"> pro srovnání v roce 2021 to bylo 43,5</w:t>
      </w:r>
      <w:r w:rsidRPr="0004037F">
        <w:rPr>
          <w:rFonts w:cs="Arial"/>
          <w:szCs w:val="20"/>
        </w:rPr>
        <w:t xml:space="preserve"> %).</w:t>
      </w:r>
    </w:p>
    <w:p w:rsidR="00243DC9" w:rsidRDefault="00354F00" w:rsidP="00EC6727">
      <w:pPr>
        <w:spacing w:after="60" w:line="360" w:lineRule="auto"/>
        <w:ind w:firstLine="709"/>
        <w:jc w:val="both"/>
        <w:rPr>
          <w:rFonts w:cs="Arial"/>
          <w:szCs w:val="22"/>
        </w:rPr>
      </w:pPr>
      <w:r w:rsidRPr="00DE1DD6">
        <w:rPr>
          <w:rFonts w:cs="Arial"/>
          <w:szCs w:val="22"/>
        </w:rPr>
        <w:t xml:space="preserve">Věková struktura cizinců vykazuje oproti věkové struktuře majoritní populace určité odlišnosti, které lze vysvětlit </w:t>
      </w:r>
      <w:r>
        <w:rPr>
          <w:rFonts w:cs="Arial"/>
          <w:szCs w:val="22"/>
        </w:rPr>
        <w:t xml:space="preserve">dosud převažujícími </w:t>
      </w:r>
      <w:r w:rsidRPr="00DE1DD6">
        <w:rPr>
          <w:rFonts w:cs="Arial"/>
          <w:szCs w:val="22"/>
        </w:rPr>
        <w:t>ekonomickými motivy migrace cizinců do ČR</w:t>
      </w:r>
      <w:r>
        <w:rPr>
          <w:rFonts w:cs="Arial"/>
          <w:szCs w:val="22"/>
        </w:rPr>
        <w:t>, ke kterým se v roce 2022 přiřadily i důvody humanitární</w:t>
      </w:r>
      <w:r w:rsidRPr="00DE1DD6">
        <w:rPr>
          <w:rFonts w:cs="Arial"/>
          <w:szCs w:val="22"/>
        </w:rPr>
        <w:t xml:space="preserve">. Silně jsou tradičně zastoupeny zejména kategorie mladšího produktivního věku, tj. </w:t>
      </w:r>
      <w:r>
        <w:rPr>
          <w:rFonts w:cs="Arial"/>
          <w:szCs w:val="22"/>
        </w:rPr>
        <w:t>25</w:t>
      </w:r>
      <w:r w:rsidRPr="00DE1DD6">
        <w:rPr>
          <w:rFonts w:cs="Arial"/>
          <w:szCs w:val="22"/>
        </w:rPr>
        <w:t>-39 let. V tomto věkovém rozmezí se v roce 202</w:t>
      </w:r>
      <w:r>
        <w:rPr>
          <w:rFonts w:cs="Arial"/>
          <w:szCs w:val="22"/>
        </w:rPr>
        <w:t>2</w:t>
      </w:r>
      <w:r w:rsidRPr="00DE1DD6">
        <w:rPr>
          <w:rFonts w:cs="Arial"/>
          <w:szCs w:val="22"/>
        </w:rPr>
        <w:t xml:space="preserve"> nacházel</w:t>
      </w:r>
      <w:r>
        <w:rPr>
          <w:rFonts w:cs="Arial"/>
          <w:szCs w:val="22"/>
        </w:rPr>
        <w:t>y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více než čtyři desetiny </w:t>
      </w:r>
      <w:r w:rsidRPr="00DE1DD6">
        <w:rPr>
          <w:rFonts w:cs="Arial"/>
          <w:szCs w:val="22"/>
        </w:rPr>
        <w:t>(</w:t>
      </w:r>
      <w:r>
        <w:rPr>
          <w:rFonts w:cs="Arial"/>
          <w:szCs w:val="22"/>
        </w:rPr>
        <w:t>41,6</w:t>
      </w:r>
      <w:r w:rsidRPr="00DE1DD6">
        <w:rPr>
          <w:rFonts w:cs="Arial"/>
          <w:szCs w:val="22"/>
        </w:rPr>
        <w:t xml:space="preserve"> %) všech legálně pobývajících cizinců</w:t>
      </w:r>
      <w:r>
        <w:rPr>
          <w:rFonts w:cs="Arial"/>
          <w:szCs w:val="22"/>
        </w:rPr>
        <w:t xml:space="preserve"> u nás</w:t>
      </w:r>
      <w:r w:rsidRPr="00DE1DD6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oproti roku 2021, kdy bylo registrováno 35,2 %, tato hodnota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výrazně vzrostla</w:t>
      </w:r>
      <w:r w:rsidRPr="00DE1DD6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 xml:space="preserve">Celkový podíl kategorie 15-64 let se však  meziročně snížil o  5,5 p. b., na 78,5 %. Oproti tomu, v důsledku války na Ukrajině, kdy do Česka od roku 2022 přicházely zejména matky s nezletilými dětmi, se významně navýšilo zastoupení dětské složky, 0-14 let, a to z 10,6 % v roce 2021 na 16,5 % v roce 2022. </w:t>
      </w:r>
      <w:r w:rsidRPr="00DE1DD6">
        <w:rPr>
          <w:rFonts w:cs="Arial"/>
          <w:szCs w:val="22"/>
        </w:rPr>
        <w:t xml:space="preserve">Velmi nízký podíl v porovnání se strukturou populace ČR </w:t>
      </w:r>
      <w:r>
        <w:rPr>
          <w:rFonts w:cs="Arial"/>
          <w:szCs w:val="22"/>
        </w:rPr>
        <w:t xml:space="preserve">pak </w:t>
      </w:r>
      <w:r w:rsidRPr="00DE1DD6">
        <w:rPr>
          <w:rFonts w:cs="Arial"/>
          <w:szCs w:val="22"/>
        </w:rPr>
        <w:t>připadá na osoby v poproduktivním věku. V kategorii nad 65 let se v roce 202</w:t>
      </w:r>
      <w:r>
        <w:rPr>
          <w:rFonts w:cs="Arial"/>
          <w:szCs w:val="22"/>
        </w:rPr>
        <w:t>2</w:t>
      </w:r>
      <w:r w:rsidRPr="00DE1DD6">
        <w:rPr>
          <w:rFonts w:cs="Arial"/>
          <w:szCs w:val="22"/>
        </w:rPr>
        <w:t xml:space="preserve"> nacházel</w:t>
      </w:r>
      <w:r>
        <w:rPr>
          <w:rFonts w:cs="Arial"/>
          <w:szCs w:val="22"/>
        </w:rPr>
        <w:t>o</w:t>
      </w:r>
      <w:r w:rsidRPr="00DE1DD6">
        <w:rPr>
          <w:rFonts w:cs="Arial"/>
          <w:szCs w:val="22"/>
        </w:rPr>
        <w:t xml:space="preserve"> pouh</w:t>
      </w:r>
      <w:r>
        <w:rPr>
          <w:rFonts w:cs="Arial"/>
          <w:szCs w:val="22"/>
        </w:rPr>
        <w:t>ých</w:t>
      </w:r>
      <w:r w:rsidRPr="00DE1DD6">
        <w:rPr>
          <w:rFonts w:cs="Arial"/>
          <w:szCs w:val="22"/>
        </w:rPr>
        <w:t xml:space="preserve"> 5,</w:t>
      </w:r>
      <w:r>
        <w:rPr>
          <w:rFonts w:cs="Arial"/>
          <w:szCs w:val="22"/>
        </w:rPr>
        <w:t>0</w:t>
      </w:r>
      <w:r w:rsidRPr="00DE1DD6">
        <w:rPr>
          <w:rFonts w:cs="Arial"/>
          <w:szCs w:val="22"/>
        </w:rPr>
        <w:t xml:space="preserve"> % cizinecké populace, tzn</w:t>
      </w:r>
      <w:r>
        <w:rPr>
          <w:rFonts w:cs="Arial"/>
          <w:szCs w:val="22"/>
        </w:rPr>
        <w:t>. o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DE1DD6">
        <w:rPr>
          <w:rFonts w:cs="Arial"/>
          <w:szCs w:val="22"/>
        </w:rPr>
        <w:t>0,</w:t>
      </w:r>
      <w:r>
        <w:rPr>
          <w:rFonts w:cs="Arial"/>
          <w:szCs w:val="22"/>
        </w:rPr>
        <w:t>5</w:t>
      </w:r>
      <w:r w:rsidRPr="00DE1DD6">
        <w:rPr>
          <w:rFonts w:cs="Arial"/>
          <w:szCs w:val="22"/>
        </w:rPr>
        <w:t xml:space="preserve"> p. b. méně než v roce 202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 xml:space="preserve">. </w:t>
      </w:r>
    </w:p>
    <w:p w:rsidR="00354F00" w:rsidRPr="00243DC9" w:rsidRDefault="00243DC9" w:rsidP="00243DC9">
      <w:pPr>
        <w:pStyle w:val="Zkladntext3"/>
        <w:spacing w:before="60" w:after="60" w:line="360" w:lineRule="auto"/>
        <w:ind w:firstLine="708"/>
        <w:jc w:val="both"/>
        <w:rPr>
          <w:rFonts w:ascii="Arial" w:hAnsi="Arial" w:cs="Arial"/>
          <w:sz w:val="20"/>
        </w:rPr>
      </w:pPr>
      <w:r w:rsidRPr="00243DC9">
        <w:rPr>
          <w:rFonts w:ascii="Arial" w:hAnsi="Arial" w:cs="Arial"/>
          <w:sz w:val="20"/>
        </w:rPr>
        <w:t>Zajímavé informace přinášejí data Ředitelství služby cizinecké policie, které eviduje cizince z třetích zemí, jimž byl povolen přechodný pobyt na našem území,</w:t>
      </w:r>
      <w:r w:rsidR="00176405">
        <w:rPr>
          <w:rFonts w:ascii="Arial" w:hAnsi="Arial" w:cs="Arial"/>
          <w:sz w:val="20"/>
        </w:rPr>
        <w:t xml:space="preserve"> a to</w:t>
      </w:r>
      <w:r w:rsidRPr="00243DC9">
        <w:rPr>
          <w:rFonts w:ascii="Arial" w:hAnsi="Arial" w:cs="Arial"/>
          <w:sz w:val="20"/>
        </w:rPr>
        <w:t xml:space="preserve"> podle daného účelu pobytu. Z těchto údajů je zřejmé, že v posledních letech jednoznačně dominující účel pobytu cizin</w:t>
      </w:r>
      <w:r w:rsidR="00853A71">
        <w:rPr>
          <w:rFonts w:ascii="Arial" w:hAnsi="Arial" w:cs="Arial"/>
          <w:sz w:val="20"/>
        </w:rPr>
        <w:t>ců ze zemí mimo Evropskou unii -</w:t>
      </w:r>
      <w:r w:rsidRPr="00243DC9">
        <w:rPr>
          <w:rFonts w:ascii="Arial" w:hAnsi="Arial" w:cs="Arial"/>
          <w:sz w:val="20"/>
        </w:rPr>
        <w:t xml:space="preserve"> zaměstnání a podnikání – nahradily v roce 2022 účely pobytu spadající do kategorie „jiné“. V souvislosti s válkou na Ukrajině a přílivem uprchlíků tohoto státního občanství šlo zejména o humanitární důvody. V loňském roce připadalo na kategorii „jiné“ celkem 447 035 cizinců-třetizemců přechodně pobývajících na </w:t>
      </w:r>
      <w:r w:rsidRPr="00243DC9">
        <w:rPr>
          <w:rFonts w:ascii="Arial" w:hAnsi="Arial" w:cs="Arial"/>
          <w:sz w:val="20"/>
        </w:rPr>
        <w:lastRenderedPageBreak/>
        <w:t xml:space="preserve">našem území, přičemž jejich podíl činil více než dvě třetiny (67,7 %) z celkového počtu cizinců z třetích zemí s povoleným přechodným pobytem. Dříve nejvíce zastoupený účel pobytu zaměstnání a podnikání (v roce 2021 dosahující úrovně 58 %) se tak propadl na druhé místo, s podílem 19,5 %, a dosáhl tak zatím nejnižší sledované hodnoty. S odstupem (s 8,4 %) následovaly rodinné důvody, jejichž podíl rovněž oproti roku 2021 poklesl, a to o 16 p. b. Výrazný pokles (o 9 p. b.) byl zaznamenán i v kategorii „studium“, na jehož základě pobývalo v ČR v roce 2022 celkem 4,5 % cizinců z třetích zemí s přechodným pobytem.        </w:t>
      </w:r>
      <w:r w:rsidR="00354F00" w:rsidRPr="00DE1DD6">
        <w:rPr>
          <w:rFonts w:cs="Arial"/>
          <w:szCs w:val="22"/>
        </w:rPr>
        <w:t xml:space="preserve">   </w:t>
      </w:r>
    </w:p>
    <w:p w:rsidR="00EC6727" w:rsidRDefault="00245F90" w:rsidP="00EC6727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Na občany států EU-27 připadala v roce 2022</w:t>
      </w:r>
      <w:r w:rsidR="00082AFF">
        <w:rPr>
          <w:rFonts w:cs="Arial"/>
          <w:szCs w:val="20"/>
        </w:rPr>
        <w:t xml:space="preserve"> zhruba </w:t>
      </w:r>
      <w:r w:rsidR="00180BC7">
        <w:rPr>
          <w:rFonts w:cs="Arial"/>
          <w:szCs w:val="20"/>
        </w:rPr>
        <w:t xml:space="preserve">jen </w:t>
      </w:r>
      <w:r w:rsidR="00082AFF">
        <w:rPr>
          <w:rFonts w:cs="Arial"/>
          <w:szCs w:val="20"/>
        </w:rPr>
        <w:t>jedna</w:t>
      </w:r>
      <w:r>
        <w:rPr>
          <w:rFonts w:cs="Arial"/>
          <w:szCs w:val="20"/>
        </w:rPr>
        <w:t xml:space="preserve"> pětina (20,3 %)</w:t>
      </w:r>
      <w:r w:rsidR="00EC6727" w:rsidRPr="0004037F">
        <w:rPr>
          <w:rFonts w:cs="Arial"/>
          <w:szCs w:val="20"/>
        </w:rPr>
        <w:t xml:space="preserve"> z l</w:t>
      </w:r>
      <w:r w:rsidR="00EC6727">
        <w:rPr>
          <w:rFonts w:cs="Arial"/>
          <w:szCs w:val="20"/>
        </w:rPr>
        <w:t xml:space="preserve">egálně pobývajících cizinců v ČR. Jejich </w:t>
      </w:r>
      <w:r w:rsidR="00EC6727" w:rsidRPr="0004037F">
        <w:rPr>
          <w:rFonts w:cs="Arial"/>
          <w:szCs w:val="20"/>
        </w:rPr>
        <w:t xml:space="preserve">zastoupení </w:t>
      </w:r>
      <w:r w:rsidR="00180BC7">
        <w:rPr>
          <w:rFonts w:cs="Arial"/>
          <w:szCs w:val="20"/>
        </w:rPr>
        <w:t>se tak</w:t>
      </w:r>
      <w:r w:rsidR="00EC6727">
        <w:rPr>
          <w:rFonts w:cs="Arial"/>
          <w:szCs w:val="20"/>
        </w:rPr>
        <w:t xml:space="preserve"> meziročně</w:t>
      </w:r>
      <w:r w:rsidR="00082AFF">
        <w:rPr>
          <w:rFonts w:cs="Arial"/>
          <w:szCs w:val="20"/>
        </w:rPr>
        <w:t xml:space="preserve"> </w:t>
      </w:r>
      <w:r w:rsidR="00180BC7">
        <w:rPr>
          <w:rFonts w:cs="Arial"/>
          <w:szCs w:val="20"/>
        </w:rPr>
        <w:t>významně snížilo, a to o 13,3 p. b.</w:t>
      </w:r>
      <w:r w:rsidR="00EC6727">
        <w:rPr>
          <w:rFonts w:cs="Arial"/>
          <w:szCs w:val="20"/>
        </w:rPr>
        <w:t xml:space="preserve"> </w:t>
      </w:r>
      <w:r w:rsidR="00354F00">
        <w:rPr>
          <w:rFonts w:cs="Arial"/>
          <w:szCs w:val="20"/>
        </w:rPr>
        <w:t xml:space="preserve"> Logicky</w:t>
      </w:r>
      <w:r w:rsidR="00180BC7">
        <w:rPr>
          <w:rFonts w:cs="Arial"/>
          <w:szCs w:val="20"/>
        </w:rPr>
        <w:t xml:space="preserve"> se výrazně navýšil podíl cizinců z tzv. třetích zemí</w:t>
      </w:r>
      <w:r w:rsidR="00723CF6">
        <w:rPr>
          <w:rFonts w:cs="Arial"/>
          <w:szCs w:val="20"/>
        </w:rPr>
        <w:t>, a to meziročně o 66,4 p. b.</w:t>
      </w:r>
      <w:r w:rsidR="00180BC7">
        <w:rPr>
          <w:rFonts w:cs="Arial"/>
          <w:szCs w:val="20"/>
        </w:rPr>
        <w:t xml:space="preserve"> </w:t>
      </w:r>
      <w:r w:rsidR="00EC6727">
        <w:rPr>
          <w:rFonts w:cs="Arial"/>
          <w:szCs w:val="20"/>
        </w:rPr>
        <w:t xml:space="preserve">V tomto vývoji se </w:t>
      </w:r>
      <w:r w:rsidR="00180BC7">
        <w:rPr>
          <w:rFonts w:cs="Arial"/>
          <w:szCs w:val="20"/>
        </w:rPr>
        <w:t>opět značnou měrou promítl válečný konflikt na Ukrajině, s nímž souvisel masivní příliv válečných uprchlíků řazených mezi tzv. třetizemce.</w:t>
      </w:r>
      <w:r w:rsidR="00EC6727">
        <w:rPr>
          <w:rFonts w:cs="Arial"/>
          <w:szCs w:val="20"/>
        </w:rPr>
        <w:t xml:space="preserve"> </w:t>
      </w:r>
    </w:p>
    <w:p w:rsidR="00EC6727" w:rsidRDefault="00EC6727" w:rsidP="00EC6727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 w:rsidR="00723CF6">
        <w:rPr>
          <w:rFonts w:cs="Arial"/>
          <w:szCs w:val="20"/>
        </w:rPr>
        <w:t>, jejichž počet dosáhl koncem roku 2022 rekordních 636 282 osob</w:t>
      </w:r>
      <w:r w:rsidR="00082AFF">
        <w:rPr>
          <w:rFonts w:cs="Arial"/>
          <w:szCs w:val="20"/>
        </w:rPr>
        <w:t xml:space="preserve"> (</w:t>
      </w:r>
      <w:r w:rsidR="00723CF6">
        <w:rPr>
          <w:rFonts w:cs="Arial"/>
          <w:szCs w:val="20"/>
        </w:rPr>
        <w:t>pro srovnání v roce 2021 to bylo</w:t>
      </w:r>
      <w:r w:rsidR="00853A71">
        <w:rPr>
          <w:rFonts w:cs="Arial"/>
          <w:szCs w:val="20"/>
        </w:rPr>
        <w:t xml:space="preserve"> </w:t>
      </w:r>
      <w:r w:rsidR="00082AFF">
        <w:rPr>
          <w:rFonts w:cs="Arial"/>
          <w:szCs w:val="20"/>
        </w:rPr>
        <w:t>196 875</w:t>
      </w:r>
      <w:r>
        <w:rPr>
          <w:rFonts w:cs="Arial"/>
          <w:szCs w:val="20"/>
        </w:rPr>
        <w:t xml:space="preserve"> osob)</w:t>
      </w:r>
      <w:r w:rsidR="00723CF6">
        <w:rPr>
          <w:rFonts w:cs="Arial"/>
          <w:szCs w:val="20"/>
        </w:rPr>
        <w:t>. Následují občané</w:t>
      </w:r>
      <w:r w:rsidRPr="0004037F">
        <w:rPr>
          <w:rFonts w:cs="Arial"/>
          <w:szCs w:val="20"/>
        </w:rPr>
        <w:t xml:space="preserve"> Slovenska</w:t>
      </w:r>
      <w:r w:rsidR="00723CF6">
        <w:rPr>
          <w:rFonts w:cs="Arial"/>
          <w:szCs w:val="20"/>
        </w:rPr>
        <w:t xml:space="preserve"> (117</w:t>
      </w:r>
      <w:r w:rsidR="001676D2">
        <w:rPr>
          <w:rFonts w:cs="Arial"/>
          <w:szCs w:val="20"/>
        </w:rPr>
        <w:t> </w:t>
      </w:r>
      <w:r w:rsidR="00723CF6">
        <w:rPr>
          <w:rFonts w:cs="Arial"/>
          <w:szCs w:val="20"/>
        </w:rPr>
        <w:t>265</w:t>
      </w:r>
      <w:r>
        <w:rPr>
          <w:rFonts w:cs="Arial"/>
          <w:szCs w:val="20"/>
        </w:rPr>
        <w:t>)</w:t>
      </w:r>
      <w:r w:rsidRPr="0004037F">
        <w:rPr>
          <w:rFonts w:cs="Arial"/>
          <w:szCs w:val="20"/>
        </w:rPr>
        <w:t xml:space="preserve"> a Vietnamu</w:t>
      </w:r>
      <w:r w:rsidR="00723CF6">
        <w:rPr>
          <w:rFonts w:cs="Arial"/>
          <w:szCs w:val="20"/>
        </w:rPr>
        <w:t xml:space="preserve"> (66 340</w:t>
      </w:r>
      <w:r>
        <w:rPr>
          <w:rFonts w:cs="Arial"/>
          <w:szCs w:val="20"/>
        </w:rPr>
        <w:t>)</w:t>
      </w:r>
      <w:r w:rsidRPr="0004037F">
        <w:rPr>
          <w:rFonts w:cs="Arial"/>
          <w:szCs w:val="20"/>
        </w:rPr>
        <w:t>. Občané tě</w:t>
      </w:r>
      <w:r>
        <w:rPr>
          <w:rFonts w:cs="Arial"/>
          <w:szCs w:val="20"/>
        </w:rPr>
        <w:t>c</w:t>
      </w:r>
      <w:r w:rsidR="00723CF6">
        <w:rPr>
          <w:rFonts w:cs="Arial"/>
          <w:szCs w:val="20"/>
        </w:rPr>
        <w:t>hto tří zemí tvořili v roce 2022 celkem 66,9</w:t>
      </w:r>
      <w:r>
        <w:rPr>
          <w:rFonts w:cs="Arial"/>
          <w:szCs w:val="20"/>
        </w:rPr>
        <w:t xml:space="preserve"> % cizinců s povolením k </w:t>
      </w:r>
      <w:r w:rsidRPr="0004037F">
        <w:rPr>
          <w:rFonts w:cs="Arial"/>
          <w:szCs w:val="20"/>
        </w:rPr>
        <w:t>pobytu</w:t>
      </w:r>
      <w:r w:rsidR="00354F0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s povoleným nebo evidovaným pobytem</w:t>
      </w:r>
      <w:r w:rsidR="004571D3">
        <w:rPr>
          <w:rFonts w:cs="Arial"/>
          <w:szCs w:val="20"/>
        </w:rPr>
        <w:t>, azylem</w:t>
      </w:r>
      <w:r w:rsidR="00FE329D">
        <w:rPr>
          <w:rFonts w:cs="Arial"/>
          <w:szCs w:val="20"/>
        </w:rPr>
        <w:t xml:space="preserve"> nebo status</w:t>
      </w:r>
      <w:r w:rsidR="00723CF6">
        <w:rPr>
          <w:rFonts w:cs="Arial"/>
          <w:szCs w:val="20"/>
        </w:rPr>
        <w:t>em dočasné ochrany</w:t>
      </w:r>
      <w:r>
        <w:rPr>
          <w:rFonts w:cs="Arial"/>
          <w:szCs w:val="20"/>
        </w:rPr>
        <w:t>)</w:t>
      </w:r>
      <w:r w:rsidRPr="0004037F">
        <w:rPr>
          <w:rFonts w:cs="Arial"/>
          <w:szCs w:val="20"/>
        </w:rPr>
        <w:t xml:space="preserve"> v České republice.</w:t>
      </w:r>
      <w:r w:rsidR="001676D2">
        <w:rPr>
          <w:rFonts w:cs="Arial"/>
          <w:szCs w:val="20"/>
        </w:rPr>
        <w:t xml:space="preserve"> Jak počty Slováků, tak počty Vietnamců meziročně vzrostly (o </w:t>
      </w:r>
      <w:r w:rsidR="00354F00">
        <w:rPr>
          <w:rFonts w:cs="Arial"/>
          <w:szCs w:val="20"/>
        </w:rPr>
        <w:t>2 615 resp. o 1 489 osob).</w:t>
      </w:r>
    </w:p>
    <w:p w:rsidR="00F40BC8" w:rsidRDefault="00723CF6" w:rsidP="00EC6727">
      <w:pPr>
        <w:spacing w:after="6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V roce 2022</w:t>
      </w:r>
      <w:r w:rsidR="00EC6727" w:rsidRPr="0004037F">
        <w:rPr>
          <w:rFonts w:cs="Arial"/>
          <w:szCs w:val="20"/>
        </w:rPr>
        <w:t xml:space="preserve"> byli</w:t>
      </w:r>
      <w:r w:rsidR="00EC6727">
        <w:rPr>
          <w:rFonts w:cs="Arial"/>
          <w:szCs w:val="20"/>
        </w:rPr>
        <w:t xml:space="preserve"> na čtvrtém místě, stejně jako v</w:t>
      </w:r>
      <w:r>
        <w:rPr>
          <w:rFonts w:cs="Arial"/>
          <w:szCs w:val="20"/>
        </w:rPr>
        <w:t> předchozím roce, Rusové (43 498</w:t>
      </w:r>
      <w:r w:rsidR="00C45963">
        <w:rPr>
          <w:rFonts w:cs="Arial"/>
          <w:szCs w:val="20"/>
        </w:rPr>
        <w:t>). S</w:t>
      </w:r>
      <w:r w:rsidR="00EC6727">
        <w:rPr>
          <w:rFonts w:cs="Arial"/>
          <w:szCs w:val="20"/>
        </w:rPr>
        <w:t xml:space="preserve"> odstupem </w:t>
      </w:r>
      <w:r w:rsidR="00D926B6">
        <w:rPr>
          <w:rFonts w:cs="Arial"/>
          <w:szCs w:val="20"/>
        </w:rPr>
        <w:t xml:space="preserve"> následovali</w:t>
      </w:r>
      <w:r w:rsidR="004C0F90">
        <w:rPr>
          <w:rFonts w:cs="Arial"/>
          <w:szCs w:val="20"/>
        </w:rPr>
        <w:t xml:space="preserve"> </w:t>
      </w:r>
      <w:r w:rsidR="009035E2">
        <w:rPr>
          <w:rFonts w:cs="Arial"/>
          <w:szCs w:val="20"/>
        </w:rPr>
        <w:t xml:space="preserve"> </w:t>
      </w:r>
      <w:r w:rsidR="004C0F90">
        <w:rPr>
          <w:rFonts w:cs="Arial"/>
          <w:szCs w:val="20"/>
        </w:rPr>
        <w:t>R</w:t>
      </w:r>
      <w:r w:rsidR="00D926B6">
        <w:rPr>
          <w:rFonts w:cs="Arial"/>
          <w:szCs w:val="20"/>
        </w:rPr>
        <w:t>umuni</w:t>
      </w:r>
      <w:r>
        <w:rPr>
          <w:rFonts w:cs="Arial"/>
          <w:szCs w:val="20"/>
        </w:rPr>
        <w:t xml:space="preserve"> (19</w:t>
      </w:r>
      <w:r w:rsidR="009035E2">
        <w:rPr>
          <w:rFonts w:cs="Arial"/>
          <w:szCs w:val="20"/>
        </w:rPr>
        <w:t xml:space="preserve"> 724</w:t>
      </w:r>
      <w:r w:rsidR="004C0F90">
        <w:rPr>
          <w:rFonts w:cs="Arial"/>
          <w:szCs w:val="20"/>
        </w:rPr>
        <w:t>), P</w:t>
      </w:r>
      <w:r w:rsidR="00D926B6">
        <w:rPr>
          <w:rFonts w:cs="Arial"/>
          <w:szCs w:val="20"/>
        </w:rPr>
        <w:t>oláci</w:t>
      </w:r>
      <w:r w:rsidR="009035E2">
        <w:rPr>
          <w:rFonts w:cs="Arial"/>
          <w:szCs w:val="20"/>
        </w:rPr>
        <w:t xml:space="preserve"> (17 884</w:t>
      </w:r>
      <w:r w:rsidR="004571D3">
        <w:rPr>
          <w:rFonts w:cs="Arial"/>
          <w:szCs w:val="20"/>
        </w:rPr>
        <w:t>),</w:t>
      </w:r>
      <w:r w:rsidR="004C0F90">
        <w:rPr>
          <w:rFonts w:cs="Arial"/>
          <w:szCs w:val="20"/>
        </w:rPr>
        <w:t xml:space="preserve"> B</w:t>
      </w:r>
      <w:r w:rsidR="00D926B6">
        <w:rPr>
          <w:rFonts w:cs="Arial"/>
          <w:szCs w:val="20"/>
        </w:rPr>
        <w:t>ulhaři</w:t>
      </w:r>
      <w:r w:rsidR="009035E2">
        <w:rPr>
          <w:rFonts w:cs="Arial"/>
          <w:szCs w:val="20"/>
        </w:rPr>
        <w:t xml:space="preserve"> (17 673</w:t>
      </w:r>
      <w:r w:rsidR="004C0F90">
        <w:rPr>
          <w:rFonts w:cs="Arial"/>
          <w:szCs w:val="20"/>
        </w:rPr>
        <w:t>)</w:t>
      </w:r>
      <w:r w:rsidR="004571D3">
        <w:rPr>
          <w:rFonts w:cs="Arial"/>
          <w:szCs w:val="20"/>
        </w:rPr>
        <w:t xml:space="preserve"> a Němci (14 032). Oproti roku 2021</w:t>
      </w:r>
      <w:r w:rsidR="004C0F90">
        <w:rPr>
          <w:rFonts w:cs="Arial"/>
          <w:szCs w:val="20"/>
        </w:rPr>
        <w:t xml:space="preserve"> se</w:t>
      </w:r>
      <w:r w:rsidR="004571D3">
        <w:rPr>
          <w:rFonts w:cs="Arial"/>
          <w:szCs w:val="20"/>
        </w:rPr>
        <w:t xml:space="preserve"> z výše uvedeného výčtu státních občanství výrazněji navýšily pouze počty Rumunů, a to o 918 osob, resp. </w:t>
      </w:r>
      <w:r w:rsidR="00354F00">
        <w:rPr>
          <w:rFonts w:cs="Arial"/>
          <w:szCs w:val="20"/>
        </w:rPr>
        <w:t xml:space="preserve">o </w:t>
      </w:r>
      <w:r w:rsidR="004571D3">
        <w:rPr>
          <w:rFonts w:cs="Arial"/>
          <w:szCs w:val="20"/>
        </w:rPr>
        <w:t>4,9 %. N</w:t>
      </w:r>
      <w:r w:rsidR="00863265">
        <w:rPr>
          <w:rFonts w:cs="Arial"/>
          <w:szCs w:val="20"/>
        </w:rPr>
        <w:t>aopak nejvíce klesly</w:t>
      </w:r>
      <w:r w:rsidR="001676D2">
        <w:rPr>
          <w:rFonts w:cs="Arial"/>
          <w:szCs w:val="20"/>
        </w:rPr>
        <w:t xml:space="preserve"> počty Rusů</w:t>
      </w:r>
      <w:r w:rsidR="004C0F90">
        <w:rPr>
          <w:rFonts w:cs="Arial"/>
          <w:szCs w:val="20"/>
        </w:rPr>
        <w:t>,</w:t>
      </w:r>
      <w:r w:rsidR="004571D3">
        <w:rPr>
          <w:rFonts w:cs="Arial"/>
          <w:szCs w:val="20"/>
        </w:rPr>
        <w:t xml:space="preserve"> </w:t>
      </w:r>
      <w:r w:rsidR="00863265">
        <w:rPr>
          <w:rFonts w:cs="Arial"/>
          <w:szCs w:val="20"/>
        </w:rPr>
        <w:t>a to z</w:t>
      </w:r>
      <w:r w:rsidR="001676D2">
        <w:rPr>
          <w:rFonts w:cs="Arial"/>
          <w:szCs w:val="20"/>
        </w:rPr>
        <w:t> 45 365</w:t>
      </w:r>
      <w:r w:rsidR="004571D3">
        <w:rPr>
          <w:rFonts w:cs="Arial"/>
          <w:szCs w:val="20"/>
        </w:rPr>
        <w:t xml:space="preserve"> </w:t>
      </w:r>
      <w:r w:rsidR="001676D2">
        <w:rPr>
          <w:rFonts w:cs="Arial"/>
          <w:szCs w:val="20"/>
        </w:rPr>
        <w:t>na 43 498</w:t>
      </w:r>
      <w:r w:rsidR="004571D3">
        <w:rPr>
          <w:rFonts w:cs="Arial"/>
          <w:szCs w:val="20"/>
        </w:rPr>
        <w:t xml:space="preserve"> osob.</w:t>
      </w:r>
      <w:r w:rsidR="001676D2">
        <w:rPr>
          <w:rFonts w:cs="Arial"/>
          <w:szCs w:val="20"/>
        </w:rPr>
        <w:t xml:space="preserve"> Stejně tak, i když méně významně, klesly i počty Němců (o 760 osob).</w:t>
      </w:r>
      <w:r w:rsidR="004C0F90">
        <w:rPr>
          <w:rFonts w:cs="Arial"/>
          <w:szCs w:val="20"/>
        </w:rPr>
        <w:t xml:space="preserve"> </w:t>
      </w:r>
      <w:r w:rsidR="00863265">
        <w:rPr>
          <w:rFonts w:cs="Arial"/>
          <w:szCs w:val="20"/>
        </w:rPr>
        <w:t>P</w:t>
      </w:r>
      <w:r w:rsidR="00B86B13">
        <w:rPr>
          <w:rFonts w:cs="Arial"/>
          <w:szCs w:val="20"/>
        </w:rPr>
        <w:t>očty Rumunů</w:t>
      </w:r>
      <w:r w:rsidR="004571D3">
        <w:rPr>
          <w:rFonts w:cs="Arial"/>
          <w:szCs w:val="20"/>
        </w:rPr>
        <w:t xml:space="preserve"> a Bulharů zůstaly i v roce 2022</w:t>
      </w:r>
      <w:r w:rsidR="00B86B13">
        <w:rPr>
          <w:rFonts w:cs="Arial"/>
          <w:szCs w:val="20"/>
        </w:rPr>
        <w:t xml:space="preserve"> z</w:t>
      </w:r>
      <w:r w:rsidR="00354F00">
        <w:rPr>
          <w:rFonts w:cs="Arial"/>
          <w:szCs w:val="20"/>
        </w:rPr>
        <w:t>hruba na stejné úrovni jako v </w:t>
      </w:r>
      <w:r w:rsidR="00B86B13">
        <w:rPr>
          <w:rFonts w:cs="Arial"/>
          <w:szCs w:val="20"/>
        </w:rPr>
        <w:t>roce</w:t>
      </w:r>
      <w:r w:rsidR="00354F00">
        <w:rPr>
          <w:rFonts w:cs="Arial"/>
          <w:szCs w:val="20"/>
        </w:rPr>
        <w:t xml:space="preserve"> předchozím</w:t>
      </w:r>
      <w:r w:rsidR="00B86B13">
        <w:rPr>
          <w:rFonts w:cs="Arial"/>
          <w:szCs w:val="20"/>
        </w:rPr>
        <w:t xml:space="preserve">. </w:t>
      </w:r>
      <w:r w:rsidR="00863265">
        <w:rPr>
          <w:rFonts w:cs="Arial"/>
          <w:szCs w:val="20"/>
        </w:rPr>
        <w:t>Pokud jde o cizince státních občanství s nižším zastoupením na našem území, je vidět početní meziroční</w:t>
      </w:r>
      <w:r w:rsidR="00D74C35">
        <w:rPr>
          <w:rFonts w:cs="Arial"/>
          <w:szCs w:val="20"/>
        </w:rPr>
        <w:t xml:space="preserve"> nárůst zejména u cizinců přicházejících z některých zemí asijského kontinentu. Nejmarkantnější navýšení mezi roky 2021-2022 bylo evidováno u občanů </w:t>
      </w:r>
      <w:r w:rsidR="007F5C69">
        <w:rPr>
          <w:rFonts w:cs="Arial"/>
          <w:szCs w:val="20"/>
        </w:rPr>
        <w:t>Filipín</w:t>
      </w:r>
      <w:r w:rsidR="00D74C35">
        <w:rPr>
          <w:rFonts w:cs="Arial"/>
          <w:szCs w:val="20"/>
        </w:rPr>
        <w:t xml:space="preserve">, </w:t>
      </w:r>
      <w:r w:rsidR="007F5C69">
        <w:rPr>
          <w:rFonts w:cs="Arial"/>
          <w:szCs w:val="20"/>
        </w:rPr>
        <w:t xml:space="preserve">a to o 1 634 osob neboli o 50,6 %. Významně meziročně vzrostly i počty Indů, </w:t>
      </w:r>
      <w:r w:rsidR="00D74C35">
        <w:rPr>
          <w:rFonts w:cs="Arial"/>
          <w:szCs w:val="20"/>
        </w:rPr>
        <w:t>a to z 6 951 na 8 469 osob, což v relativním vyjádření činilo 21,8 %. O něco méně, tj. o 1 157 o</w:t>
      </w:r>
      <w:r w:rsidR="007F5C69">
        <w:rPr>
          <w:rFonts w:cs="Arial"/>
          <w:szCs w:val="20"/>
        </w:rPr>
        <w:t>sob se</w:t>
      </w:r>
      <w:r w:rsidR="00D74C35">
        <w:rPr>
          <w:rFonts w:cs="Arial"/>
          <w:szCs w:val="20"/>
        </w:rPr>
        <w:t xml:space="preserve"> </w:t>
      </w:r>
      <w:r w:rsidR="007F5C69">
        <w:rPr>
          <w:rFonts w:cs="Arial"/>
          <w:szCs w:val="20"/>
        </w:rPr>
        <w:t xml:space="preserve">pak </w:t>
      </w:r>
      <w:r w:rsidR="00D74C35">
        <w:rPr>
          <w:rFonts w:cs="Arial"/>
          <w:szCs w:val="20"/>
        </w:rPr>
        <w:t>meziročně</w:t>
      </w:r>
      <w:r w:rsidR="007F5C69">
        <w:rPr>
          <w:rFonts w:cs="Arial"/>
          <w:szCs w:val="20"/>
        </w:rPr>
        <w:t xml:space="preserve"> navýšil</w:t>
      </w:r>
      <w:r w:rsidR="00D74C35">
        <w:rPr>
          <w:rFonts w:cs="Arial"/>
          <w:szCs w:val="20"/>
        </w:rPr>
        <w:t xml:space="preserve"> i počet občanů Kazachstánu. Relativně se tato skupina cizinců zvětšila o 14,4 %. </w:t>
      </w:r>
    </w:p>
    <w:p w:rsidR="00423688" w:rsidRDefault="00A425C2" w:rsidP="00EC6727">
      <w:pPr>
        <w:spacing w:after="60" w:line="360" w:lineRule="auto"/>
        <w:ind w:firstLine="708"/>
        <w:jc w:val="both"/>
        <w:rPr>
          <w:rFonts w:cs="Arial"/>
          <w:szCs w:val="20"/>
        </w:rPr>
      </w:pPr>
      <w:r w:rsidRPr="00DE1DD6">
        <w:rPr>
          <w:rFonts w:cs="Arial"/>
          <w:szCs w:val="22"/>
        </w:rPr>
        <w:t xml:space="preserve">      </w:t>
      </w:r>
      <w:r>
        <w:rPr>
          <w:rFonts w:cs="Arial"/>
          <w:szCs w:val="22"/>
        </w:rPr>
        <w:t>Počty cizinců se v roce 2022 výrazně navýšily ve všech krajích ČR.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DE1DD6">
        <w:rPr>
          <w:rFonts w:cs="Arial"/>
          <w:szCs w:val="22"/>
        </w:rPr>
        <w:t>ezi regiony s nejvyšší koncentrací cizinců</w:t>
      </w:r>
      <w:r>
        <w:rPr>
          <w:rFonts w:cs="Arial"/>
          <w:szCs w:val="22"/>
        </w:rPr>
        <w:t xml:space="preserve"> patří </w:t>
      </w:r>
      <w:r w:rsidRPr="00AC4F15">
        <w:rPr>
          <w:rFonts w:cs="Arial"/>
          <w:szCs w:val="22"/>
        </w:rPr>
        <w:t>tradičn</w:t>
      </w:r>
      <w:r w:rsidRPr="00CC4BCA">
        <w:rPr>
          <w:rFonts w:cs="Arial"/>
          <w:szCs w:val="22"/>
        </w:rPr>
        <w:t>ě H</w:t>
      </w:r>
      <w:r w:rsidRPr="00AC4F15">
        <w:rPr>
          <w:rFonts w:cs="Arial"/>
          <w:szCs w:val="22"/>
        </w:rPr>
        <w:t>l.</w:t>
      </w:r>
      <w:r w:rsidRPr="00DE1DD6">
        <w:t> </w:t>
      </w:r>
      <w:r w:rsidRPr="00DE1DD6">
        <w:rPr>
          <w:rFonts w:cs="Arial"/>
          <w:szCs w:val="22"/>
        </w:rPr>
        <w:t>m. Praha</w:t>
      </w:r>
      <w:r>
        <w:rPr>
          <w:rFonts w:cs="Arial"/>
          <w:szCs w:val="22"/>
        </w:rPr>
        <w:t xml:space="preserve"> (345,3 tis.)</w:t>
      </w:r>
      <w:r w:rsidRPr="00DE1DD6">
        <w:rPr>
          <w:rFonts w:cs="Arial"/>
          <w:szCs w:val="22"/>
        </w:rPr>
        <w:t xml:space="preserve"> a Středočeský kraj</w:t>
      </w:r>
      <w:r>
        <w:rPr>
          <w:rFonts w:cs="Arial"/>
          <w:szCs w:val="22"/>
        </w:rPr>
        <w:t xml:space="preserve"> (159 tis.)</w:t>
      </w:r>
      <w:r w:rsidRPr="00DE1DD6">
        <w:rPr>
          <w:rFonts w:cs="Arial"/>
          <w:szCs w:val="22"/>
        </w:rPr>
        <w:t>. Podíl cizinců registrovaných v našem hlavním městě se</w:t>
      </w:r>
      <w:r>
        <w:rPr>
          <w:rFonts w:cs="Arial"/>
          <w:szCs w:val="22"/>
        </w:rPr>
        <w:t xml:space="preserve"> však </w:t>
      </w:r>
      <w:r w:rsidRPr="00DE1DD6">
        <w:rPr>
          <w:rFonts w:cs="Arial"/>
          <w:szCs w:val="22"/>
        </w:rPr>
        <w:t>oproti roku 202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 něco snížil, a to z </w:t>
      </w:r>
      <w:r w:rsidRPr="00DE1DD6">
        <w:rPr>
          <w:rFonts w:cs="Arial"/>
          <w:szCs w:val="22"/>
        </w:rPr>
        <w:t>35,9 %</w:t>
      </w:r>
      <w:r>
        <w:rPr>
          <w:rFonts w:cs="Arial"/>
          <w:szCs w:val="22"/>
        </w:rPr>
        <w:t xml:space="preserve"> na 31,0 %.</w:t>
      </w:r>
      <w:r w:rsidRPr="00DE1DD6">
        <w:rPr>
          <w:rFonts w:cs="Arial"/>
          <w:szCs w:val="22"/>
        </w:rPr>
        <w:t xml:space="preserve"> Oproti tomu na území Středočeského kraje </w:t>
      </w:r>
      <w:r>
        <w:rPr>
          <w:rFonts w:cs="Arial"/>
          <w:szCs w:val="22"/>
        </w:rPr>
        <w:t>zůstal</w:t>
      </w:r>
      <w:r w:rsidRPr="00DE1DD6">
        <w:rPr>
          <w:rFonts w:cs="Arial"/>
          <w:szCs w:val="22"/>
        </w:rPr>
        <w:t xml:space="preserve"> podíl cizinců </w:t>
      </w:r>
      <w:r>
        <w:rPr>
          <w:rFonts w:cs="Arial"/>
          <w:szCs w:val="22"/>
        </w:rPr>
        <w:t>v meziročním srovnání</w:t>
      </w:r>
      <w:r w:rsidRPr="00DE1DD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zhruba na stejné úrovni </w:t>
      </w:r>
      <w:r w:rsidRPr="00DE1DD6">
        <w:rPr>
          <w:rFonts w:cs="Arial"/>
          <w:szCs w:val="22"/>
        </w:rPr>
        <w:t>a dosáhl hodnoty 14,4 % (tj. o 0,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 xml:space="preserve"> p. b. </w:t>
      </w:r>
      <w:r>
        <w:rPr>
          <w:rFonts w:cs="Arial"/>
          <w:szCs w:val="22"/>
        </w:rPr>
        <w:t>méně</w:t>
      </w:r>
      <w:r w:rsidRPr="00DE1DD6">
        <w:rPr>
          <w:rFonts w:cs="Arial"/>
          <w:szCs w:val="22"/>
        </w:rPr>
        <w:t xml:space="preserve"> než v roce 202</w:t>
      </w:r>
      <w:r>
        <w:rPr>
          <w:rFonts w:cs="Arial"/>
          <w:szCs w:val="22"/>
        </w:rPr>
        <w:t>1</w:t>
      </w:r>
      <w:r w:rsidRPr="00DE1DD6">
        <w:rPr>
          <w:rFonts w:cs="Arial"/>
          <w:szCs w:val="22"/>
        </w:rPr>
        <w:t>). V pořadí z hlediska zastoupení cizinců dále následují kraje Jihomoravský (</w:t>
      </w:r>
      <w:r>
        <w:rPr>
          <w:rFonts w:cs="Arial"/>
          <w:szCs w:val="22"/>
        </w:rPr>
        <w:t>10,0</w:t>
      </w:r>
      <w:r w:rsidRPr="00DE1DD6">
        <w:rPr>
          <w:rFonts w:cs="Arial"/>
          <w:szCs w:val="22"/>
        </w:rPr>
        <w:t> %), Plzeňský (</w:t>
      </w:r>
      <w:r>
        <w:rPr>
          <w:rFonts w:cs="Arial"/>
          <w:szCs w:val="22"/>
        </w:rPr>
        <w:t>7,3</w:t>
      </w:r>
      <w:r w:rsidRPr="00DE1DD6">
        <w:rPr>
          <w:rFonts w:cs="Arial"/>
          <w:szCs w:val="22"/>
        </w:rPr>
        <w:t xml:space="preserve"> %) a </w:t>
      </w:r>
      <w:r>
        <w:rPr>
          <w:rFonts w:cs="Arial"/>
          <w:szCs w:val="22"/>
        </w:rPr>
        <w:t> </w:t>
      </w:r>
      <w:r w:rsidRPr="00DE1DD6">
        <w:rPr>
          <w:rFonts w:cs="Arial"/>
          <w:szCs w:val="22"/>
        </w:rPr>
        <w:t>Ústecký (5,</w:t>
      </w:r>
      <w:r>
        <w:rPr>
          <w:rFonts w:cs="Arial"/>
          <w:szCs w:val="22"/>
        </w:rPr>
        <w:t>5</w:t>
      </w:r>
      <w:r w:rsidRPr="00DE1DD6">
        <w:rPr>
          <w:rFonts w:cs="Arial"/>
          <w:szCs w:val="22"/>
        </w:rPr>
        <w:t xml:space="preserve"> %).</w:t>
      </w:r>
    </w:p>
    <w:p w:rsidR="00A425C2" w:rsidRDefault="00A425C2" w:rsidP="003D09EB"/>
    <w:p w:rsidR="0089463A" w:rsidRDefault="0089463A" w:rsidP="00A30DD5">
      <w:pPr>
        <w:jc w:val="both"/>
        <w:rPr>
          <w:b/>
          <w:sz w:val="32"/>
          <w:szCs w:val="32"/>
        </w:rPr>
      </w:pPr>
      <w:bookmarkStart w:id="2" w:name="_GoBack"/>
      <w:bookmarkEnd w:id="1"/>
      <w:bookmarkEnd w:id="2"/>
    </w:p>
    <w:sectPr w:rsidR="0089463A" w:rsidSect="00894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A7" w:rsidRDefault="002A62A7" w:rsidP="00E71A58">
      <w:r>
        <w:separator/>
      </w:r>
    </w:p>
  </w:endnote>
  <w:endnote w:type="continuationSeparator" w:id="0">
    <w:p w:rsidR="002A62A7" w:rsidRDefault="002A62A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491C2D">
      <w:rPr>
        <w:szCs w:val="16"/>
      </w:rPr>
      <w:t>2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491C2D">
      <w:rPr>
        <w:rStyle w:val="ZpatChar"/>
        <w:szCs w:val="16"/>
      </w:rPr>
      <w:t>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A7" w:rsidRDefault="002A62A7" w:rsidP="00E71A58">
      <w:r>
        <w:separator/>
      </w:r>
    </w:p>
  </w:footnote>
  <w:footnote w:type="continuationSeparator" w:id="0">
    <w:p w:rsidR="002A62A7" w:rsidRDefault="002A62A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A" w:rsidRDefault="0089463A">
    <w:pPr>
      <w:pStyle w:val="Zhlav"/>
    </w:pPr>
    <w:r>
      <w:t>Život cizinců v ČR</w:t>
    </w:r>
  </w:p>
  <w:p w:rsidR="0089463A" w:rsidRDefault="00894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3420"/>
    <w:rsid w:val="000B42BA"/>
    <w:rsid w:val="000B7472"/>
    <w:rsid w:val="000C3408"/>
    <w:rsid w:val="000C4E87"/>
    <w:rsid w:val="000C6AFD"/>
    <w:rsid w:val="000D5637"/>
    <w:rsid w:val="000D5FFB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106BC"/>
    <w:rsid w:val="0011181C"/>
    <w:rsid w:val="00111DA0"/>
    <w:rsid w:val="0012192F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56E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2A7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1C2D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463A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926B6"/>
    <w:rsid w:val="00D95BEA"/>
    <w:rsid w:val="00DA1D59"/>
    <w:rsid w:val="00DA1F4F"/>
    <w:rsid w:val="00DA32DE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aresova16607\Documents\Dokumenty\Podklady_tiskovka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Graf 1: Cizinci v ČR podle kategorie pobytu 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údaje k 31.12.2022</a:t>
            </a:r>
            <a:endParaRPr lang="cs-CZ" sz="1400" baseline="0"/>
          </a:p>
        </c:rich>
      </c:tx>
      <c:layout>
        <c:manualLayout>
          <c:xMode val="edge"/>
          <c:yMode val="edge"/>
          <c:x val="0.15083316508513359"/>
          <c:y val="7.346187039706430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8933661417322833"/>
          <c:y val="0.17549009633947837"/>
          <c:w val="0.53195190344796639"/>
          <c:h val="0.70127723151758337"/>
        </c:manualLayout>
      </c:layout>
      <c:doughnutChart>
        <c:varyColors val="1"/>
        <c:ser>
          <c:idx val="1"/>
          <c:order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AB-4653-901B-22A1491DC1B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AB-4653-901B-22A1491DC1B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AB-4653-901B-22A1491DC1BF}"/>
              </c:ext>
            </c:extLst>
          </c:dPt>
          <c:dLbls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List1!$D$3:$D$5</c:f>
              <c:numCache>
                <c:formatCode>0.0%</c:formatCode>
                <c:ptCount val="3"/>
                <c:pt idx="0">
                  <c:v>0.29799999999999999</c:v>
                </c:pt>
                <c:pt idx="1">
                  <c:v>0.7</c:v>
                </c:pt>
                <c:pt idx="2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AB-4653-901B-22A1491DC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dk1">
                        <a:tint val="885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8-DDAB-4653-901B-22A1491DC1B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dk1">
                        <a:tint val="550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DDAB-4653-901B-22A1491DC1B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dk1">
                        <a:tint val="75000"/>
                      </a:schemeClr>
                    </a:solidFill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>
                      <a:outerShdw blurRad="40000" dist="20000" dir="5400000" rotWithShape="0">
                        <a:srgbClr val="000000">
                          <a:alpha val="38000"/>
                        </a:srgb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DDAB-4653-901B-22A1491DC1B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shade val="95000"/>
                            <a:satMod val="105000"/>
                          </a:schemeClr>
                        </a:solidFill>
                        <a:prstDash val="solid"/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List1!$B$3:$B$5</c15:sqref>
                        </c15:formulaRef>
                      </c:ext>
                    </c:extLst>
                    <c:strCache>
                      <c:ptCount val="3"/>
                      <c:pt idx="0">
                        <c:v>Trvalý pobyt</c:v>
                      </c:pt>
                      <c:pt idx="1">
                        <c:v>Přechodný pobyt</c:v>
                      </c:pt>
                      <c:pt idx="2">
                        <c:v>Azylanti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List1!$C$3:$C$5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DDAB-4653-901B-22A1491DC1BF}"/>
                  </c:ext>
                </c:extLst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 b="1" i="0" u="none" strike="noStrike" baseline="0">
                <a:effectLst/>
              </a:rPr>
              <a:t>Graf 2: Cizinci v ČR podle kategorie pobytu v letech 2010-2022</a:t>
            </a:r>
            <a:r>
              <a:rPr lang="cs-CZ" sz="1400" b="1" i="0" u="none" strike="noStrike" baseline="0"/>
              <a:t> </a:t>
            </a:r>
            <a:endParaRPr lang="cs-CZ" sz="1400"/>
          </a:p>
        </c:rich>
      </c:tx>
      <c:layout>
        <c:manualLayout>
          <c:xMode val="edge"/>
          <c:yMode val="edge"/>
          <c:x val="1.4458902262013336E-2"/>
          <c:y val="1.291364003228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116229215212988E-2"/>
          <c:y val="0.17652691718619917"/>
          <c:w val="0.68994275389312065"/>
          <c:h val="0.72623439019275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List2!$B$5</c:f>
              <c:strCache>
                <c:ptCount val="1"/>
                <c:pt idx="0">
                  <c:v>Trvalý pobyt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List2!$C$4:$O$4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List2!$C$5:$O$5</c:f>
              <c:numCache>
                <c:formatCode>General</c:formatCode>
                <c:ptCount val="13"/>
                <c:pt idx="0" formatCode="0.0">
                  <c:v>189</c:v>
                </c:pt>
                <c:pt idx="1">
                  <c:v>196.4</c:v>
                </c:pt>
                <c:pt idx="2">
                  <c:v>212.5</c:v>
                </c:pt>
                <c:pt idx="3">
                  <c:v>236.5</c:v>
                </c:pt>
                <c:pt idx="4">
                  <c:v>249.9</c:v>
                </c:pt>
                <c:pt idx="5" formatCode="0.0">
                  <c:v>260</c:v>
                </c:pt>
                <c:pt idx="6" formatCode="0.0">
                  <c:v>272</c:v>
                </c:pt>
                <c:pt idx="7">
                  <c:v>281.5</c:v>
                </c:pt>
                <c:pt idx="8">
                  <c:v>289.5</c:v>
                </c:pt>
                <c:pt idx="9">
                  <c:v>289.5</c:v>
                </c:pt>
                <c:pt idx="10">
                  <c:v>308.39999999999998</c:v>
                </c:pt>
                <c:pt idx="11">
                  <c:v>320.5</c:v>
                </c:pt>
                <c:pt idx="12">
                  <c:v>332.8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C-4FFC-88AE-83130FB0F8F8}"/>
            </c:ext>
          </c:extLst>
        </c:ser>
        <c:ser>
          <c:idx val="1"/>
          <c:order val="1"/>
          <c:tx>
            <c:strRef>
              <c:f>List2!$B$6</c:f>
              <c:strCache>
                <c:ptCount val="1"/>
                <c:pt idx="0">
                  <c:v>Přechodný pobyt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numRef>
              <c:f>List2!$C$4:$O$4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List2!$C$6:$O$6</c:f>
              <c:numCache>
                <c:formatCode>General</c:formatCode>
                <c:ptCount val="13"/>
                <c:pt idx="0">
                  <c:v>235.3</c:v>
                </c:pt>
                <c:pt idx="1">
                  <c:v>237.7</c:v>
                </c:pt>
                <c:pt idx="2">
                  <c:v>223.5</c:v>
                </c:pt>
                <c:pt idx="3">
                  <c:v>202.6</c:v>
                </c:pt>
                <c:pt idx="4">
                  <c:v>199.5</c:v>
                </c:pt>
                <c:pt idx="5">
                  <c:v>204.6</c:v>
                </c:pt>
                <c:pt idx="6">
                  <c:v>221.5</c:v>
                </c:pt>
                <c:pt idx="7">
                  <c:v>242.7</c:v>
                </c:pt>
                <c:pt idx="8">
                  <c:v>274.89999999999998</c:v>
                </c:pt>
                <c:pt idx="9">
                  <c:v>303.89999999999998</c:v>
                </c:pt>
                <c:pt idx="10">
                  <c:v>324.2</c:v>
                </c:pt>
                <c:pt idx="11" formatCode="0.0">
                  <c:v>338</c:v>
                </c:pt>
                <c:pt idx="12">
                  <c:v>780.9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C-4FFC-88AE-83130FB0F8F8}"/>
            </c:ext>
          </c:extLst>
        </c:ser>
        <c:ser>
          <c:idx val="2"/>
          <c:order val="2"/>
          <c:tx>
            <c:strRef>
              <c:f>List2!$B$7</c:f>
              <c:strCache>
                <c:ptCount val="1"/>
                <c:pt idx="0">
                  <c:v>Azylanti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cat>
            <c:numRef>
              <c:f>List2!$C$4:$O$4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List2!$C$7:$O$7</c:f>
              <c:numCache>
                <c:formatCode>General</c:formatCode>
                <c:ptCount val="13"/>
                <c:pt idx="0">
                  <c:v>2.1</c:v>
                </c:pt>
                <c:pt idx="1">
                  <c:v>2.2000000000000002</c:v>
                </c:pt>
                <c:pt idx="2">
                  <c:v>2.1</c:v>
                </c:pt>
                <c:pt idx="3">
                  <c:v>2.2999999999999998</c:v>
                </c:pt>
                <c:pt idx="4">
                  <c:v>2.6</c:v>
                </c:pt>
                <c:pt idx="5">
                  <c:v>2.9</c:v>
                </c:pt>
                <c:pt idx="6" formatCode="0.0">
                  <c:v>3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2.2000000000000002</c:v>
                </c:pt>
                <c:pt idx="11">
                  <c:v>2.2999999999999998</c:v>
                </c:pt>
                <c:pt idx="1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C-4FFC-88AE-83130FB0F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85568"/>
        <c:axId val="101778176"/>
      </c:barChart>
      <c:catAx>
        <c:axId val="10148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778176"/>
        <c:crosses val="autoZero"/>
        <c:auto val="1"/>
        <c:lblAlgn val="ctr"/>
        <c:lblOffset val="100"/>
        <c:noMultiLvlLbl val="0"/>
      </c:catAx>
      <c:valAx>
        <c:axId val="101778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 b="0">
                    <a:latin typeface="Arial" panose="020B0604020202020204" pitchFamily="34" charset="0"/>
                    <a:ea typeface="Verdana" panose="020B0604030504040204" pitchFamily="34" charset="0"/>
                    <a:cs typeface="Arial" panose="020B0604020202020204" pitchFamily="34" charset="0"/>
                  </a:defRPr>
                </a:pPr>
                <a:r>
                  <a:rPr lang="en-US" sz="800" b="0">
                    <a:latin typeface="Arial" panose="020B0604020202020204" pitchFamily="34" charset="0"/>
                    <a:ea typeface="Verdana" panose="020B0604030504040204" pitchFamily="34" charset="0"/>
                    <a:cs typeface="Arial" panose="020B0604020202020204" pitchFamily="34" charset="0"/>
                  </a:rPr>
                  <a:t>tisíce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0148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35013123359565"/>
          <c:y val="0.4063060122666014"/>
          <c:w val="0.21628171478565178"/>
          <c:h val="0.1873877034800701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9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</cdr:x>
      <cdr:y>0.875</cdr:y>
    </cdr:from>
    <cdr:to>
      <cdr:x>1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657600" y="24003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ŘSCP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0.86598</cdr:x>
      <cdr:y>0.91935</cdr:y>
    </cdr:from>
    <cdr:to>
      <cdr:x>1</cdr:x>
      <cdr:y>1</cdr:y>
    </cdr:to>
    <cdr:sp macro="" textlink="">
      <cdr:nvSpPr>
        <cdr:cNvPr id="5" name="TextovéPole 2"/>
        <cdr:cNvSpPr txBox="1"/>
      </cdr:nvSpPr>
      <cdr:spPr>
        <a:xfrm xmlns:a="http://schemas.openxmlformats.org/drawingml/2006/main">
          <a:off x="6048672" y="4104456"/>
          <a:ext cx="936104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</cdr:x>
      <cdr:y>0.93264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800600" y="3428998"/>
          <a:ext cx="914400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Zdroj: ŘSCP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ADCD-A3A8-488E-8DF8-9FFBED08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2023-11-16T13:02:00Z</cp:lastPrinted>
  <dcterms:created xsi:type="dcterms:W3CDTF">2023-11-29T11:59:00Z</dcterms:created>
  <dcterms:modified xsi:type="dcterms:W3CDTF">2023-11-29T11:59:00Z</dcterms:modified>
</cp:coreProperties>
</file>