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0CB8DA9" w:rsidR="00867569" w:rsidRPr="00AE6D5B" w:rsidRDefault="00717ED5" w:rsidP="00AE6D5B">
      <w:pPr>
        <w:pStyle w:val="Datum"/>
      </w:pPr>
      <w:r>
        <w:t>2</w:t>
      </w:r>
      <w:r w:rsidR="0057552B">
        <w:t>5</w:t>
      </w:r>
      <w:r w:rsidR="00CC5069">
        <w:t>.</w:t>
      </w:r>
      <w:r w:rsidR="005D704F">
        <w:t xml:space="preserve"> </w:t>
      </w:r>
      <w:r w:rsidR="0057552B">
        <w:t>dubna</w:t>
      </w:r>
      <w:r w:rsidR="00171BD2">
        <w:t xml:space="preserve"> 2022</w:t>
      </w:r>
    </w:p>
    <w:p w14:paraId="56EC0A31" w14:textId="372DBAB8" w:rsidR="00867569" w:rsidRPr="00AE6D5B" w:rsidRDefault="0057552B" w:rsidP="00CC5069">
      <w:pPr>
        <w:pStyle w:val="Nzev"/>
      </w:pPr>
      <w:r>
        <w:t>Domácnosti v závěru roku více spořily</w:t>
      </w:r>
    </w:p>
    <w:p w14:paraId="4530D7B3" w14:textId="2CE94016" w:rsidR="001745E7" w:rsidRPr="0044761A" w:rsidRDefault="0044761A" w:rsidP="00F37BF4">
      <w:pPr>
        <w:pStyle w:val="Perex"/>
      </w:pPr>
      <w:r>
        <w:t xml:space="preserve">Ve </w:t>
      </w:r>
      <w:r w:rsidR="00473FFC">
        <w:t>4</w:t>
      </w:r>
      <w:r>
        <w:t>. čtvrtletí</w:t>
      </w:r>
      <w:r w:rsidR="00607544">
        <w:t xml:space="preserve"> 2021</w:t>
      </w:r>
      <w:r>
        <w:t xml:space="preserve"> </w:t>
      </w:r>
      <w:r w:rsidR="00854EF8">
        <w:t xml:space="preserve">českou </w:t>
      </w:r>
      <w:r>
        <w:t xml:space="preserve">ekonomiku </w:t>
      </w:r>
      <w:r w:rsidR="00473FFC">
        <w:t>ovlivňovaly zejména projevy narušení globálních dodavatelských řetězců. To mělo negativní dopad zejména na průmysl. Výsledkem byl i mírný mezičtvrtletní pokles hrubé přidané hodnoty nefinančních podniků. Domácnosti čelící souvisejícímu zrychlování růstu cen utlumily svou spotřebu, což vedlo k opětovnému nárůstu jejich úspor.</w:t>
      </w:r>
    </w:p>
    <w:p w14:paraId="4BC994FE" w14:textId="2ECECA28" w:rsidR="0054001C" w:rsidRDefault="00717ED5" w:rsidP="0054001C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274FA1">
        <w:rPr>
          <w:rFonts w:cs="Arial"/>
          <w:szCs w:val="18"/>
        </w:rPr>
        <w:t xml:space="preserve">byla </w:t>
      </w:r>
      <w:r w:rsidR="00473FFC">
        <w:rPr>
          <w:rFonts w:cs="Arial"/>
          <w:szCs w:val="18"/>
        </w:rPr>
        <w:t xml:space="preserve">ve 4. čtvrtletí 2021 </w:t>
      </w:r>
      <w:r w:rsidR="0071303E">
        <w:rPr>
          <w:rFonts w:cs="Arial"/>
          <w:szCs w:val="18"/>
        </w:rPr>
        <w:t xml:space="preserve">meziročně </w:t>
      </w:r>
      <w:r w:rsidR="00274FA1">
        <w:rPr>
          <w:rFonts w:cs="Arial"/>
          <w:szCs w:val="18"/>
        </w:rPr>
        <w:t>vyšší</w:t>
      </w:r>
      <w:r w:rsidR="0071303E">
        <w:rPr>
          <w:rFonts w:cs="Arial"/>
          <w:szCs w:val="18"/>
        </w:rPr>
        <w:t xml:space="preserve"> o </w:t>
      </w:r>
      <w:r w:rsidR="00473FFC">
        <w:rPr>
          <w:rFonts w:cs="Arial"/>
          <w:szCs w:val="18"/>
        </w:rPr>
        <w:t>45,9 </w:t>
      </w:r>
      <w:r w:rsidR="0071303E">
        <w:rPr>
          <w:rFonts w:cs="Arial"/>
          <w:szCs w:val="18"/>
        </w:rPr>
        <w:t>mld. korun, ale</w:t>
      </w:r>
      <w:r w:rsidR="00473FFC">
        <w:rPr>
          <w:rFonts w:cs="Arial"/>
          <w:szCs w:val="18"/>
        </w:rPr>
        <w:t xml:space="preserve"> ve srovnání se 3. čtvrtletím klesla o 1,8 mld. Mzdové náklady</w:t>
      </w:r>
      <w:r w:rsidR="0054001C">
        <w:rPr>
          <w:rFonts w:cs="Arial"/>
          <w:szCs w:val="18"/>
        </w:rPr>
        <w:t xml:space="preserve"> podniků</w:t>
      </w:r>
      <w:r w:rsidR="00473FFC">
        <w:rPr>
          <w:rFonts w:cs="Arial"/>
          <w:szCs w:val="18"/>
        </w:rPr>
        <w:t xml:space="preserve"> </w:t>
      </w:r>
      <w:r w:rsidR="00B572BB">
        <w:rPr>
          <w:rFonts w:cs="Arial"/>
          <w:szCs w:val="18"/>
        </w:rPr>
        <w:t xml:space="preserve">nicméně </w:t>
      </w:r>
      <w:r w:rsidR="0054001C">
        <w:rPr>
          <w:rFonts w:cs="Arial"/>
          <w:szCs w:val="18"/>
        </w:rPr>
        <w:t xml:space="preserve">dál výrazně </w:t>
      </w:r>
      <w:r w:rsidR="00473FFC">
        <w:rPr>
          <w:rFonts w:cs="Arial"/>
          <w:szCs w:val="18"/>
        </w:rPr>
        <w:t xml:space="preserve">rostly a podnikům již v takové míře nepomáhaly dotace. Výsledkem byl </w:t>
      </w:r>
      <w:r w:rsidR="0054001C">
        <w:rPr>
          <w:rFonts w:cs="Arial"/>
          <w:szCs w:val="18"/>
        </w:rPr>
        <w:t xml:space="preserve">další </w:t>
      </w:r>
      <w:r w:rsidR="00473FFC">
        <w:rPr>
          <w:rFonts w:cs="Arial"/>
          <w:szCs w:val="18"/>
        </w:rPr>
        <w:t>pokles míry zisku</w:t>
      </w:r>
      <w:r w:rsidR="0054001C">
        <w:rPr>
          <w:rFonts w:cs="Arial"/>
          <w:szCs w:val="18"/>
        </w:rPr>
        <w:t xml:space="preserve">, která dosáhla </w:t>
      </w:r>
      <w:r w:rsidR="00473FFC">
        <w:rPr>
          <w:rFonts w:cs="Arial"/>
          <w:szCs w:val="18"/>
        </w:rPr>
        <w:t>43,9 %</w:t>
      </w:r>
      <w:r w:rsidR="0054001C">
        <w:rPr>
          <w:rFonts w:cs="Arial"/>
          <w:szCs w:val="18"/>
        </w:rPr>
        <w:t>, což je úroveň blížící se předkrizovému minimu. Nadále nízká zůstávala míra investic nefinančních podniků. Meziročnímu nárůstu jejich investic o 12,5 mld. korun napomohla velmi nízká srovnávací základna a mezičtvrtletně se investice zvýšily o mírných 2,6 mld. korun.</w:t>
      </w:r>
    </w:p>
    <w:p w14:paraId="67B3168F" w14:textId="4E963089" w:rsidR="00105439" w:rsidRPr="00B12744" w:rsidRDefault="00AE52AC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Příjmy domácností </w:t>
      </w:r>
      <w:r w:rsidR="00E23056">
        <w:rPr>
          <w:rFonts w:cs="Arial"/>
          <w:szCs w:val="18"/>
        </w:rPr>
        <w:t>dál silně meziročně rostly a byly vyšší</w:t>
      </w:r>
      <w:r>
        <w:rPr>
          <w:rFonts w:cs="Arial"/>
          <w:szCs w:val="18"/>
        </w:rPr>
        <w:t xml:space="preserve"> o 4</w:t>
      </w:r>
      <w:r w:rsidR="000728BA">
        <w:rPr>
          <w:rFonts w:cs="Arial"/>
          <w:szCs w:val="18"/>
        </w:rPr>
        <w:t>7</w:t>
      </w:r>
      <w:r>
        <w:rPr>
          <w:rFonts w:cs="Arial"/>
          <w:szCs w:val="18"/>
        </w:rPr>
        <w:t>,</w:t>
      </w:r>
      <w:r w:rsidR="000728BA">
        <w:rPr>
          <w:rFonts w:cs="Arial"/>
          <w:szCs w:val="18"/>
        </w:rPr>
        <w:t>0</w:t>
      </w:r>
      <w:r>
        <w:rPr>
          <w:rFonts w:cs="Arial"/>
          <w:szCs w:val="18"/>
        </w:rPr>
        <w:t xml:space="preserve"> mld. korun. </w:t>
      </w:r>
      <w:r w:rsidR="000728BA">
        <w:rPr>
          <w:rFonts w:cs="Arial"/>
          <w:szCs w:val="18"/>
        </w:rPr>
        <w:t xml:space="preserve">Vyšší byly jejich </w:t>
      </w:r>
      <w:r>
        <w:rPr>
          <w:rFonts w:cs="Arial"/>
          <w:szCs w:val="18"/>
        </w:rPr>
        <w:t xml:space="preserve">mzdové příjmy i </w:t>
      </w:r>
      <w:r w:rsidR="00E23056">
        <w:rPr>
          <w:rFonts w:cs="Arial"/>
          <w:szCs w:val="18"/>
        </w:rPr>
        <w:t>výdělky</w:t>
      </w:r>
      <w:r>
        <w:rPr>
          <w:rFonts w:cs="Arial"/>
          <w:szCs w:val="18"/>
        </w:rPr>
        <w:t xml:space="preserve"> drobných podnikatelů zařazených do sektoru domácností. </w:t>
      </w:r>
      <w:r w:rsidR="000728BA">
        <w:rPr>
          <w:rFonts w:cs="Arial"/>
          <w:szCs w:val="18"/>
        </w:rPr>
        <w:t>Posilující cenový růst ale kupní sílu domácností</w:t>
      </w:r>
      <w:r w:rsidR="00333DC7">
        <w:rPr>
          <w:rFonts w:cs="Arial"/>
          <w:szCs w:val="18"/>
        </w:rPr>
        <w:t xml:space="preserve"> tlumil</w:t>
      </w:r>
      <w:r w:rsidR="000728BA">
        <w:rPr>
          <w:rFonts w:cs="Arial"/>
          <w:szCs w:val="18"/>
        </w:rPr>
        <w:t xml:space="preserve">. </w:t>
      </w:r>
      <w:r w:rsidR="004128F1" w:rsidRPr="004128F1">
        <w:rPr>
          <w:rFonts w:cs="Arial"/>
          <w:i/>
          <w:iCs/>
          <w:szCs w:val="18"/>
        </w:rPr>
        <w:t>„</w:t>
      </w:r>
      <w:r w:rsidR="006E274A">
        <w:rPr>
          <w:rFonts w:cs="Arial"/>
          <w:i/>
          <w:iCs/>
          <w:szCs w:val="18"/>
        </w:rPr>
        <w:t>V závěru roku se zvyšovaly obavy domácností z dalšího ekonomického vývoje, především z růstu cen. Tyto obavy přibrzdily nákupní apetit</w:t>
      </w:r>
      <w:r w:rsidR="00344C0B">
        <w:rPr>
          <w:rFonts w:cs="Arial"/>
          <w:i/>
          <w:iCs/>
          <w:szCs w:val="18"/>
        </w:rPr>
        <w:t xml:space="preserve"> domácností</w:t>
      </w:r>
      <w:r w:rsidR="006E274A">
        <w:rPr>
          <w:rFonts w:cs="Arial"/>
          <w:i/>
          <w:iCs/>
          <w:szCs w:val="18"/>
        </w:rPr>
        <w:t xml:space="preserve"> a </w:t>
      </w:r>
      <w:r w:rsidR="00344C0B">
        <w:rPr>
          <w:rFonts w:cs="Arial"/>
          <w:i/>
          <w:iCs/>
          <w:szCs w:val="18"/>
        </w:rPr>
        <w:t xml:space="preserve">jejich </w:t>
      </w:r>
      <w:r w:rsidR="006E274A">
        <w:rPr>
          <w:rFonts w:cs="Arial"/>
          <w:i/>
          <w:iCs/>
          <w:szCs w:val="18"/>
        </w:rPr>
        <w:t xml:space="preserve">spotřeba tak mezičtvrtletně klesla o více než 11 miliard korun. Míra </w:t>
      </w:r>
      <w:r w:rsidR="00B572BB">
        <w:rPr>
          <w:rFonts w:cs="Arial"/>
          <w:i/>
          <w:iCs/>
          <w:szCs w:val="18"/>
        </w:rPr>
        <w:t xml:space="preserve">jejich </w:t>
      </w:r>
      <w:r w:rsidR="006E274A">
        <w:rPr>
          <w:rFonts w:cs="Arial"/>
          <w:i/>
          <w:iCs/>
          <w:szCs w:val="18"/>
        </w:rPr>
        <w:t>úspor po několika čtvrtletích poklesu opět vzrostla</w:t>
      </w:r>
      <w:r w:rsidR="00044153">
        <w:rPr>
          <w:rFonts w:cs="Arial"/>
          <w:i/>
          <w:iCs/>
          <w:szCs w:val="18"/>
        </w:rPr>
        <w:t>,“</w:t>
      </w:r>
      <w:r w:rsidR="00044153" w:rsidRPr="00044153">
        <w:rPr>
          <w:rFonts w:cs="Arial"/>
          <w:iCs/>
          <w:szCs w:val="18"/>
        </w:rPr>
        <w:t xml:space="preserve"> říká</w:t>
      </w:r>
      <w:r w:rsidR="00B12744">
        <w:rPr>
          <w:rFonts w:cs="Arial"/>
          <w:szCs w:val="18"/>
        </w:rPr>
        <w:t xml:space="preserve"> Karolína Zábojníková, analytička Českého statistického úřadu.</w:t>
      </w:r>
      <w:r w:rsidR="00030703" w:rsidRPr="00B12744">
        <w:rPr>
          <w:rFonts w:cs="Arial"/>
          <w:i/>
          <w:szCs w:val="18"/>
        </w:rPr>
        <w:t xml:space="preserve">  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1CA2A40A" w:rsidR="00B91138" w:rsidRDefault="00607544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Vládní instituce hospodařily ve </w:t>
      </w:r>
      <w:r w:rsidR="006211BC">
        <w:rPr>
          <w:rFonts w:cs="Arial"/>
          <w:szCs w:val="18"/>
        </w:rPr>
        <w:t>4</w:t>
      </w:r>
      <w:r>
        <w:rPr>
          <w:rFonts w:cs="Arial"/>
          <w:szCs w:val="18"/>
        </w:rPr>
        <w:t xml:space="preserve">. čtvrtletí s deficitem </w:t>
      </w:r>
      <w:r w:rsidR="006211BC">
        <w:rPr>
          <w:rFonts w:cs="Arial"/>
          <w:szCs w:val="18"/>
        </w:rPr>
        <w:t>105,2</w:t>
      </w:r>
      <w:r>
        <w:rPr>
          <w:rFonts w:cs="Arial"/>
          <w:szCs w:val="18"/>
        </w:rPr>
        <w:t xml:space="preserve"> mld. korun, což představuje </w:t>
      </w:r>
      <w:r w:rsidR="006211BC">
        <w:rPr>
          <w:rFonts w:cs="Arial"/>
          <w:szCs w:val="18"/>
        </w:rPr>
        <w:t>m</w:t>
      </w:r>
      <w:r>
        <w:rPr>
          <w:rFonts w:cs="Arial"/>
          <w:szCs w:val="18"/>
        </w:rPr>
        <w:t>eziroční z</w:t>
      </w:r>
      <w:r w:rsidR="006211BC">
        <w:rPr>
          <w:rFonts w:cs="Arial"/>
          <w:szCs w:val="18"/>
        </w:rPr>
        <w:t>lepšení</w:t>
      </w:r>
      <w:r>
        <w:rPr>
          <w:rFonts w:cs="Arial"/>
          <w:szCs w:val="18"/>
        </w:rPr>
        <w:t xml:space="preserve"> o </w:t>
      </w:r>
      <w:r w:rsidR="006211BC">
        <w:rPr>
          <w:rFonts w:cs="Arial"/>
          <w:szCs w:val="18"/>
        </w:rPr>
        <w:t>32,3</w:t>
      </w:r>
      <w:r>
        <w:rPr>
          <w:rFonts w:cs="Arial"/>
          <w:szCs w:val="18"/>
        </w:rPr>
        <w:t xml:space="preserve"> mld. </w:t>
      </w:r>
      <w:r w:rsidR="006211BC">
        <w:rPr>
          <w:rFonts w:cs="Arial"/>
          <w:szCs w:val="18"/>
        </w:rPr>
        <w:t>Příjmy vládního sektoru meziročně vzrostly o 13,1 mld. korun, zejména vlivem přijatých daní z výroby a dovozu a přijatých sociálních příspěvků. Propadaly se naopak přijaté daně z důchodů a jmění. Výd</w:t>
      </w:r>
      <w:bookmarkStart w:id="0" w:name="_GoBack"/>
      <w:bookmarkEnd w:id="0"/>
      <w:r w:rsidR="006211BC">
        <w:rPr>
          <w:rFonts w:cs="Arial"/>
          <w:szCs w:val="18"/>
        </w:rPr>
        <w:t>aje vládních institucí byly meziročně nižší</w:t>
      </w:r>
      <w:r w:rsidR="00B572BB">
        <w:rPr>
          <w:rFonts w:cs="Arial"/>
          <w:szCs w:val="18"/>
        </w:rPr>
        <w:t xml:space="preserve"> o</w:t>
      </w:r>
      <w:r w:rsidR="006211BC">
        <w:rPr>
          <w:rFonts w:cs="Arial"/>
          <w:szCs w:val="18"/>
        </w:rPr>
        <w:t xml:space="preserve"> 19,2 mld. korun, </w:t>
      </w:r>
      <w:r w:rsidR="00797BCA">
        <w:rPr>
          <w:rFonts w:cs="Arial"/>
          <w:szCs w:val="18"/>
        </w:rPr>
        <w:t>k čemuž přispěl p</w:t>
      </w:r>
      <w:r w:rsidR="006211BC">
        <w:rPr>
          <w:rFonts w:cs="Arial"/>
          <w:szCs w:val="18"/>
        </w:rPr>
        <w:t xml:space="preserve">okles vyplacených </w:t>
      </w:r>
      <w:r w:rsidR="00797BCA">
        <w:rPr>
          <w:rFonts w:cs="Arial"/>
          <w:szCs w:val="18"/>
        </w:rPr>
        <w:t>dotací a kapitálových transferů.</w:t>
      </w:r>
      <w:r w:rsidR="006211BC">
        <w:rPr>
          <w:rFonts w:cs="Arial"/>
          <w:szCs w:val="18"/>
        </w:rPr>
        <w:t xml:space="preserve"> </w:t>
      </w:r>
      <w:r w:rsidR="00797BCA">
        <w:rPr>
          <w:rFonts w:cs="Arial"/>
          <w:szCs w:val="18"/>
        </w:rPr>
        <w:t>To</w:t>
      </w:r>
      <w:r w:rsidR="006211BC">
        <w:rPr>
          <w:rFonts w:cs="Arial"/>
          <w:szCs w:val="18"/>
        </w:rPr>
        <w:t xml:space="preserve"> odráželo nižší </w:t>
      </w:r>
      <w:r w:rsidR="00AA0AF9">
        <w:rPr>
          <w:rFonts w:cs="Arial"/>
          <w:szCs w:val="18"/>
        </w:rPr>
        <w:t>potřeb</w:t>
      </w:r>
      <w:r w:rsidR="006211BC">
        <w:rPr>
          <w:rFonts w:cs="Arial"/>
          <w:szCs w:val="18"/>
        </w:rPr>
        <w:t>u</w:t>
      </w:r>
      <w:r w:rsidR="00AA0AF9">
        <w:rPr>
          <w:rFonts w:cs="Arial"/>
          <w:szCs w:val="18"/>
        </w:rPr>
        <w:t xml:space="preserve"> stabilizačních </w:t>
      </w:r>
      <w:r w:rsidR="00797BCA">
        <w:rPr>
          <w:rFonts w:cs="Arial"/>
          <w:szCs w:val="18"/>
        </w:rPr>
        <w:t xml:space="preserve">ekonomických </w:t>
      </w:r>
      <w:r w:rsidR="00AA0AF9">
        <w:rPr>
          <w:rFonts w:cs="Arial"/>
          <w:szCs w:val="18"/>
        </w:rPr>
        <w:t xml:space="preserve">opatření </w:t>
      </w:r>
      <w:r w:rsidR="00797BCA">
        <w:rPr>
          <w:rFonts w:cs="Arial"/>
          <w:szCs w:val="18"/>
        </w:rPr>
        <w:t xml:space="preserve">v souvislosti s dopady </w:t>
      </w:r>
      <w:r w:rsidR="00AA0AF9">
        <w:rPr>
          <w:rFonts w:cs="Arial"/>
          <w:szCs w:val="18"/>
        </w:rPr>
        <w:t>pandemie</w:t>
      </w:r>
      <w:r w:rsidR="006211BC">
        <w:rPr>
          <w:rFonts w:cs="Arial"/>
          <w:szCs w:val="18"/>
        </w:rPr>
        <w:t>.</w:t>
      </w:r>
      <w:r w:rsidR="00A02B9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</w:t>
      </w:r>
      <w:r w:rsidR="001B33F6">
        <w:rPr>
          <w:rFonts w:cs="Arial"/>
          <w:szCs w:val="18"/>
        </w:rPr>
        <w:t> </w:t>
      </w:r>
      <w:r w:rsidR="001669F5">
        <w:rPr>
          <w:rFonts w:cs="Arial"/>
          <w:szCs w:val="18"/>
        </w:rPr>
        <w:t>5</w:t>
      </w:r>
      <w:r w:rsidR="001B33F6">
        <w:rPr>
          <w:rFonts w:cs="Arial"/>
          <w:szCs w:val="18"/>
        </w:rPr>
        <w:t>66,6</w:t>
      </w:r>
      <w:r w:rsidR="005330F5">
        <w:rPr>
          <w:rFonts w:cs="Arial"/>
          <w:szCs w:val="18"/>
        </w:rPr>
        <w:t xml:space="preserve">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 w:rsidR="001B33F6">
        <w:rPr>
          <w:rFonts w:cs="Arial"/>
          <w:szCs w:val="18"/>
        </w:rPr>
        <w:t>417,3</w:t>
      </w:r>
      <w:r w:rsidR="00A02B9A">
        <w:rPr>
          <w:rFonts w:cs="Arial"/>
          <w:szCs w:val="18"/>
        </w:rPr>
        <w:t> </w:t>
      </w:r>
      <w:r w:rsidR="00042F31">
        <w:rPr>
          <w:rFonts w:cs="Arial"/>
          <w:szCs w:val="18"/>
        </w:rPr>
        <w:t>mld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2D75A4BA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0866A8C6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6A64B6" w:rsidRPr="00FF2E4A">
          <w:rPr>
            <w:rStyle w:val="Hypertextovodkaz"/>
            <w:rFonts w:cs="Arial"/>
          </w:rPr>
          <w:t>jan.cieslar@czso.cz</w:t>
        </w:r>
      </w:hyperlink>
      <w:r w:rsidR="006A64B6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7474" w14:textId="77777777" w:rsidR="00206E06" w:rsidRDefault="00206E06" w:rsidP="00BA6370">
      <w:r>
        <w:separator/>
      </w:r>
    </w:p>
  </w:endnote>
  <w:endnote w:type="continuationSeparator" w:id="0">
    <w:p w14:paraId="052526AE" w14:textId="77777777" w:rsidR="00206E06" w:rsidRDefault="00206E06" w:rsidP="00BA6370">
      <w:r>
        <w:continuationSeparator/>
      </w:r>
    </w:p>
  </w:endnote>
  <w:endnote w:type="continuationNotice" w:id="1">
    <w:p w14:paraId="0C7AC2DC" w14:textId="77777777" w:rsidR="00206E06" w:rsidRDefault="00206E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2086720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71BD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2086720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71BD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130A" w14:textId="77777777" w:rsidR="00206E06" w:rsidRDefault="00206E06" w:rsidP="00BA6370">
      <w:r>
        <w:separator/>
      </w:r>
    </w:p>
  </w:footnote>
  <w:footnote w:type="continuationSeparator" w:id="0">
    <w:p w14:paraId="6EFB400B" w14:textId="77777777" w:rsidR="00206E06" w:rsidRDefault="00206E06" w:rsidP="00BA6370">
      <w:r>
        <w:continuationSeparator/>
      </w:r>
    </w:p>
  </w:footnote>
  <w:footnote w:type="continuationNotice" w:id="1">
    <w:p w14:paraId="7990B250" w14:textId="77777777" w:rsidR="00206E06" w:rsidRDefault="00206E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3BBC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1BD2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33F6"/>
    <w:rsid w:val="001B607F"/>
    <w:rsid w:val="001C596C"/>
    <w:rsid w:val="001D369A"/>
    <w:rsid w:val="001F1152"/>
    <w:rsid w:val="00205138"/>
    <w:rsid w:val="00206E06"/>
    <w:rsid w:val="002070FB"/>
    <w:rsid w:val="00207910"/>
    <w:rsid w:val="00213729"/>
    <w:rsid w:val="002272A6"/>
    <w:rsid w:val="00233B00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515A2"/>
    <w:rsid w:val="00565B25"/>
    <w:rsid w:val="0057552B"/>
    <w:rsid w:val="00580128"/>
    <w:rsid w:val="00581910"/>
    <w:rsid w:val="00582FE3"/>
    <w:rsid w:val="00590FAD"/>
    <w:rsid w:val="005A093B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75D16"/>
    <w:rsid w:val="006A64B6"/>
    <w:rsid w:val="006B745F"/>
    <w:rsid w:val="006B7C96"/>
    <w:rsid w:val="006C1484"/>
    <w:rsid w:val="006C3CE8"/>
    <w:rsid w:val="006D2F17"/>
    <w:rsid w:val="006E024F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53CD"/>
    <w:rsid w:val="00AE52AC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1110"/>
    <w:rsid w:val="00D80054"/>
    <w:rsid w:val="00D95602"/>
    <w:rsid w:val="00DB3587"/>
    <w:rsid w:val="00DB4A37"/>
    <w:rsid w:val="00DC181E"/>
    <w:rsid w:val="00DD0F85"/>
    <w:rsid w:val="00DD1B71"/>
    <w:rsid w:val="00DD4220"/>
    <w:rsid w:val="00DD5C97"/>
    <w:rsid w:val="00DE4AD8"/>
    <w:rsid w:val="00DF47FE"/>
    <w:rsid w:val="00E01610"/>
    <w:rsid w:val="00E063E4"/>
    <w:rsid w:val="00E13751"/>
    <w:rsid w:val="00E138CE"/>
    <w:rsid w:val="00E23056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4-ctvrtleti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7FBE-AE56-420D-9508-80046E3E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28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5</cp:revision>
  <cp:lastPrinted>2021-03-30T15:08:00Z</cp:lastPrinted>
  <dcterms:created xsi:type="dcterms:W3CDTF">2022-04-14T13:52:00Z</dcterms:created>
  <dcterms:modified xsi:type="dcterms:W3CDTF">2022-04-22T14:25:00Z</dcterms:modified>
</cp:coreProperties>
</file>