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27656F10" w:rsidR="00867569" w:rsidRPr="00AE6D5B" w:rsidRDefault="00717ED5" w:rsidP="00AE6D5B">
      <w:pPr>
        <w:pStyle w:val="Datum"/>
      </w:pPr>
      <w:r>
        <w:t>2</w:t>
      </w:r>
      <w:r w:rsidR="00771739">
        <w:t>1</w:t>
      </w:r>
      <w:r w:rsidR="00CC5069">
        <w:t>.</w:t>
      </w:r>
      <w:r w:rsidR="005D704F">
        <w:t xml:space="preserve"> </w:t>
      </w:r>
      <w:r w:rsidR="00771739">
        <w:t>října</w:t>
      </w:r>
      <w:r w:rsidR="00BB3C4C">
        <w:t xml:space="preserve"> 2021</w:t>
      </w:r>
    </w:p>
    <w:p w14:paraId="56EC0A31" w14:textId="2DB0B35E" w:rsidR="00867569" w:rsidRPr="00AE6D5B" w:rsidRDefault="00CF287D" w:rsidP="00CC5069">
      <w:pPr>
        <w:pStyle w:val="Nzev"/>
      </w:pPr>
      <w:r>
        <w:t>Rostla spotřeba domácností i jejich investice</w:t>
      </w:r>
    </w:p>
    <w:p w14:paraId="4530D7B3" w14:textId="2E38D606" w:rsidR="001745E7" w:rsidRPr="00485CA3" w:rsidRDefault="009505FD" w:rsidP="00F37BF4">
      <w:pPr>
        <w:pStyle w:val="Perex"/>
        <w:rPr>
          <w:b w:val="0"/>
        </w:rPr>
      </w:pPr>
      <w:r>
        <w:t xml:space="preserve">Uvolnění </w:t>
      </w:r>
      <w:r w:rsidR="001745E7">
        <w:t xml:space="preserve">opatření proti šíření </w:t>
      </w:r>
      <w:r w:rsidR="00771739">
        <w:t xml:space="preserve">onemocnění </w:t>
      </w:r>
      <w:r w:rsidR="00434CCE">
        <w:t>Covid-19</w:t>
      </w:r>
      <w:r w:rsidR="001745E7">
        <w:t xml:space="preserve"> </w:t>
      </w:r>
      <w:r>
        <w:t xml:space="preserve">ve 2. </w:t>
      </w:r>
      <w:r w:rsidR="001745E7">
        <w:t xml:space="preserve">čtvrtletí 2021 </w:t>
      </w:r>
      <w:r>
        <w:t xml:space="preserve">napomohlo silnému oživení spotřeby domácností a tím také výkonu odvětví obchodu a služeb. Ekonomické oživení mělo příznivý dopad na příjmy </w:t>
      </w:r>
      <w:r w:rsidR="001745E7">
        <w:t>vládní</w:t>
      </w:r>
      <w:r>
        <w:t>ch institucí. Jejich hospodaření bylo ale nadále silně deficitní.</w:t>
      </w:r>
    </w:p>
    <w:p w14:paraId="32D1D83D" w14:textId="68831F4C" w:rsidR="00105439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 nefinančních podniků</w:t>
      </w:r>
      <w:r w:rsidR="00105439">
        <w:rPr>
          <w:rFonts w:cs="Arial"/>
          <w:szCs w:val="18"/>
        </w:rPr>
        <w:t xml:space="preserve"> se</w:t>
      </w:r>
      <w:r w:rsidRPr="00717ED5">
        <w:rPr>
          <w:rFonts w:cs="Arial"/>
          <w:szCs w:val="18"/>
        </w:rPr>
        <w:t xml:space="preserve"> </w:t>
      </w:r>
      <w:r w:rsidR="00EB759D">
        <w:rPr>
          <w:rFonts w:cs="Arial"/>
          <w:szCs w:val="18"/>
        </w:rPr>
        <w:t xml:space="preserve">mezičtvrtletně zvýšila o 37,3 mld. korun. </w:t>
      </w:r>
      <w:r w:rsidR="00105439">
        <w:rPr>
          <w:rFonts w:cs="Arial"/>
          <w:szCs w:val="18"/>
        </w:rPr>
        <w:t xml:space="preserve">Zejména nízká srovnávací základna ovlivnila mimořádně vysoký meziroční přírůstek hrubé přidané hodnoty ve výši 114,7 mld. Návrat ekonomiky ke standardnímu režimu fungování byl spojen i s výrazným růstem mzdových nákladů, které byly meziročně vyšší o 42,2 mld. korun. Ve 2. čtvrtletí také došlo k oživení investiční aktivity, kterou především u nefinančních podniků pandemický režim značně utlumil.   </w:t>
      </w:r>
    </w:p>
    <w:p w14:paraId="7E519DBB" w14:textId="558A39A2" w:rsidR="00105439" w:rsidRDefault="00105439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14:paraId="67B3168F" w14:textId="3E8FDD71" w:rsidR="00105439" w:rsidRPr="00B12744" w:rsidRDefault="00105439" w:rsidP="00717ED5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Domácnosti mohly čerpat </w:t>
      </w:r>
      <w:r w:rsidR="00030703">
        <w:rPr>
          <w:rFonts w:cs="Arial"/>
          <w:szCs w:val="18"/>
        </w:rPr>
        <w:t xml:space="preserve">především </w:t>
      </w:r>
      <w:r>
        <w:rPr>
          <w:rFonts w:cs="Arial"/>
          <w:szCs w:val="18"/>
        </w:rPr>
        <w:t>z výrazného nárůstu mzdových příjmů, které byly ve 2.</w:t>
      </w:r>
      <w:r w:rsidR="00030703">
        <w:rPr>
          <w:rFonts w:cs="Arial"/>
          <w:szCs w:val="18"/>
        </w:rPr>
        <w:t> </w:t>
      </w:r>
      <w:r>
        <w:rPr>
          <w:rFonts w:cs="Arial"/>
          <w:szCs w:val="18"/>
        </w:rPr>
        <w:t>čtvrtletí</w:t>
      </w:r>
      <w:r w:rsidR="00030703">
        <w:rPr>
          <w:rFonts w:cs="Arial"/>
          <w:szCs w:val="18"/>
        </w:rPr>
        <w:t xml:space="preserve"> meziročně </w:t>
      </w:r>
      <w:r>
        <w:rPr>
          <w:rFonts w:cs="Arial"/>
          <w:szCs w:val="18"/>
        </w:rPr>
        <w:t>v</w:t>
      </w:r>
      <w:r w:rsidR="00030703">
        <w:rPr>
          <w:rFonts w:cs="Arial"/>
          <w:szCs w:val="18"/>
        </w:rPr>
        <w:t xml:space="preserve">yšší o 62,7 mld. korun. </w:t>
      </w:r>
      <w:r w:rsidR="004C4AF2">
        <w:rPr>
          <w:rFonts w:cs="Arial"/>
          <w:szCs w:val="18"/>
        </w:rPr>
        <w:t>Jarní uvolnění restrikcí zlepšilo i situaci podn</w:t>
      </w:r>
      <w:r w:rsidR="00030703">
        <w:rPr>
          <w:rFonts w:cs="Arial"/>
          <w:szCs w:val="18"/>
        </w:rPr>
        <w:t>ikatelů zařazený</w:t>
      </w:r>
      <w:r w:rsidR="004C4AF2">
        <w:rPr>
          <w:rFonts w:cs="Arial"/>
          <w:szCs w:val="18"/>
        </w:rPr>
        <w:t>ch</w:t>
      </w:r>
      <w:r w:rsidR="00030703">
        <w:rPr>
          <w:rFonts w:cs="Arial"/>
          <w:szCs w:val="18"/>
        </w:rPr>
        <w:t xml:space="preserve"> do sektoru domácností</w:t>
      </w:r>
      <w:r w:rsidR="00B12744">
        <w:rPr>
          <w:rFonts w:cs="Arial"/>
          <w:szCs w:val="18"/>
        </w:rPr>
        <w:t xml:space="preserve">, jejichž příjmy z podnikání rostly meziročně </w:t>
      </w:r>
      <w:r w:rsidR="00771739">
        <w:rPr>
          <w:rFonts w:cs="Arial"/>
          <w:szCs w:val="18"/>
        </w:rPr>
        <w:br/>
      </w:r>
      <w:r w:rsidR="00B12744">
        <w:rPr>
          <w:rFonts w:cs="Arial"/>
          <w:szCs w:val="18"/>
        </w:rPr>
        <w:t xml:space="preserve">i mezičtvrtletně. Výrazné zvýšení příjmů doprovázel i prudký růst spotřeby. </w:t>
      </w:r>
      <w:r w:rsidR="00B12744" w:rsidRPr="00B12744">
        <w:rPr>
          <w:rFonts w:cs="Arial"/>
          <w:i/>
          <w:szCs w:val="18"/>
        </w:rPr>
        <w:t>„</w:t>
      </w:r>
      <w:r w:rsidR="00CC7859">
        <w:rPr>
          <w:rFonts w:cs="Arial"/>
          <w:i/>
          <w:szCs w:val="18"/>
        </w:rPr>
        <w:t>Znovuo</w:t>
      </w:r>
      <w:r w:rsidR="00B12744" w:rsidRPr="00B12744">
        <w:rPr>
          <w:rFonts w:cs="Arial"/>
          <w:i/>
          <w:szCs w:val="18"/>
        </w:rPr>
        <w:t>tevření obchodů a služeb samozřejmě vedlo k silnému nárůstu spotřeby. Domácnosti ale nezapomněly ani na investice, které byly meziročně vyšší o 14 miliard korun. Na</w:t>
      </w:r>
      <w:r w:rsidR="00CC7859">
        <w:rPr>
          <w:rFonts w:cs="Arial"/>
          <w:i/>
          <w:szCs w:val="18"/>
        </w:rPr>
        <w:t xml:space="preserve"> velmi vysoké úrovni </w:t>
      </w:r>
      <w:r w:rsidR="00B12744" w:rsidRPr="00B12744">
        <w:rPr>
          <w:rFonts w:cs="Arial"/>
          <w:i/>
          <w:szCs w:val="18"/>
        </w:rPr>
        <w:t>se dál držel</w:t>
      </w:r>
      <w:r w:rsidR="00B12744">
        <w:rPr>
          <w:rFonts w:cs="Arial"/>
          <w:i/>
          <w:szCs w:val="18"/>
        </w:rPr>
        <w:t>a</w:t>
      </w:r>
      <w:r w:rsidR="00B12744" w:rsidRPr="00B12744">
        <w:rPr>
          <w:rFonts w:cs="Arial"/>
          <w:i/>
          <w:szCs w:val="18"/>
        </w:rPr>
        <w:t xml:space="preserve"> i </w:t>
      </w:r>
      <w:r w:rsidR="00B12744">
        <w:rPr>
          <w:rFonts w:cs="Arial"/>
          <w:i/>
          <w:szCs w:val="18"/>
        </w:rPr>
        <w:t xml:space="preserve">jejich míra </w:t>
      </w:r>
      <w:r w:rsidR="00B12744" w:rsidRPr="00B12744">
        <w:rPr>
          <w:rFonts w:cs="Arial"/>
          <w:i/>
          <w:szCs w:val="18"/>
        </w:rPr>
        <w:t>úspor</w:t>
      </w:r>
      <w:r w:rsidR="00B12744">
        <w:rPr>
          <w:rFonts w:cs="Arial"/>
          <w:i/>
          <w:szCs w:val="18"/>
        </w:rPr>
        <w:t>,</w:t>
      </w:r>
      <w:r w:rsidR="00B12744" w:rsidRPr="00B12744">
        <w:rPr>
          <w:rFonts w:cs="Arial"/>
          <w:i/>
          <w:szCs w:val="18"/>
        </w:rPr>
        <w:t>“</w:t>
      </w:r>
      <w:r w:rsidR="00B12744">
        <w:rPr>
          <w:rFonts w:cs="Arial"/>
          <w:i/>
          <w:szCs w:val="18"/>
        </w:rPr>
        <w:t xml:space="preserve"> </w:t>
      </w:r>
      <w:r w:rsidR="00B12744">
        <w:rPr>
          <w:rFonts w:cs="Arial"/>
          <w:szCs w:val="18"/>
        </w:rPr>
        <w:t>říká Karolína Zábojníková, analytička Českého statistického úřadu.</w:t>
      </w:r>
      <w:r w:rsidR="00030703" w:rsidRPr="00B12744">
        <w:rPr>
          <w:rFonts w:cs="Arial"/>
          <w:i/>
          <w:szCs w:val="18"/>
        </w:rPr>
        <w:t xml:space="preserve">  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17EEC57C" w:rsidR="00B91138" w:rsidRDefault="00366CDF" w:rsidP="00717ED5">
      <w:pPr>
        <w:rPr>
          <w:rFonts w:cs="Arial"/>
          <w:szCs w:val="18"/>
        </w:rPr>
      </w:pPr>
      <w:r>
        <w:rPr>
          <w:rFonts w:cs="Arial"/>
          <w:szCs w:val="18"/>
        </w:rPr>
        <w:t xml:space="preserve">Ekonomické oživení </w:t>
      </w:r>
      <w:r w:rsidR="00A77ACA">
        <w:rPr>
          <w:rFonts w:cs="Arial"/>
          <w:szCs w:val="18"/>
        </w:rPr>
        <w:t>v</w:t>
      </w:r>
      <w:r>
        <w:rPr>
          <w:rFonts w:cs="Arial"/>
          <w:szCs w:val="18"/>
        </w:rPr>
        <w:t xml:space="preserve"> průběhu</w:t>
      </w:r>
      <w:r w:rsidR="00A77ACA">
        <w:rPr>
          <w:rFonts w:cs="Arial"/>
          <w:szCs w:val="18"/>
        </w:rPr>
        <w:t> </w:t>
      </w:r>
      <w:r>
        <w:rPr>
          <w:rFonts w:cs="Arial"/>
          <w:szCs w:val="18"/>
        </w:rPr>
        <w:t>2</w:t>
      </w:r>
      <w:r w:rsidR="00A77ACA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přineslo také výrazné navýšení příjmů vládních institucí</w:t>
      </w:r>
      <w:r w:rsidR="00434CCE">
        <w:rPr>
          <w:rFonts w:cs="Arial"/>
          <w:szCs w:val="18"/>
        </w:rPr>
        <w:t xml:space="preserve"> – </w:t>
      </w:r>
      <w:r w:rsidR="005330F5">
        <w:rPr>
          <w:rFonts w:cs="Arial"/>
          <w:szCs w:val="18"/>
        </w:rPr>
        <w:t>zejména přijatých daní a sociálních příspěvků</w:t>
      </w:r>
      <w:r>
        <w:rPr>
          <w:rFonts w:cs="Arial"/>
          <w:szCs w:val="18"/>
        </w:rPr>
        <w:t>.</w:t>
      </w:r>
      <w:r w:rsidR="00CC7859">
        <w:rPr>
          <w:rFonts w:cs="Arial"/>
          <w:szCs w:val="18"/>
        </w:rPr>
        <w:t xml:space="preserve"> </w:t>
      </w:r>
      <w:r w:rsidR="005330F5">
        <w:rPr>
          <w:rFonts w:cs="Arial"/>
          <w:szCs w:val="18"/>
        </w:rPr>
        <w:t xml:space="preserve">Příjmy celkově </w:t>
      </w:r>
      <w:r w:rsidR="00CC7859">
        <w:rPr>
          <w:rFonts w:cs="Arial"/>
          <w:szCs w:val="18"/>
        </w:rPr>
        <w:t xml:space="preserve">meziročně vzrostly </w:t>
      </w:r>
      <w:r w:rsidR="00771739">
        <w:rPr>
          <w:rFonts w:cs="Arial"/>
          <w:szCs w:val="18"/>
        </w:rPr>
        <w:br/>
      </w:r>
      <w:r w:rsidR="00CC7859">
        <w:rPr>
          <w:rFonts w:cs="Arial"/>
          <w:szCs w:val="18"/>
        </w:rPr>
        <w:t xml:space="preserve">o 81,5 mld. korun. Spolu s tím postupně slábla nutnost opatření na stabilizaci ekonomické </w:t>
      </w:r>
      <w:r w:rsidR="00771739">
        <w:rPr>
          <w:rFonts w:cs="Arial"/>
          <w:szCs w:val="18"/>
        </w:rPr>
        <w:br/>
      </w:r>
      <w:r w:rsidR="00CC7859">
        <w:rPr>
          <w:rFonts w:cs="Arial"/>
          <w:szCs w:val="18"/>
        </w:rPr>
        <w:t>a zdravotnické situace, výdaje vládních institucí ale byly i tak vyšší o 43,0 mld.</w:t>
      </w:r>
      <w:r w:rsidR="005330F5">
        <w:rPr>
          <w:rFonts w:cs="Arial"/>
          <w:szCs w:val="18"/>
        </w:rPr>
        <w:t xml:space="preserve"> Vyšší byly zejména náhrady zaměstnancům, sociální dávky a naturální sociální transfery a dotace. Výsledný deficit dosáhl 57,4 mld. korun a byl meziročně nižší o 38,5 mld. Dluh dosáhl </w:t>
      </w:r>
      <w:r w:rsidR="0067537B">
        <w:rPr>
          <w:rFonts w:cs="Arial"/>
          <w:szCs w:val="18"/>
        </w:rPr>
        <w:br/>
      </w:r>
      <w:r w:rsidR="001669F5">
        <w:rPr>
          <w:rFonts w:cs="Arial"/>
          <w:szCs w:val="18"/>
        </w:rPr>
        <w:t>2 51</w:t>
      </w:r>
      <w:r w:rsidR="005330F5">
        <w:rPr>
          <w:rFonts w:cs="Arial"/>
          <w:szCs w:val="18"/>
        </w:rPr>
        <w:t>7</w:t>
      </w:r>
      <w:r w:rsidR="001669F5">
        <w:rPr>
          <w:rFonts w:cs="Arial"/>
          <w:szCs w:val="18"/>
        </w:rPr>
        <w:t>,</w:t>
      </w:r>
      <w:r w:rsidR="005330F5">
        <w:rPr>
          <w:rFonts w:cs="Arial"/>
          <w:szCs w:val="18"/>
        </w:rPr>
        <w:t xml:space="preserve">0 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295F068F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32CF01A0" w14:textId="77777777" w:rsidR="00241FF3" w:rsidRPr="001B6F48" w:rsidRDefault="00241FF3" w:rsidP="00241FF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14:paraId="4A7E141E" w14:textId="77777777" w:rsidR="00241FF3" w:rsidRPr="00C62D32" w:rsidRDefault="00241FF3" w:rsidP="00241FF3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14:paraId="61D69731" w14:textId="77777777" w:rsidR="00241FF3" w:rsidRPr="00C62D32" w:rsidRDefault="00241FF3" w:rsidP="00241FF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14:paraId="007319E8" w14:textId="77777777" w:rsidR="00241FF3" w:rsidRPr="000E40D6" w:rsidRDefault="00241FF3" w:rsidP="00241FF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2EBD4A94" w14:textId="1299D6B8" w:rsidR="00FE7928" w:rsidRDefault="00FE7928" w:rsidP="00241FF3">
      <w:pPr>
        <w:spacing w:line="240" w:lineRule="auto"/>
        <w:rPr>
          <w:rFonts w:cs="Arial"/>
        </w:rPr>
      </w:pPr>
      <w:bookmarkStart w:id="0" w:name="_GoBack"/>
      <w:bookmarkEnd w:id="0"/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F637" w14:textId="77777777" w:rsidR="00122355" w:rsidRDefault="00122355" w:rsidP="00BA6370">
      <w:r>
        <w:separator/>
      </w:r>
    </w:p>
  </w:endnote>
  <w:endnote w:type="continuationSeparator" w:id="0">
    <w:p w14:paraId="7B0C119D" w14:textId="77777777" w:rsidR="00122355" w:rsidRDefault="00122355" w:rsidP="00BA6370">
      <w:r>
        <w:continuationSeparator/>
      </w:r>
    </w:p>
  </w:endnote>
  <w:endnote w:type="continuationNotice" w:id="1">
    <w:p w14:paraId="14661CC6" w14:textId="77777777" w:rsidR="00122355" w:rsidRDefault="001223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25C4511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41FF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25C4511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41FF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DE0B" w14:textId="77777777" w:rsidR="00122355" w:rsidRDefault="00122355" w:rsidP="00BA6370">
      <w:r>
        <w:separator/>
      </w:r>
    </w:p>
  </w:footnote>
  <w:footnote w:type="continuationSeparator" w:id="0">
    <w:p w14:paraId="3B0CDA0C" w14:textId="77777777" w:rsidR="00122355" w:rsidRDefault="00122355" w:rsidP="00BA6370">
      <w:r>
        <w:continuationSeparator/>
      </w:r>
    </w:p>
  </w:footnote>
  <w:footnote w:type="continuationNotice" w:id="1">
    <w:p w14:paraId="1D80FDC7" w14:textId="77777777" w:rsidR="00122355" w:rsidRDefault="001223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33CA"/>
    <w:rsid w:val="00043BF4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2355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1FF3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5547F"/>
    <w:rsid w:val="00456F17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32AF7"/>
    <w:rsid w:val="0064139A"/>
    <w:rsid w:val="006448BA"/>
    <w:rsid w:val="00654CFF"/>
    <w:rsid w:val="0067537B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1739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31B1B"/>
    <w:rsid w:val="0084400A"/>
    <w:rsid w:val="00850D0D"/>
    <w:rsid w:val="00854E24"/>
    <w:rsid w:val="0085742D"/>
    <w:rsid w:val="00861D0E"/>
    <w:rsid w:val="00862504"/>
    <w:rsid w:val="0086345B"/>
    <w:rsid w:val="008644C8"/>
    <w:rsid w:val="00867569"/>
    <w:rsid w:val="0087366A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5751"/>
    <w:rsid w:val="009E3740"/>
    <w:rsid w:val="009E4E85"/>
    <w:rsid w:val="009F5037"/>
    <w:rsid w:val="00A00672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A6E4-9BA4-4161-987F-18148D4A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Chrámecký</cp:lastModifiedBy>
  <cp:revision>4</cp:revision>
  <cp:lastPrinted>2021-03-30T15:08:00Z</cp:lastPrinted>
  <dcterms:created xsi:type="dcterms:W3CDTF">2021-10-15T15:23:00Z</dcterms:created>
  <dcterms:modified xsi:type="dcterms:W3CDTF">2021-10-20T12:38:00Z</dcterms:modified>
</cp:coreProperties>
</file>