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7A4ED" w14:textId="77777777" w:rsidR="004D19DD" w:rsidRDefault="004D19DD" w:rsidP="0024592D">
      <w:pPr>
        <w:pStyle w:val="Nadpis1"/>
        <w:jc w:val="both"/>
      </w:pPr>
      <w:bookmarkStart w:id="0" w:name="_Toc58583193"/>
      <w:r>
        <w:t>Analytická část</w:t>
      </w:r>
      <w:bookmarkEnd w:id="0"/>
    </w:p>
    <w:p w14:paraId="3271B3C7" w14:textId="55D5BBC3" w:rsidR="00381DE3" w:rsidRDefault="004D19DD" w:rsidP="00E968A7">
      <w:pPr>
        <w:spacing w:after="120"/>
        <w:jc w:val="both"/>
      </w:pPr>
      <w:r>
        <w:t>V roce 20</w:t>
      </w:r>
      <w:r w:rsidR="00F36023">
        <w:t>20</w:t>
      </w:r>
      <w:r w:rsidR="006E6918">
        <w:t xml:space="preserve"> </w:t>
      </w:r>
      <w:r>
        <w:t>učitelé pracující v regionálním školství</w:t>
      </w:r>
      <w:r>
        <w:rPr>
          <w:rStyle w:val="Znakapoznpodarou"/>
        </w:rPr>
        <w:footnoteReference w:id="1"/>
      </w:r>
      <w:r>
        <w:t xml:space="preserve"> pobírali hrubou mzdu </w:t>
      </w:r>
      <w:r w:rsidRPr="00950202">
        <w:rPr>
          <w:b/>
        </w:rPr>
        <w:t xml:space="preserve">v průměru </w:t>
      </w:r>
      <w:r w:rsidR="00C8383D">
        <w:rPr>
          <w:b/>
        </w:rPr>
        <w:t>43 318</w:t>
      </w:r>
      <w:r w:rsidR="00C8383D" w:rsidRPr="00950202">
        <w:rPr>
          <w:b/>
        </w:rPr>
        <w:t xml:space="preserve"> </w:t>
      </w:r>
      <w:r w:rsidRPr="00950202">
        <w:rPr>
          <w:b/>
        </w:rPr>
        <w:t>Kč</w:t>
      </w:r>
      <w:r>
        <w:t xml:space="preserve"> měsíčně</w:t>
      </w:r>
      <w:r>
        <w:rPr>
          <w:rStyle w:val="Znakapoznpodarou"/>
        </w:rPr>
        <w:footnoteReference w:id="2"/>
      </w:r>
      <w:r>
        <w:t xml:space="preserve">. Zatímco učitelé na středních školách vydělávali měsíčně </w:t>
      </w:r>
      <w:r w:rsidR="00D9788D">
        <w:t xml:space="preserve">v průměru </w:t>
      </w:r>
      <w:r w:rsidR="00C8383D">
        <w:t>45,8</w:t>
      </w:r>
      <w:r>
        <w:t xml:space="preserve"> tis. Kč, jejich kolegové v mateřských školách o </w:t>
      </w:r>
      <w:r w:rsidR="00C8383D">
        <w:t xml:space="preserve">9 </w:t>
      </w:r>
      <w:r>
        <w:t xml:space="preserve">tis. Kč méně. </w:t>
      </w:r>
      <w:r w:rsidR="006A254F">
        <w:t xml:space="preserve">Mzdy učitelů na základních školách jsou v posledních třech letech jen cca o 700 Kč nižší než </w:t>
      </w:r>
      <w:r w:rsidR="00D9788D">
        <w:t xml:space="preserve">mzdy </w:t>
      </w:r>
      <w:r w:rsidR="006A254F">
        <w:t>středoškolských učitelů</w:t>
      </w:r>
      <w:r w:rsidR="0004038B">
        <w:rPr>
          <w:rStyle w:val="Znakapoznpodarou"/>
        </w:rPr>
        <w:footnoteReference w:id="3"/>
      </w:r>
      <w:r w:rsidR="00D9788D">
        <w:t>.</w:t>
      </w:r>
      <w:r w:rsidR="006A254F">
        <w:t xml:space="preserve">  </w:t>
      </w:r>
    </w:p>
    <w:p w14:paraId="24C13792" w14:textId="0EF21E72" w:rsidR="00B45C82" w:rsidRDefault="00B45C82" w:rsidP="00B45C82">
      <w:pPr>
        <w:spacing w:after="0"/>
        <w:jc w:val="both"/>
        <w:rPr>
          <w:b/>
        </w:rPr>
      </w:pPr>
      <w:r w:rsidRPr="00B45C82">
        <w:rPr>
          <w:b/>
        </w:rPr>
        <w:t>Graf 1</w:t>
      </w:r>
      <w:r w:rsidR="00D66341">
        <w:rPr>
          <w:b/>
        </w:rPr>
        <w:t>:</w:t>
      </w:r>
      <w:r w:rsidRPr="00B45C82">
        <w:rPr>
          <w:b/>
        </w:rPr>
        <w:t xml:space="preserve"> Vývoj průměrné hrubé měsíční mzdy učitelů v Česku v letech 2017 až 2020 (tis. Kč)</w:t>
      </w:r>
    </w:p>
    <w:p w14:paraId="7986C49E" w14:textId="5E91BEE2" w:rsidR="00793FAB" w:rsidRPr="00B45C82" w:rsidRDefault="00793FAB" w:rsidP="00B45C82">
      <w:pPr>
        <w:spacing w:after="0"/>
        <w:jc w:val="both"/>
        <w:rPr>
          <w:b/>
        </w:rPr>
      </w:pPr>
      <w:r>
        <w:rPr>
          <w:noProof/>
        </w:rPr>
        <w:drawing>
          <wp:inline distT="0" distB="0" distL="0" distR="0" wp14:anchorId="1854BB52" wp14:editId="6D584B24">
            <wp:extent cx="5969000" cy="2651125"/>
            <wp:effectExtent l="0" t="0" r="12700" b="15875"/>
            <wp:docPr id="9" name="Graf 9">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56D104E" w14:textId="77777777" w:rsidR="00B45C82" w:rsidRPr="00E968A7" w:rsidRDefault="00B45C82" w:rsidP="00E968A7">
      <w:pPr>
        <w:spacing w:after="120"/>
        <w:jc w:val="both"/>
        <w:rPr>
          <w:sz w:val="16"/>
        </w:rPr>
      </w:pPr>
      <w:r w:rsidRPr="00E968A7">
        <w:rPr>
          <w:sz w:val="16"/>
        </w:rPr>
        <w:t>Zdroj: ČSÚ podle údajů ze Strukturální mzdové statistiky</w:t>
      </w:r>
    </w:p>
    <w:p w14:paraId="0A09672A" w14:textId="16B558B1" w:rsidR="003D064F" w:rsidRDefault="00695A8E" w:rsidP="00E968A7">
      <w:pPr>
        <w:spacing w:after="120"/>
        <w:jc w:val="both"/>
      </w:pPr>
      <w:r>
        <w:t xml:space="preserve">Po dvou letech, kdy tempo růstu průměrné mzdy učitelů dosáhlo dvouciferných </w:t>
      </w:r>
      <w:r w:rsidR="00500D0D">
        <w:t>hodnot</w:t>
      </w:r>
      <w:r>
        <w:t>, došlo v roce 2020 k</w:t>
      </w:r>
      <w:r w:rsidR="00B45C82">
        <w:t xml:space="preserve"> jeho </w:t>
      </w:r>
      <w:r>
        <w:t xml:space="preserve">zpomalení. </w:t>
      </w:r>
      <w:r w:rsidR="00500D0D">
        <w:t xml:space="preserve">Minulý rok </w:t>
      </w:r>
      <w:r w:rsidR="00381DE3">
        <w:t xml:space="preserve">si učitelé </w:t>
      </w:r>
      <w:r w:rsidR="00D9788D">
        <w:t xml:space="preserve">v </w:t>
      </w:r>
      <w:r w:rsidR="00381DE3">
        <w:t>regionální</w:t>
      </w:r>
      <w:r w:rsidR="00D9788D">
        <w:t>m</w:t>
      </w:r>
      <w:r w:rsidR="00381DE3">
        <w:t xml:space="preserve"> školství</w:t>
      </w:r>
      <w:r w:rsidR="00500D0D">
        <w:t xml:space="preserve"> </w:t>
      </w:r>
      <w:r w:rsidR="00500D0D" w:rsidRPr="00B45C82">
        <w:rPr>
          <w:b/>
        </w:rPr>
        <w:t>meziročně</w:t>
      </w:r>
      <w:r w:rsidR="00500D0D">
        <w:t xml:space="preserve"> </w:t>
      </w:r>
      <w:r w:rsidR="00381DE3">
        <w:t>polepšili</w:t>
      </w:r>
      <w:r w:rsidR="00500D0D">
        <w:t xml:space="preserve"> </w:t>
      </w:r>
      <w:r w:rsidR="00381DE3" w:rsidRPr="00950202">
        <w:rPr>
          <w:b/>
        </w:rPr>
        <w:t xml:space="preserve">o </w:t>
      </w:r>
      <w:r w:rsidR="00381DE3">
        <w:rPr>
          <w:b/>
        </w:rPr>
        <w:t>9</w:t>
      </w:r>
      <w:r w:rsidR="00381DE3" w:rsidRPr="00950202">
        <w:rPr>
          <w:b/>
        </w:rPr>
        <w:t xml:space="preserve"> %</w:t>
      </w:r>
      <w:r w:rsidR="00B45C82">
        <w:rPr>
          <w:b/>
        </w:rPr>
        <w:t xml:space="preserve">. </w:t>
      </w:r>
      <w:r w:rsidR="00B45C82" w:rsidRPr="00B45C82">
        <w:t xml:space="preserve">V absolutním vyjádření se jejich průměrná hrubá měsíční mzda zvýšila o </w:t>
      </w:r>
      <w:r w:rsidR="00381DE3" w:rsidRPr="00B45C82">
        <w:t>3,6 tis. Kč.</w:t>
      </w:r>
      <w:r w:rsidR="00381DE3">
        <w:t xml:space="preserve"> Pro srovnání m</w:t>
      </w:r>
      <w:r w:rsidR="004D19DD">
        <w:t>ezi rokem 201</w:t>
      </w:r>
      <w:r>
        <w:t>8</w:t>
      </w:r>
      <w:r w:rsidR="004D19DD">
        <w:t xml:space="preserve"> a 201</w:t>
      </w:r>
      <w:r>
        <w:t>9</w:t>
      </w:r>
      <w:r w:rsidR="004D19DD">
        <w:t xml:space="preserve"> vzrostla průměrná hrubá měsíční mzda učitelů na regionální úrovni o 1</w:t>
      </w:r>
      <w:r>
        <w:t>5</w:t>
      </w:r>
      <w:r w:rsidR="004D19DD">
        <w:t xml:space="preserve"> %</w:t>
      </w:r>
      <w:r w:rsidR="000B01C8">
        <w:t xml:space="preserve"> a mezi roky 2017 a 2018 o 11 %.</w:t>
      </w:r>
      <w:r w:rsidR="00B45C82">
        <w:t xml:space="preserve"> </w:t>
      </w:r>
    </w:p>
    <w:p w14:paraId="291DBCD6" w14:textId="77777777" w:rsidR="00284695" w:rsidRDefault="00284695" w:rsidP="00284695">
      <w:pPr>
        <w:spacing w:after="120"/>
        <w:jc w:val="both"/>
      </w:pPr>
      <w:r>
        <w:t xml:space="preserve">Za poslední tři roky narostly mzdy učitelů celkem o 40 % z 31 tis. Kč v roce 2017 na 43 tis. Kč v roce 2020. Nejvíce v tomto období </w:t>
      </w:r>
      <w:r w:rsidRPr="00A15D96">
        <w:t>vzrostly mzdy učitelů na středních školách, a to procentuálně o 42 % a absolutně o</w:t>
      </w:r>
      <w:r>
        <w:t> </w:t>
      </w:r>
      <w:r w:rsidRPr="00A15D96">
        <w:t xml:space="preserve">13,5 tis. Kč. Jen o něco málo nižší nárůst můžeme pozorovat u učitelů základních škol. Naopak </w:t>
      </w:r>
      <w:r>
        <w:t xml:space="preserve">učitelům </w:t>
      </w:r>
      <w:r w:rsidRPr="00A15D96">
        <w:t xml:space="preserve">v mateřských školách </w:t>
      </w:r>
      <w:r>
        <w:t xml:space="preserve">se mzdy zvedly </w:t>
      </w:r>
      <w:r w:rsidRPr="00A15D96">
        <w:t xml:space="preserve">ve stejném období </w:t>
      </w:r>
      <w:r>
        <w:t>„jen“</w:t>
      </w:r>
      <w:r w:rsidRPr="00A15D96">
        <w:t xml:space="preserve"> o </w:t>
      </w:r>
      <w:r>
        <w:t>9,8 tis. Kč</w:t>
      </w:r>
      <w:r w:rsidRPr="00A15D96">
        <w:t xml:space="preserve">. V čase se tak prohlubuje rozdíl ve výši výdělků mezi učiteli v mateřských školách v porovnání s jejich kolegy na základních a středních školách. </w:t>
      </w:r>
    </w:p>
    <w:p w14:paraId="5B714F5D" w14:textId="7CA76114" w:rsidR="00F55BFD" w:rsidRDefault="00284695" w:rsidP="00E968A7">
      <w:pPr>
        <w:spacing w:after="120"/>
        <w:jc w:val="both"/>
      </w:pPr>
      <w:r w:rsidRPr="000A48D3">
        <w:t>Jedním z důvodů nižšího nárůstu mezd učitelů v mateřských školách v porovnání se základními školami</w:t>
      </w:r>
      <w:r w:rsidRPr="000A48D3" w:rsidDel="00D9788D">
        <w:t xml:space="preserve"> </w:t>
      </w:r>
      <w:r w:rsidRPr="000A48D3">
        <w:t xml:space="preserve">je vyšší podíl </w:t>
      </w:r>
      <w:r>
        <w:t>zařízení</w:t>
      </w:r>
      <w:r w:rsidRPr="000A48D3">
        <w:t>, jejichž zřizovatelem je soukromý subjekt nebo církev. Jak bude uvedeno podrobněji níže, mzdy učitelů v soukromých mateřských školách rostly výrazně pomaleji než ve veřejných školkách, jejichž zřizovatelem jsou nejčastěji obce. Tento odlišný nárůst výdělků souvisí se změnou financování regionálního školství od 1. září 2019, které se dotklo všech mateřských, základních a středních škol, vyjma soukromých a</w:t>
      </w:r>
      <w:r>
        <w:t> </w:t>
      </w:r>
      <w:r w:rsidRPr="000A48D3">
        <w:t xml:space="preserve">církevních. Nový způsob financování veřejných škol je oproti původnímu systému (financování dle počtu žáků) </w:t>
      </w:r>
      <w:r w:rsidRPr="00B6704C">
        <w:t xml:space="preserve">vypočítáván z maximálního možného počtu odučených hodin, který stanovuje </w:t>
      </w:r>
      <w:r>
        <w:t>Ministerstvo školství</w:t>
      </w:r>
      <w:r w:rsidRPr="00893BA0">
        <w:t>.</w:t>
      </w:r>
      <w:r>
        <w:t xml:space="preserve"> </w:t>
      </w:r>
      <w:r w:rsidR="007468A8" w:rsidRPr="00B6704C">
        <w:lastRenderedPageBreak/>
        <w:t>Tento systém snižuje závislost množství finančních prostředků na počtu žáků a poskytuje ředitelům škol větší množství finančních prostředků na nárokové i nenárokové složky platu než v minulosti.</w:t>
      </w:r>
      <w:r w:rsidR="00A15D96" w:rsidRPr="00B6704C">
        <w:t xml:space="preserve"> Dalším důvodem může být i vyšší podíl mladších učitelů v mateřských školách a nižší nástupní platy začínajících učitelů</w:t>
      </w:r>
      <w:r w:rsidR="00893BA0">
        <w:t>.</w:t>
      </w:r>
      <w:r w:rsidR="00304A49" w:rsidRPr="00716476">
        <w:t xml:space="preserve"> </w:t>
      </w:r>
    </w:p>
    <w:p w14:paraId="544ABC5E" w14:textId="56ADD6DB" w:rsidR="006A254F" w:rsidRDefault="006A254F" w:rsidP="0004038B">
      <w:pPr>
        <w:spacing w:after="120"/>
        <w:jc w:val="both"/>
      </w:pPr>
      <w:r w:rsidRPr="006A254F">
        <w:t xml:space="preserve">Vzhledem k povaze práce, vysokým požadavkům na kvalifikaci či profesní rozvoj a také s ohledem na nedostatek učitelů na trhu práce by se dalo předpokládat, že budou učitelé finančně hodnoceni lépe, než jaký je republikový průměr, resp. průměrná mzda zaměstnanců s vysokoškolským vzděláním. Tato domněnka </w:t>
      </w:r>
      <w:r w:rsidR="00CB741A">
        <w:t xml:space="preserve">však </w:t>
      </w:r>
      <w:r w:rsidRPr="006A254F">
        <w:t>platí jen částečně.</w:t>
      </w:r>
    </w:p>
    <w:p w14:paraId="3AA71CCE" w14:textId="59BB01F2" w:rsidR="007468A8" w:rsidRDefault="007468A8" w:rsidP="007468A8">
      <w:pPr>
        <w:spacing w:after="0"/>
        <w:jc w:val="both"/>
        <w:rPr>
          <w:b/>
        </w:rPr>
      </w:pPr>
      <w:r w:rsidRPr="0014684C">
        <w:rPr>
          <w:b/>
        </w:rPr>
        <w:t>Graf 2</w:t>
      </w:r>
      <w:r w:rsidR="00893BA0">
        <w:rPr>
          <w:b/>
        </w:rPr>
        <w:t>:</w:t>
      </w:r>
      <w:r w:rsidRPr="0014684C">
        <w:rPr>
          <w:b/>
        </w:rPr>
        <w:t xml:space="preserve"> Srovnání mezd učitelů s průměrnou mzdou a mzdou vysokoškolsky vzdělaných zaměstnanců</w:t>
      </w:r>
      <w:r w:rsidR="008B2E4E">
        <w:rPr>
          <w:b/>
        </w:rPr>
        <w:t xml:space="preserve"> v letech 2013 až 2020</w:t>
      </w:r>
    </w:p>
    <w:p w14:paraId="76468B29" w14:textId="4604BC44" w:rsidR="00BF5BC5" w:rsidRPr="0014684C" w:rsidRDefault="00BF5BC5" w:rsidP="007468A8">
      <w:pPr>
        <w:spacing w:after="0"/>
        <w:jc w:val="both"/>
        <w:rPr>
          <w:b/>
        </w:rPr>
      </w:pPr>
      <w:r>
        <w:rPr>
          <w:noProof/>
        </w:rPr>
        <w:drawing>
          <wp:inline distT="0" distB="0" distL="0" distR="0" wp14:anchorId="3EB7696D" wp14:editId="10FB516D">
            <wp:extent cx="6120130" cy="3108325"/>
            <wp:effectExtent l="0" t="0" r="13970" b="15875"/>
            <wp:docPr id="3" name="Graf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08D88A" w14:textId="0008D845" w:rsidR="007468A8" w:rsidRDefault="007468A8" w:rsidP="00311ED0">
      <w:pPr>
        <w:spacing w:after="0"/>
        <w:jc w:val="both"/>
      </w:pPr>
    </w:p>
    <w:p w14:paraId="4667E778" w14:textId="77777777" w:rsidR="007468A8" w:rsidRPr="00E968A7" w:rsidRDefault="007468A8" w:rsidP="007468A8">
      <w:pPr>
        <w:spacing w:after="120"/>
        <w:jc w:val="both"/>
        <w:rPr>
          <w:rFonts w:cs="Arial"/>
          <w:sz w:val="16"/>
          <w:szCs w:val="16"/>
        </w:rPr>
      </w:pPr>
      <w:r w:rsidRPr="00E968A7">
        <w:rPr>
          <w:rFonts w:cs="Arial"/>
          <w:sz w:val="16"/>
          <w:szCs w:val="16"/>
        </w:rPr>
        <w:t>Zdroj: ČSÚ podle údajů ze Strukturální mzdové statistiky</w:t>
      </w:r>
    </w:p>
    <w:p w14:paraId="25DB255C" w14:textId="6E5D8D08" w:rsidR="00B45C82" w:rsidRDefault="00B45C82" w:rsidP="0004038B">
      <w:pPr>
        <w:spacing w:after="120"/>
        <w:jc w:val="both"/>
      </w:pPr>
      <w:r>
        <w:t>V letech 2013 až 2017 průměrná hrubá měsíční mzda učitelů v regionálním školství oscilovala kolem průměrné mzdy v celém národním hospodářství. V posledních třech letech ji však již převyšuje. V roce 2020 přesáhly hrubé měsíční výdělky učitelů průměrnou mzdu v Česku o 4 800 Kč. V roce 2018 činil tento rozdíl jen 800 Kč. V </w:t>
      </w:r>
      <w:r w:rsidRPr="00356AFE">
        <w:rPr>
          <w:b/>
        </w:rPr>
        <w:t>relaci k průměrné hrubé měsíční mzdě v národním hospodářství</w:t>
      </w:r>
      <w:r>
        <w:t xml:space="preserve"> tak v roce 2020 pobírali učitelé </w:t>
      </w:r>
      <w:r w:rsidRPr="00356AFE">
        <w:rPr>
          <w:b/>
        </w:rPr>
        <w:t>1</w:t>
      </w:r>
      <w:r>
        <w:rPr>
          <w:b/>
        </w:rPr>
        <w:t xml:space="preserve">12 </w:t>
      </w:r>
      <w:r w:rsidRPr="00356AFE">
        <w:rPr>
          <w:b/>
        </w:rPr>
        <w:t>%</w:t>
      </w:r>
      <w:r>
        <w:t xml:space="preserve"> tohoto výdělku. Učitelé v mateřských školách však na tuto mzdu nedosáhli</w:t>
      </w:r>
      <w:r w:rsidR="00BF5BC5">
        <w:t>,</w:t>
      </w:r>
      <w:r>
        <w:t xml:space="preserve"> a </w:t>
      </w:r>
      <w:r w:rsidR="00C06E9F">
        <w:t xml:space="preserve">i v roce 2020 </w:t>
      </w:r>
      <w:r>
        <w:t xml:space="preserve">vydělávali jen 95 % této mzdy. </w:t>
      </w:r>
    </w:p>
    <w:p w14:paraId="66CF5782" w14:textId="741742F7" w:rsidR="00311ED0" w:rsidRDefault="00284695" w:rsidP="0004038B">
      <w:pPr>
        <w:spacing w:after="120"/>
        <w:jc w:val="both"/>
      </w:pPr>
      <w:r w:rsidRPr="00B6704C">
        <w:t>I přes to, že se v médiích často objevuje srovnání učitelských platů pouze s průměrnou mzdou, nejedná se o</w:t>
      </w:r>
      <w:r>
        <w:t> </w:t>
      </w:r>
      <w:r w:rsidRPr="00B6704C">
        <w:t xml:space="preserve">přesné srovnání. </w:t>
      </w:r>
      <w:r w:rsidR="00311ED0" w:rsidRPr="00B6704C">
        <w:t>Průměrná mzda je vypočítávána z mezd všech pracujících v České republice, tedy i těch s nižším vzděláním. Učitelské povolání však vyžaduje vysokou odbornost a dle školského zákona musí učitel na základní či střední škole (až na výjimky) absolvovat alespoň tzv. učitelské minimum, které lze získat až po absolvování magisterského či inženýrského studia. A a</w:t>
      </w:r>
      <w:r w:rsidR="007F0EBB" w:rsidRPr="00B6704C">
        <w:t xml:space="preserve">čkoliv mzdy učitelů </w:t>
      </w:r>
      <w:r w:rsidR="00311ED0" w:rsidRPr="00B6704C">
        <w:t>v posledních letech výrazně vzrostly</w:t>
      </w:r>
      <w:r w:rsidR="007F0EBB" w:rsidRPr="00B6704C">
        <w:t>, stále nedosahují průměrné mzdy, kterou pobírají zaměstnanci s vysokoškolským (magisterským či doktorským) vzděláním</w:t>
      </w:r>
      <w:r w:rsidR="00210561" w:rsidRPr="00B6704C">
        <w:rPr>
          <w:rStyle w:val="Znakapoznpodarou"/>
        </w:rPr>
        <w:footnoteReference w:id="4"/>
      </w:r>
      <w:r w:rsidR="007F0EBB" w:rsidRPr="00B6704C">
        <w:t>. Přitom právě takového stupně většina učitelů při svém studiu dosáhla.</w:t>
      </w:r>
      <w:r w:rsidR="007F0EBB" w:rsidRPr="007F0EBB">
        <w:t xml:space="preserve"> </w:t>
      </w:r>
    </w:p>
    <w:p w14:paraId="6C94C98C" w14:textId="4CA146BF" w:rsidR="007F0EBB" w:rsidRDefault="007F0EBB" w:rsidP="0004038B">
      <w:pPr>
        <w:spacing w:after="120"/>
        <w:jc w:val="both"/>
      </w:pPr>
      <w:r w:rsidRPr="007F0EBB">
        <w:t>Průměrná mzda učitele v regionálním školství byla v roce 20</w:t>
      </w:r>
      <w:r>
        <w:t>20</w:t>
      </w:r>
      <w:r w:rsidRPr="007F0EBB">
        <w:t xml:space="preserve"> o 1</w:t>
      </w:r>
      <w:r>
        <w:t>5</w:t>
      </w:r>
      <w:r w:rsidRPr="007F0EBB">
        <w:t xml:space="preserve"> </w:t>
      </w:r>
      <w:r>
        <w:t>100</w:t>
      </w:r>
      <w:r w:rsidRPr="007F0EBB">
        <w:t xml:space="preserve"> Kč nižší, než si v průměru vydělali </w:t>
      </w:r>
      <w:r w:rsidRPr="00210561">
        <w:rPr>
          <w:b/>
        </w:rPr>
        <w:t>zaměstnanci s vysokoškolským vzděláním</w:t>
      </w:r>
      <w:r w:rsidRPr="007F0EBB">
        <w:t xml:space="preserve"> a představovala tak 74</w:t>
      </w:r>
      <w:r>
        <w:t xml:space="preserve"> %</w:t>
      </w:r>
      <w:r w:rsidRPr="007F0EBB">
        <w:t xml:space="preserve"> tohoto srovnávacího výdělku. Učitelky v mateřských školách nedosáhly </w:t>
      </w:r>
      <w:r w:rsidR="00311ED0">
        <w:t xml:space="preserve">stále </w:t>
      </w:r>
      <w:r w:rsidRPr="007F0EBB">
        <w:t xml:space="preserve">ani </w:t>
      </w:r>
      <w:r w:rsidR="000A48D3">
        <w:t xml:space="preserve">na dvě třetiny </w:t>
      </w:r>
      <w:r w:rsidRPr="007F0EBB">
        <w:t>platu zaměstnance s vysokoškolským vzděláním. Jejich kolegové učící na základních a středních školách v průměru pobírali 7</w:t>
      </w:r>
      <w:r w:rsidR="00311ED0">
        <w:t>7</w:t>
      </w:r>
      <w:r w:rsidRPr="007F0EBB">
        <w:t xml:space="preserve"> </w:t>
      </w:r>
      <w:r w:rsidR="00311ED0">
        <w:t xml:space="preserve">resp. 78 </w:t>
      </w:r>
      <w:r w:rsidR="00CB741A">
        <w:t xml:space="preserve">% </w:t>
      </w:r>
      <w:r w:rsidRPr="007F0EBB">
        <w:t>této částky</w:t>
      </w:r>
      <w:r>
        <w:t xml:space="preserve">. </w:t>
      </w:r>
    </w:p>
    <w:p w14:paraId="46B3EF8E" w14:textId="3B3F0382" w:rsidR="007F0EBB" w:rsidRDefault="007F0EBB" w:rsidP="00C06E9F">
      <w:pPr>
        <w:spacing w:after="0"/>
        <w:jc w:val="both"/>
        <w:rPr>
          <w:b/>
        </w:rPr>
      </w:pPr>
      <w:r w:rsidRPr="00C06E9F">
        <w:rPr>
          <w:b/>
        </w:rPr>
        <w:lastRenderedPageBreak/>
        <w:t>Graf 3</w:t>
      </w:r>
      <w:r w:rsidR="000A48D3">
        <w:rPr>
          <w:b/>
        </w:rPr>
        <w:t>:</w:t>
      </w:r>
      <w:r w:rsidRPr="00C06E9F">
        <w:rPr>
          <w:b/>
        </w:rPr>
        <w:t xml:space="preserve"> Srovnání </w:t>
      </w:r>
      <w:r w:rsidR="00210561">
        <w:rPr>
          <w:b/>
        </w:rPr>
        <w:t xml:space="preserve">mezd </w:t>
      </w:r>
      <w:r w:rsidRPr="00C06E9F">
        <w:rPr>
          <w:b/>
        </w:rPr>
        <w:t xml:space="preserve">učitelů na jednotlivých stupních </w:t>
      </w:r>
      <w:r w:rsidR="00210561" w:rsidRPr="0014684C">
        <w:rPr>
          <w:b/>
        </w:rPr>
        <w:t>s průměrnou mzdou a mzdou vysokoškolsky vzdělaných zaměstnanců</w:t>
      </w:r>
      <w:r w:rsidR="008B2E4E">
        <w:rPr>
          <w:b/>
        </w:rPr>
        <w:t xml:space="preserve"> v letech 2015 a 2020</w:t>
      </w:r>
    </w:p>
    <w:p w14:paraId="7B766F6F" w14:textId="41A7F23F" w:rsidR="000A48D3" w:rsidRPr="00C06E9F" w:rsidRDefault="000A48D3" w:rsidP="00C06E9F">
      <w:pPr>
        <w:spacing w:after="0"/>
        <w:jc w:val="both"/>
        <w:rPr>
          <w:b/>
        </w:rPr>
      </w:pPr>
      <w:r>
        <w:rPr>
          <w:noProof/>
        </w:rPr>
        <w:drawing>
          <wp:inline distT="0" distB="0" distL="0" distR="0" wp14:anchorId="6305382C" wp14:editId="0E7A9476">
            <wp:extent cx="6120130" cy="2940050"/>
            <wp:effectExtent l="0" t="0" r="13970" b="12700"/>
            <wp:docPr id="4" name="Graf 4">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5B0F96" w14:textId="2A8A46AC" w:rsidR="007F0EBB" w:rsidRDefault="007F0EBB" w:rsidP="00210561">
      <w:pPr>
        <w:spacing w:after="0"/>
        <w:jc w:val="both"/>
      </w:pPr>
    </w:p>
    <w:p w14:paraId="2FFD33F7" w14:textId="77777777" w:rsidR="00C06E9F" w:rsidRPr="00E968A7" w:rsidRDefault="00C06E9F" w:rsidP="00C06E9F">
      <w:pPr>
        <w:spacing w:after="120"/>
        <w:jc w:val="both"/>
        <w:rPr>
          <w:rFonts w:cs="Arial"/>
          <w:sz w:val="16"/>
          <w:szCs w:val="16"/>
        </w:rPr>
      </w:pPr>
      <w:r w:rsidRPr="00E968A7">
        <w:rPr>
          <w:rFonts w:cs="Arial"/>
          <w:sz w:val="16"/>
          <w:szCs w:val="16"/>
        </w:rPr>
        <w:t>Zdroj: ČSÚ podle údajů ze Strukturální mzdové statistiky</w:t>
      </w:r>
    </w:p>
    <w:p w14:paraId="5CAED17E" w14:textId="479AB8F3" w:rsidR="004D19DD" w:rsidRDefault="00311ED0" w:rsidP="0004038B">
      <w:pPr>
        <w:spacing w:after="120"/>
        <w:jc w:val="both"/>
      </w:pPr>
      <w:r w:rsidRPr="000A48D3">
        <w:t xml:space="preserve">Od roku 2015 se toto srovnání </w:t>
      </w:r>
      <w:r w:rsidR="00210561" w:rsidRPr="000A48D3">
        <w:t xml:space="preserve">učitelů se zaměstnanci s vysokoškolským vzděláním </w:t>
      </w:r>
      <w:r w:rsidRPr="000A48D3">
        <w:t xml:space="preserve">výrazně zlepšilo. </w:t>
      </w:r>
      <w:r w:rsidR="005A644B" w:rsidRPr="000A48D3">
        <w:t>V absolutním srovnání učitelé v roce 20</w:t>
      </w:r>
      <w:r w:rsidRPr="000A48D3">
        <w:t>15</w:t>
      </w:r>
      <w:r w:rsidR="005A644B" w:rsidRPr="000A48D3">
        <w:t xml:space="preserve"> vydělávali o 1</w:t>
      </w:r>
      <w:r w:rsidRPr="000A48D3">
        <w:t>6</w:t>
      </w:r>
      <w:r w:rsidR="005A644B" w:rsidRPr="000A48D3">
        <w:t> </w:t>
      </w:r>
      <w:r w:rsidRPr="000A48D3">
        <w:t>8</w:t>
      </w:r>
      <w:r w:rsidR="005A644B" w:rsidRPr="000A48D3">
        <w:t>00 Kč méně, než byla průměrná mzd</w:t>
      </w:r>
      <w:r w:rsidR="008B2E4E" w:rsidRPr="000A48D3">
        <w:t>a</w:t>
      </w:r>
      <w:r w:rsidR="005A644B" w:rsidRPr="000A48D3">
        <w:t xml:space="preserve"> všech zaměstnanců s vysokoškolským vzděláním. V roce 2020 dosáhl tento rozdíl </w:t>
      </w:r>
      <w:r w:rsidRPr="000A48D3">
        <w:t xml:space="preserve">výše uvedené </w:t>
      </w:r>
      <w:r w:rsidR="005A644B" w:rsidRPr="000A48D3">
        <w:t>částky 15 100 Kč.</w:t>
      </w:r>
      <w:r w:rsidRPr="000A48D3">
        <w:t xml:space="preserve"> </w:t>
      </w:r>
      <w:r w:rsidR="00CB741A">
        <w:t xml:space="preserve">V případě učitelů mateřských škol </w:t>
      </w:r>
      <w:r w:rsidR="00C06E9F" w:rsidRPr="000A48D3">
        <w:t>jejich mzdy od roku 2015</w:t>
      </w:r>
      <w:r w:rsidR="00CB741A">
        <w:t xml:space="preserve"> sice</w:t>
      </w:r>
      <w:r w:rsidR="00C06E9F" w:rsidRPr="000A48D3">
        <w:t xml:space="preserve"> procentuálně vzrostly více než mzdy všech vysokoškolsky vzdělaných zaměstnanců, v absolutním vyjádření </w:t>
      </w:r>
      <w:r w:rsidR="00CB741A">
        <w:t xml:space="preserve">však </w:t>
      </w:r>
      <w:r w:rsidR="00C06E9F" w:rsidRPr="000A48D3">
        <w:t xml:space="preserve">rostly pomaleji. Průměrná hrubá měsíční mzda všech zaměstnanců s vysokoškolským vzděláním od roku 2015 vzrostla procentuálně o </w:t>
      </w:r>
      <w:r w:rsidR="00210561" w:rsidRPr="000A48D3">
        <w:t xml:space="preserve">32 % a absolutně o 14,0 </w:t>
      </w:r>
      <w:r w:rsidR="00C06E9F" w:rsidRPr="000A48D3">
        <w:t>tis. Kč</w:t>
      </w:r>
      <w:r w:rsidR="00210561" w:rsidRPr="000A48D3">
        <w:t xml:space="preserve">. Učitelé v mateřských školách si ve stejném období sice polepšili o 52 %, ale tento procentuální nárůst v absolutním vyjádření představoval „jen“ </w:t>
      </w:r>
      <w:r w:rsidR="000A48D3" w:rsidRPr="000A48D3">
        <w:t>13,4</w:t>
      </w:r>
      <w:r w:rsidR="00210561" w:rsidRPr="000A48D3">
        <w:t>, tis. Kč</w:t>
      </w:r>
      <w:r w:rsidR="000A48D3" w:rsidRPr="000A48D3">
        <w:t>.</w:t>
      </w:r>
    </w:p>
    <w:p w14:paraId="2DCAD71C" w14:textId="4198B44C" w:rsidR="007B3BB2" w:rsidRDefault="004D19DD" w:rsidP="00E968A7">
      <w:pPr>
        <w:spacing w:after="120"/>
        <w:jc w:val="both"/>
      </w:pPr>
      <w:r>
        <w:t xml:space="preserve">Naprostá </w:t>
      </w:r>
      <w:r w:rsidRPr="00356AFE">
        <w:rPr>
          <w:b/>
        </w:rPr>
        <w:t>většina</w:t>
      </w:r>
      <w:r>
        <w:t xml:space="preserve"> (více než 90 %) učitelů pobírá za odvedenou práci plat, jinými slovy </w:t>
      </w:r>
      <w:r w:rsidRPr="00356AFE">
        <w:rPr>
          <w:b/>
        </w:rPr>
        <w:t>pracuj</w:t>
      </w:r>
      <w:r>
        <w:rPr>
          <w:b/>
        </w:rPr>
        <w:t>e</w:t>
      </w:r>
      <w:r w:rsidRPr="00356AFE">
        <w:rPr>
          <w:b/>
        </w:rPr>
        <w:t xml:space="preserve"> ve veřejném sektoru</w:t>
      </w:r>
      <w:r>
        <w:t>. Učitelé v mateřských školách, kteří dostávají plat, jsou lépe finančně ohodnoceni ve srovnání s kolegy pracujícími za mzdu zpravidla v soukromých školkách (</w:t>
      </w:r>
      <w:r w:rsidR="00AA0770">
        <w:t>37,3</w:t>
      </w:r>
      <w:r>
        <w:t xml:space="preserve"> tis. Kč vs. </w:t>
      </w:r>
      <w:r w:rsidR="00AA0770">
        <w:t xml:space="preserve">26,8 </w:t>
      </w:r>
      <w:r>
        <w:t>tis. Kč v roce 20</w:t>
      </w:r>
      <w:r w:rsidR="00AA0770">
        <w:t>20</w:t>
      </w:r>
      <w:r>
        <w:t xml:space="preserve">). </w:t>
      </w:r>
      <w:r w:rsidR="00AA0770">
        <w:t xml:space="preserve">Na středních školách byla mezi lety 2016 až 2019 situace opačná a více si vydělávali učitelé pracující za mzdu, nicméně v roce 2020 se situace otočila, v platové sféře byl meziroční růst větší než ve mzdové a celkově byly </w:t>
      </w:r>
      <w:r w:rsidR="00F476BA">
        <w:t xml:space="preserve">učitelské </w:t>
      </w:r>
      <w:r w:rsidR="00AA0770">
        <w:t xml:space="preserve">platy vyšší </w:t>
      </w:r>
      <w:r w:rsidR="00BA1D77">
        <w:t xml:space="preserve">než mzdy </w:t>
      </w:r>
      <w:r w:rsidR="00AA0770">
        <w:t>(46</w:t>
      </w:r>
      <w:r w:rsidR="00A0119C">
        <w:t>,0</w:t>
      </w:r>
      <w:r w:rsidR="00AA0770">
        <w:t xml:space="preserve"> tis. Kč vs. 44,1 tis. Kč).</w:t>
      </w:r>
    </w:p>
    <w:p w14:paraId="1A49946A" w14:textId="77777777" w:rsidR="007B3BB2" w:rsidRDefault="007B3BB2">
      <w:pPr>
        <w:spacing w:after="0" w:line="240" w:lineRule="auto"/>
      </w:pPr>
      <w:r>
        <w:br w:type="page"/>
      </w:r>
    </w:p>
    <w:p w14:paraId="0C4B5B9D" w14:textId="7B1D2899" w:rsidR="00F9402A" w:rsidRPr="00B45C82" w:rsidRDefault="00F9402A" w:rsidP="00F9402A">
      <w:pPr>
        <w:spacing w:after="0"/>
        <w:jc w:val="both"/>
        <w:rPr>
          <w:b/>
        </w:rPr>
      </w:pPr>
      <w:r w:rsidRPr="00B45C82">
        <w:rPr>
          <w:b/>
        </w:rPr>
        <w:lastRenderedPageBreak/>
        <w:t xml:space="preserve">Graf </w:t>
      </w:r>
      <w:r>
        <w:rPr>
          <w:b/>
        </w:rPr>
        <w:t>4</w:t>
      </w:r>
      <w:r w:rsidR="000A48D3">
        <w:rPr>
          <w:b/>
        </w:rPr>
        <w:t>:</w:t>
      </w:r>
      <w:r w:rsidRPr="00B45C82">
        <w:rPr>
          <w:b/>
        </w:rPr>
        <w:t xml:space="preserve"> </w:t>
      </w:r>
      <w:r w:rsidRPr="00F9402A">
        <w:rPr>
          <w:b/>
        </w:rPr>
        <w:t xml:space="preserve">Srovnání výdělků učitelů v mateřských školách ve mzdové a v platové sféře </w:t>
      </w:r>
      <w:r w:rsidR="00BA1D77">
        <w:rPr>
          <w:b/>
        </w:rPr>
        <w:t xml:space="preserve">v letech 2018 až 2020 </w:t>
      </w:r>
      <w:r w:rsidR="00716476" w:rsidRPr="00B45C82">
        <w:rPr>
          <w:b/>
        </w:rPr>
        <w:t>(tis. Kč)</w:t>
      </w:r>
    </w:p>
    <w:p w14:paraId="42065606" w14:textId="4B572F0F" w:rsidR="00F9402A" w:rsidRDefault="00F9402A" w:rsidP="00F9402A">
      <w:pPr>
        <w:spacing w:after="120"/>
        <w:jc w:val="both"/>
      </w:pPr>
      <w:r>
        <w:rPr>
          <w:noProof/>
        </w:rPr>
        <w:drawing>
          <wp:inline distT="0" distB="0" distL="0" distR="0" wp14:anchorId="6AB52997" wp14:editId="5A752B99">
            <wp:extent cx="6007100" cy="2647950"/>
            <wp:effectExtent l="0" t="0" r="1270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1F02AB" w14:textId="77777777" w:rsidR="00F9402A" w:rsidRPr="00E968A7" w:rsidRDefault="00F9402A" w:rsidP="00F9402A">
      <w:pPr>
        <w:spacing w:after="120"/>
        <w:jc w:val="both"/>
        <w:rPr>
          <w:sz w:val="16"/>
        </w:rPr>
      </w:pPr>
      <w:r w:rsidRPr="00E968A7">
        <w:rPr>
          <w:sz w:val="16"/>
        </w:rPr>
        <w:t>Zdroj: ČSÚ podle údajů ze Strukturální mzdové statistiky</w:t>
      </w:r>
    </w:p>
    <w:p w14:paraId="4ABA6938" w14:textId="77777777" w:rsidR="00841A41" w:rsidRPr="00210561" w:rsidRDefault="00841A41" w:rsidP="00841A41">
      <w:pPr>
        <w:spacing w:after="120"/>
        <w:jc w:val="both"/>
      </w:pPr>
      <w:r w:rsidRPr="00210561">
        <w:t xml:space="preserve">Jak již z předchozích řádků vyplývá, mezi lety 2013 a 2017 bylo tempo růstu mezd učitelů v regionálním školství víceméně shodné s vývojem průměrné mzdy všech zaměstnanců v národním hospodářství. V období mezi lety 2018 a 2020 však vzrostly </w:t>
      </w:r>
      <w:r w:rsidRPr="00841A41">
        <w:rPr>
          <w:b/>
        </w:rPr>
        <w:t>reálné mzdy</w:t>
      </w:r>
      <w:r w:rsidRPr="00210561">
        <w:t xml:space="preserve"> učitelů v regionálním školství o 18 % (o 6 tis. Kč), zatímco průměrná mzda zaměstnanců pouze o 8 % (o 2,5 tis. Kč).</w:t>
      </w:r>
    </w:p>
    <w:p w14:paraId="6C6375C3" w14:textId="04A2A733" w:rsidR="00841A41" w:rsidRDefault="00841A41" w:rsidP="00841A41">
      <w:pPr>
        <w:spacing w:after="0" w:line="240" w:lineRule="auto"/>
        <w:jc w:val="both"/>
        <w:rPr>
          <w:rFonts w:cs="Arial"/>
          <w:b/>
          <w:bCs/>
          <w:color w:val="000000"/>
          <w:szCs w:val="16"/>
        </w:rPr>
      </w:pPr>
      <w:r w:rsidRPr="00336090">
        <w:rPr>
          <w:rFonts w:cs="Arial"/>
          <w:b/>
          <w:bCs/>
          <w:color w:val="000000"/>
          <w:szCs w:val="16"/>
        </w:rPr>
        <w:t xml:space="preserve">Graf </w:t>
      </w:r>
      <w:r>
        <w:rPr>
          <w:rFonts w:cs="Arial"/>
          <w:b/>
          <w:bCs/>
          <w:color w:val="000000"/>
          <w:szCs w:val="16"/>
        </w:rPr>
        <w:t>5</w:t>
      </w:r>
      <w:r w:rsidRPr="00336090">
        <w:rPr>
          <w:rFonts w:cs="Arial"/>
          <w:b/>
          <w:bCs/>
          <w:color w:val="000000"/>
          <w:szCs w:val="16"/>
        </w:rPr>
        <w:t>: Vývoj reálných mezd učitelů v regionálním školství v porovnání se zaměstnanci v platové sféře a zaměstnanci v Česku celkem, 201</w:t>
      </w:r>
      <w:r>
        <w:rPr>
          <w:rFonts w:cs="Arial"/>
          <w:b/>
          <w:bCs/>
          <w:color w:val="000000"/>
          <w:szCs w:val="16"/>
        </w:rPr>
        <w:t>3</w:t>
      </w:r>
      <w:r w:rsidRPr="00336090">
        <w:rPr>
          <w:rFonts w:cs="Arial"/>
          <w:b/>
          <w:bCs/>
          <w:color w:val="000000"/>
          <w:szCs w:val="16"/>
        </w:rPr>
        <w:t>–20</w:t>
      </w:r>
      <w:r>
        <w:rPr>
          <w:rFonts w:cs="Arial"/>
          <w:b/>
          <w:bCs/>
          <w:color w:val="000000"/>
          <w:szCs w:val="16"/>
        </w:rPr>
        <w:t>20</w:t>
      </w:r>
      <w:r w:rsidRPr="00336090">
        <w:rPr>
          <w:rFonts w:cs="Arial"/>
          <w:b/>
          <w:bCs/>
          <w:color w:val="000000"/>
          <w:szCs w:val="16"/>
        </w:rPr>
        <w:t xml:space="preserve"> (rok 201</w:t>
      </w:r>
      <w:r>
        <w:rPr>
          <w:rFonts w:cs="Arial"/>
          <w:b/>
          <w:bCs/>
          <w:color w:val="000000"/>
          <w:szCs w:val="16"/>
        </w:rPr>
        <w:t>3</w:t>
      </w:r>
      <w:r w:rsidRPr="00336090">
        <w:rPr>
          <w:rFonts w:cs="Arial"/>
          <w:b/>
          <w:bCs/>
          <w:color w:val="000000"/>
          <w:szCs w:val="16"/>
        </w:rPr>
        <w:t>=100)</w:t>
      </w:r>
    </w:p>
    <w:p w14:paraId="3EA9B3AC" w14:textId="77777777" w:rsidR="00841A41" w:rsidRDefault="00841A41" w:rsidP="00841A41">
      <w:pPr>
        <w:spacing w:after="0" w:line="240" w:lineRule="auto"/>
        <w:jc w:val="both"/>
        <w:rPr>
          <w:rFonts w:cs="Arial"/>
          <w:b/>
          <w:bCs/>
          <w:color w:val="000000"/>
          <w:szCs w:val="16"/>
        </w:rPr>
      </w:pPr>
      <w:r>
        <w:rPr>
          <w:noProof/>
        </w:rPr>
        <w:drawing>
          <wp:inline distT="0" distB="0" distL="0" distR="0" wp14:anchorId="46E4BCE1" wp14:editId="7F7F22CC">
            <wp:extent cx="5903595" cy="2755900"/>
            <wp:effectExtent l="0" t="0" r="1905" b="635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5EB4D0" w14:textId="77777777" w:rsidR="00841A41" w:rsidRDefault="00841A41" w:rsidP="00841A41">
      <w:pPr>
        <w:spacing w:after="0"/>
        <w:jc w:val="both"/>
        <w:rPr>
          <w:rFonts w:cs="Arial"/>
          <w:sz w:val="16"/>
          <w:szCs w:val="16"/>
        </w:rPr>
      </w:pPr>
    </w:p>
    <w:p w14:paraId="3F4B558C" w14:textId="77777777" w:rsidR="00841A41" w:rsidRDefault="00841A41" w:rsidP="00841A41">
      <w:pPr>
        <w:spacing w:after="0"/>
        <w:jc w:val="both"/>
        <w:rPr>
          <w:rFonts w:cs="Arial"/>
          <w:sz w:val="16"/>
          <w:szCs w:val="16"/>
        </w:rPr>
      </w:pPr>
      <w:r w:rsidRPr="00222F63">
        <w:rPr>
          <w:rFonts w:cs="Arial"/>
          <w:sz w:val="16"/>
          <w:szCs w:val="16"/>
        </w:rPr>
        <w:t>Zdroj: ČSÚ podle údajů ze Strukturální mzdové statistiky</w:t>
      </w:r>
    </w:p>
    <w:p w14:paraId="481DA85C" w14:textId="77777777" w:rsidR="00841A41" w:rsidRDefault="00841A41" w:rsidP="00841A41">
      <w:pPr>
        <w:spacing w:after="0"/>
        <w:jc w:val="both"/>
        <w:rPr>
          <w:rFonts w:cs="Arial"/>
          <w:sz w:val="16"/>
          <w:szCs w:val="16"/>
        </w:rPr>
      </w:pPr>
    </w:p>
    <w:p w14:paraId="34D0BCB8" w14:textId="308ED983" w:rsidR="00841A41" w:rsidRDefault="00841A41" w:rsidP="00841A41">
      <w:pPr>
        <w:spacing w:after="120"/>
        <w:jc w:val="both"/>
        <w:rPr>
          <w:szCs w:val="20"/>
        </w:rPr>
      </w:pPr>
      <w:bookmarkStart w:id="1" w:name="_Hlk77599007"/>
      <w:r>
        <w:rPr>
          <w:szCs w:val="20"/>
        </w:rPr>
        <w:t xml:space="preserve">Při porovnání mzdy učitelů v regionálním školství se mzdou všech zaměstnanců </w:t>
      </w:r>
      <w:r w:rsidRPr="00841A41">
        <w:rPr>
          <w:b/>
          <w:szCs w:val="20"/>
        </w:rPr>
        <w:t>v</w:t>
      </w:r>
      <w:r w:rsidR="00CB741A">
        <w:rPr>
          <w:b/>
          <w:szCs w:val="20"/>
        </w:rPr>
        <w:t> </w:t>
      </w:r>
      <w:r w:rsidRPr="00841A41">
        <w:rPr>
          <w:b/>
          <w:szCs w:val="20"/>
        </w:rPr>
        <w:t>platové</w:t>
      </w:r>
      <w:r w:rsidR="00CB741A">
        <w:rPr>
          <w:b/>
          <w:szCs w:val="20"/>
        </w:rPr>
        <w:t xml:space="preserve"> sféře</w:t>
      </w:r>
      <w:r>
        <w:rPr>
          <w:szCs w:val="20"/>
        </w:rPr>
        <w:t xml:space="preserve">, rostly mezi lety 2013 až 2017 jejich mzdy pomaleji. Naopak mezi rokem 2017 až 2019 byl nárůst dynamičtější u mezd učitelů. Během tohoto období vzrostla </w:t>
      </w:r>
      <w:r w:rsidRPr="00841A41">
        <w:rPr>
          <w:b/>
          <w:szCs w:val="20"/>
        </w:rPr>
        <w:t>reálná mzda</w:t>
      </w:r>
      <w:r w:rsidRPr="00841A41">
        <w:rPr>
          <w:rStyle w:val="Znakapoznpodarou"/>
          <w:b/>
          <w:szCs w:val="20"/>
        </w:rPr>
        <w:footnoteReference w:id="5"/>
      </w:r>
      <w:r>
        <w:rPr>
          <w:sz w:val="13"/>
          <w:szCs w:val="13"/>
        </w:rPr>
        <w:t xml:space="preserve"> </w:t>
      </w:r>
      <w:r>
        <w:rPr>
          <w:szCs w:val="20"/>
        </w:rPr>
        <w:t>učitelů v regionálním školství o 22 % (6,6 tis. Kč), v celé platové sféře byl nárůst 15 % (4,7 tis. Kč). V roce 2020 však opět meziročně vzrostla o něco rychleji platová sféra (o 7 % - 2,3 tis. Kč) než mzdy učitelů (o 6 % - 2,1 tis. Kč).</w:t>
      </w:r>
    </w:p>
    <w:bookmarkEnd w:id="1"/>
    <w:p w14:paraId="59AB1F4B" w14:textId="779756D1" w:rsidR="004D19DD" w:rsidRDefault="004D19DD" w:rsidP="00E968A7">
      <w:pPr>
        <w:spacing w:after="120"/>
        <w:jc w:val="both"/>
      </w:pPr>
      <w:r w:rsidRPr="002F40FA">
        <w:rPr>
          <w:b/>
        </w:rPr>
        <w:lastRenderedPageBreak/>
        <w:t>S rostoucím věkem</w:t>
      </w:r>
      <w:r w:rsidRPr="002F40FA">
        <w:t xml:space="preserve">, resp. </w:t>
      </w:r>
      <w:r w:rsidRPr="002F40FA">
        <w:rPr>
          <w:b/>
        </w:rPr>
        <w:t>delší dobou praxe</w:t>
      </w:r>
      <w:r w:rsidRPr="002F40FA">
        <w:t xml:space="preserve"> roste mzda, kterou učitelé pobírají. Učitelé v regionálním školství mladší 35 let v roce 20</w:t>
      </w:r>
      <w:r w:rsidR="002F40FA">
        <w:t>20</w:t>
      </w:r>
      <w:r w:rsidRPr="002F40FA">
        <w:t xml:space="preserve"> pobírali v průměru </w:t>
      </w:r>
      <w:r w:rsidR="002F40FA">
        <w:t>37,6</w:t>
      </w:r>
      <w:r w:rsidRPr="002F40FA">
        <w:t xml:space="preserve"> tis. Kč. Jej</w:t>
      </w:r>
      <w:r w:rsidR="006F6A7A">
        <w:t>i</w:t>
      </w:r>
      <w:r w:rsidRPr="002F40FA">
        <w:t>ch kolegové starší 55 let vydělávali o </w:t>
      </w:r>
      <w:r w:rsidR="002F40FA">
        <w:t>9</w:t>
      </w:r>
      <w:r w:rsidRPr="002F40FA">
        <w:t xml:space="preserve"> tis. Kč více. Největší </w:t>
      </w:r>
      <w:r w:rsidR="00841A41">
        <w:t xml:space="preserve">nominální </w:t>
      </w:r>
      <w:r w:rsidRPr="002F40FA">
        <w:t>růst mezd mezi roky 201</w:t>
      </w:r>
      <w:r w:rsidR="00F9402A">
        <w:t>5</w:t>
      </w:r>
      <w:r w:rsidRPr="002F40FA">
        <w:t>–20</w:t>
      </w:r>
      <w:r w:rsidR="002F40FA">
        <w:t>20</w:t>
      </w:r>
      <w:r w:rsidRPr="002F40FA">
        <w:t xml:space="preserve"> zaznamenali učitelé na základních školách ve věkové kategorii 55 a více let. Polepšili si o </w:t>
      </w:r>
      <w:r w:rsidR="00841A41">
        <w:t>18</w:t>
      </w:r>
      <w:r w:rsidR="002F40FA">
        <w:t>,</w:t>
      </w:r>
      <w:r w:rsidR="00841A41">
        <w:t>0</w:t>
      </w:r>
      <w:r w:rsidRPr="002F40FA">
        <w:t xml:space="preserve"> tis. Kč. </w:t>
      </w:r>
      <w:r w:rsidR="00841A41">
        <w:t>Hrubá měsíční mzda učitelů v tomto věku byla na základních školách o 9,3 tis. Kč vyšší než jejich kolegů v mateřských školách</w:t>
      </w:r>
      <w:r w:rsidR="007D02E5">
        <w:t xml:space="preserve"> ve stejné věkové kategorii</w:t>
      </w:r>
      <w:r w:rsidR="00841A41">
        <w:t xml:space="preserve">. </w:t>
      </w:r>
      <w:r w:rsidRPr="002F40FA">
        <w:t xml:space="preserve">Naopak nejmenšího absolutního progresu se </w:t>
      </w:r>
      <w:r w:rsidR="00841A41">
        <w:t>mezi roky 2015 a 2020</w:t>
      </w:r>
      <w:r w:rsidRPr="002F40FA">
        <w:t xml:space="preserve"> </w:t>
      </w:r>
      <w:r w:rsidR="007D02E5" w:rsidRPr="002F40FA">
        <w:t xml:space="preserve">dočkaly </w:t>
      </w:r>
      <w:r w:rsidRPr="002F40FA">
        <w:t xml:space="preserve">učitelky v mateřských školách ve věkové skupině </w:t>
      </w:r>
      <w:r w:rsidR="00841A41">
        <w:t>30-</w:t>
      </w:r>
      <w:r w:rsidRPr="002F40FA">
        <w:t>34 let, a sice o 1</w:t>
      </w:r>
      <w:r w:rsidR="00841A41">
        <w:t>0</w:t>
      </w:r>
      <w:r w:rsidRPr="002F40FA">
        <w:t>,</w:t>
      </w:r>
      <w:r w:rsidR="00841A41">
        <w:t>5</w:t>
      </w:r>
      <w:r w:rsidRPr="002F40FA">
        <w:t xml:space="preserve"> tis. Kč. </w:t>
      </w:r>
      <w:r w:rsidR="00841A41">
        <w:t xml:space="preserve">V roce 2020 dosáhla jejich hrubá měsíční mzda 33,9 tis. Kč v porovnání </w:t>
      </w:r>
      <w:r w:rsidR="006D1C5E">
        <w:t xml:space="preserve">s 40,8 tis. Kč u učitelů </w:t>
      </w:r>
      <w:r w:rsidR="00EA3BE3">
        <w:t xml:space="preserve">ve stejném věku </w:t>
      </w:r>
      <w:r w:rsidR="006D1C5E">
        <w:t>na základních školách.</w:t>
      </w:r>
    </w:p>
    <w:p w14:paraId="3C47BDCF" w14:textId="1F878ABC" w:rsidR="00F9402A" w:rsidRPr="00B45C82" w:rsidRDefault="00F9402A" w:rsidP="00F9402A">
      <w:pPr>
        <w:spacing w:after="0"/>
        <w:jc w:val="both"/>
        <w:rPr>
          <w:b/>
        </w:rPr>
      </w:pPr>
      <w:r w:rsidRPr="00B45C82">
        <w:rPr>
          <w:b/>
        </w:rPr>
        <w:t xml:space="preserve">Graf </w:t>
      </w:r>
      <w:r w:rsidR="006D1C5E">
        <w:rPr>
          <w:b/>
        </w:rPr>
        <w:t>6</w:t>
      </w:r>
      <w:r w:rsidR="007B3BB2">
        <w:rPr>
          <w:b/>
        </w:rPr>
        <w:t>:</w:t>
      </w:r>
      <w:r w:rsidRPr="00B45C82">
        <w:rPr>
          <w:b/>
        </w:rPr>
        <w:t xml:space="preserve"> </w:t>
      </w:r>
      <w:r w:rsidRPr="00F9402A">
        <w:rPr>
          <w:b/>
        </w:rPr>
        <w:t xml:space="preserve">Srovnání výdělků učitelů v mateřských </w:t>
      </w:r>
      <w:r>
        <w:rPr>
          <w:b/>
        </w:rPr>
        <w:t xml:space="preserve">a základních </w:t>
      </w:r>
      <w:r w:rsidRPr="00F9402A">
        <w:rPr>
          <w:b/>
        </w:rPr>
        <w:t xml:space="preserve">školách </w:t>
      </w:r>
      <w:r>
        <w:rPr>
          <w:b/>
        </w:rPr>
        <w:t>podle jejich věku</w:t>
      </w:r>
      <w:r w:rsidRPr="00F9402A">
        <w:rPr>
          <w:b/>
        </w:rPr>
        <w:t xml:space="preserve"> </w:t>
      </w:r>
      <w:r w:rsidR="00BA1D77">
        <w:rPr>
          <w:b/>
        </w:rPr>
        <w:t xml:space="preserve">v letech 2015 </w:t>
      </w:r>
      <w:r w:rsidR="00CF7555">
        <w:rPr>
          <w:b/>
        </w:rPr>
        <w:t>a</w:t>
      </w:r>
      <w:r w:rsidR="00CF7555">
        <w:rPr>
          <w:b/>
        </w:rPr>
        <w:t> </w:t>
      </w:r>
      <w:r w:rsidR="00BA1D77">
        <w:rPr>
          <w:b/>
        </w:rPr>
        <w:t>2020</w:t>
      </w:r>
    </w:p>
    <w:p w14:paraId="27497156" w14:textId="4026C3D2" w:rsidR="00F9402A" w:rsidRDefault="006D1C5E" w:rsidP="00F9402A">
      <w:pPr>
        <w:spacing w:after="120"/>
        <w:jc w:val="both"/>
      </w:pPr>
      <w:r>
        <w:rPr>
          <w:noProof/>
        </w:rPr>
        <w:drawing>
          <wp:inline distT="0" distB="0" distL="0" distR="0" wp14:anchorId="2A33289B" wp14:editId="5B40CEF2">
            <wp:extent cx="6089650" cy="2879725"/>
            <wp:effectExtent l="0" t="0" r="6350" b="1587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8DC07E" w14:textId="77777777" w:rsidR="00F9402A" w:rsidRPr="00E968A7" w:rsidRDefault="00F9402A" w:rsidP="00F9402A">
      <w:pPr>
        <w:spacing w:after="120"/>
        <w:jc w:val="both"/>
        <w:rPr>
          <w:sz w:val="16"/>
        </w:rPr>
      </w:pPr>
      <w:r w:rsidRPr="00E968A7">
        <w:rPr>
          <w:sz w:val="16"/>
        </w:rPr>
        <w:t>Zdroj: ČSÚ podle údajů ze Strukturální mzdové statistiky</w:t>
      </w:r>
    </w:p>
    <w:p w14:paraId="122B8540" w14:textId="77777777" w:rsidR="00B6704C" w:rsidRDefault="004D19DD" w:rsidP="0024592D">
      <w:pPr>
        <w:jc w:val="both"/>
      </w:pPr>
      <w:r>
        <w:t xml:space="preserve">Co se týče </w:t>
      </w:r>
      <w:r w:rsidRPr="00AB52DA">
        <w:rPr>
          <w:b/>
        </w:rPr>
        <w:t>srovnání</w:t>
      </w:r>
      <w:r>
        <w:t xml:space="preserve"> mezd učitelů v regionálním školství </w:t>
      </w:r>
      <w:r w:rsidRPr="000F42E7">
        <w:rPr>
          <w:b/>
        </w:rPr>
        <w:t>v </w:t>
      </w:r>
      <w:r>
        <w:t xml:space="preserve">jednotlivých </w:t>
      </w:r>
      <w:r w:rsidRPr="000F42E7">
        <w:rPr>
          <w:b/>
        </w:rPr>
        <w:t>krajích</w:t>
      </w:r>
      <w:r>
        <w:t xml:space="preserve">, nejlépe si v roce </w:t>
      </w:r>
      <w:r w:rsidR="0048789D">
        <w:t xml:space="preserve">2020 </w:t>
      </w:r>
      <w:r>
        <w:t>vedl</w:t>
      </w:r>
      <w:r w:rsidR="0048789D">
        <w:t xml:space="preserve"> kraj Vysočina</w:t>
      </w:r>
      <w:r>
        <w:t xml:space="preserve"> s hrubou průměrnou měsíční mzdou </w:t>
      </w:r>
      <w:r w:rsidR="0048789D">
        <w:t>44,5</w:t>
      </w:r>
      <w:r>
        <w:t xml:space="preserve"> tis.</w:t>
      </w:r>
      <w:r w:rsidR="0048789D">
        <w:t xml:space="preserve"> Vůbec poprvé tak ve sledovaném období neměli největší mzdu učitelé z hl. města Prahy. Zajímavé je, že Vysočina se dlouhodobě pohybovala na spodním konci pořadí krajů, v roce 2014 zde měli učitelé mzdu vůbec nejnižší ze </w:t>
      </w:r>
      <w:r w:rsidR="00D052EB">
        <w:t>všech krajů (25,9 tis. Kč).</w:t>
      </w:r>
      <w:r w:rsidR="003D6FAF">
        <w:t xml:space="preserve"> V posledních dvou letech však zde</w:t>
      </w:r>
      <w:r w:rsidR="00D052EB">
        <w:t xml:space="preserve"> </w:t>
      </w:r>
      <w:r w:rsidR="003D6FAF">
        <w:t xml:space="preserve">platy </w:t>
      </w:r>
      <w:r w:rsidR="00D052EB">
        <w:t xml:space="preserve">meziročně rostly </w:t>
      </w:r>
      <w:r w:rsidR="003D6FAF">
        <w:t xml:space="preserve">ze všech krajů </w:t>
      </w:r>
      <w:r w:rsidR="00D052EB">
        <w:t>nejvíce.</w:t>
      </w:r>
      <w:r w:rsidR="003D6FAF">
        <w:t xml:space="preserve"> Nejnižší mzdy v roce 2020 měli učitelé v Královéhradeckém kraji (42,6 tis. Kč) a v Olomouckém kraji (42,7 tis. Kč).</w:t>
      </w:r>
    </w:p>
    <w:p w14:paraId="647F9EE0" w14:textId="77777777" w:rsidR="00B6704C" w:rsidRDefault="00B6704C">
      <w:pPr>
        <w:spacing w:after="0" w:line="240" w:lineRule="auto"/>
      </w:pPr>
      <w:r>
        <w:br w:type="page"/>
      </w:r>
    </w:p>
    <w:p w14:paraId="354A674B" w14:textId="74D251BD" w:rsidR="006D1C5E" w:rsidRPr="00B6704C" w:rsidRDefault="006D1C5E" w:rsidP="00B6704C">
      <w:pPr>
        <w:spacing w:after="0"/>
        <w:jc w:val="both"/>
        <w:rPr>
          <w:b/>
        </w:rPr>
      </w:pPr>
      <w:r w:rsidRPr="00B6704C">
        <w:rPr>
          <w:b/>
        </w:rPr>
        <w:lastRenderedPageBreak/>
        <w:t>Graf 7: Průměrná hrubá měsíční mzda učitelů v regionálním školství v porovnání k průměrné hrubé měsíční mzdě zaměstnanců s vysokoškolským vzděláním v Česku podle krajů, 2020</w:t>
      </w:r>
    </w:p>
    <w:p w14:paraId="402C09DB" w14:textId="2E23AC3C" w:rsidR="00B6704C" w:rsidRDefault="00B6704C" w:rsidP="006D1C5E">
      <w:pPr>
        <w:spacing w:after="0" w:line="240" w:lineRule="auto"/>
        <w:jc w:val="both"/>
        <w:rPr>
          <w:rFonts w:cs="Arial"/>
          <w:b/>
          <w:color w:val="000000"/>
          <w:szCs w:val="22"/>
        </w:rPr>
      </w:pPr>
      <w:r>
        <w:rPr>
          <w:noProof/>
        </w:rPr>
        <w:drawing>
          <wp:inline distT="0" distB="0" distL="0" distR="0" wp14:anchorId="299358CF" wp14:editId="0A8784CF">
            <wp:extent cx="6120130" cy="4178300"/>
            <wp:effectExtent l="0" t="0" r="13970" b="12700"/>
            <wp:docPr id="7" name="Graf 7">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698024" w14:textId="64A7EDDE" w:rsidR="006D1C5E" w:rsidRDefault="006D1C5E" w:rsidP="006D1C5E">
      <w:pPr>
        <w:spacing w:after="0" w:line="240" w:lineRule="auto"/>
        <w:jc w:val="both"/>
        <w:rPr>
          <w:rFonts w:cs="Arial"/>
          <w:b/>
          <w:color w:val="000000"/>
          <w:szCs w:val="22"/>
        </w:rPr>
      </w:pPr>
    </w:p>
    <w:p w14:paraId="68F92CFD" w14:textId="77777777" w:rsidR="006D1C5E" w:rsidRPr="00222F63" w:rsidRDefault="006D1C5E" w:rsidP="006D1C5E">
      <w:pPr>
        <w:spacing w:after="0" w:line="240" w:lineRule="auto"/>
        <w:jc w:val="both"/>
        <w:rPr>
          <w:rFonts w:cs="Arial"/>
          <w:color w:val="000000"/>
          <w:sz w:val="16"/>
          <w:szCs w:val="22"/>
        </w:rPr>
      </w:pPr>
      <w:r w:rsidRPr="00222F63">
        <w:rPr>
          <w:rFonts w:cs="Arial"/>
          <w:color w:val="000000"/>
          <w:sz w:val="16"/>
          <w:szCs w:val="22"/>
        </w:rPr>
        <w:t>Pozn.: vysokoškolské vzdělání zahrnuje magisterský a doktorský stupeň</w:t>
      </w:r>
    </w:p>
    <w:p w14:paraId="3A3FE7C3" w14:textId="636BB783" w:rsidR="006D1C5E" w:rsidRDefault="006D1C5E" w:rsidP="006D1C5E">
      <w:pPr>
        <w:spacing w:after="0" w:line="240" w:lineRule="auto"/>
        <w:jc w:val="both"/>
        <w:rPr>
          <w:rFonts w:cs="Arial"/>
          <w:sz w:val="16"/>
          <w:szCs w:val="16"/>
        </w:rPr>
      </w:pPr>
      <w:r w:rsidRPr="00222F63">
        <w:rPr>
          <w:rFonts w:cs="Arial"/>
          <w:sz w:val="16"/>
          <w:szCs w:val="16"/>
        </w:rPr>
        <w:t>Zdroj: ČSÚ podle údajů ze Strukturální mzdové statistiky</w:t>
      </w:r>
    </w:p>
    <w:p w14:paraId="366C1740" w14:textId="77777777" w:rsidR="00EA3BE3" w:rsidRDefault="00EA3BE3" w:rsidP="006D1C5E">
      <w:pPr>
        <w:spacing w:after="0" w:line="240" w:lineRule="auto"/>
        <w:jc w:val="both"/>
        <w:rPr>
          <w:rFonts w:cs="Arial"/>
          <w:sz w:val="16"/>
          <w:szCs w:val="16"/>
        </w:rPr>
      </w:pPr>
    </w:p>
    <w:p w14:paraId="109942BB" w14:textId="7D2F2D31" w:rsidR="0048789D" w:rsidRDefault="00EC3506" w:rsidP="0024592D">
      <w:pPr>
        <w:jc w:val="both"/>
      </w:pPr>
      <w:r>
        <w:t xml:space="preserve">V roce 2020 </w:t>
      </w:r>
      <w:r w:rsidR="0096504D">
        <w:t xml:space="preserve">se také poprvé od roku 2014 snížil rozdíl mezi jednotlivými kraji. Zatímco v roce 2014 se mzdy učitelů ve všech krajích vešly do pásma 1,5 tis. Kč, v roce 2019 představoval rozdíl dvou extrémních hodnot již 4,6 tis. </w:t>
      </w:r>
      <w:r w:rsidR="00EA3BE3">
        <w:t>V</w:t>
      </w:r>
      <w:r w:rsidR="0096504D">
        <w:t> roce 2020 však došlo k poklesu na hodnotu pouze 1,9 tis. Kč. Ačkoliv učitelé v Praze dlouhodobě pobírají v rámci České republiky nejvíce (nebo skoro nejvíce), tak v roce 2020 dosahovali pouze na 92 % hrubé průměrné mzdy všech pražských zaměstnanců. Praha tak byla jediným krajem, kde učitelé pobírali nižší mzdu, než byl krajský průměr za všechna odvětví.</w:t>
      </w:r>
      <w:r w:rsidR="0080745D">
        <w:t xml:space="preserve"> Naopak v Karlovarském kraji průměrná hrubá měsíční mzda učitelů v regionálním školství představovala 130 % průměrné celokrajské mzdy v národním hospodářství.</w:t>
      </w:r>
    </w:p>
    <w:p w14:paraId="42CBE42C" w14:textId="17ED08BE" w:rsidR="004D19DD" w:rsidRDefault="004D19DD" w:rsidP="0024592D">
      <w:pPr>
        <w:jc w:val="both"/>
      </w:pPr>
      <w:r>
        <w:t>Mzdy učitel</w:t>
      </w:r>
      <w:r w:rsidR="006E6918">
        <w:t>ek</w:t>
      </w:r>
      <w:r>
        <w:t xml:space="preserve"> </w:t>
      </w:r>
      <w:r w:rsidRPr="00FA3DAF">
        <w:rPr>
          <w:b/>
        </w:rPr>
        <w:t>v mateřských školách</w:t>
      </w:r>
      <w:r>
        <w:t xml:space="preserve"> </w:t>
      </w:r>
      <w:r w:rsidR="007D02E5">
        <w:t xml:space="preserve">se </w:t>
      </w:r>
      <w:r>
        <w:t>mezi jednotlivými kraji liší daleko méně. Nejvíce pobíral</w:t>
      </w:r>
      <w:r w:rsidR="006E6918">
        <w:t>y</w:t>
      </w:r>
      <w:r>
        <w:t xml:space="preserve"> učitel</w:t>
      </w:r>
      <w:r w:rsidR="006E6918">
        <w:t>ky</w:t>
      </w:r>
      <w:r>
        <w:t xml:space="preserve"> v</w:t>
      </w:r>
      <w:r w:rsidR="00074A7E">
        <w:t> Plzeňském a Jihočeském kraji (37,9 a 37,7 tis. Kč</w:t>
      </w:r>
      <w:r w:rsidR="00A8331D">
        <w:t>)</w:t>
      </w:r>
      <w:r>
        <w:t>. Naopak nejméně (</w:t>
      </w:r>
      <w:r w:rsidR="00074A7E">
        <w:t>35,1</w:t>
      </w:r>
      <w:r>
        <w:t xml:space="preserve"> tis. Kč) v průměru vydělával</w:t>
      </w:r>
      <w:r w:rsidR="006E6918">
        <w:t>y</w:t>
      </w:r>
      <w:r>
        <w:t xml:space="preserve"> učitel</w:t>
      </w:r>
      <w:r w:rsidR="006E6918">
        <w:t>ky</w:t>
      </w:r>
      <w:r>
        <w:t xml:space="preserve"> ve školkách v Olomouckém kraji. Průměrná hrubá měsíční mzda učitel</w:t>
      </w:r>
      <w:r w:rsidR="006E6918">
        <w:t>ek</w:t>
      </w:r>
      <w:r>
        <w:t xml:space="preserve"> v pražských mateřských školách byla </w:t>
      </w:r>
      <w:r w:rsidR="00074A7E">
        <w:t xml:space="preserve">mírně pod hodnotou </w:t>
      </w:r>
      <w:r>
        <w:t>za celou republiku a činila 7</w:t>
      </w:r>
      <w:r w:rsidR="00074A7E">
        <w:t>5</w:t>
      </w:r>
      <w:r>
        <w:t>% podíl průměrné hrubé měsíční mzdy zaměstnanců v Praze v roce 20</w:t>
      </w:r>
      <w:r w:rsidR="00074A7E">
        <w:t>20</w:t>
      </w:r>
      <w:r>
        <w:t xml:space="preserve">. Naproti tomu </w:t>
      </w:r>
      <w:r w:rsidR="00074A7E">
        <w:t>v Karlovarském kraji</w:t>
      </w:r>
      <w:r>
        <w:t xml:space="preserve"> představovala 10</w:t>
      </w:r>
      <w:r w:rsidR="00074A7E">
        <w:t>9</w:t>
      </w:r>
      <w:r>
        <w:t xml:space="preserve"> %</w:t>
      </w:r>
      <w:r w:rsidR="00B6704C">
        <w:t xml:space="preserve"> ve srovnání s krajským průměrem.</w:t>
      </w:r>
      <w:r w:rsidR="00B6704C" w:rsidDel="00B6704C">
        <w:t xml:space="preserve"> </w:t>
      </w:r>
    </w:p>
    <w:p w14:paraId="24BC96BD" w14:textId="12202267" w:rsidR="006F0938" w:rsidRDefault="004D19DD" w:rsidP="0024592D">
      <w:pPr>
        <w:jc w:val="both"/>
      </w:pPr>
      <w:r>
        <w:t xml:space="preserve">Výsadní postavení ve mzdách učitelů </w:t>
      </w:r>
      <w:r w:rsidRPr="00F50F03">
        <w:rPr>
          <w:b/>
        </w:rPr>
        <w:t>na základních školách</w:t>
      </w:r>
      <w:r>
        <w:t xml:space="preserve"> </w:t>
      </w:r>
      <w:r w:rsidR="006F0938">
        <w:t>měla až do roku 2020 Praha</w:t>
      </w:r>
      <w:r>
        <w:t>.</w:t>
      </w:r>
      <w:r w:rsidR="006F0938">
        <w:t xml:space="preserve"> Ale zatímco v ostatních krajích mezi lety 2019 a 2020 jejich mzda vzrostla o 3,7 až 6 tisíc, tak pražským učitelům se v průměru zvýšila o pouhých 100 Kč. Na první příčku se tak dostali učitelé ze základních škol na Vysočině, jejichž průměrná hrubá měsíční mzda v roce 2020 činila 46,2 tis. Kč. Naopak učitelé v Královéhradeckém kraji vydělávali v průměru 44,4 tis. Kč. V relaci ke krajské průměrné hrubé mzdě zaměstnanců s vysokoškolským vzděláním však pobírali nejvíce učitelé v Karlovarském a Zlínském kraji (93 % a 92 %) a nejméně učitelé v Praze (68 %).</w:t>
      </w:r>
    </w:p>
    <w:p w14:paraId="37E50722" w14:textId="71AE2C91" w:rsidR="004D19DD" w:rsidRDefault="004D19DD" w:rsidP="00644048">
      <w:pPr>
        <w:jc w:val="both"/>
      </w:pPr>
      <w:r>
        <w:lastRenderedPageBreak/>
        <w:t xml:space="preserve">Obdobná situace je patrná u </w:t>
      </w:r>
      <w:r w:rsidRPr="0029694A">
        <w:rPr>
          <w:b/>
        </w:rPr>
        <w:t>středních škol</w:t>
      </w:r>
      <w:r>
        <w:t xml:space="preserve">. Mezi výdělky učitelů opět </w:t>
      </w:r>
      <w:r w:rsidR="0072564B">
        <w:t xml:space="preserve">až do roku 2019 dominovala Praha, ale v roce 2020 ji předběhly Středočeský kraj (47,9 tis. Kč) a Vysočina (47,8 tis. Kč). Nejnižší průměrný výdělek učitelů na středních školách (44,2 tis. Kč) vykazoval Pardubický kraj. Učitelé v Karlovarském kraji pobírali </w:t>
      </w:r>
      <w:r w:rsidR="00A8331D">
        <w:t>96 </w:t>
      </w:r>
      <w:r w:rsidR="0072564B">
        <w:t>% toho, co tamní zaměstnanci s vysokoškolským vzděláním, naopak jejich kolegové v hlavním městě dosáhli jen na 70 % průměrné mzdy pražských zaměstnanců s vysokoškolským vzděláním.</w:t>
      </w:r>
    </w:p>
    <w:p w14:paraId="4B8D7CEF" w14:textId="77777777" w:rsidR="00560259" w:rsidRDefault="00560259" w:rsidP="00560259">
      <w:pPr>
        <w:spacing w:after="0" w:line="240" w:lineRule="auto"/>
        <w:jc w:val="both"/>
        <w:rPr>
          <w:rFonts w:cs="Arial"/>
          <w:b/>
          <w:color w:val="000000"/>
          <w:szCs w:val="22"/>
        </w:rPr>
      </w:pPr>
      <w:r>
        <w:rPr>
          <w:rFonts w:cs="Arial"/>
          <w:b/>
          <w:color w:val="000000"/>
          <w:szCs w:val="22"/>
        </w:rPr>
        <w:t xml:space="preserve">Kartogram 1: </w:t>
      </w:r>
      <w:r w:rsidRPr="0078151C">
        <w:rPr>
          <w:rFonts w:cs="Arial"/>
          <w:b/>
          <w:color w:val="000000"/>
          <w:szCs w:val="22"/>
        </w:rPr>
        <w:t>Průměrná hrubá měsíční mzda učitelů v regionálním školství v krajích ČR</w:t>
      </w:r>
      <w:r>
        <w:rPr>
          <w:rFonts w:cs="Arial"/>
          <w:b/>
          <w:color w:val="000000"/>
          <w:szCs w:val="22"/>
        </w:rPr>
        <w:t>, 2020</w:t>
      </w:r>
    </w:p>
    <w:p w14:paraId="0DFEC1AE" w14:textId="77777777" w:rsidR="00560259" w:rsidRDefault="00560259" w:rsidP="00560259">
      <w:pPr>
        <w:spacing w:after="0" w:line="240" w:lineRule="auto"/>
        <w:jc w:val="both"/>
        <w:rPr>
          <w:rFonts w:cs="Arial"/>
          <w:b/>
          <w:color w:val="000000"/>
          <w:szCs w:val="22"/>
        </w:rPr>
      </w:pPr>
      <w:r>
        <w:rPr>
          <w:rFonts w:cs="Arial"/>
          <w:b/>
          <w:noProof/>
          <w:color w:val="000000"/>
          <w:szCs w:val="22"/>
        </w:rPr>
        <w:drawing>
          <wp:inline distT="0" distB="0" distL="0" distR="0" wp14:anchorId="4CF24847" wp14:editId="0D84CA08">
            <wp:extent cx="6000750" cy="35718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zdy_učitelů.png"/>
                    <pic:cNvPicPr/>
                  </pic:nvPicPr>
                  <pic:blipFill rotWithShape="1">
                    <a:blip r:embed="rId15">
                      <a:extLst>
                        <a:ext uri="{28A0092B-C50C-407E-A947-70E740481C1C}">
                          <a14:useLocalDpi xmlns:a14="http://schemas.microsoft.com/office/drawing/2010/main" val="0"/>
                        </a:ext>
                      </a:extLst>
                    </a:blip>
                    <a:srcRect b="12619"/>
                    <a:stretch/>
                  </pic:blipFill>
                  <pic:spPr bwMode="auto">
                    <a:xfrm>
                      <a:off x="0" y="0"/>
                      <a:ext cx="6000750" cy="3571875"/>
                    </a:xfrm>
                    <a:prstGeom prst="rect">
                      <a:avLst/>
                    </a:prstGeom>
                    <a:ln>
                      <a:noFill/>
                    </a:ln>
                    <a:extLst>
                      <a:ext uri="{53640926-AAD7-44D8-BBD7-CCE9431645EC}">
                        <a14:shadowObscured xmlns:a14="http://schemas.microsoft.com/office/drawing/2010/main"/>
                      </a:ext>
                    </a:extLst>
                  </pic:spPr>
                </pic:pic>
              </a:graphicData>
            </a:graphic>
          </wp:inline>
        </w:drawing>
      </w:r>
    </w:p>
    <w:p w14:paraId="58210A9E" w14:textId="77777777" w:rsidR="00560259" w:rsidRDefault="00560259" w:rsidP="00560259">
      <w:pPr>
        <w:jc w:val="both"/>
        <w:rPr>
          <w:rFonts w:cs="Arial"/>
          <w:sz w:val="16"/>
          <w:szCs w:val="16"/>
        </w:rPr>
      </w:pPr>
    </w:p>
    <w:p w14:paraId="41F0BCF3" w14:textId="55B33C66" w:rsidR="00560259" w:rsidRPr="004D19DD" w:rsidRDefault="00560259" w:rsidP="00560259">
      <w:pPr>
        <w:jc w:val="both"/>
      </w:pPr>
      <w:r w:rsidRPr="00222F63">
        <w:rPr>
          <w:rFonts w:cs="Arial"/>
          <w:sz w:val="16"/>
          <w:szCs w:val="16"/>
        </w:rPr>
        <w:t>Zdroj: ČSÚ podle údajů ze Strukturální mzdové statistiky</w:t>
      </w:r>
    </w:p>
    <w:sectPr w:rsidR="00560259" w:rsidRPr="004D19DD" w:rsidSect="00D1639F">
      <w:headerReference w:type="even" r:id="rId16"/>
      <w:headerReference w:type="default" r:id="rId17"/>
      <w:footerReference w:type="even" r:id="rId18"/>
      <w:footerReference w:type="default" r:id="rId19"/>
      <w:pgSz w:w="11906" w:h="16838" w:code="9"/>
      <w:pgMar w:top="1134" w:right="1134" w:bottom="1418" w:left="1134" w:header="680" w:footer="680"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01A1C" w14:textId="77777777" w:rsidR="008905D5" w:rsidRDefault="008905D5" w:rsidP="00E71A58">
      <w:r>
        <w:separator/>
      </w:r>
    </w:p>
  </w:endnote>
  <w:endnote w:type="continuationSeparator" w:id="0">
    <w:p w14:paraId="565B028A" w14:textId="77777777" w:rsidR="008905D5" w:rsidRDefault="008905D5"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16A8" w14:textId="60027CAE" w:rsidR="007661E9" w:rsidRPr="00932443" w:rsidRDefault="00016992" w:rsidP="00A418BC">
    <w:pPr>
      <w:pStyle w:val="Zpat"/>
      <w:rPr>
        <w:szCs w:val="16"/>
      </w:rPr>
    </w:pPr>
    <w:r>
      <w:rPr>
        <w:szCs w:val="16"/>
        <w:lang w:eastAsia="cs-CZ"/>
      </w:rPr>
      <w:drawing>
        <wp:anchor distT="0" distB="0" distL="114300" distR="114300" simplePos="0" relativeHeight="251658752" behindDoc="0" locked="0" layoutInCell="1" allowOverlap="1" wp14:anchorId="231D5EB5" wp14:editId="38C70FDC">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7BF" w:rsidRPr="00932443">
      <w:rPr>
        <w:szCs w:val="16"/>
      </w:rPr>
      <w:fldChar w:fldCharType="begin"/>
    </w:r>
    <w:r w:rsidR="005647BF" w:rsidRPr="00932443">
      <w:rPr>
        <w:szCs w:val="16"/>
      </w:rPr>
      <w:instrText>PAGE   \* MERGEFORMAT</w:instrText>
    </w:r>
    <w:r w:rsidR="005647BF" w:rsidRPr="00932443">
      <w:rPr>
        <w:szCs w:val="16"/>
      </w:rPr>
      <w:fldChar w:fldCharType="separate"/>
    </w:r>
    <w:r w:rsidR="007D02E5">
      <w:rPr>
        <w:szCs w:val="16"/>
      </w:rPr>
      <w:t>6</w:t>
    </w:r>
    <w:r w:rsidR="005647BF" w:rsidRPr="00932443">
      <w:rPr>
        <w:szCs w:val="16"/>
      </w:rPr>
      <w:fldChar w:fldCharType="end"/>
    </w:r>
    <w:r w:rsidR="005647BF" w:rsidRPr="00932443">
      <w:rPr>
        <w:szCs w:val="16"/>
      </w:rPr>
      <w:tab/>
    </w:r>
    <w:r w:rsidR="007105D4">
      <w:rPr>
        <w:szCs w:val="16"/>
      </w:rPr>
      <w:t>201</w:t>
    </w:r>
    <w:r w:rsidR="00DD7447">
      <w:rPr>
        <w:szCs w:val="16"/>
      </w:rPr>
      <w:t>3</w:t>
    </w:r>
    <w:r w:rsidR="007105D4">
      <w:rPr>
        <w:szCs w:val="16"/>
      </w:rPr>
      <w:t>–</w:t>
    </w:r>
    <w:r w:rsidR="009E20CA">
      <w:rPr>
        <w:szCs w:val="16"/>
      </w:rPr>
      <w:t>20</w:t>
    </w:r>
    <w:r w:rsidR="00DD7447">
      <w:rPr>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F52A" w14:textId="0D92B603" w:rsidR="00B80EC6" w:rsidRPr="00932443" w:rsidRDefault="00016992" w:rsidP="00A418BC">
    <w:pPr>
      <w:pStyle w:val="Zpat"/>
      <w:rPr>
        <w:szCs w:val="16"/>
      </w:rPr>
    </w:pPr>
    <w:r>
      <w:rPr>
        <w:szCs w:val="16"/>
        <w:lang w:eastAsia="cs-CZ"/>
      </w:rPr>
      <w:drawing>
        <wp:anchor distT="0" distB="0" distL="114300" distR="114300" simplePos="0" relativeHeight="251657728" behindDoc="0" locked="0" layoutInCell="1" allowOverlap="1" wp14:anchorId="47B8370D" wp14:editId="0124B62F">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7BF" w:rsidRPr="00932443">
      <w:rPr>
        <w:szCs w:val="16"/>
      </w:rPr>
      <w:tab/>
    </w:r>
    <w:r w:rsidR="007105D4">
      <w:rPr>
        <w:szCs w:val="16"/>
      </w:rPr>
      <w:t>201</w:t>
    </w:r>
    <w:r w:rsidR="00DD7447">
      <w:rPr>
        <w:szCs w:val="16"/>
      </w:rPr>
      <w:t>3</w:t>
    </w:r>
    <w:r w:rsidR="007105D4">
      <w:rPr>
        <w:szCs w:val="16"/>
      </w:rPr>
      <w:t>–</w:t>
    </w:r>
    <w:r w:rsidR="009E20CA">
      <w:rPr>
        <w:rStyle w:val="ZpatChar"/>
        <w:szCs w:val="16"/>
      </w:rPr>
      <w:t>20</w:t>
    </w:r>
    <w:r w:rsidR="00DD7447">
      <w:rPr>
        <w:rStyle w:val="ZpatChar"/>
        <w:szCs w:val="16"/>
      </w:rPr>
      <w:t>20</w:t>
    </w:r>
    <w:r w:rsidR="005647BF" w:rsidRPr="00932443">
      <w:rPr>
        <w:szCs w:val="16"/>
      </w:rPr>
      <w:tab/>
    </w:r>
    <w:r w:rsidR="005647BF" w:rsidRPr="00932443">
      <w:rPr>
        <w:rStyle w:val="ZpatChar"/>
        <w:szCs w:val="16"/>
      </w:rPr>
      <w:fldChar w:fldCharType="begin"/>
    </w:r>
    <w:r w:rsidR="005647BF" w:rsidRPr="00932443">
      <w:rPr>
        <w:rStyle w:val="ZpatChar"/>
        <w:szCs w:val="16"/>
      </w:rPr>
      <w:instrText>PAGE   \* MERGEFORMAT</w:instrText>
    </w:r>
    <w:r w:rsidR="005647BF" w:rsidRPr="00932443">
      <w:rPr>
        <w:rStyle w:val="ZpatChar"/>
        <w:szCs w:val="16"/>
      </w:rPr>
      <w:fldChar w:fldCharType="separate"/>
    </w:r>
    <w:r w:rsidR="007D02E5">
      <w:rPr>
        <w:rStyle w:val="ZpatChar"/>
        <w:szCs w:val="16"/>
      </w:rPr>
      <w:t>11</w:t>
    </w:r>
    <w:r w:rsidR="005647BF"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E2C0C" w14:textId="77777777" w:rsidR="008905D5" w:rsidRDefault="008905D5" w:rsidP="00E71A58">
      <w:r>
        <w:separator/>
      </w:r>
    </w:p>
  </w:footnote>
  <w:footnote w:type="continuationSeparator" w:id="0">
    <w:p w14:paraId="6C54B0B7" w14:textId="77777777" w:rsidR="008905D5" w:rsidRDefault="008905D5" w:rsidP="00E71A58">
      <w:r>
        <w:continuationSeparator/>
      </w:r>
    </w:p>
  </w:footnote>
  <w:footnote w:id="1">
    <w:p w14:paraId="786DCEFC" w14:textId="396945EF" w:rsidR="004D19DD" w:rsidRPr="001C1508" w:rsidRDefault="004D19DD" w:rsidP="004D19DD">
      <w:pPr>
        <w:pStyle w:val="Textpoznpodarou"/>
        <w:jc w:val="both"/>
        <w:rPr>
          <w:sz w:val="18"/>
        </w:rPr>
      </w:pPr>
      <w:r w:rsidRPr="001C1508">
        <w:rPr>
          <w:rStyle w:val="Znakapoznpodarou"/>
          <w:sz w:val="18"/>
        </w:rPr>
        <w:footnoteRef/>
      </w:r>
      <w:r w:rsidRPr="001C1508">
        <w:rPr>
          <w:sz w:val="18"/>
        </w:rPr>
        <w:t xml:space="preserve"> Podle údajů MŠMT v České republice v roce 20</w:t>
      </w:r>
      <w:r w:rsidR="00F36023">
        <w:rPr>
          <w:sz w:val="18"/>
        </w:rPr>
        <w:t>20</w:t>
      </w:r>
      <w:r w:rsidRPr="001C1508">
        <w:rPr>
          <w:sz w:val="18"/>
        </w:rPr>
        <w:t xml:space="preserve"> v rámci regionálního školství působilo</w:t>
      </w:r>
      <w:r w:rsidR="00F30FD5">
        <w:rPr>
          <w:sz w:val="18"/>
        </w:rPr>
        <w:t> </w:t>
      </w:r>
      <w:r w:rsidR="009A4EDB">
        <w:rPr>
          <w:sz w:val="18"/>
        </w:rPr>
        <w:t>145 765</w:t>
      </w:r>
      <w:r w:rsidR="00F30FD5">
        <w:rPr>
          <w:sz w:val="18"/>
        </w:rPr>
        <w:t xml:space="preserve"> </w:t>
      </w:r>
      <w:r w:rsidRPr="001C1508">
        <w:rPr>
          <w:sz w:val="18"/>
        </w:rPr>
        <w:t xml:space="preserve">učitelů. </w:t>
      </w:r>
      <w:r w:rsidR="000975EF">
        <w:rPr>
          <w:sz w:val="18"/>
        </w:rPr>
        <w:t>33</w:t>
      </w:r>
      <w:r w:rsidR="009A4EDB">
        <w:rPr>
          <w:sz w:val="18"/>
        </w:rPr>
        <w:t xml:space="preserve"> </w:t>
      </w:r>
      <w:r w:rsidR="000975EF">
        <w:rPr>
          <w:sz w:val="18"/>
        </w:rPr>
        <w:t xml:space="preserve">024 </w:t>
      </w:r>
      <w:r>
        <w:rPr>
          <w:sz w:val="18"/>
        </w:rPr>
        <w:t>učilo v mateřských školách,</w:t>
      </w:r>
      <w:r w:rsidR="0024592D">
        <w:rPr>
          <w:sz w:val="18"/>
        </w:rPr>
        <w:t xml:space="preserve"> </w:t>
      </w:r>
      <w:r w:rsidR="000975EF">
        <w:rPr>
          <w:sz w:val="18"/>
        </w:rPr>
        <w:t xml:space="preserve">69 001 </w:t>
      </w:r>
      <w:r>
        <w:rPr>
          <w:sz w:val="18"/>
        </w:rPr>
        <w:t>na základních školách,</w:t>
      </w:r>
      <w:r w:rsidR="0024592D">
        <w:rPr>
          <w:sz w:val="18"/>
        </w:rPr>
        <w:t xml:space="preserve"> </w:t>
      </w:r>
      <w:r w:rsidR="00F30FD5">
        <w:rPr>
          <w:sz w:val="18"/>
        </w:rPr>
        <w:t xml:space="preserve">33 056 </w:t>
      </w:r>
      <w:r>
        <w:rPr>
          <w:sz w:val="18"/>
        </w:rPr>
        <w:t>na středních školách,</w:t>
      </w:r>
      <w:r w:rsidR="00F30FD5">
        <w:rPr>
          <w:sz w:val="18"/>
        </w:rPr>
        <w:t xml:space="preserve"> 966 </w:t>
      </w:r>
      <w:r>
        <w:rPr>
          <w:sz w:val="18"/>
        </w:rPr>
        <w:t>na konzervatořích a</w:t>
      </w:r>
      <w:r w:rsidR="0024592D">
        <w:rPr>
          <w:sz w:val="18"/>
        </w:rPr>
        <w:t xml:space="preserve"> </w:t>
      </w:r>
      <w:r w:rsidR="00F30FD5">
        <w:rPr>
          <w:sz w:val="18"/>
        </w:rPr>
        <w:t xml:space="preserve">857 </w:t>
      </w:r>
      <w:r>
        <w:rPr>
          <w:sz w:val="18"/>
        </w:rPr>
        <w:t xml:space="preserve">na VOŠ. </w:t>
      </w:r>
      <w:r w:rsidR="00D66341" w:rsidRPr="00D66341">
        <w:rPr>
          <w:sz w:val="18"/>
        </w:rPr>
        <w:t>Hodnoty jsou vypočteny jako průměr za 4 čtvrtletí a zahrnují též vedoucí pracovníky.</w:t>
      </w:r>
    </w:p>
  </w:footnote>
  <w:footnote w:id="2">
    <w:p w14:paraId="27AA964E" w14:textId="63FC90E2" w:rsidR="004D19DD" w:rsidRDefault="004D19DD" w:rsidP="004D19DD">
      <w:pPr>
        <w:pStyle w:val="Textpoznpodarou"/>
        <w:spacing w:before="60"/>
        <w:jc w:val="both"/>
      </w:pPr>
      <w:r w:rsidRPr="001C1508">
        <w:rPr>
          <w:rStyle w:val="Znakapoznpodarou"/>
          <w:sz w:val="18"/>
        </w:rPr>
        <w:footnoteRef/>
      </w:r>
      <w:r w:rsidRPr="001C1508">
        <w:rPr>
          <w:sz w:val="18"/>
        </w:rPr>
        <w:t xml:space="preserve"> Medián hrubé měsíční mzdy v roce 20</w:t>
      </w:r>
      <w:r w:rsidR="0035150B">
        <w:rPr>
          <w:sz w:val="18"/>
        </w:rPr>
        <w:t>20</w:t>
      </w:r>
      <w:r w:rsidRPr="001C1508">
        <w:rPr>
          <w:sz w:val="18"/>
        </w:rPr>
        <w:t xml:space="preserve"> činil </w:t>
      </w:r>
      <w:r w:rsidR="0035150B">
        <w:rPr>
          <w:sz w:val="18"/>
        </w:rPr>
        <w:t xml:space="preserve">43 130 </w:t>
      </w:r>
      <w:r w:rsidRPr="001C1508">
        <w:rPr>
          <w:sz w:val="18"/>
        </w:rPr>
        <w:t>Kč.</w:t>
      </w:r>
    </w:p>
  </w:footnote>
  <w:footnote w:id="3">
    <w:p w14:paraId="6D989181" w14:textId="620C9408" w:rsidR="0004038B" w:rsidRPr="0004038B" w:rsidRDefault="0004038B" w:rsidP="00893BA0">
      <w:pPr>
        <w:pStyle w:val="Textpoznpodarou"/>
        <w:spacing w:before="60"/>
        <w:jc w:val="both"/>
        <w:rPr>
          <w:sz w:val="18"/>
          <w:szCs w:val="18"/>
        </w:rPr>
      </w:pPr>
      <w:r w:rsidRPr="0004038B">
        <w:rPr>
          <w:rStyle w:val="Znakapoznpodarou"/>
          <w:sz w:val="18"/>
          <w:szCs w:val="18"/>
        </w:rPr>
        <w:footnoteRef/>
      </w:r>
      <w:r w:rsidRPr="0004038B">
        <w:rPr>
          <w:sz w:val="18"/>
          <w:szCs w:val="18"/>
        </w:rPr>
        <w:t xml:space="preserve"> Zdrojem dat pro zde uvedené údaje o mzdách učitelů v regionálním školství je speciální zpracování dat ze strukturální mzdové statistiky zaměstnanců.</w:t>
      </w:r>
      <w:r>
        <w:rPr>
          <w:sz w:val="18"/>
          <w:szCs w:val="18"/>
        </w:rPr>
        <w:t xml:space="preserve"> Tyto údaje s</w:t>
      </w:r>
      <w:r w:rsidRPr="0004038B">
        <w:rPr>
          <w:sz w:val="18"/>
          <w:szCs w:val="18"/>
        </w:rPr>
        <w:t>e mohou z metodických důvodů lišit od údajů zveřejňovaných za mzdy učitelů Ministerstvem školství, mládeže a tělovýchovy získané v rámci jejich čtvrtletního statistického zjišťování P1-04</w:t>
      </w:r>
      <w:r>
        <w:rPr>
          <w:sz w:val="18"/>
          <w:szCs w:val="18"/>
        </w:rPr>
        <w:t>. Např. mezi</w:t>
      </w:r>
      <w:r w:rsidRPr="0004038B">
        <w:rPr>
          <w:sz w:val="18"/>
          <w:szCs w:val="18"/>
        </w:rPr>
        <w:t xml:space="preserve"> učitele, na rozdíl od údajů MŠMT ČR, nejsou zahrnuti ředitelé škol</w:t>
      </w:r>
      <w:r>
        <w:rPr>
          <w:sz w:val="18"/>
          <w:szCs w:val="18"/>
        </w:rPr>
        <w:t xml:space="preserve">. Pro vymezení učitelů se v rámci strukturální mzdové statistiky používá </w:t>
      </w:r>
      <w:r w:rsidRPr="0004038B">
        <w:rPr>
          <w:sz w:val="18"/>
          <w:szCs w:val="18"/>
        </w:rPr>
        <w:t>Klasifikace zaměstnání (CZ-ISCO), která je národní statistickou klasifikací vypracovanou na základě mezinárodního standardu ISCO-08</w:t>
      </w:r>
      <w:r>
        <w:rPr>
          <w:sz w:val="18"/>
          <w:szCs w:val="18"/>
        </w:rPr>
        <w:t>.</w:t>
      </w:r>
      <w:r w:rsidRPr="0004038B">
        <w:rPr>
          <w:sz w:val="18"/>
          <w:szCs w:val="18"/>
        </w:rPr>
        <w:t xml:space="preserve"> </w:t>
      </w:r>
      <w:r>
        <w:rPr>
          <w:sz w:val="18"/>
          <w:szCs w:val="18"/>
        </w:rPr>
        <w:t xml:space="preserve"> </w:t>
      </w:r>
      <w:r w:rsidRPr="0004038B">
        <w:rPr>
          <w:sz w:val="18"/>
          <w:szCs w:val="18"/>
        </w:rPr>
        <w:t xml:space="preserve">  </w:t>
      </w:r>
    </w:p>
    <w:p w14:paraId="6474008A" w14:textId="7580B5FA" w:rsidR="0004038B" w:rsidRDefault="0004038B">
      <w:pPr>
        <w:pStyle w:val="Textpoznpodarou"/>
      </w:pPr>
    </w:p>
  </w:footnote>
  <w:footnote w:id="4">
    <w:p w14:paraId="04036E5F" w14:textId="2219E885" w:rsidR="00210561" w:rsidRDefault="00210561" w:rsidP="0004038B">
      <w:pPr>
        <w:pStyle w:val="Textpoznpodarou"/>
        <w:spacing w:before="60"/>
      </w:pPr>
      <w:r>
        <w:rPr>
          <w:rStyle w:val="Znakapoznpodarou"/>
        </w:rPr>
        <w:footnoteRef/>
      </w:r>
      <w:r>
        <w:t xml:space="preserve"> </w:t>
      </w:r>
      <w:r w:rsidR="0004038B" w:rsidRPr="0004038B">
        <w:rPr>
          <w:sz w:val="18"/>
        </w:rPr>
        <w:t xml:space="preserve">V roce 2020 dosáhla průměrná hrubá měsíční mzda zaměstnanců s vysokoškolským vzděláním 58 393 Kč. </w:t>
      </w:r>
    </w:p>
  </w:footnote>
  <w:footnote w:id="5">
    <w:p w14:paraId="30BAEB28" w14:textId="77777777" w:rsidR="00841A41" w:rsidRDefault="00841A41" w:rsidP="00841A41">
      <w:pPr>
        <w:pStyle w:val="Textpoznpodarou"/>
        <w:spacing w:before="60"/>
      </w:pPr>
      <w:r>
        <w:rPr>
          <w:rStyle w:val="Znakapoznpodarou"/>
        </w:rPr>
        <w:footnoteRef/>
      </w:r>
      <w:r>
        <w:t xml:space="preserve"> </w:t>
      </w:r>
      <w:r w:rsidRPr="00FD1E79">
        <w:rPr>
          <w:sz w:val="18"/>
          <w:szCs w:val="16"/>
        </w:rPr>
        <w:t>Výpočet jako podíl nominální mzdy a indexu spotřebitelských cen, rok 2015=100.</w:t>
      </w:r>
      <w:r>
        <w:rPr>
          <w:sz w:val="18"/>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D74B" w14:textId="77777777" w:rsidR="00515C74" w:rsidRPr="009E20CA" w:rsidRDefault="009E20CA" w:rsidP="009E20CA">
    <w:pPr>
      <w:pStyle w:val="Zhlav"/>
    </w:pPr>
    <w:r>
      <w:t>Mzdy učitelů v regionálním školství</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FD10" w14:textId="77777777" w:rsidR="00B5752E" w:rsidRPr="006F5416" w:rsidRDefault="009E20CA" w:rsidP="00937AE2">
    <w:pPr>
      <w:pStyle w:val="Zhlav"/>
    </w:pPr>
    <w:r>
      <w:t>Mzdy učitelů v regionálním školství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5pt;height:11.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trackRevisions/>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0CA"/>
    <w:rsid w:val="0000209D"/>
    <w:rsid w:val="00004D5A"/>
    <w:rsid w:val="000056D5"/>
    <w:rsid w:val="0000767A"/>
    <w:rsid w:val="00010702"/>
    <w:rsid w:val="00016992"/>
    <w:rsid w:val="000234D6"/>
    <w:rsid w:val="00023D29"/>
    <w:rsid w:val="00026389"/>
    <w:rsid w:val="00031AE0"/>
    <w:rsid w:val="000322EF"/>
    <w:rsid w:val="00033FCD"/>
    <w:rsid w:val="0004038B"/>
    <w:rsid w:val="00041008"/>
    <w:rsid w:val="00041CEC"/>
    <w:rsid w:val="0004694F"/>
    <w:rsid w:val="000522E4"/>
    <w:rsid w:val="00060D04"/>
    <w:rsid w:val="000610E1"/>
    <w:rsid w:val="00062EC5"/>
    <w:rsid w:val="00062F22"/>
    <w:rsid w:val="000712B3"/>
    <w:rsid w:val="00074A7E"/>
    <w:rsid w:val="0008263E"/>
    <w:rsid w:val="00082C19"/>
    <w:rsid w:val="00085395"/>
    <w:rsid w:val="00087634"/>
    <w:rsid w:val="00087F2B"/>
    <w:rsid w:val="000974D1"/>
    <w:rsid w:val="000975EF"/>
    <w:rsid w:val="0009799E"/>
    <w:rsid w:val="000A1183"/>
    <w:rsid w:val="000A256D"/>
    <w:rsid w:val="000A3A2C"/>
    <w:rsid w:val="000A48D3"/>
    <w:rsid w:val="000B01C8"/>
    <w:rsid w:val="000B30FA"/>
    <w:rsid w:val="000C3408"/>
    <w:rsid w:val="000C6AFD"/>
    <w:rsid w:val="000D4C4C"/>
    <w:rsid w:val="000D5637"/>
    <w:rsid w:val="000E6FBD"/>
    <w:rsid w:val="00100F5C"/>
    <w:rsid w:val="0010437D"/>
    <w:rsid w:val="00104C4C"/>
    <w:rsid w:val="0012192F"/>
    <w:rsid w:val="00125D69"/>
    <w:rsid w:val="00130D29"/>
    <w:rsid w:val="001405FA"/>
    <w:rsid w:val="001425C3"/>
    <w:rsid w:val="0016256B"/>
    <w:rsid w:val="00163793"/>
    <w:rsid w:val="001706D6"/>
    <w:rsid w:val="001714F2"/>
    <w:rsid w:val="00184B08"/>
    <w:rsid w:val="00185010"/>
    <w:rsid w:val="001A0F8A"/>
    <w:rsid w:val="001A552F"/>
    <w:rsid w:val="001B2CA9"/>
    <w:rsid w:val="001B3110"/>
    <w:rsid w:val="001B4518"/>
    <w:rsid w:val="001B4729"/>
    <w:rsid w:val="001B6C09"/>
    <w:rsid w:val="001C05CD"/>
    <w:rsid w:val="001D184A"/>
    <w:rsid w:val="001D68B2"/>
    <w:rsid w:val="001F4597"/>
    <w:rsid w:val="001F4FE9"/>
    <w:rsid w:val="00210561"/>
    <w:rsid w:val="002118B9"/>
    <w:rsid w:val="002137EF"/>
    <w:rsid w:val="00217C5B"/>
    <w:rsid w:val="0022139E"/>
    <w:rsid w:val="00221965"/>
    <w:rsid w:val="002252E0"/>
    <w:rsid w:val="002255F6"/>
    <w:rsid w:val="00227850"/>
    <w:rsid w:val="00227A53"/>
    <w:rsid w:val="00230C6E"/>
    <w:rsid w:val="00232E2C"/>
    <w:rsid w:val="00236443"/>
    <w:rsid w:val="002436BA"/>
    <w:rsid w:val="00244A15"/>
    <w:rsid w:val="0024592D"/>
    <w:rsid w:val="00247319"/>
    <w:rsid w:val="0024799E"/>
    <w:rsid w:val="00253C0F"/>
    <w:rsid w:val="00260DC4"/>
    <w:rsid w:val="00271465"/>
    <w:rsid w:val="002843A6"/>
    <w:rsid w:val="00284695"/>
    <w:rsid w:val="00285412"/>
    <w:rsid w:val="002906B2"/>
    <w:rsid w:val="002A00BE"/>
    <w:rsid w:val="002A16D4"/>
    <w:rsid w:val="002A230C"/>
    <w:rsid w:val="002B43DC"/>
    <w:rsid w:val="002C1F06"/>
    <w:rsid w:val="002C43BD"/>
    <w:rsid w:val="002C5F3D"/>
    <w:rsid w:val="002D0E59"/>
    <w:rsid w:val="002D6795"/>
    <w:rsid w:val="002E02A1"/>
    <w:rsid w:val="002E4E4C"/>
    <w:rsid w:val="002F40FA"/>
    <w:rsid w:val="00304771"/>
    <w:rsid w:val="00304A49"/>
    <w:rsid w:val="003052D4"/>
    <w:rsid w:val="00306C5B"/>
    <w:rsid w:val="00311ED0"/>
    <w:rsid w:val="003209D6"/>
    <w:rsid w:val="00321924"/>
    <w:rsid w:val="0032656E"/>
    <w:rsid w:val="00332190"/>
    <w:rsid w:val="003378C4"/>
    <w:rsid w:val="00343CBA"/>
    <w:rsid w:val="00344668"/>
    <w:rsid w:val="003462D9"/>
    <w:rsid w:val="0035150B"/>
    <w:rsid w:val="00360C86"/>
    <w:rsid w:val="003657F3"/>
    <w:rsid w:val="003818DC"/>
    <w:rsid w:val="00381DE3"/>
    <w:rsid w:val="00384327"/>
    <w:rsid w:val="00385D98"/>
    <w:rsid w:val="003A2B4D"/>
    <w:rsid w:val="003A478C"/>
    <w:rsid w:val="003A5525"/>
    <w:rsid w:val="003A5DF1"/>
    <w:rsid w:val="003A6B38"/>
    <w:rsid w:val="003B5A32"/>
    <w:rsid w:val="003C3490"/>
    <w:rsid w:val="003D064F"/>
    <w:rsid w:val="003D5195"/>
    <w:rsid w:val="003D5815"/>
    <w:rsid w:val="003D6920"/>
    <w:rsid w:val="003D6FAF"/>
    <w:rsid w:val="003E4C91"/>
    <w:rsid w:val="003F313C"/>
    <w:rsid w:val="003F4B2C"/>
    <w:rsid w:val="003F551C"/>
    <w:rsid w:val="003F7D23"/>
    <w:rsid w:val="00407C13"/>
    <w:rsid w:val="00410638"/>
    <w:rsid w:val="004128E7"/>
    <w:rsid w:val="0042716F"/>
    <w:rsid w:val="00432A58"/>
    <w:rsid w:val="00434617"/>
    <w:rsid w:val="00440243"/>
    <w:rsid w:val="00440900"/>
    <w:rsid w:val="004441A0"/>
    <w:rsid w:val="00460FB3"/>
    <w:rsid w:val="00476240"/>
    <w:rsid w:val="00476439"/>
    <w:rsid w:val="0047735C"/>
    <w:rsid w:val="004776BC"/>
    <w:rsid w:val="0048139F"/>
    <w:rsid w:val="00481E40"/>
    <w:rsid w:val="00484ECE"/>
    <w:rsid w:val="0048675F"/>
    <w:rsid w:val="0048789D"/>
    <w:rsid w:val="004900FF"/>
    <w:rsid w:val="004915CB"/>
    <w:rsid w:val="004924DC"/>
    <w:rsid w:val="004A14E4"/>
    <w:rsid w:val="004A3212"/>
    <w:rsid w:val="004A61C5"/>
    <w:rsid w:val="004A7679"/>
    <w:rsid w:val="004A77DF"/>
    <w:rsid w:val="004B1417"/>
    <w:rsid w:val="004B55B7"/>
    <w:rsid w:val="004B6468"/>
    <w:rsid w:val="004C384C"/>
    <w:rsid w:val="004C3867"/>
    <w:rsid w:val="004C4CD0"/>
    <w:rsid w:val="004C70DC"/>
    <w:rsid w:val="004D0211"/>
    <w:rsid w:val="004D0794"/>
    <w:rsid w:val="004D19DD"/>
    <w:rsid w:val="004F06F5"/>
    <w:rsid w:val="004F33A0"/>
    <w:rsid w:val="00500A8A"/>
    <w:rsid w:val="00500D0D"/>
    <w:rsid w:val="005108C0"/>
    <w:rsid w:val="00511873"/>
    <w:rsid w:val="00512A2F"/>
    <w:rsid w:val="00513B7E"/>
    <w:rsid w:val="00515C74"/>
    <w:rsid w:val="0052007E"/>
    <w:rsid w:val="0052337A"/>
    <w:rsid w:val="00525137"/>
    <w:rsid w:val="005251DD"/>
    <w:rsid w:val="0053104B"/>
    <w:rsid w:val="00532CE7"/>
    <w:rsid w:val="0053324C"/>
    <w:rsid w:val="00534A28"/>
    <w:rsid w:val="00541508"/>
    <w:rsid w:val="005505AC"/>
    <w:rsid w:val="0055599F"/>
    <w:rsid w:val="00556D68"/>
    <w:rsid w:val="00556E51"/>
    <w:rsid w:val="00560259"/>
    <w:rsid w:val="005647BF"/>
    <w:rsid w:val="0057364B"/>
    <w:rsid w:val="00574773"/>
    <w:rsid w:val="005751DF"/>
    <w:rsid w:val="00583FFD"/>
    <w:rsid w:val="005911BE"/>
    <w:rsid w:val="00593152"/>
    <w:rsid w:val="005A10F2"/>
    <w:rsid w:val="005A21E0"/>
    <w:rsid w:val="005A28FF"/>
    <w:rsid w:val="005A3DF8"/>
    <w:rsid w:val="005A5549"/>
    <w:rsid w:val="005A644B"/>
    <w:rsid w:val="005B121D"/>
    <w:rsid w:val="005C06ED"/>
    <w:rsid w:val="005D5802"/>
    <w:rsid w:val="005D7890"/>
    <w:rsid w:val="005E326B"/>
    <w:rsid w:val="005E7C78"/>
    <w:rsid w:val="005F3EB1"/>
    <w:rsid w:val="005F5469"/>
    <w:rsid w:val="005F7FD0"/>
    <w:rsid w:val="00604307"/>
    <w:rsid w:val="0060487F"/>
    <w:rsid w:val="00604EAD"/>
    <w:rsid w:val="006104FB"/>
    <w:rsid w:val="00612A2F"/>
    <w:rsid w:val="00616E05"/>
    <w:rsid w:val="00624093"/>
    <w:rsid w:val="006262B1"/>
    <w:rsid w:val="006322CA"/>
    <w:rsid w:val="006404A7"/>
    <w:rsid w:val="00643C88"/>
    <w:rsid w:val="00644048"/>
    <w:rsid w:val="006451E4"/>
    <w:rsid w:val="00645B33"/>
    <w:rsid w:val="006516CB"/>
    <w:rsid w:val="00657E87"/>
    <w:rsid w:val="00664803"/>
    <w:rsid w:val="00665BA4"/>
    <w:rsid w:val="00667AF2"/>
    <w:rsid w:val="006710C9"/>
    <w:rsid w:val="00674D89"/>
    <w:rsid w:val="00675E37"/>
    <w:rsid w:val="0068174E"/>
    <w:rsid w:val="00681DCE"/>
    <w:rsid w:val="0068260E"/>
    <w:rsid w:val="00695A8E"/>
    <w:rsid w:val="00695BEF"/>
    <w:rsid w:val="006977F6"/>
    <w:rsid w:val="00697A13"/>
    <w:rsid w:val="006A109C"/>
    <w:rsid w:val="006A254F"/>
    <w:rsid w:val="006B344A"/>
    <w:rsid w:val="006B78D8"/>
    <w:rsid w:val="006C113F"/>
    <w:rsid w:val="006C123E"/>
    <w:rsid w:val="006C56D4"/>
    <w:rsid w:val="006C6924"/>
    <w:rsid w:val="006C7667"/>
    <w:rsid w:val="006C7CA6"/>
    <w:rsid w:val="006D1C5E"/>
    <w:rsid w:val="006D3E8A"/>
    <w:rsid w:val="006D5822"/>
    <w:rsid w:val="006D61F6"/>
    <w:rsid w:val="006E279A"/>
    <w:rsid w:val="006E313B"/>
    <w:rsid w:val="006E6918"/>
    <w:rsid w:val="006F0938"/>
    <w:rsid w:val="006F2056"/>
    <w:rsid w:val="006F44AA"/>
    <w:rsid w:val="006F5416"/>
    <w:rsid w:val="006F6A7A"/>
    <w:rsid w:val="006F7137"/>
    <w:rsid w:val="00706AD4"/>
    <w:rsid w:val="007105D4"/>
    <w:rsid w:val="007140BE"/>
    <w:rsid w:val="007147E0"/>
    <w:rsid w:val="00716476"/>
    <w:rsid w:val="007211F5"/>
    <w:rsid w:val="0072564B"/>
    <w:rsid w:val="00725BB5"/>
    <w:rsid w:val="00730AE8"/>
    <w:rsid w:val="00741493"/>
    <w:rsid w:val="00742F44"/>
    <w:rsid w:val="007468A8"/>
    <w:rsid w:val="00752180"/>
    <w:rsid w:val="00755202"/>
    <w:rsid w:val="00755D3A"/>
    <w:rsid w:val="007578D3"/>
    <w:rsid w:val="007609C6"/>
    <w:rsid w:val="0076175D"/>
    <w:rsid w:val="0076521E"/>
    <w:rsid w:val="007661E9"/>
    <w:rsid w:val="00776169"/>
    <w:rsid w:val="00776527"/>
    <w:rsid w:val="00776908"/>
    <w:rsid w:val="00780EF1"/>
    <w:rsid w:val="0078151C"/>
    <w:rsid w:val="00790764"/>
    <w:rsid w:val="0079295D"/>
    <w:rsid w:val="00793FAB"/>
    <w:rsid w:val="0079453C"/>
    <w:rsid w:val="00794677"/>
    <w:rsid w:val="007A0113"/>
    <w:rsid w:val="007B3BB2"/>
    <w:rsid w:val="007B4BD6"/>
    <w:rsid w:val="007B6689"/>
    <w:rsid w:val="007D02E5"/>
    <w:rsid w:val="007D40DF"/>
    <w:rsid w:val="007E59E1"/>
    <w:rsid w:val="007E7E61"/>
    <w:rsid w:val="007F0845"/>
    <w:rsid w:val="007F0EBB"/>
    <w:rsid w:val="007F366E"/>
    <w:rsid w:val="007F4202"/>
    <w:rsid w:val="007F5577"/>
    <w:rsid w:val="0080745D"/>
    <w:rsid w:val="00807C82"/>
    <w:rsid w:val="00816905"/>
    <w:rsid w:val="00821FF6"/>
    <w:rsid w:val="00825C4D"/>
    <w:rsid w:val="0083143E"/>
    <w:rsid w:val="00831CDE"/>
    <w:rsid w:val="00834304"/>
    <w:rsid w:val="00834FAA"/>
    <w:rsid w:val="00836086"/>
    <w:rsid w:val="00841A41"/>
    <w:rsid w:val="008430FE"/>
    <w:rsid w:val="0084708F"/>
    <w:rsid w:val="008477C8"/>
    <w:rsid w:val="0085114D"/>
    <w:rsid w:val="00852217"/>
    <w:rsid w:val="00855408"/>
    <w:rsid w:val="00856D65"/>
    <w:rsid w:val="0086183E"/>
    <w:rsid w:val="00861B41"/>
    <w:rsid w:val="00863434"/>
    <w:rsid w:val="00865202"/>
    <w:rsid w:val="00865E4C"/>
    <w:rsid w:val="008701E4"/>
    <w:rsid w:val="00875A32"/>
    <w:rsid w:val="00876086"/>
    <w:rsid w:val="008873D4"/>
    <w:rsid w:val="008905D5"/>
    <w:rsid w:val="00893BA0"/>
    <w:rsid w:val="00893E85"/>
    <w:rsid w:val="00894031"/>
    <w:rsid w:val="00895184"/>
    <w:rsid w:val="008B2E4E"/>
    <w:rsid w:val="008B7C02"/>
    <w:rsid w:val="008B7D2B"/>
    <w:rsid w:val="008C0049"/>
    <w:rsid w:val="008C0E88"/>
    <w:rsid w:val="008D1E6A"/>
    <w:rsid w:val="008D2A16"/>
    <w:rsid w:val="008E08BE"/>
    <w:rsid w:val="008E2C57"/>
    <w:rsid w:val="008E31FF"/>
    <w:rsid w:val="008E6F06"/>
    <w:rsid w:val="008E7FA7"/>
    <w:rsid w:val="008F029B"/>
    <w:rsid w:val="008F3FC9"/>
    <w:rsid w:val="008F585B"/>
    <w:rsid w:val="009003A8"/>
    <w:rsid w:val="00902500"/>
    <w:rsid w:val="00902EFF"/>
    <w:rsid w:val="00906401"/>
    <w:rsid w:val="0091155E"/>
    <w:rsid w:val="00912A92"/>
    <w:rsid w:val="0091728D"/>
    <w:rsid w:val="009206DE"/>
    <w:rsid w:val="0092180B"/>
    <w:rsid w:val="00921F14"/>
    <w:rsid w:val="00924AC8"/>
    <w:rsid w:val="0092597A"/>
    <w:rsid w:val="00932443"/>
    <w:rsid w:val="00937AE2"/>
    <w:rsid w:val="0094427A"/>
    <w:rsid w:val="0096504D"/>
    <w:rsid w:val="00974923"/>
    <w:rsid w:val="00980D3D"/>
    <w:rsid w:val="009823CF"/>
    <w:rsid w:val="00987A30"/>
    <w:rsid w:val="00992CF3"/>
    <w:rsid w:val="009968D6"/>
    <w:rsid w:val="009968F4"/>
    <w:rsid w:val="009A1CAB"/>
    <w:rsid w:val="009A4EDB"/>
    <w:rsid w:val="009A60D1"/>
    <w:rsid w:val="009B6FD3"/>
    <w:rsid w:val="009C1750"/>
    <w:rsid w:val="009C2E29"/>
    <w:rsid w:val="009C554B"/>
    <w:rsid w:val="009C719E"/>
    <w:rsid w:val="009D3ACD"/>
    <w:rsid w:val="009D5DCF"/>
    <w:rsid w:val="009E20CA"/>
    <w:rsid w:val="009E5273"/>
    <w:rsid w:val="009E5DDB"/>
    <w:rsid w:val="009F4CA7"/>
    <w:rsid w:val="00A0119C"/>
    <w:rsid w:val="00A10D66"/>
    <w:rsid w:val="00A14114"/>
    <w:rsid w:val="00A15D96"/>
    <w:rsid w:val="00A16413"/>
    <w:rsid w:val="00A23E43"/>
    <w:rsid w:val="00A30F65"/>
    <w:rsid w:val="00A41513"/>
    <w:rsid w:val="00A418BC"/>
    <w:rsid w:val="00A46DE0"/>
    <w:rsid w:val="00A50D73"/>
    <w:rsid w:val="00A52CAD"/>
    <w:rsid w:val="00A53FC7"/>
    <w:rsid w:val="00A62CE1"/>
    <w:rsid w:val="00A6741E"/>
    <w:rsid w:val="00A75E40"/>
    <w:rsid w:val="00A77D1D"/>
    <w:rsid w:val="00A82ED7"/>
    <w:rsid w:val="00A8331D"/>
    <w:rsid w:val="00A857C0"/>
    <w:rsid w:val="00A86A81"/>
    <w:rsid w:val="00AA0770"/>
    <w:rsid w:val="00AA2996"/>
    <w:rsid w:val="00AA52BF"/>
    <w:rsid w:val="00AA559A"/>
    <w:rsid w:val="00AB2AF1"/>
    <w:rsid w:val="00AD306C"/>
    <w:rsid w:val="00AE09B3"/>
    <w:rsid w:val="00AE1A83"/>
    <w:rsid w:val="00AF5F5B"/>
    <w:rsid w:val="00B00913"/>
    <w:rsid w:val="00B01593"/>
    <w:rsid w:val="00B10A4D"/>
    <w:rsid w:val="00B17E71"/>
    <w:rsid w:val="00B17FDE"/>
    <w:rsid w:val="00B235F6"/>
    <w:rsid w:val="00B2379C"/>
    <w:rsid w:val="00B2687D"/>
    <w:rsid w:val="00B32DDB"/>
    <w:rsid w:val="00B34528"/>
    <w:rsid w:val="00B402FC"/>
    <w:rsid w:val="00B45C82"/>
    <w:rsid w:val="00B46604"/>
    <w:rsid w:val="00B530CD"/>
    <w:rsid w:val="00B55F5E"/>
    <w:rsid w:val="00B5752E"/>
    <w:rsid w:val="00B63A11"/>
    <w:rsid w:val="00B64C24"/>
    <w:rsid w:val="00B6608F"/>
    <w:rsid w:val="00B6704C"/>
    <w:rsid w:val="00B679FB"/>
    <w:rsid w:val="00B76D1E"/>
    <w:rsid w:val="00B80EC6"/>
    <w:rsid w:val="00B92D1D"/>
    <w:rsid w:val="00B938C5"/>
    <w:rsid w:val="00B95940"/>
    <w:rsid w:val="00BA1D77"/>
    <w:rsid w:val="00BA6513"/>
    <w:rsid w:val="00BB46F3"/>
    <w:rsid w:val="00BB4CB1"/>
    <w:rsid w:val="00BB4F98"/>
    <w:rsid w:val="00BC61D5"/>
    <w:rsid w:val="00BC7154"/>
    <w:rsid w:val="00BD366B"/>
    <w:rsid w:val="00BD3C08"/>
    <w:rsid w:val="00BD6D50"/>
    <w:rsid w:val="00BE18B9"/>
    <w:rsid w:val="00BE2495"/>
    <w:rsid w:val="00BF1578"/>
    <w:rsid w:val="00BF5BC5"/>
    <w:rsid w:val="00C06E9F"/>
    <w:rsid w:val="00C117EF"/>
    <w:rsid w:val="00C14850"/>
    <w:rsid w:val="00C21F94"/>
    <w:rsid w:val="00C27913"/>
    <w:rsid w:val="00C27ECC"/>
    <w:rsid w:val="00C33133"/>
    <w:rsid w:val="00C33B68"/>
    <w:rsid w:val="00C36A79"/>
    <w:rsid w:val="00C405D4"/>
    <w:rsid w:val="00C4513B"/>
    <w:rsid w:val="00C54697"/>
    <w:rsid w:val="00C73885"/>
    <w:rsid w:val="00C747B1"/>
    <w:rsid w:val="00C759FC"/>
    <w:rsid w:val="00C82191"/>
    <w:rsid w:val="00C8383D"/>
    <w:rsid w:val="00C9050D"/>
    <w:rsid w:val="00C90CF4"/>
    <w:rsid w:val="00C92EB6"/>
    <w:rsid w:val="00C93389"/>
    <w:rsid w:val="00CA020F"/>
    <w:rsid w:val="00CB4930"/>
    <w:rsid w:val="00CB741A"/>
    <w:rsid w:val="00CB7B12"/>
    <w:rsid w:val="00CC2E7D"/>
    <w:rsid w:val="00CD10A5"/>
    <w:rsid w:val="00CD2076"/>
    <w:rsid w:val="00CD745A"/>
    <w:rsid w:val="00CE670B"/>
    <w:rsid w:val="00CF51EC"/>
    <w:rsid w:val="00CF73AE"/>
    <w:rsid w:val="00CF7555"/>
    <w:rsid w:val="00D040DD"/>
    <w:rsid w:val="00D052EB"/>
    <w:rsid w:val="00D13986"/>
    <w:rsid w:val="00D1639F"/>
    <w:rsid w:val="00D235B7"/>
    <w:rsid w:val="00D25911"/>
    <w:rsid w:val="00D25F28"/>
    <w:rsid w:val="00D27973"/>
    <w:rsid w:val="00D50F46"/>
    <w:rsid w:val="00D66223"/>
    <w:rsid w:val="00D66341"/>
    <w:rsid w:val="00D668BC"/>
    <w:rsid w:val="00D8084C"/>
    <w:rsid w:val="00D9788D"/>
    <w:rsid w:val="00DA1E04"/>
    <w:rsid w:val="00DA6955"/>
    <w:rsid w:val="00DA7C0C"/>
    <w:rsid w:val="00DB2EC8"/>
    <w:rsid w:val="00DC5B3B"/>
    <w:rsid w:val="00DD129F"/>
    <w:rsid w:val="00DD7447"/>
    <w:rsid w:val="00DF1D79"/>
    <w:rsid w:val="00DF42FF"/>
    <w:rsid w:val="00E01C0E"/>
    <w:rsid w:val="00E03F9A"/>
    <w:rsid w:val="00E04694"/>
    <w:rsid w:val="00E12B1E"/>
    <w:rsid w:val="00E17262"/>
    <w:rsid w:val="00E22D81"/>
    <w:rsid w:val="00E253A2"/>
    <w:rsid w:val="00E3309D"/>
    <w:rsid w:val="00E50156"/>
    <w:rsid w:val="00E504FD"/>
    <w:rsid w:val="00E53470"/>
    <w:rsid w:val="00E539F6"/>
    <w:rsid w:val="00E6519D"/>
    <w:rsid w:val="00E67696"/>
    <w:rsid w:val="00E71A58"/>
    <w:rsid w:val="00E72A7A"/>
    <w:rsid w:val="00E75C94"/>
    <w:rsid w:val="00E81257"/>
    <w:rsid w:val="00E93820"/>
    <w:rsid w:val="00E968A7"/>
    <w:rsid w:val="00EA0C68"/>
    <w:rsid w:val="00EA32BC"/>
    <w:rsid w:val="00EA3BE3"/>
    <w:rsid w:val="00EB4511"/>
    <w:rsid w:val="00EC03D7"/>
    <w:rsid w:val="00EC3506"/>
    <w:rsid w:val="00ED62C6"/>
    <w:rsid w:val="00ED64C1"/>
    <w:rsid w:val="00EE1298"/>
    <w:rsid w:val="00EE1D8E"/>
    <w:rsid w:val="00EE3446"/>
    <w:rsid w:val="00EE3E78"/>
    <w:rsid w:val="00EE4B1B"/>
    <w:rsid w:val="00EF150D"/>
    <w:rsid w:val="00EF1F5A"/>
    <w:rsid w:val="00EF47BF"/>
    <w:rsid w:val="00F04811"/>
    <w:rsid w:val="00F0488C"/>
    <w:rsid w:val="00F05F5E"/>
    <w:rsid w:val="00F10F11"/>
    <w:rsid w:val="00F15AAA"/>
    <w:rsid w:val="00F15BEF"/>
    <w:rsid w:val="00F16077"/>
    <w:rsid w:val="00F24407"/>
    <w:rsid w:val="00F24FAA"/>
    <w:rsid w:val="00F30FD5"/>
    <w:rsid w:val="00F3364D"/>
    <w:rsid w:val="00F36023"/>
    <w:rsid w:val="00F40157"/>
    <w:rsid w:val="00F437CC"/>
    <w:rsid w:val="00F47067"/>
    <w:rsid w:val="00F476BA"/>
    <w:rsid w:val="00F525EB"/>
    <w:rsid w:val="00F55BFD"/>
    <w:rsid w:val="00F564BD"/>
    <w:rsid w:val="00F63DDE"/>
    <w:rsid w:val="00F63FB7"/>
    <w:rsid w:val="00F649D2"/>
    <w:rsid w:val="00F6602B"/>
    <w:rsid w:val="00F662BF"/>
    <w:rsid w:val="00F7260E"/>
    <w:rsid w:val="00F72717"/>
    <w:rsid w:val="00F73A0C"/>
    <w:rsid w:val="00F756DB"/>
    <w:rsid w:val="00F77FF2"/>
    <w:rsid w:val="00F85066"/>
    <w:rsid w:val="00F9402A"/>
    <w:rsid w:val="00FA5D4D"/>
    <w:rsid w:val="00FB0EE2"/>
    <w:rsid w:val="00FB542E"/>
    <w:rsid w:val="00FC0E5F"/>
    <w:rsid w:val="00FC1A95"/>
    <w:rsid w:val="00FC56DE"/>
    <w:rsid w:val="00FC684B"/>
    <w:rsid w:val="00FD2AC6"/>
    <w:rsid w:val="00FD3265"/>
    <w:rsid w:val="00FD3A6E"/>
    <w:rsid w:val="00FD57E9"/>
    <w:rsid w:val="00FE2F78"/>
    <w:rsid w:val="00FF2EB1"/>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09499C48"/>
  <w15:docId w15:val="{F5EAB12E-294B-48CA-BF70-39BC4620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9402A"/>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Textpoznpodarou">
    <w:name w:val="footnote text"/>
    <w:basedOn w:val="Normln"/>
    <w:link w:val="TextpoznpodarouChar"/>
    <w:uiPriority w:val="99"/>
    <w:semiHidden/>
    <w:unhideWhenUsed/>
    <w:rsid w:val="004D19DD"/>
    <w:pPr>
      <w:spacing w:after="0" w:line="240" w:lineRule="auto"/>
    </w:pPr>
    <w:rPr>
      <w:rFonts w:eastAsia="Calibri"/>
      <w:szCs w:val="20"/>
      <w:lang w:eastAsia="en-US"/>
    </w:rPr>
  </w:style>
  <w:style w:type="character" w:customStyle="1" w:styleId="TextpoznpodarouChar">
    <w:name w:val="Text pozn. pod čarou Char"/>
    <w:basedOn w:val="Standardnpsmoodstavce"/>
    <w:link w:val="Textpoznpodarou"/>
    <w:uiPriority w:val="99"/>
    <w:semiHidden/>
    <w:rsid w:val="004D19DD"/>
    <w:rPr>
      <w:rFonts w:ascii="Arial" w:hAnsi="Arial"/>
    </w:rPr>
  </w:style>
  <w:style w:type="character" w:styleId="Znakapoznpodarou">
    <w:name w:val="footnote reference"/>
    <w:basedOn w:val="Standardnpsmoodstavce"/>
    <w:uiPriority w:val="99"/>
    <w:semiHidden/>
    <w:unhideWhenUsed/>
    <w:rsid w:val="004D19DD"/>
    <w:rPr>
      <w:vertAlign w:val="superscript"/>
    </w:rPr>
  </w:style>
  <w:style w:type="paragraph" w:styleId="Nadpisobsahu">
    <w:name w:val="TOC Heading"/>
    <w:basedOn w:val="Nadpis1"/>
    <w:next w:val="Normln"/>
    <w:uiPriority w:val="39"/>
    <w:unhideWhenUsed/>
    <w:qFormat/>
    <w:rsid w:val="004D19DD"/>
    <w:pPr>
      <w:spacing w:before="240" w:after="0" w:line="259" w:lineRule="auto"/>
      <w:contextualSpacing w:val="0"/>
      <w:outlineLvl w:val="9"/>
    </w:pPr>
    <w:rPr>
      <w:rFonts w:asciiTheme="majorHAnsi" w:eastAsiaTheme="majorEastAsia" w:hAnsiTheme="majorHAnsi" w:cstheme="majorBidi"/>
      <w:b w:val="0"/>
      <w:bCs w:val="0"/>
      <w:color w:val="365F91" w:themeColor="accent1" w:themeShade="BF"/>
      <w:szCs w:val="32"/>
    </w:rPr>
  </w:style>
  <w:style w:type="character" w:styleId="Sledovanodkaz">
    <w:name w:val="FollowedHyperlink"/>
    <w:basedOn w:val="Standardnpsmoodstavce"/>
    <w:uiPriority w:val="99"/>
    <w:semiHidden/>
    <w:unhideWhenUsed/>
    <w:rsid w:val="002B43DC"/>
    <w:rPr>
      <w:color w:val="800080" w:themeColor="followedHyperlink"/>
      <w:u w:val="single"/>
    </w:rPr>
  </w:style>
  <w:style w:type="character" w:styleId="Odkaznakoment">
    <w:name w:val="annotation reference"/>
    <w:basedOn w:val="Standardnpsmoodstavce"/>
    <w:uiPriority w:val="99"/>
    <w:semiHidden/>
    <w:unhideWhenUsed/>
    <w:rsid w:val="005F7FD0"/>
    <w:rPr>
      <w:sz w:val="16"/>
      <w:szCs w:val="16"/>
    </w:rPr>
  </w:style>
  <w:style w:type="paragraph" w:styleId="Textkomente">
    <w:name w:val="annotation text"/>
    <w:basedOn w:val="Normln"/>
    <w:link w:val="TextkomenteChar"/>
    <w:uiPriority w:val="99"/>
    <w:semiHidden/>
    <w:unhideWhenUsed/>
    <w:rsid w:val="005F7FD0"/>
    <w:pPr>
      <w:spacing w:line="240" w:lineRule="auto"/>
    </w:pPr>
    <w:rPr>
      <w:szCs w:val="20"/>
    </w:rPr>
  </w:style>
  <w:style w:type="character" w:customStyle="1" w:styleId="TextkomenteChar">
    <w:name w:val="Text komentáře Char"/>
    <w:basedOn w:val="Standardnpsmoodstavce"/>
    <w:link w:val="Textkomente"/>
    <w:uiPriority w:val="99"/>
    <w:semiHidden/>
    <w:rsid w:val="005F7FD0"/>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5F7FD0"/>
    <w:rPr>
      <w:b/>
      <w:bCs/>
    </w:rPr>
  </w:style>
  <w:style w:type="character" w:customStyle="1" w:styleId="PedmtkomenteChar">
    <w:name w:val="Předmět komentáře Char"/>
    <w:basedOn w:val="TextkomenteChar"/>
    <w:link w:val="Pedmtkomente"/>
    <w:uiPriority w:val="99"/>
    <w:semiHidden/>
    <w:rsid w:val="005F7FD0"/>
    <w:rPr>
      <w:rFonts w:ascii="Arial" w:eastAsia="Times New Roman" w:hAnsi="Arial"/>
      <w:b/>
      <w:bCs/>
      <w:lang w:eastAsia="cs-CZ"/>
    </w:rPr>
  </w:style>
  <w:style w:type="paragraph" w:styleId="Revize">
    <w:name w:val="Revision"/>
    <w:hidden/>
    <w:uiPriority w:val="99"/>
    <w:semiHidden/>
    <w:rsid w:val="002C5F3D"/>
    <w:rPr>
      <w:rFonts w:ascii="Arial" w:eastAsia="Times New Roman" w:hAnsi="Arial"/>
      <w:szCs w:val="24"/>
      <w:lang w:eastAsia="cs-CZ"/>
    </w:rPr>
  </w:style>
  <w:style w:type="character" w:customStyle="1" w:styleId="content">
    <w:name w:val="content"/>
    <w:basedOn w:val="Standardnpsmoodstavce"/>
    <w:rsid w:val="000D4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052325">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384371715">
      <w:bodyDiv w:val="1"/>
      <w:marLeft w:val="0"/>
      <w:marRight w:val="0"/>
      <w:marTop w:val="0"/>
      <w:marBottom w:val="0"/>
      <w:divBdr>
        <w:top w:val="none" w:sz="0" w:space="0" w:color="auto"/>
        <w:left w:val="none" w:sz="0" w:space="0" w:color="auto"/>
        <w:bottom w:val="none" w:sz="0" w:space="0" w:color="auto"/>
        <w:right w:val="none" w:sz="0" w:space="0" w:color="auto"/>
      </w:divBdr>
    </w:div>
    <w:div w:id="417871351">
      <w:bodyDiv w:val="1"/>
      <w:marLeft w:val="0"/>
      <w:marRight w:val="0"/>
      <w:marTop w:val="0"/>
      <w:marBottom w:val="0"/>
      <w:divBdr>
        <w:top w:val="none" w:sz="0" w:space="0" w:color="auto"/>
        <w:left w:val="none" w:sz="0" w:space="0" w:color="auto"/>
        <w:bottom w:val="none" w:sz="0" w:space="0" w:color="auto"/>
        <w:right w:val="none" w:sz="0" w:space="0" w:color="auto"/>
      </w:divBdr>
    </w:div>
    <w:div w:id="45653016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85155380">
          <w:marLeft w:val="0"/>
          <w:marRight w:val="0"/>
          <w:marTop w:val="0"/>
          <w:marBottom w:val="0"/>
          <w:divBdr>
            <w:top w:val="none" w:sz="0" w:space="0" w:color="auto"/>
            <w:left w:val="none" w:sz="0" w:space="0" w:color="auto"/>
            <w:bottom w:val="single" w:sz="6" w:space="9" w:color="C8C8C8"/>
            <w:right w:val="none" w:sz="0" w:space="0" w:color="auto"/>
          </w:divBdr>
          <w:divsChild>
            <w:div w:id="1449467794">
              <w:marLeft w:val="0"/>
              <w:marRight w:val="0"/>
              <w:marTop w:val="0"/>
              <w:marBottom w:val="0"/>
              <w:divBdr>
                <w:top w:val="none" w:sz="0" w:space="0" w:color="auto"/>
                <w:left w:val="none" w:sz="0" w:space="0" w:color="auto"/>
                <w:bottom w:val="none" w:sz="0" w:space="0" w:color="auto"/>
                <w:right w:val="none" w:sz="0" w:space="0" w:color="auto"/>
              </w:divBdr>
            </w:div>
            <w:div w:id="10380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10941051">
      <w:bodyDiv w:val="1"/>
      <w:marLeft w:val="0"/>
      <w:marRight w:val="0"/>
      <w:marTop w:val="0"/>
      <w:marBottom w:val="0"/>
      <w:divBdr>
        <w:top w:val="none" w:sz="0" w:space="0" w:color="auto"/>
        <w:left w:val="none" w:sz="0" w:space="0" w:color="auto"/>
        <w:bottom w:val="none" w:sz="0" w:space="0" w:color="auto"/>
        <w:right w:val="none" w:sz="0" w:space="0" w:color="auto"/>
      </w:divBdr>
    </w:div>
    <w:div w:id="658340484">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03804660">
          <w:marLeft w:val="0"/>
          <w:marRight w:val="0"/>
          <w:marTop w:val="0"/>
          <w:marBottom w:val="0"/>
          <w:divBdr>
            <w:top w:val="none" w:sz="0" w:space="0" w:color="auto"/>
            <w:left w:val="none" w:sz="0" w:space="0" w:color="auto"/>
            <w:bottom w:val="single" w:sz="6" w:space="9" w:color="C8C8C8"/>
            <w:right w:val="none" w:sz="0" w:space="0" w:color="auto"/>
          </w:divBdr>
          <w:divsChild>
            <w:div w:id="1246106508">
              <w:marLeft w:val="0"/>
              <w:marRight w:val="0"/>
              <w:marTop w:val="0"/>
              <w:marBottom w:val="0"/>
              <w:divBdr>
                <w:top w:val="none" w:sz="0" w:space="0" w:color="auto"/>
                <w:left w:val="none" w:sz="0" w:space="0" w:color="auto"/>
                <w:bottom w:val="none" w:sz="0" w:space="0" w:color="auto"/>
                <w:right w:val="none" w:sz="0" w:space="0" w:color="auto"/>
              </w:divBdr>
            </w:div>
            <w:div w:id="20671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15852351">
      <w:bodyDiv w:val="1"/>
      <w:marLeft w:val="0"/>
      <w:marRight w:val="0"/>
      <w:marTop w:val="0"/>
      <w:marBottom w:val="0"/>
      <w:divBdr>
        <w:top w:val="none" w:sz="0" w:space="0" w:color="auto"/>
        <w:left w:val="none" w:sz="0" w:space="0" w:color="auto"/>
        <w:bottom w:val="none" w:sz="0" w:space="0" w:color="auto"/>
        <w:right w:val="none" w:sz="0" w:space="0" w:color="auto"/>
      </w:divBdr>
    </w:div>
    <w:div w:id="1071659005">
      <w:bodyDiv w:val="1"/>
      <w:marLeft w:val="240"/>
      <w:marRight w:val="240"/>
      <w:marTop w:val="240"/>
      <w:marBottom w:val="60"/>
      <w:divBdr>
        <w:top w:val="none" w:sz="0" w:space="0" w:color="auto"/>
        <w:left w:val="none" w:sz="0" w:space="0" w:color="auto"/>
        <w:bottom w:val="none" w:sz="0" w:space="0" w:color="auto"/>
        <w:right w:val="none" w:sz="0" w:space="0" w:color="auto"/>
      </w:divBdr>
      <w:divsChild>
        <w:div w:id="678311181">
          <w:marLeft w:val="0"/>
          <w:marRight w:val="0"/>
          <w:marTop w:val="0"/>
          <w:marBottom w:val="0"/>
          <w:divBdr>
            <w:top w:val="none" w:sz="0" w:space="0" w:color="auto"/>
            <w:left w:val="none" w:sz="0" w:space="0" w:color="auto"/>
            <w:bottom w:val="single" w:sz="6" w:space="9" w:color="C8C8C8"/>
            <w:right w:val="none" w:sz="0" w:space="0" w:color="auto"/>
          </w:divBdr>
          <w:divsChild>
            <w:div w:id="4986296">
              <w:marLeft w:val="0"/>
              <w:marRight w:val="0"/>
              <w:marTop w:val="0"/>
              <w:marBottom w:val="0"/>
              <w:divBdr>
                <w:top w:val="none" w:sz="0" w:space="0" w:color="auto"/>
                <w:left w:val="none" w:sz="0" w:space="0" w:color="auto"/>
                <w:bottom w:val="none" w:sz="0" w:space="0" w:color="auto"/>
                <w:right w:val="none" w:sz="0" w:space="0" w:color="auto"/>
              </w:divBdr>
            </w:div>
            <w:div w:id="8178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18935290">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618678934">
      <w:bodyDiv w:val="1"/>
      <w:marLeft w:val="0"/>
      <w:marRight w:val="0"/>
      <w:marTop w:val="0"/>
      <w:marBottom w:val="0"/>
      <w:divBdr>
        <w:top w:val="none" w:sz="0" w:space="0" w:color="auto"/>
        <w:left w:val="none" w:sz="0" w:space="0" w:color="auto"/>
        <w:bottom w:val="none" w:sz="0" w:space="0" w:color="auto"/>
        <w:right w:val="none" w:sz="0" w:space="0" w:color="auto"/>
      </w:divBdr>
    </w:div>
    <w:div w:id="1855344247">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BFS2\DATA\DATA\ZPRAC\TECHNOL\oddeleni_6301\2_Vzd&#283;l&#225;v&#225;n&#237;\Vzd&#283;l&#225;v&#225;n&#237;%20AH\anal&#253;za_mzdy%20u&#269;itel&#233;\2020\1_soubory%20na%20web\Grafy%20do%20textu_M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BFS2\DATA\DATA\ZPRAC\TECHNOL\oddeleni_6301\2_Vzd&#283;l&#225;v&#225;n&#237;\Vzd&#283;l&#225;v&#225;n&#237;%20AH\anal&#253;za_mzdy%20u&#269;itel&#233;\2020\1_soubory%20na%20web\Grafy%20do%20textu_M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BFS2\DATA\DATA\ZPRAC\TECHNOL\oddeleni_6301\2_Vzd&#283;l&#225;v&#225;n&#237;\Vzd&#283;l&#225;v&#225;n&#237;%20AH\anal&#253;za_mzdy%20u&#269;itel&#233;\2020\1_soubory%20na%20web\Grafy%20do%20textu_M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BFS2\DATA\DATA\ZPRAC\TECHNOL\oddeleni_6301\2_Vzd&#283;l&#225;v&#225;n&#237;\Vzd&#283;l&#225;v&#225;n&#237;%20AH\anal&#253;za_mzdy%20u&#269;itel&#233;\2020\Grafy%20do%20textu_A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BFS2\DATA\DATA\ZPRAC\TECHNOL\oddeleni_6301\2_Vzd&#283;l&#225;v&#225;n&#237;\Vzd&#283;l&#225;v&#225;n&#237;%20AH\anal&#253;za_mzdy%20u&#269;itel&#233;\2020\1_soubory%20na%20web\Grafy%20do%20textu_MM.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9.2592592592592587E-2"/>
          <c:w val="0.93888888888888888"/>
          <c:h val="0.67452646544181982"/>
        </c:manualLayout>
      </c:layout>
      <c:barChart>
        <c:barDir val="col"/>
        <c:grouping val="clustered"/>
        <c:varyColors val="0"/>
        <c:ser>
          <c:idx val="4"/>
          <c:order val="4"/>
          <c:tx>
            <c:strRef>
              <c:f>G1_MM!$F$2</c:f>
              <c:strCache>
                <c:ptCount val="1"/>
                <c:pt idx="0">
                  <c:v> 2017</c:v>
                </c:pt>
              </c:strCache>
            </c:strRef>
          </c:tx>
          <c:spPr>
            <a:solidFill>
              <a:srgbClr val="FF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(G1_MM!$A$3,G1_MM!$A$5:$A$7)</c:f>
              <c:strCache>
                <c:ptCount val="4"/>
                <c:pt idx="0">
                  <c:v> Regionální školství celkem</c:v>
                </c:pt>
                <c:pt idx="1">
                  <c:v> Mateřské školy</c:v>
                </c:pt>
                <c:pt idx="2">
                  <c:v> Základní školy</c:v>
                </c:pt>
                <c:pt idx="3">
                  <c:v> Střední školy</c:v>
                </c:pt>
              </c:strCache>
              <c:extLst/>
            </c:strRef>
          </c:cat>
          <c:val>
            <c:numRef>
              <c:f>(G1_MM!$F$3,G1_MM!$F$5:$F$7)</c:f>
              <c:numCache>
                <c:formatCode>#\ ##0.0</c:formatCode>
                <c:ptCount val="4"/>
                <c:pt idx="0">
                  <c:v>31.0004174</c:v>
                </c:pt>
                <c:pt idx="1">
                  <c:v>26.720254199999999</c:v>
                </c:pt>
                <c:pt idx="2">
                  <c:v>32.114154299999996</c:v>
                </c:pt>
                <c:pt idx="3">
                  <c:v>32.283097399999996</c:v>
                </c:pt>
              </c:numCache>
              <c:extLst/>
            </c:numRef>
          </c:val>
          <c:extLst>
            <c:ext xmlns:c16="http://schemas.microsoft.com/office/drawing/2014/chart" uri="{C3380CC4-5D6E-409C-BE32-E72D297353CC}">
              <c16:uniqueId val="{00000000-FF94-43BB-AD1D-C0D7C6156DEB}"/>
            </c:ext>
          </c:extLst>
        </c:ser>
        <c:ser>
          <c:idx val="5"/>
          <c:order val="5"/>
          <c:tx>
            <c:strRef>
              <c:f>G1_MM!$G$2</c:f>
              <c:strCache>
                <c:ptCount val="1"/>
                <c:pt idx="0">
                  <c:v> 2018</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(G1_MM!$A$3,G1_MM!$A$5:$A$7)</c:f>
              <c:strCache>
                <c:ptCount val="4"/>
                <c:pt idx="0">
                  <c:v> Regionální školství celkem</c:v>
                </c:pt>
                <c:pt idx="1">
                  <c:v> Mateřské školy</c:v>
                </c:pt>
                <c:pt idx="2">
                  <c:v> Základní školy</c:v>
                </c:pt>
                <c:pt idx="3">
                  <c:v> Střední školy</c:v>
                </c:pt>
              </c:strCache>
              <c:extLst/>
            </c:strRef>
          </c:cat>
          <c:val>
            <c:numRef>
              <c:f>(G1_MM!$G$3,G1_MM!$G$5:$G$7)</c:f>
              <c:numCache>
                <c:formatCode>#\ ##0.0</c:formatCode>
                <c:ptCount val="4"/>
                <c:pt idx="0">
                  <c:v>34.495597400000001</c:v>
                </c:pt>
                <c:pt idx="1">
                  <c:v>29.3825407</c:v>
                </c:pt>
                <c:pt idx="2">
                  <c:v>35.6922809</c:v>
                </c:pt>
                <c:pt idx="3">
                  <c:v>36.433638700000003</c:v>
                </c:pt>
              </c:numCache>
              <c:extLst/>
            </c:numRef>
          </c:val>
          <c:extLst>
            <c:ext xmlns:c16="http://schemas.microsoft.com/office/drawing/2014/chart" uri="{C3380CC4-5D6E-409C-BE32-E72D297353CC}">
              <c16:uniqueId val="{00000001-FF94-43BB-AD1D-C0D7C6156DEB}"/>
            </c:ext>
          </c:extLst>
        </c:ser>
        <c:ser>
          <c:idx val="6"/>
          <c:order val="6"/>
          <c:tx>
            <c:strRef>
              <c:f>G1_MM!$H$2</c:f>
              <c:strCache>
                <c:ptCount val="1"/>
                <c:pt idx="0">
                  <c:v>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(G1_MM!$A$3,G1_MM!$A$5:$A$7)</c:f>
              <c:strCache>
                <c:ptCount val="4"/>
                <c:pt idx="0">
                  <c:v> Regionální školství celkem</c:v>
                </c:pt>
                <c:pt idx="1">
                  <c:v> Mateřské školy</c:v>
                </c:pt>
                <c:pt idx="2">
                  <c:v> Základní školy</c:v>
                </c:pt>
                <c:pt idx="3">
                  <c:v> Střední školy</c:v>
                </c:pt>
              </c:strCache>
              <c:extLst/>
            </c:strRef>
          </c:cat>
          <c:val>
            <c:numRef>
              <c:f>(G1_MM!$H$3,G1_MM!$H$5:$H$7)</c:f>
              <c:numCache>
                <c:formatCode>#\ ##0.0</c:formatCode>
                <c:ptCount val="4"/>
                <c:pt idx="0">
                  <c:v>39.655879599999999</c:v>
                </c:pt>
                <c:pt idx="1">
                  <c:v>33.622974900000003</c:v>
                </c:pt>
                <c:pt idx="2">
                  <c:v>41.207345099999998</c:v>
                </c:pt>
                <c:pt idx="3">
                  <c:v>41.866616499999999</c:v>
                </c:pt>
              </c:numCache>
              <c:extLst/>
            </c:numRef>
          </c:val>
          <c:extLst>
            <c:ext xmlns:c16="http://schemas.microsoft.com/office/drawing/2014/chart" uri="{C3380CC4-5D6E-409C-BE32-E72D297353CC}">
              <c16:uniqueId val="{00000002-FF94-43BB-AD1D-C0D7C6156DEB}"/>
            </c:ext>
          </c:extLst>
        </c:ser>
        <c:ser>
          <c:idx val="7"/>
          <c:order val="7"/>
          <c:tx>
            <c:strRef>
              <c:f>G1_MM!$I$2</c:f>
              <c:strCache>
                <c:ptCount val="1"/>
                <c:pt idx="0">
                  <c:v> 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(G1_MM!$A$3,G1_MM!$A$5:$A$7)</c:f>
              <c:strCache>
                <c:ptCount val="4"/>
                <c:pt idx="0">
                  <c:v> Regionální školství celkem</c:v>
                </c:pt>
                <c:pt idx="1">
                  <c:v> Mateřské školy</c:v>
                </c:pt>
                <c:pt idx="2">
                  <c:v> Základní školy</c:v>
                </c:pt>
                <c:pt idx="3">
                  <c:v> Střední školy</c:v>
                </c:pt>
              </c:strCache>
              <c:extLst/>
            </c:strRef>
          </c:cat>
          <c:val>
            <c:numRef>
              <c:f>(G1_MM!$I$3,G1_MM!$I$5:$I$7)</c:f>
              <c:numCache>
                <c:formatCode>#\ ##0.0</c:formatCode>
                <c:ptCount val="4"/>
                <c:pt idx="0">
                  <c:v>43.317928099999996</c:v>
                </c:pt>
                <c:pt idx="1">
                  <c:v>36.501663899999997</c:v>
                </c:pt>
                <c:pt idx="2">
                  <c:v>45.067118700000002</c:v>
                </c:pt>
                <c:pt idx="3">
                  <c:v>45.760044100000002</c:v>
                </c:pt>
              </c:numCache>
              <c:extLst/>
            </c:numRef>
          </c:val>
          <c:extLst>
            <c:ext xmlns:c16="http://schemas.microsoft.com/office/drawing/2014/chart" uri="{C3380CC4-5D6E-409C-BE32-E72D297353CC}">
              <c16:uniqueId val="{00000003-FF94-43BB-AD1D-C0D7C6156DEB}"/>
            </c:ext>
          </c:extLst>
        </c:ser>
        <c:dLbls>
          <c:showLegendKey val="0"/>
          <c:showVal val="0"/>
          <c:showCatName val="0"/>
          <c:showSerName val="0"/>
          <c:showPercent val="0"/>
          <c:showBubbleSize val="0"/>
        </c:dLbls>
        <c:gapWidth val="150"/>
        <c:overlap val="-30"/>
        <c:axId val="2073187199"/>
        <c:axId val="2073203839"/>
        <c:extLst>
          <c:ext xmlns:c15="http://schemas.microsoft.com/office/drawing/2012/chart" uri="{02D57815-91ED-43cb-92C2-25804820EDAC}">
            <c15:filteredBarSeries>
              <c15:ser>
                <c:idx val="0"/>
                <c:order val="0"/>
                <c:tx>
                  <c:strRef>
                    <c:extLst>
                      <c:ext uri="{02D57815-91ED-43cb-92C2-25804820EDAC}">
                        <c15:formulaRef>
                          <c15:sqref>G1_MM!$B$2</c15:sqref>
                        </c15:formulaRef>
                      </c:ext>
                    </c:extLst>
                    <c:strCache>
                      <c:ptCount val="1"/>
                      <c:pt idx="0">
                        <c:v>2013</c:v>
                      </c:pt>
                    </c:strCache>
                  </c:strRef>
                </c:tx>
                <c:spPr>
                  <a:solidFill>
                    <a:schemeClr val="accent1"/>
                  </a:solidFill>
                  <a:ln>
                    <a:noFill/>
                  </a:ln>
                  <a:effectLst/>
                </c:spPr>
                <c:invertIfNegative val="0"/>
                <c:cat>
                  <c:strRef>
                    <c:extLst>
                      <c:ext uri="{02D57815-91ED-43cb-92C2-25804820EDAC}">
                        <c15:formulaRef>
                          <c15:sqref>(G1_MM!$A$3,G1_MM!$A$5:$A$7)</c15:sqref>
                        </c15:formulaRef>
                      </c:ext>
                    </c:extLst>
                    <c:strCache>
                      <c:ptCount val="4"/>
                      <c:pt idx="0">
                        <c:v> Regionální školství celkem</c:v>
                      </c:pt>
                      <c:pt idx="1">
                        <c:v> Mateřské školy</c:v>
                      </c:pt>
                      <c:pt idx="2">
                        <c:v> Základní školy</c:v>
                      </c:pt>
                      <c:pt idx="3">
                        <c:v> Střední školy</c:v>
                      </c:pt>
                    </c:strCache>
                  </c:strRef>
                </c:cat>
                <c:val>
                  <c:numRef>
                    <c:extLst>
                      <c:ext uri="{02D57815-91ED-43cb-92C2-25804820EDAC}">
                        <c15:formulaRef>
                          <c15:sqref>(G1_MM!$B$3,G1_MM!$B$5:$B$7)</c15:sqref>
                        </c15:formulaRef>
                      </c:ext>
                    </c:extLst>
                    <c:numCache>
                      <c:formatCode>#\ ##0.0</c:formatCode>
                      <c:ptCount val="4"/>
                      <c:pt idx="0">
                        <c:v>26.158901099999998</c:v>
                      </c:pt>
                      <c:pt idx="1">
                        <c:v>23.0122435</c:v>
                      </c:pt>
                      <c:pt idx="2">
                        <c:v>26.7561</c:v>
                      </c:pt>
                      <c:pt idx="3">
                        <c:v>27.159154999999998</c:v>
                      </c:pt>
                    </c:numCache>
                  </c:numRef>
                </c:val>
                <c:extLst>
                  <c:ext xmlns:c16="http://schemas.microsoft.com/office/drawing/2014/chart" uri="{C3380CC4-5D6E-409C-BE32-E72D297353CC}">
                    <c16:uniqueId val="{00000004-FF94-43BB-AD1D-C0D7C6156DE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G1_MM!$C$2</c15:sqref>
                        </c15:formulaRef>
                      </c:ext>
                    </c:extLst>
                    <c:strCache>
                      <c:ptCount val="1"/>
                      <c:pt idx="0">
                        <c:v>2014</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(G1_MM!$A$3,G1_MM!$A$5:$A$7)</c15:sqref>
                        </c15:formulaRef>
                      </c:ext>
                    </c:extLst>
                    <c:strCache>
                      <c:ptCount val="4"/>
                      <c:pt idx="0">
                        <c:v> Regionální školství celkem</c:v>
                      </c:pt>
                      <c:pt idx="1">
                        <c:v> Mateřské školy</c:v>
                      </c:pt>
                      <c:pt idx="2">
                        <c:v> Základní školy</c:v>
                      </c:pt>
                      <c:pt idx="3">
                        <c:v> Střední školy</c:v>
                      </c:pt>
                    </c:strCache>
                  </c:strRef>
                </c:cat>
                <c:val>
                  <c:numRef>
                    <c:extLst xmlns:c15="http://schemas.microsoft.com/office/drawing/2012/chart">
                      <c:ext xmlns:c15="http://schemas.microsoft.com/office/drawing/2012/chart" uri="{02D57815-91ED-43cb-92C2-25804820EDAC}">
                        <c15:formulaRef>
                          <c15:sqref>(G1_MM!$C$3,G1_MM!$C$5:$C$7)</c15:sqref>
                        </c15:formulaRef>
                      </c:ext>
                    </c:extLst>
                    <c:numCache>
                      <c:formatCode>#\ ##0.0</c:formatCode>
                      <c:ptCount val="4"/>
                      <c:pt idx="0">
                        <c:v>26.828860899999999</c:v>
                      </c:pt>
                      <c:pt idx="1">
                        <c:v>23.572899899999999</c:v>
                      </c:pt>
                      <c:pt idx="2">
                        <c:v>27.517529700000001</c:v>
                      </c:pt>
                      <c:pt idx="3">
                        <c:v>27.852859899999999</c:v>
                      </c:pt>
                    </c:numCache>
                  </c:numRef>
                </c:val>
                <c:extLst xmlns:c15="http://schemas.microsoft.com/office/drawing/2012/chart">
                  <c:ext xmlns:c16="http://schemas.microsoft.com/office/drawing/2014/chart" uri="{C3380CC4-5D6E-409C-BE32-E72D297353CC}">
                    <c16:uniqueId val="{00000005-FF94-43BB-AD1D-C0D7C6156DE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G1_MM!$D$2</c15:sqref>
                        </c15:formulaRef>
                      </c:ext>
                    </c:extLst>
                    <c:strCache>
                      <c:ptCount val="1"/>
                      <c:pt idx="0">
                        <c:v>2015</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(G1_MM!$A$3,G1_MM!$A$5:$A$7)</c15:sqref>
                        </c15:formulaRef>
                      </c:ext>
                    </c:extLst>
                    <c:strCache>
                      <c:ptCount val="4"/>
                      <c:pt idx="0">
                        <c:v> Regionální školství celkem</c:v>
                      </c:pt>
                      <c:pt idx="1">
                        <c:v> Mateřské školy</c:v>
                      </c:pt>
                      <c:pt idx="2">
                        <c:v> Základní školy</c:v>
                      </c:pt>
                      <c:pt idx="3">
                        <c:v> Střední školy</c:v>
                      </c:pt>
                    </c:strCache>
                  </c:strRef>
                </c:cat>
                <c:val>
                  <c:numRef>
                    <c:extLst xmlns:c15="http://schemas.microsoft.com/office/drawing/2012/chart">
                      <c:ext xmlns:c15="http://schemas.microsoft.com/office/drawing/2012/chart" uri="{02D57815-91ED-43cb-92C2-25804820EDAC}">
                        <c15:formulaRef>
                          <c15:sqref>(G1_MM!$D$3,G1_MM!$D$5:$D$7)</c15:sqref>
                        </c15:formulaRef>
                      </c:ext>
                    </c:extLst>
                    <c:numCache>
                      <c:formatCode>#\ ##0.0</c:formatCode>
                      <c:ptCount val="4"/>
                      <c:pt idx="0">
                        <c:v>27.577776399999998</c:v>
                      </c:pt>
                      <c:pt idx="1">
                        <c:v>23.981170300000002</c:v>
                      </c:pt>
                      <c:pt idx="2">
                        <c:v>28.365492699999997</c:v>
                      </c:pt>
                      <c:pt idx="3">
                        <c:v>28.951870599999999</c:v>
                      </c:pt>
                    </c:numCache>
                  </c:numRef>
                </c:val>
                <c:extLst xmlns:c15="http://schemas.microsoft.com/office/drawing/2012/chart">
                  <c:ext xmlns:c16="http://schemas.microsoft.com/office/drawing/2014/chart" uri="{C3380CC4-5D6E-409C-BE32-E72D297353CC}">
                    <c16:uniqueId val="{00000006-FF94-43BB-AD1D-C0D7C6156DE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G1_MM!$E$2</c15:sqref>
                        </c15:formulaRef>
                      </c:ext>
                    </c:extLst>
                    <c:strCache>
                      <c:ptCount val="1"/>
                      <c:pt idx="0">
                        <c:v>2016</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(G1_MM!$A$3,G1_MM!$A$5:$A$7)</c15:sqref>
                        </c15:formulaRef>
                      </c:ext>
                    </c:extLst>
                    <c:strCache>
                      <c:ptCount val="4"/>
                      <c:pt idx="0">
                        <c:v> Regionální školství celkem</c:v>
                      </c:pt>
                      <c:pt idx="1">
                        <c:v> Mateřské školy</c:v>
                      </c:pt>
                      <c:pt idx="2">
                        <c:v> Základní školy</c:v>
                      </c:pt>
                      <c:pt idx="3">
                        <c:v> Střední školy</c:v>
                      </c:pt>
                    </c:strCache>
                  </c:strRef>
                </c:cat>
                <c:val>
                  <c:numRef>
                    <c:extLst xmlns:c15="http://schemas.microsoft.com/office/drawing/2012/chart">
                      <c:ext xmlns:c15="http://schemas.microsoft.com/office/drawing/2012/chart" uri="{02D57815-91ED-43cb-92C2-25804820EDAC}">
                        <c15:formulaRef>
                          <c15:sqref>(G1_MM!$E$3,G1_MM!$E$5:$E$7)</c15:sqref>
                        </c15:formulaRef>
                      </c:ext>
                    </c:extLst>
                    <c:numCache>
                      <c:formatCode>#\ ##0.0</c:formatCode>
                      <c:ptCount val="4"/>
                      <c:pt idx="0">
                        <c:v>28.942627400000003</c:v>
                      </c:pt>
                      <c:pt idx="1">
                        <c:v>25.056880899999999</c:v>
                      </c:pt>
                      <c:pt idx="2">
                        <c:v>29.778933700000003</c:v>
                      </c:pt>
                      <c:pt idx="3">
                        <c:v>30.276944400000001</c:v>
                      </c:pt>
                    </c:numCache>
                  </c:numRef>
                </c:val>
                <c:extLst xmlns:c15="http://schemas.microsoft.com/office/drawing/2012/chart">
                  <c:ext xmlns:c16="http://schemas.microsoft.com/office/drawing/2014/chart" uri="{C3380CC4-5D6E-409C-BE32-E72D297353CC}">
                    <c16:uniqueId val="{00000007-FF94-43BB-AD1D-C0D7C6156DEB}"/>
                  </c:ext>
                </c:extLst>
              </c15:ser>
            </c15:filteredBarSeries>
          </c:ext>
        </c:extLst>
      </c:barChart>
      <c:catAx>
        <c:axId val="207318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073203839"/>
        <c:crosses val="autoZero"/>
        <c:auto val="1"/>
        <c:lblAlgn val="ctr"/>
        <c:lblOffset val="100"/>
        <c:noMultiLvlLbl val="0"/>
      </c:catAx>
      <c:valAx>
        <c:axId val="2073203839"/>
        <c:scaling>
          <c:orientation val="minMax"/>
          <c:max val="46"/>
          <c:min val="0"/>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073187199"/>
        <c:crosses val="autoZero"/>
        <c:crossBetween val="between"/>
      </c:valAx>
      <c:spPr>
        <a:noFill/>
        <a:ln>
          <a:noFill/>
        </a:ln>
        <a:effectLst/>
      </c:spPr>
    </c:plotArea>
    <c:legend>
      <c:legendPos val="b"/>
      <c:layout>
        <c:manualLayout>
          <c:xMode val="edge"/>
          <c:yMode val="edge"/>
          <c:x val="0.32772331583552056"/>
          <c:y val="0.90349263633712451"/>
          <c:w val="0.39455314960629922"/>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11279461279461E-2"/>
          <c:y val="5.0925925925925923E-2"/>
          <c:w val="0.86926313131313127"/>
          <c:h val="0.62824803149606301"/>
        </c:manualLayout>
      </c:layout>
      <c:barChart>
        <c:barDir val="col"/>
        <c:grouping val="clustered"/>
        <c:varyColors val="0"/>
        <c:ser>
          <c:idx val="0"/>
          <c:order val="0"/>
          <c:tx>
            <c:strRef>
              <c:f>G2_MM!$A$3</c:f>
              <c:strCache>
                <c:ptCount val="1"/>
                <c:pt idx="0">
                  <c:v> Průměrná hrubá měsíční mzda učitelů v regionálním školství celkem (tis. Kč)</c:v>
                </c:pt>
              </c:strCache>
            </c:strRef>
          </c:tx>
          <c:spPr>
            <a:solidFill>
              <a:schemeClr val="accent1"/>
            </a:solidFill>
            <a:ln>
              <a:noFill/>
            </a:ln>
            <a:effectLst/>
          </c:spPr>
          <c:invertIfNegative val="0"/>
          <c:cat>
            <c:numRef>
              <c:f>G2_MM!$C$2:$J$2</c:f>
              <c:numCache>
                <c:formatCode>General</c:formatCode>
                <c:ptCount val="8"/>
                <c:pt idx="0">
                  <c:v>2013</c:v>
                </c:pt>
                <c:pt idx="1">
                  <c:v>2014</c:v>
                </c:pt>
                <c:pt idx="2">
                  <c:v>2015</c:v>
                </c:pt>
                <c:pt idx="3">
                  <c:v>2016</c:v>
                </c:pt>
                <c:pt idx="4">
                  <c:v>2017</c:v>
                </c:pt>
                <c:pt idx="5">
                  <c:v>2018</c:v>
                </c:pt>
                <c:pt idx="6">
                  <c:v>2019</c:v>
                </c:pt>
                <c:pt idx="7">
                  <c:v>2020</c:v>
                </c:pt>
              </c:numCache>
              <c:extLst/>
            </c:numRef>
          </c:cat>
          <c:val>
            <c:numRef>
              <c:f>G2_MM!$C$3:$J$3</c:f>
              <c:numCache>
                <c:formatCode>#\ ##0.0</c:formatCode>
                <c:ptCount val="8"/>
                <c:pt idx="0">
                  <c:v>26.158901099999998</c:v>
                </c:pt>
                <c:pt idx="1">
                  <c:v>26.828860899999999</c:v>
                </c:pt>
                <c:pt idx="2">
                  <c:v>27.577776399999998</c:v>
                </c:pt>
                <c:pt idx="3">
                  <c:v>28.942627400000003</c:v>
                </c:pt>
                <c:pt idx="4">
                  <c:v>31.0004174</c:v>
                </c:pt>
                <c:pt idx="5">
                  <c:v>34.495597400000001</c:v>
                </c:pt>
                <c:pt idx="6">
                  <c:v>39.655879599999999</c:v>
                </c:pt>
                <c:pt idx="7">
                  <c:v>43.317928099999996</c:v>
                </c:pt>
              </c:numCache>
              <c:extLst/>
            </c:numRef>
          </c:val>
          <c:extLst>
            <c:ext xmlns:c16="http://schemas.microsoft.com/office/drawing/2014/chart" uri="{C3380CC4-5D6E-409C-BE32-E72D297353CC}">
              <c16:uniqueId val="{00000000-F746-4785-8774-18C8E227B6F2}"/>
            </c:ext>
          </c:extLst>
        </c:ser>
        <c:dLbls>
          <c:showLegendKey val="0"/>
          <c:showVal val="0"/>
          <c:showCatName val="0"/>
          <c:showSerName val="0"/>
          <c:showPercent val="0"/>
          <c:showBubbleSize val="0"/>
        </c:dLbls>
        <c:gapWidth val="100"/>
        <c:axId val="2066412895"/>
        <c:axId val="2066424543"/>
      </c:barChart>
      <c:lineChart>
        <c:grouping val="standard"/>
        <c:varyColors val="0"/>
        <c:ser>
          <c:idx val="1"/>
          <c:order val="1"/>
          <c:tx>
            <c:strRef>
              <c:f>G2_MM!$A$4</c:f>
              <c:strCache>
                <c:ptCount val="1"/>
                <c:pt idx="0">
                  <c:v> % průměrné mzdy zaměstnanců v ČR celkem</c:v>
                </c:pt>
              </c:strCache>
            </c:strRef>
          </c:tx>
          <c:spPr>
            <a:ln w="28575" cap="rnd">
              <a:solidFill>
                <a:schemeClr val="accent2"/>
              </a:solidFill>
              <a:round/>
            </a:ln>
            <a:effectLst/>
          </c:spPr>
          <c:marker>
            <c:symbol val="diamond"/>
            <c:size val="8"/>
            <c:spPr>
              <a:solidFill>
                <a:schemeClr val="tx1"/>
              </a:solidFill>
              <a:ln w="9525">
                <a:noFill/>
              </a:ln>
              <a:effectLst/>
            </c:spPr>
          </c:marker>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G2_MM!$C$2:$J$2</c:f>
              <c:numCache>
                <c:formatCode>General</c:formatCode>
                <c:ptCount val="8"/>
                <c:pt idx="0">
                  <c:v>2013</c:v>
                </c:pt>
                <c:pt idx="1">
                  <c:v>2014</c:v>
                </c:pt>
                <c:pt idx="2">
                  <c:v>2015</c:v>
                </c:pt>
                <c:pt idx="3">
                  <c:v>2016</c:v>
                </c:pt>
                <c:pt idx="4">
                  <c:v>2017</c:v>
                </c:pt>
                <c:pt idx="5">
                  <c:v>2018</c:v>
                </c:pt>
                <c:pt idx="6">
                  <c:v>2019</c:v>
                </c:pt>
                <c:pt idx="7">
                  <c:v>2020</c:v>
                </c:pt>
              </c:numCache>
              <c:extLst/>
            </c:numRef>
          </c:cat>
          <c:val>
            <c:numRef>
              <c:f>G2_MM!$C$4:$J$4</c:f>
              <c:numCache>
                <c:formatCode>0%</c:formatCode>
                <c:ptCount val="8"/>
                <c:pt idx="0">
                  <c:v>0.99801232688565866</c:v>
                </c:pt>
                <c:pt idx="1">
                  <c:v>1.0010021975971943</c:v>
                </c:pt>
                <c:pt idx="2">
                  <c:v>0.99161398007982449</c:v>
                </c:pt>
                <c:pt idx="3">
                  <c:v>0.99594204910142514</c:v>
                </c:pt>
                <c:pt idx="4">
                  <c:v>0.99652201782859318</c:v>
                </c:pt>
                <c:pt idx="5">
                  <c:v>1.0240943115893479</c:v>
                </c:pt>
                <c:pt idx="6">
                  <c:v>1.0913710861230272</c:v>
                </c:pt>
                <c:pt idx="7">
                  <c:v>1.1243626473774255</c:v>
                </c:pt>
              </c:numCache>
              <c:extLst/>
            </c:numRef>
          </c:val>
          <c:smooth val="0"/>
          <c:extLst>
            <c:ext xmlns:c16="http://schemas.microsoft.com/office/drawing/2014/chart" uri="{C3380CC4-5D6E-409C-BE32-E72D297353CC}">
              <c16:uniqueId val="{00000001-F746-4785-8774-18C8E227B6F2}"/>
            </c:ext>
          </c:extLst>
        </c:ser>
        <c:ser>
          <c:idx val="2"/>
          <c:order val="2"/>
          <c:tx>
            <c:strRef>
              <c:f>G2_MM!$A$5</c:f>
              <c:strCache>
                <c:ptCount val="1"/>
                <c:pt idx="0">
                  <c:v> % průměrné mzdy všech zaměstnanců s vysokoškolským (magisterským či doktorským) vzděláním</c:v>
                </c:pt>
              </c:strCache>
            </c:strRef>
          </c:tx>
          <c:spPr>
            <a:ln w="28575" cap="rnd">
              <a:solidFill>
                <a:srgbClr val="92D050"/>
              </a:solidFill>
              <a:round/>
            </a:ln>
            <a:effectLst/>
          </c:spPr>
          <c:marker>
            <c:symbol val="triangle"/>
            <c:size val="8"/>
            <c:spPr>
              <a:solidFill>
                <a:schemeClr val="tx1">
                  <a:lumMod val="95000"/>
                  <a:lumOff val="5000"/>
                </a:schemeClr>
              </a:solidFill>
              <a:ln w="9525">
                <a:noFill/>
              </a:ln>
              <a:effectLst/>
            </c:spPr>
          </c:marker>
          <c:dLbls>
            <c:spPr>
              <a:solidFill>
                <a:schemeClr val="accent3">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G2_MM!$C$2:$J$2</c:f>
              <c:numCache>
                <c:formatCode>General</c:formatCode>
                <c:ptCount val="8"/>
                <c:pt idx="0">
                  <c:v>2013</c:v>
                </c:pt>
                <c:pt idx="1">
                  <c:v>2014</c:v>
                </c:pt>
                <c:pt idx="2">
                  <c:v>2015</c:v>
                </c:pt>
                <c:pt idx="3">
                  <c:v>2016</c:v>
                </c:pt>
                <c:pt idx="4">
                  <c:v>2017</c:v>
                </c:pt>
                <c:pt idx="5">
                  <c:v>2018</c:v>
                </c:pt>
                <c:pt idx="6">
                  <c:v>2019</c:v>
                </c:pt>
                <c:pt idx="7">
                  <c:v>2020</c:v>
                </c:pt>
              </c:numCache>
              <c:extLst/>
            </c:numRef>
          </c:cat>
          <c:val>
            <c:numRef>
              <c:f>G2_MM!$C$5:$J$5</c:f>
              <c:numCache>
                <c:formatCode>0%</c:formatCode>
                <c:ptCount val="8"/>
                <c:pt idx="0">
                  <c:v>0.61137119525046701</c:v>
                </c:pt>
                <c:pt idx="1">
                  <c:v>0.61830284881754849</c:v>
                </c:pt>
                <c:pt idx="2">
                  <c:v>0.62168305376564359</c:v>
                </c:pt>
                <c:pt idx="3">
                  <c:v>0.63048019281863033</c:v>
                </c:pt>
                <c:pt idx="4">
                  <c:v>0.64138543728399977</c:v>
                </c:pt>
                <c:pt idx="5">
                  <c:v>0.66834719637788798</c:v>
                </c:pt>
                <c:pt idx="6">
                  <c:v>0.71096494046361414</c:v>
                </c:pt>
                <c:pt idx="7">
                  <c:v>0.74182827524418815</c:v>
                </c:pt>
              </c:numCache>
              <c:extLst/>
            </c:numRef>
          </c:val>
          <c:smooth val="0"/>
          <c:extLst>
            <c:ext xmlns:c16="http://schemas.microsoft.com/office/drawing/2014/chart" uri="{C3380CC4-5D6E-409C-BE32-E72D297353CC}">
              <c16:uniqueId val="{00000002-F746-4785-8774-18C8E227B6F2}"/>
            </c:ext>
          </c:extLst>
        </c:ser>
        <c:dLbls>
          <c:showLegendKey val="0"/>
          <c:showVal val="0"/>
          <c:showCatName val="0"/>
          <c:showSerName val="0"/>
          <c:showPercent val="0"/>
          <c:showBubbleSize val="0"/>
        </c:dLbls>
        <c:marker val="1"/>
        <c:smooth val="0"/>
        <c:axId val="2066417887"/>
        <c:axId val="2066412479"/>
      </c:lineChart>
      <c:catAx>
        <c:axId val="206641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066424543"/>
        <c:crosses val="autoZero"/>
        <c:auto val="1"/>
        <c:lblAlgn val="ctr"/>
        <c:lblOffset val="100"/>
        <c:noMultiLvlLbl val="0"/>
      </c:catAx>
      <c:valAx>
        <c:axId val="2066424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b="0"/>
                  <a:t>Tis. Kč</a:t>
                </a:r>
              </a:p>
            </c:rich>
          </c:tx>
          <c:layout>
            <c:manualLayout>
              <c:xMode val="edge"/>
              <c:yMode val="edge"/>
              <c:x val="1.514526652211636E-2"/>
              <c:y val="0.303294217946965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066412895"/>
        <c:crosses val="autoZero"/>
        <c:crossBetween val="between"/>
      </c:valAx>
      <c:valAx>
        <c:axId val="2066412479"/>
        <c:scaling>
          <c:orientation val="minMax"/>
          <c:max val="1.2"/>
          <c:min val="0.2"/>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066417887"/>
        <c:crosses val="max"/>
        <c:crossBetween val="between"/>
        <c:majorUnit val="5.000000000000001E-2"/>
      </c:valAx>
      <c:catAx>
        <c:axId val="2066417887"/>
        <c:scaling>
          <c:orientation val="minMax"/>
        </c:scaling>
        <c:delete val="1"/>
        <c:axPos val="b"/>
        <c:numFmt formatCode="General" sourceLinked="1"/>
        <c:majorTickMark val="none"/>
        <c:minorTickMark val="none"/>
        <c:tickLblPos val="nextTo"/>
        <c:crossAx val="2066412479"/>
        <c:crosses val="autoZero"/>
        <c:auto val="1"/>
        <c:lblAlgn val="ctr"/>
        <c:lblOffset val="100"/>
        <c:noMultiLvlLbl val="0"/>
      </c:catAx>
      <c:spPr>
        <a:noFill/>
        <a:ln>
          <a:noFill/>
        </a:ln>
        <a:effectLst/>
      </c:spPr>
    </c:plotArea>
    <c:legend>
      <c:legendPos val="b"/>
      <c:layout>
        <c:manualLayout>
          <c:xMode val="edge"/>
          <c:yMode val="edge"/>
          <c:x val="4.2306734006734001E-2"/>
          <c:y val="0.76776388888888891"/>
          <c:w val="0.9389048821548821"/>
          <c:h val="0.20871759259259259"/>
        </c:manualLayout>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G3_MM!$C$2</c:f>
              <c:strCache>
                <c:ptCount val="1"/>
                <c:pt idx="0">
                  <c:v> Průměrná hrubá měsíční mzda učitelů v tis. Kč</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G3_MM!$A$3:$B$8</c:f>
              <c:multiLvlStrCache>
                <c:ptCount val="6"/>
                <c:lvl>
                  <c:pt idx="0">
                    <c:v>2015</c:v>
                  </c:pt>
                  <c:pt idx="1">
                    <c:v>2020</c:v>
                  </c:pt>
                  <c:pt idx="2">
                    <c:v>2015</c:v>
                  </c:pt>
                  <c:pt idx="3">
                    <c:v>2020</c:v>
                  </c:pt>
                  <c:pt idx="4">
                    <c:v>2015</c:v>
                  </c:pt>
                  <c:pt idx="5">
                    <c:v>2020</c:v>
                  </c:pt>
                </c:lvl>
                <c:lvl>
                  <c:pt idx="0">
                    <c:v>Mateřské školy</c:v>
                  </c:pt>
                  <c:pt idx="2">
                    <c:v>Základní školy</c:v>
                  </c:pt>
                  <c:pt idx="4">
                    <c:v>Střední školy</c:v>
                  </c:pt>
                </c:lvl>
              </c:multiLvlStrCache>
            </c:multiLvlStrRef>
          </c:cat>
          <c:val>
            <c:numRef>
              <c:f>G3_MM!$C$3:$C$8</c:f>
              <c:numCache>
                <c:formatCode>#\ ##0.0</c:formatCode>
                <c:ptCount val="6"/>
                <c:pt idx="0">
                  <c:v>23.981170300000002</c:v>
                </c:pt>
                <c:pt idx="1">
                  <c:v>36.501663899999997</c:v>
                </c:pt>
                <c:pt idx="2">
                  <c:v>28.365492699999997</c:v>
                </c:pt>
                <c:pt idx="3">
                  <c:v>45.067118700000002</c:v>
                </c:pt>
                <c:pt idx="4">
                  <c:v>28.951870599999999</c:v>
                </c:pt>
                <c:pt idx="5">
                  <c:v>45.760044100000002</c:v>
                </c:pt>
              </c:numCache>
            </c:numRef>
          </c:val>
          <c:extLst>
            <c:ext xmlns:c16="http://schemas.microsoft.com/office/drawing/2014/chart" uri="{C3380CC4-5D6E-409C-BE32-E72D297353CC}">
              <c16:uniqueId val="{00000000-4E04-4932-8A8D-5FB18CD09C07}"/>
            </c:ext>
          </c:extLst>
        </c:ser>
        <c:dLbls>
          <c:showLegendKey val="0"/>
          <c:showVal val="0"/>
          <c:showCatName val="0"/>
          <c:showSerName val="0"/>
          <c:showPercent val="0"/>
          <c:showBubbleSize val="0"/>
        </c:dLbls>
        <c:gapWidth val="100"/>
        <c:axId val="1900821775"/>
        <c:axId val="1900823023"/>
      </c:barChart>
      <c:scatterChart>
        <c:scatterStyle val="lineMarker"/>
        <c:varyColors val="0"/>
        <c:ser>
          <c:idx val="1"/>
          <c:order val="1"/>
          <c:tx>
            <c:strRef>
              <c:f>G3_MM!$D$2</c:f>
              <c:strCache>
                <c:ptCount val="1"/>
                <c:pt idx="0">
                  <c:v> % průměrné mzdy zaměstnanců v ČR celkem</c:v>
                </c:pt>
              </c:strCache>
            </c:strRef>
          </c:tx>
          <c:spPr>
            <a:ln w="25400" cap="rnd">
              <a:noFill/>
              <a:round/>
            </a:ln>
            <a:effectLst/>
          </c:spPr>
          <c:marker>
            <c:symbol val="circle"/>
            <c:size val="5"/>
            <c:spPr>
              <a:solidFill>
                <a:srgbClr val="FF0000"/>
              </a:solidFill>
              <a:ln w="9525">
                <a:solidFill>
                  <a:schemeClr val="accent2"/>
                </a:solidFill>
              </a:ln>
              <a:effectLst/>
            </c:spPr>
          </c:marker>
          <c:dLbls>
            <c:spPr>
              <a:solidFill>
                <a:schemeClr val="accent2">
                  <a:lumMod val="20000"/>
                  <a:lumOff val="80000"/>
                </a:schemeClr>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multiLvlStrRef>
              <c:f>G3_MM!$A$3:$B$8</c:f>
              <c:multiLvlStrCache>
                <c:ptCount val="6"/>
                <c:lvl>
                  <c:pt idx="0">
                    <c:v>2015</c:v>
                  </c:pt>
                  <c:pt idx="1">
                    <c:v>2020</c:v>
                  </c:pt>
                  <c:pt idx="2">
                    <c:v>2015</c:v>
                  </c:pt>
                  <c:pt idx="3">
                    <c:v>2020</c:v>
                  </c:pt>
                  <c:pt idx="4">
                    <c:v>2015</c:v>
                  </c:pt>
                  <c:pt idx="5">
                    <c:v>2020</c:v>
                  </c:pt>
                </c:lvl>
                <c:lvl>
                  <c:pt idx="0">
                    <c:v>Mateřské školy</c:v>
                  </c:pt>
                  <c:pt idx="2">
                    <c:v>Základní školy</c:v>
                  </c:pt>
                  <c:pt idx="4">
                    <c:v>Střední školy</c:v>
                  </c:pt>
                </c:lvl>
              </c:multiLvlStrCache>
            </c:multiLvlStrRef>
          </c:xVal>
          <c:yVal>
            <c:numRef>
              <c:f>G3_MM!$D$3:$D$8</c:f>
              <c:numCache>
                <c:formatCode>0%</c:formatCode>
                <c:ptCount val="6"/>
                <c:pt idx="0">
                  <c:v>0.86229083096616455</c:v>
                </c:pt>
                <c:pt idx="1">
                  <c:v>0.94743929953300343</c:v>
                </c:pt>
                <c:pt idx="2">
                  <c:v>1.0199378914817876</c:v>
                </c:pt>
                <c:pt idx="3">
                  <c:v>1.1697647397684445</c:v>
                </c:pt>
                <c:pt idx="4">
                  <c:v>1.0410222789543706</c:v>
                </c:pt>
                <c:pt idx="5">
                  <c:v>1.187750351531327</c:v>
                </c:pt>
              </c:numCache>
            </c:numRef>
          </c:yVal>
          <c:smooth val="0"/>
          <c:extLst>
            <c:ext xmlns:c16="http://schemas.microsoft.com/office/drawing/2014/chart" uri="{C3380CC4-5D6E-409C-BE32-E72D297353CC}">
              <c16:uniqueId val="{00000001-4E04-4932-8A8D-5FB18CD09C07}"/>
            </c:ext>
          </c:extLst>
        </c:ser>
        <c:ser>
          <c:idx val="2"/>
          <c:order val="2"/>
          <c:tx>
            <c:strRef>
              <c:f>G3_MM!$E$2</c:f>
              <c:strCache>
                <c:ptCount val="1"/>
                <c:pt idx="0">
                  <c:v> % průměrné mzdy všech zaměstnanců s vysokoškolským (magisterským či doktorským) vzděláním</c:v>
                </c:pt>
              </c:strCache>
            </c:strRef>
          </c:tx>
          <c:spPr>
            <a:ln w="25400" cap="rnd">
              <a:noFill/>
              <a:round/>
            </a:ln>
            <a:effectLst/>
          </c:spPr>
          <c:marker>
            <c:symbol val="triangle"/>
            <c:size val="7"/>
            <c:spPr>
              <a:solidFill>
                <a:srgbClr val="92D050"/>
              </a:solidFill>
              <a:ln w="9525">
                <a:solidFill>
                  <a:sysClr val="windowText" lastClr="000000"/>
                </a:solidFill>
              </a:ln>
              <a:effectLst/>
            </c:spPr>
          </c:marker>
          <c:dLbls>
            <c:spPr>
              <a:solidFill>
                <a:schemeClr val="accent3">
                  <a:lumMod val="40000"/>
                  <a:lumOff val="60000"/>
                </a:schemeClr>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multiLvlStrRef>
              <c:f>G3_MM!$A$3:$B$8</c:f>
              <c:multiLvlStrCache>
                <c:ptCount val="6"/>
                <c:lvl>
                  <c:pt idx="0">
                    <c:v>2015</c:v>
                  </c:pt>
                  <c:pt idx="1">
                    <c:v>2020</c:v>
                  </c:pt>
                  <c:pt idx="2">
                    <c:v>2015</c:v>
                  </c:pt>
                  <c:pt idx="3">
                    <c:v>2020</c:v>
                  </c:pt>
                  <c:pt idx="4">
                    <c:v>2015</c:v>
                  </c:pt>
                  <c:pt idx="5">
                    <c:v>2020</c:v>
                  </c:pt>
                </c:lvl>
                <c:lvl>
                  <c:pt idx="0">
                    <c:v>Mateřské školy</c:v>
                  </c:pt>
                  <c:pt idx="2">
                    <c:v>Základní školy</c:v>
                  </c:pt>
                  <c:pt idx="4">
                    <c:v>Střední školy</c:v>
                  </c:pt>
                </c:lvl>
              </c:multiLvlStrCache>
            </c:multiLvlStrRef>
          </c:xVal>
          <c:yVal>
            <c:numRef>
              <c:f>G3_MM!$E$3:$E$8</c:f>
              <c:numCache>
                <c:formatCode>0%</c:formatCode>
                <c:ptCount val="6"/>
                <c:pt idx="0">
                  <c:v>0.54060512235417058</c:v>
                </c:pt>
                <c:pt idx="1">
                  <c:v>0.62509837294088044</c:v>
                </c:pt>
                <c:pt idx="2">
                  <c:v>0.6394404634923021</c:v>
                </c:pt>
                <c:pt idx="3">
                  <c:v>0.77178351786049759</c:v>
                </c:pt>
                <c:pt idx="4">
                  <c:v>0.65265912181504804</c:v>
                </c:pt>
                <c:pt idx="5">
                  <c:v>0.78365000540736829</c:v>
                </c:pt>
              </c:numCache>
            </c:numRef>
          </c:yVal>
          <c:smooth val="0"/>
          <c:extLst>
            <c:ext xmlns:c16="http://schemas.microsoft.com/office/drawing/2014/chart" uri="{C3380CC4-5D6E-409C-BE32-E72D297353CC}">
              <c16:uniqueId val="{00000002-4E04-4932-8A8D-5FB18CD09C07}"/>
            </c:ext>
          </c:extLst>
        </c:ser>
        <c:dLbls>
          <c:showLegendKey val="0"/>
          <c:showVal val="0"/>
          <c:showCatName val="0"/>
          <c:showSerName val="0"/>
          <c:showPercent val="0"/>
          <c:showBubbleSize val="0"/>
        </c:dLbls>
        <c:axId val="2108807471"/>
        <c:axId val="2108807055"/>
      </c:scatterChart>
      <c:catAx>
        <c:axId val="1900821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900823023"/>
        <c:crosses val="autoZero"/>
        <c:auto val="1"/>
        <c:lblAlgn val="ctr"/>
        <c:lblOffset val="100"/>
        <c:noMultiLvlLbl val="0"/>
      </c:catAx>
      <c:valAx>
        <c:axId val="1900823023"/>
        <c:scaling>
          <c:orientation val="minMax"/>
        </c:scaling>
        <c:delete val="0"/>
        <c:axPos val="l"/>
        <c:numFmt formatCode="#\ ##0.0" sourceLinked="1"/>
        <c:majorTickMark val="none"/>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00821775"/>
        <c:crosses val="autoZero"/>
        <c:crossBetween val="between"/>
      </c:valAx>
      <c:valAx>
        <c:axId val="2108807055"/>
        <c:scaling>
          <c:orientation val="minMax"/>
          <c:max val="1.2"/>
          <c:min val="0.2"/>
        </c:scaling>
        <c:delete val="0"/>
        <c:axPos val="r"/>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108807471"/>
        <c:crosses val="max"/>
        <c:crossBetween val="midCat"/>
      </c:valAx>
      <c:valAx>
        <c:axId val="2108807471"/>
        <c:scaling>
          <c:orientation val="minMax"/>
        </c:scaling>
        <c:delete val="1"/>
        <c:axPos val="b"/>
        <c:numFmt formatCode="General" sourceLinked="1"/>
        <c:majorTickMark val="out"/>
        <c:minorTickMark val="none"/>
        <c:tickLblPos val="nextTo"/>
        <c:crossAx val="2108807055"/>
        <c:crosses val="autoZero"/>
        <c:crossBetween val="midCat"/>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legendEntry>
      <c:layout>
        <c:manualLayout>
          <c:xMode val="edge"/>
          <c:yMode val="edge"/>
          <c:x val="4.4603535353535353E-2"/>
          <c:y val="0.83130648148148145"/>
          <c:w val="0.904378787878788"/>
          <c:h val="0.14517499999999997"/>
        </c:manualLayout>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255813953488372E-2"/>
          <c:y val="5.2757793764988008E-2"/>
          <c:w val="0.95348837209302328"/>
          <c:h val="0.66375422496648351"/>
        </c:manualLayout>
      </c:layout>
      <c:barChart>
        <c:barDir val="col"/>
        <c:grouping val="clustered"/>
        <c:varyColors val="0"/>
        <c:ser>
          <c:idx val="0"/>
          <c:order val="0"/>
          <c:tx>
            <c:strRef>
              <c:f>List1!$B$2</c:f>
              <c:strCache>
                <c:ptCount val="1"/>
                <c:pt idx="0">
                  <c:v> učitelé ve mzdové sféře (průměrná hrubá měsíční mzda)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List1!$A$3:$A$5</c:f>
              <c:numCache>
                <c:formatCode>General</c:formatCode>
                <c:ptCount val="3"/>
                <c:pt idx="0">
                  <c:v>2018</c:v>
                </c:pt>
                <c:pt idx="1">
                  <c:v>2019</c:v>
                </c:pt>
                <c:pt idx="2">
                  <c:v>2020</c:v>
                </c:pt>
              </c:numCache>
            </c:numRef>
          </c:cat>
          <c:val>
            <c:numRef>
              <c:f>List1!$B$3:$B$5</c:f>
              <c:numCache>
                <c:formatCode>#\ ##0.0_ ;\-#\ ##0.0\ </c:formatCode>
                <c:ptCount val="3"/>
                <c:pt idx="0">
                  <c:v>24.4043861</c:v>
                </c:pt>
                <c:pt idx="1">
                  <c:v>26.4572021</c:v>
                </c:pt>
                <c:pt idx="2">
                  <c:v>26.8046644</c:v>
                </c:pt>
              </c:numCache>
            </c:numRef>
          </c:val>
          <c:extLst>
            <c:ext xmlns:c16="http://schemas.microsoft.com/office/drawing/2014/chart" uri="{C3380CC4-5D6E-409C-BE32-E72D297353CC}">
              <c16:uniqueId val="{00000000-0E99-41C2-A996-54DFAD6B16B1}"/>
            </c:ext>
          </c:extLst>
        </c:ser>
        <c:ser>
          <c:idx val="1"/>
          <c:order val="1"/>
          <c:tx>
            <c:strRef>
              <c:f>List1!$C$2</c:f>
              <c:strCache>
                <c:ptCount val="1"/>
                <c:pt idx="0">
                  <c:v> učitelé v platové sféře (průměrný hrubý měsíční plat)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List1!$A$3:$A$5</c:f>
              <c:numCache>
                <c:formatCode>General</c:formatCode>
                <c:ptCount val="3"/>
                <c:pt idx="0">
                  <c:v>2018</c:v>
                </c:pt>
                <c:pt idx="1">
                  <c:v>2019</c:v>
                </c:pt>
                <c:pt idx="2">
                  <c:v>2020</c:v>
                </c:pt>
              </c:numCache>
            </c:numRef>
          </c:cat>
          <c:val>
            <c:numRef>
              <c:f>List1!$C$3:$C$5</c:f>
              <c:numCache>
                <c:formatCode>#\ ##0.0_ ;\-#\ ##0.0\ </c:formatCode>
                <c:ptCount val="3"/>
                <c:pt idx="0">
                  <c:v>29.834607399999999</c:v>
                </c:pt>
                <c:pt idx="1">
                  <c:v>34.231739699999999</c:v>
                </c:pt>
                <c:pt idx="2">
                  <c:v>37.347569999999997</c:v>
                </c:pt>
              </c:numCache>
            </c:numRef>
          </c:val>
          <c:extLst>
            <c:ext xmlns:c16="http://schemas.microsoft.com/office/drawing/2014/chart" uri="{C3380CC4-5D6E-409C-BE32-E72D297353CC}">
              <c16:uniqueId val="{00000001-0E99-41C2-A996-54DFAD6B16B1}"/>
            </c:ext>
          </c:extLst>
        </c:ser>
        <c:dLbls>
          <c:showLegendKey val="0"/>
          <c:showVal val="0"/>
          <c:showCatName val="0"/>
          <c:showSerName val="0"/>
          <c:showPercent val="0"/>
          <c:showBubbleSize val="0"/>
        </c:dLbls>
        <c:gapWidth val="100"/>
        <c:overlap val="-10"/>
        <c:axId val="1305612720"/>
        <c:axId val="1305613552"/>
      </c:barChart>
      <c:catAx>
        <c:axId val="130561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crossAx val="1305613552"/>
        <c:crosses val="autoZero"/>
        <c:auto val="1"/>
        <c:lblAlgn val="ctr"/>
        <c:lblOffset val="100"/>
        <c:noMultiLvlLbl val="0"/>
      </c:catAx>
      <c:valAx>
        <c:axId val="1305613552"/>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 ##0.0_ ;\-#\ ##0.0\ "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305612720"/>
        <c:crosses val="autoZero"/>
        <c:crossBetween val="between"/>
      </c:valAx>
      <c:spPr>
        <a:noFill/>
        <a:ln>
          <a:noFill/>
        </a:ln>
        <a:effectLst/>
      </c:spPr>
    </c:plotArea>
    <c:legend>
      <c:legendPos val="b"/>
      <c:layout>
        <c:manualLayout>
          <c:xMode val="edge"/>
          <c:yMode val="edge"/>
          <c:x val="0.18130902928472525"/>
          <c:y val="0.81720833412262917"/>
          <c:w val="0.62425837518341698"/>
          <c:h val="0.15071468111393854"/>
        </c:manualLayout>
      </c:layout>
      <c:overlay val="0"/>
      <c:spPr>
        <a:noFill/>
        <a:ln>
          <a:solidFill>
            <a:schemeClr val="bg1">
              <a:lumMod val="65000"/>
            </a:schemeClr>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11120320486257E-2"/>
          <c:y val="4.1904761904761903E-2"/>
          <c:w val="0.91458791759688784"/>
          <c:h val="0.85486546009554032"/>
        </c:manualLayout>
      </c:layout>
      <c:lineChart>
        <c:grouping val="standard"/>
        <c:varyColors val="0"/>
        <c:ser>
          <c:idx val="0"/>
          <c:order val="0"/>
          <c:tx>
            <c:strRef>
              <c:f>'G1'!$A$55</c:f>
              <c:strCache>
                <c:ptCount val="1"/>
                <c:pt idx="0">
                  <c:v> mzdy učitelů v regionálním školství</c:v>
                </c:pt>
              </c:strCache>
            </c:strRef>
          </c:tx>
          <c:spPr>
            <a:ln w="28575" cap="rnd">
              <a:solidFill>
                <a:schemeClr val="accent1"/>
              </a:solidFill>
              <a:round/>
            </a:ln>
            <a:effectLst/>
          </c:spPr>
          <c:marker>
            <c:symbol val="none"/>
          </c:marker>
          <c:cat>
            <c:numRef>
              <c:f>'G1'!$B$54:$I$54</c:f>
              <c:numCache>
                <c:formatCode>General</c:formatCode>
                <c:ptCount val="8"/>
                <c:pt idx="0">
                  <c:v>2013</c:v>
                </c:pt>
                <c:pt idx="1">
                  <c:v>2014</c:v>
                </c:pt>
                <c:pt idx="2">
                  <c:v>2015</c:v>
                </c:pt>
                <c:pt idx="3">
                  <c:v>2016</c:v>
                </c:pt>
                <c:pt idx="4">
                  <c:v>2017</c:v>
                </c:pt>
                <c:pt idx="5">
                  <c:v>2018</c:v>
                </c:pt>
                <c:pt idx="6">
                  <c:v>2019</c:v>
                </c:pt>
                <c:pt idx="7">
                  <c:v>2020</c:v>
                </c:pt>
              </c:numCache>
            </c:numRef>
          </c:cat>
          <c:val>
            <c:numRef>
              <c:f>'G1'!$B$55:$I$55</c:f>
              <c:numCache>
                <c:formatCode>General</c:formatCode>
                <c:ptCount val="8"/>
                <c:pt idx="0">
                  <c:v>100</c:v>
                </c:pt>
                <c:pt idx="1">
                  <c:v>102.1496370936009</c:v>
                </c:pt>
                <c:pt idx="2">
                  <c:v>104.68609465097138</c:v>
                </c:pt>
                <c:pt idx="3">
                  <c:v>109.10338766967236</c:v>
                </c:pt>
                <c:pt idx="4">
                  <c:v>114.14019985844992</c:v>
                </c:pt>
                <c:pt idx="5">
                  <c:v>124.35551543327976</c:v>
                </c:pt>
                <c:pt idx="6">
                  <c:v>138.99810623224613</c:v>
                </c:pt>
                <c:pt idx="7">
                  <c:v>147.08067866619635</c:v>
                </c:pt>
              </c:numCache>
            </c:numRef>
          </c:val>
          <c:smooth val="0"/>
          <c:extLst>
            <c:ext xmlns:c16="http://schemas.microsoft.com/office/drawing/2014/chart" uri="{C3380CC4-5D6E-409C-BE32-E72D297353CC}">
              <c16:uniqueId val="{00000000-D2A0-4E22-B7AB-8F5842B96366}"/>
            </c:ext>
          </c:extLst>
        </c:ser>
        <c:ser>
          <c:idx val="1"/>
          <c:order val="1"/>
          <c:tx>
            <c:strRef>
              <c:f>'G1'!$A$56</c:f>
              <c:strCache>
                <c:ptCount val="1"/>
                <c:pt idx="0">
                  <c:v> mzdy zaměstnanců v ČR celkem</c:v>
                </c:pt>
              </c:strCache>
            </c:strRef>
          </c:tx>
          <c:spPr>
            <a:ln w="28575" cap="rnd">
              <a:solidFill>
                <a:schemeClr val="accent2"/>
              </a:solidFill>
              <a:round/>
            </a:ln>
            <a:effectLst/>
          </c:spPr>
          <c:marker>
            <c:symbol val="none"/>
          </c:marker>
          <c:cat>
            <c:numRef>
              <c:f>'G1'!$B$54:$I$54</c:f>
              <c:numCache>
                <c:formatCode>General</c:formatCode>
                <c:ptCount val="8"/>
                <c:pt idx="0">
                  <c:v>2013</c:v>
                </c:pt>
                <c:pt idx="1">
                  <c:v>2014</c:v>
                </c:pt>
                <c:pt idx="2">
                  <c:v>2015</c:v>
                </c:pt>
                <c:pt idx="3">
                  <c:v>2016</c:v>
                </c:pt>
                <c:pt idx="4">
                  <c:v>2017</c:v>
                </c:pt>
                <c:pt idx="5">
                  <c:v>2018</c:v>
                </c:pt>
                <c:pt idx="6">
                  <c:v>2019</c:v>
                </c:pt>
                <c:pt idx="7">
                  <c:v>2020</c:v>
                </c:pt>
              </c:numCache>
            </c:numRef>
          </c:cat>
          <c:val>
            <c:numRef>
              <c:f>'G1'!$B$56:$I$56</c:f>
              <c:numCache>
                <c:formatCode>General</c:formatCode>
                <c:ptCount val="8"/>
                <c:pt idx="0">
                  <c:v>100</c:v>
                </c:pt>
                <c:pt idx="1">
                  <c:v>101.09519585530302</c:v>
                </c:pt>
                <c:pt idx="2">
                  <c:v>104.58636730303847</c:v>
                </c:pt>
                <c:pt idx="3">
                  <c:v>108.52577294588784</c:v>
                </c:pt>
                <c:pt idx="4">
                  <c:v>113.46984216593259</c:v>
                </c:pt>
                <c:pt idx="5">
                  <c:v>120.29672910768639</c:v>
                </c:pt>
                <c:pt idx="6">
                  <c:v>126.17263133172941</c:v>
                </c:pt>
                <c:pt idx="7">
                  <c:v>130.55247850678433</c:v>
                </c:pt>
              </c:numCache>
            </c:numRef>
          </c:val>
          <c:smooth val="0"/>
          <c:extLst>
            <c:ext xmlns:c16="http://schemas.microsoft.com/office/drawing/2014/chart" uri="{C3380CC4-5D6E-409C-BE32-E72D297353CC}">
              <c16:uniqueId val="{00000001-D2A0-4E22-B7AB-8F5842B96366}"/>
            </c:ext>
          </c:extLst>
        </c:ser>
        <c:ser>
          <c:idx val="2"/>
          <c:order val="2"/>
          <c:tx>
            <c:strRef>
              <c:f>'G1'!$A$57</c:f>
              <c:strCache>
                <c:ptCount val="1"/>
                <c:pt idx="0">
                  <c:v> mzdy zaměstnanců v platové sféře</c:v>
                </c:pt>
              </c:strCache>
            </c:strRef>
          </c:tx>
          <c:spPr>
            <a:ln w="28575" cap="rnd">
              <a:solidFill>
                <a:schemeClr val="accent3"/>
              </a:solidFill>
              <a:round/>
            </a:ln>
            <a:effectLst/>
          </c:spPr>
          <c:marker>
            <c:symbol val="none"/>
          </c:marker>
          <c:cat>
            <c:numRef>
              <c:f>'G1'!$B$54:$I$54</c:f>
              <c:numCache>
                <c:formatCode>General</c:formatCode>
                <c:ptCount val="8"/>
                <c:pt idx="0">
                  <c:v>2013</c:v>
                </c:pt>
                <c:pt idx="1">
                  <c:v>2014</c:v>
                </c:pt>
                <c:pt idx="2">
                  <c:v>2015</c:v>
                </c:pt>
                <c:pt idx="3">
                  <c:v>2016</c:v>
                </c:pt>
                <c:pt idx="4">
                  <c:v>2017</c:v>
                </c:pt>
                <c:pt idx="5">
                  <c:v>2018</c:v>
                </c:pt>
                <c:pt idx="6">
                  <c:v>2019</c:v>
                </c:pt>
                <c:pt idx="7">
                  <c:v>2020</c:v>
                </c:pt>
              </c:numCache>
            </c:numRef>
          </c:cat>
          <c:val>
            <c:numRef>
              <c:f>'G1'!$B$57:$I$57</c:f>
              <c:numCache>
                <c:formatCode>General</c:formatCode>
                <c:ptCount val="8"/>
                <c:pt idx="0">
                  <c:v>100</c:v>
                </c:pt>
                <c:pt idx="1">
                  <c:v>102.54720521204817</c:v>
                </c:pt>
                <c:pt idx="2">
                  <c:v>106.68213730547144</c:v>
                </c:pt>
                <c:pt idx="3">
                  <c:v>111.7749955867462</c:v>
                </c:pt>
                <c:pt idx="4">
                  <c:v>118.32355974755673</c:v>
                </c:pt>
                <c:pt idx="5">
                  <c:v>128.41260256996406</c:v>
                </c:pt>
                <c:pt idx="6">
                  <c:v>136.34571381531865</c:v>
                </c:pt>
                <c:pt idx="7">
                  <c:v>145.24047075922536</c:v>
                </c:pt>
              </c:numCache>
            </c:numRef>
          </c:val>
          <c:smooth val="0"/>
          <c:extLst>
            <c:ext xmlns:c16="http://schemas.microsoft.com/office/drawing/2014/chart" uri="{C3380CC4-5D6E-409C-BE32-E72D297353CC}">
              <c16:uniqueId val="{00000002-D2A0-4E22-B7AB-8F5842B96366}"/>
            </c:ext>
          </c:extLst>
        </c:ser>
        <c:dLbls>
          <c:showLegendKey val="0"/>
          <c:showVal val="0"/>
          <c:showCatName val="0"/>
          <c:showSerName val="0"/>
          <c:showPercent val="0"/>
          <c:showBubbleSize val="0"/>
        </c:dLbls>
        <c:smooth val="0"/>
        <c:axId val="1131553920"/>
        <c:axId val="1131554336"/>
      </c:lineChart>
      <c:catAx>
        <c:axId val="11315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31554336"/>
        <c:crosses val="autoZero"/>
        <c:auto val="1"/>
        <c:lblAlgn val="ctr"/>
        <c:lblOffset val="100"/>
        <c:noMultiLvlLbl val="0"/>
      </c:catAx>
      <c:valAx>
        <c:axId val="113155433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31553920"/>
        <c:crosses val="autoZero"/>
        <c:crossBetween val="between"/>
        <c:majorUnit val="5"/>
      </c:valAx>
      <c:spPr>
        <a:noFill/>
        <a:ln>
          <a:noFill/>
        </a:ln>
        <a:effectLst/>
      </c:spPr>
    </c:plotArea>
    <c:legend>
      <c:legendPos val="b"/>
      <c:layout>
        <c:manualLayout>
          <c:xMode val="edge"/>
          <c:yMode val="edge"/>
          <c:x val="0.61217664829650409"/>
          <c:y val="0.67930562972062836"/>
          <c:w val="0.36200010332687116"/>
          <c:h val="0.19986665720097413"/>
        </c:manualLayout>
      </c:layout>
      <c:overlay val="0"/>
      <c:spPr>
        <a:solidFill>
          <a:sysClr val="window" lastClr="FFFFFF"/>
        </a:solidFill>
        <a:ln>
          <a:solidFill>
            <a:schemeClr val="bg1">
              <a:lumMod val="6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78280360940281E-2"/>
          <c:y val="4.6125833333333331E-2"/>
          <c:w val="0.88816270228995098"/>
          <c:h val="0.60902204203526389"/>
        </c:manualLayout>
      </c:layout>
      <c:barChart>
        <c:barDir val="col"/>
        <c:grouping val="clustered"/>
        <c:varyColors val="0"/>
        <c:ser>
          <c:idx val="0"/>
          <c:order val="0"/>
          <c:tx>
            <c:strRef>
              <c:f>G6_MM!$C$3</c:f>
              <c:strCache>
                <c:ptCount val="1"/>
                <c:pt idx="0">
                  <c:v>2015</c:v>
                </c:pt>
              </c:strCache>
            </c:strRef>
          </c:tx>
          <c:spPr>
            <a:solidFill>
              <a:schemeClr val="accent1"/>
            </a:solidFill>
            <a:ln>
              <a:noFill/>
            </a:ln>
            <a:effectLst/>
          </c:spPr>
          <c:invertIfNegative val="0"/>
          <c:cat>
            <c:multiLvlStrRef>
              <c:f>G6_MM!$A$4:$B$13</c:f>
              <c:multiLvlStrCache>
                <c:ptCount val="10"/>
                <c:lvl>
                  <c:pt idx="0">
                    <c:v>25–29 
let</c:v>
                  </c:pt>
                  <c:pt idx="1">
                    <c:v>30–34 
let</c:v>
                  </c:pt>
                  <c:pt idx="2">
                    <c:v>35–44 
let</c:v>
                  </c:pt>
                  <c:pt idx="3">
                    <c:v>45–54 
let</c:v>
                  </c:pt>
                  <c:pt idx="4">
                    <c:v>55 a více
let</c:v>
                  </c:pt>
                  <c:pt idx="5">
                    <c:v>25–29 
let</c:v>
                  </c:pt>
                  <c:pt idx="6">
                    <c:v>30–34 
let</c:v>
                  </c:pt>
                  <c:pt idx="7">
                    <c:v>35–44 
let</c:v>
                  </c:pt>
                  <c:pt idx="8">
                    <c:v>45–54 
let</c:v>
                  </c:pt>
                  <c:pt idx="9">
                    <c:v>55 a více
let</c:v>
                  </c:pt>
                </c:lvl>
                <c:lvl>
                  <c:pt idx="0">
                    <c:v>Mateřské školy</c:v>
                  </c:pt>
                  <c:pt idx="5">
                    <c:v>Základní školy</c:v>
                  </c:pt>
                </c:lvl>
              </c:multiLvlStrCache>
            </c:multiLvlStrRef>
          </c:cat>
          <c:val>
            <c:numRef>
              <c:f>G6_MM!$C$4:$C$13</c:f>
              <c:numCache>
                <c:formatCode>0.0</c:formatCode>
                <c:ptCount val="10"/>
                <c:pt idx="0">
                  <c:v>22.344687699999998</c:v>
                </c:pt>
                <c:pt idx="1">
                  <c:v>23.368369299999998</c:v>
                </c:pt>
                <c:pt idx="2">
                  <c:v>23.282512499999999</c:v>
                </c:pt>
                <c:pt idx="3">
                  <c:v>24.861681799999999</c:v>
                </c:pt>
                <c:pt idx="4">
                  <c:v>25.3010649</c:v>
                </c:pt>
                <c:pt idx="5">
                  <c:v>25.004524099999998</c:v>
                </c:pt>
                <c:pt idx="6">
                  <c:v>25.586394899999998</c:v>
                </c:pt>
                <c:pt idx="7">
                  <c:v>27.399434299999999</c:v>
                </c:pt>
                <c:pt idx="8">
                  <c:v>29.514521999999999</c:v>
                </c:pt>
                <c:pt idx="9">
                  <c:v>30.687267299999998</c:v>
                </c:pt>
              </c:numCache>
            </c:numRef>
          </c:val>
          <c:extLst>
            <c:ext xmlns:c16="http://schemas.microsoft.com/office/drawing/2014/chart" uri="{C3380CC4-5D6E-409C-BE32-E72D297353CC}">
              <c16:uniqueId val="{00000000-2FF6-4B8E-9471-FE79E33853A3}"/>
            </c:ext>
          </c:extLst>
        </c:ser>
        <c:ser>
          <c:idx val="1"/>
          <c:order val="1"/>
          <c:tx>
            <c:strRef>
              <c:f>G6_MM!$D$3</c:f>
              <c:strCache>
                <c:ptCount val="1"/>
                <c:pt idx="0">
                  <c:v>2020</c:v>
                </c:pt>
              </c:strCache>
            </c:strRef>
          </c:tx>
          <c:spPr>
            <a:solidFill>
              <a:schemeClr val="accent2"/>
            </a:solidFill>
            <a:ln>
              <a:noFill/>
            </a:ln>
            <a:effectLst/>
          </c:spPr>
          <c:invertIfNegative val="0"/>
          <c:cat>
            <c:multiLvlStrRef>
              <c:f>G6_MM!$A$4:$B$13</c:f>
              <c:multiLvlStrCache>
                <c:ptCount val="10"/>
                <c:lvl>
                  <c:pt idx="0">
                    <c:v>25–29 
let</c:v>
                  </c:pt>
                  <c:pt idx="1">
                    <c:v>30–34 
let</c:v>
                  </c:pt>
                  <c:pt idx="2">
                    <c:v>35–44 
let</c:v>
                  </c:pt>
                  <c:pt idx="3">
                    <c:v>45–54 
let</c:v>
                  </c:pt>
                  <c:pt idx="4">
                    <c:v>55 a více
let</c:v>
                  </c:pt>
                  <c:pt idx="5">
                    <c:v>25–29 
let</c:v>
                  </c:pt>
                  <c:pt idx="6">
                    <c:v>30–34 
let</c:v>
                  </c:pt>
                  <c:pt idx="7">
                    <c:v>35–44 
let</c:v>
                  </c:pt>
                  <c:pt idx="8">
                    <c:v>45–54 
let</c:v>
                  </c:pt>
                  <c:pt idx="9">
                    <c:v>55 a více
let</c:v>
                  </c:pt>
                </c:lvl>
                <c:lvl>
                  <c:pt idx="0">
                    <c:v>Mateřské školy</c:v>
                  </c:pt>
                  <c:pt idx="5">
                    <c:v>Základní školy</c:v>
                  </c:pt>
                </c:lvl>
              </c:multiLvlStrCache>
            </c:multiLvlStrRef>
          </c:cat>
          <c:val>
            <c:numRef>
              <c:f>G6_MM!$D$4:$D$13</c:f>
              <c:numCache>
                <c:formatCode>0.0</c:formatCode>
                <c:ptCount val="10"/>
                <c:pt idx="0">
                  <c:v>33.477780799999998</c:v>
                </c:pt>
                <c:pt idx="1">
                  <c:v>33.8621257</c:v>
                </c:pt>
                <c:pt idx="2">
                  <c:v>35.354135499999998</c:v>
                </c:pt>
                <c:pt idx="3">
                  <c:v>37.719932200000002</c:v>
                </c:pt>
                <c:pt idx="4">
                  <c:v>39.378843099999997</c:v>
                </c:pt>
                <c:pt idx="5">
                  <c:v>39.166911500000005</c:v>
                </c:pt>
                <c:pt idx="6">
                  <c:v>40.8338672</c:v>
                </c:pt>
                <c:pt idx="7">
                  <c:v>43.220082900000001</c:v>
                </c:pt>
                <c:pt idx="8">
                  <c:v>46.588236700000003</c:v>
                </c:pt>
                <c:pt idx="9">
                  <c:v>48.701470800000003</c:v>
                </c:pt>
              </c:numCache>
            </c:numRef>
          </c:val>
          <c:extLst>
            <c:ext xmlns:c16="http://schemas.microsoft.com/office/drawing/2014/chart" uri="{C3380CC4-5D6E-409C-BE32-E72D297353CC}">
              <c16:uniqueId val="{00000001-2FF6-4B8E-9471-FE79E33853A3}"/>
            </c:ext>
          </c:extLst>
        </c:ser>
        <c:dLbls>
          <c:showLegendKey val="0"/>
          <c:showVal val="0"/>
          <c:showCatName val="0"/>
          <c:showSerName val="0"/>
          <c:showPercent val="0"/>
          <c:showBubbleSize val="0"/>
        </c:dLbls>
        <c:gapWidth val="200"/>
        <c:overlap val="-25"/>
        <c:axId val="1392723872"/>
        <c:axId val="1392726368"/>
      </c:barChart>
      <c:catAx>
        <c:axId val="139272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crossAx val="1392726368"/>
        <c:crosses val="autoZero"/>
        <c:auto val="1"/>
        <c:lblAlgn val="ctr"/>
        <c:lblOffset val="100"/>
        <c:noMultiLvlLbl val="0"/>
      </c:catAx>
      <c:valAx>
        <c:axId val="1392726368"/>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cs-CZ">
                    <a:solidFill>
                      <a:schemeClr val="tx1">
                        <a:lumMod val="75000"/>
                        <a:lumOff val="25000"/>
                      </a:schemeClr>
                    </a:solidFill>
                  </a:rPr>
                  <a:t>Tis. Kč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crossAx val="1392723872"/>
        <c:crosses val="autoZero"/>
        <c:crossBetween val="between"/>
        <c:majorUnit val="5"/>
      </c:valAx>
      <c:spPr>
        <a:noFill/>
        <a:ln>
          <a:noFill/>
        </a:ln>
        <a:effectLst/>
      </c:spPr>
    </c:plotArea>
    <c:legend>
      <c:legendPos val="b"/>
      <c:layout>
        <c:manualLayout>
          <c:xMode val="edge"/>
          <c:yMode val="edge"/>
          <c:x val="0.34398676442816911"/>
          <c:y val="0.88891300384585337"/>
          <c:w val="0.33310206662123437"/>
          <c:h val="7.7065071399502472E-2"/>
        </c:manualLayout>
      </c:layout>
      <c:overlay val="0"/>
      <c:spPr>
        <a:no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99217010096191E-2"/>
          <c:y val="3.3434650455927049E-2"/>
          <c:w val="0.86515531532826917"/>
          <c:h val="0.51538305052293987"/>
        </c:manualLayout>
      </c:layout>
      <c:barChart>
        <c:barDir val="col"/>
        <c:grouping val="clustered"/>
        <c:varyColors val="0"/>
        <c:ser>
          <c:idx val="0"/>
          <c:order val="0"/>
          <c:tx>
            <c:strRef>
              <c:f>'G7'!$L$3</c:f>
              <c:strCache>
                <c:ptCount val="1"/>
                <c:pt idx="0">
                  <c:v> průměrná hrubá mzda učitelů v regionálním školství</c:v>
                </c:pt>
              </c:strCache>
            </c:strRef>
          </c:tx>
          <c:spPr>
            <a:solidFill>
              <a:schemeClr val="accent1"/>
            </a:solidFill>
            <a:ln>
              <a:noFill/>
            </a:ln>
            <a:effectLst/>
          </c:spPr>
          <c:invertIfNegative val="0"/>
          <c:cat>
            <c:strRef>
              <c:f>'G7'!$K$4:$K$18</c:f>
              <c:strCache>
                <c:ptCount val="15"/>
                <c:pt idx="0">
                  <c:v>Česká republika</c:v>
                </c:pt>
                <c:pt idx="1">
                  <c:v>Karlovarský</c:v>
                </c:pt>
                <c:pt idx="2">
                  <c:v>Zlínský</c:v>
                </c:pt>
                <c:pt idx="3">
                  <c:v>Olomoucký</c:v>
                </c:pt>
                <c:pt idx="4">
                  <c:v>Pardubický</c:v>
                </c:pt>
                <c:pt idx="5">
                  <c:v>Moravskoslezský</c:v>
                </c:pt>
                <c:pt idx="6">
                  <c:v>Jihočeský</c:v>
                </c:pt>
                <c:pt idx="7">
                  <c:v>Královéhradecký</c:v>
                </c:pt>
                <c:pt idx="8">
                  <c:v>Jihomoravský</c:v>
                </c:pt>
                <c:pt idx="9">
                  <c:v>Kraj Vysočina</c:v>
                </c:pt>
                <c:pt idx="10">
                  <c:v>Liberecký</c:v>
                </c:pt>
                <c:pt idx="11">
                  <c:v>Plzeňský</c:v>
                </c:pt>
                <c:pt idx="12">
                  <c:v>Ústecký</c:v>
                </c:pt>
                <c:pt idx="13">
                  <c:v>Středočeský</c:v>
                </c:pt>
                <c:pt idx="14">
                  <c:v>Hl. m. Praha</c:v>
                </c:pt>
              </c:strCache>
            </c:strRef>
          </c:cat>
          <c:val>
            <c:numRef>
              <c:f>'G7'!$L$4:$L$18</c:f>
              <c:numCache>
                <c:formatCode>General</c:formatCode>
                <c:ptCount val="15"/>
                <c:pt idx="0">
                  <c:v>43.317928099999996</c:v>
                </c:pt>
                <c:pt idx="1">
                  <c:v>43.583616499999998</c:v>
                </c:pt>
                <c:pt idx="2">
                  <c:v>43.373951500000004</c:v>
                </c:pt>
                <c:pt idx="3">
                  <c:v>42.6970265</c:v>
                </c:pt>
                <c:pt idx="4">
                  <c:v>42.859945199999999</c:v>
                </c:pt>
                <c:pt idx="5">
                  <c:v>43.357436900000003</c:v>
                </c:pt>
                <c:pt idx="6">
                  <c:v>43.469119599999999</c:v>
                </c:pt>
                <c:pt idx="7">
                  <c:v>42.609511900000001</c:v>
                </c:pt>
                <c:pt idx="8">
                  <c:v>43.184862800000005</c:v>
                </c:pt>
                <c:pt idx="9">
                  <c:v>44.460811800000002</c:v>
                </c:pt>
                <c:pt idx="10">
                  <c:v>43.810350400000004</c:v>
                </c:pt>
                <c:pt idx="11">
                  <c:v>44.044824500000004</c:v>
                </c:pt>
                <c:pt idx="12">
                  <c:v>43.910530400000006</c:v>
                </c:pt>
                <c:pt idx="13">
                  <c:v>43.787153799999999</c:v>
                </c:pt>
                <c:pt idx="14">
                  <c:v>44.233091600000002</c:v>
                </c:pt>
              </c:numCache>
            </c:numRef>
          </c:val>
          <c:extLst>
            <c:ext xmlns:c16="http://schemas.microsoft.com/office/drawing/2014/chart" uri="{C3380CC4-5D6E-409C-BE32-E72D297353CC}">
              <c16:uniqueId val="{00000000-403D-48C6-998E-85119C2813E0}"/>
            </c:ext>
          </c:extLst>
        </c:ser>
        <c:ser>
          <c:idx val="1"/>
          <c:order val="1"/>
          <c:tx>
            <c:strRef>
              <c:f>'G7'!$M$3</c:f>
              <c:strCache>
                <c:ptCount val="1"/>
                <c:pt idx="0">
                  <c:v> průměrná hrubá mzda zaměstnanců s vysokoškolským vzděláním</c:v>
                </c:pt>
              </c:strCache>
            </c:strRef>
          </c:tx>
          <c:spPr>
            <a:solidFill>
              <a:schemeClr val="accent2"/>
            </a:solidFill>
            <a:ln>
              <a:noFill/>
            </a:ln>
            <a:effectLst/>
          </c:spPr>
          <c:invertIfNegative val="0"/>
          <c:cat>
            <c:strRef>
              <c:f>'G7'!$K$4:$K$18</c:f>
              <c:strCache>
                <c:ptCount val="15"/>
                <c:pt idx="0">
                  <c:v>Česká republika</c:v>
                </c:pt>
                <c:pt idx="1">
                  <c:v>Karlovarský</c:v>
                </c:pt>
                <c:pt idx="2">
                  <c:v>Zlínský</c:v>
                </c:pt>
                <c:pt idx="3">
                  <c:v>Olomoucký</c:v>
                </c:pt>
                <c:pt idx="4">
                  <c:v>Pardubický</c:v>
                </c:pt>
                <c:pt idx="5">
                  <c:v>Moravskoslezský</c:v>
                </c:pt>
                <c:pt idx="6">
                  <c:v>Jihočeský</c:v>
                </c:pt>
                <c:pt idx="7">
                  <c:v>Královéhradecký</c:v>
                </c:pt>
                <c:pt idx="8">
                  <c:v>Jihomoravský</c:v>
                </c:pt>
                <c:pt idx="9">
                  <c:v>Kraj Vysočina</c:v>
                </c:pt>
                <c:pt idx="10">
                  <c:v>Liberecký</c:v>
                </c:pt>
                <c:pt idx="11">
                  <c:v>Plzeňský</c:v>
                </c:pt>
                <c:pt idx="12">
                  <c:v>Ústecký</c:v>
                </c:pt>
                <c:pt idx="13">
                  <c:v>Středočeský</c:v>
                </c:pt>
                <c:pt idx="14">
                  <c:v>Hl. m. Praha</c:v>
                </c:pt>
              </c:strCache>
            </c:strRef>
          </c:cat>
          <c:val>
            <c:numRef>
              <c:f>'G7'!$M$4:$M$18</c:f>
              <c:numCache>
                <c:formatCode>General</c:formatCode>
                <c:ptCount val="15"/>
                <c:pt idx="0">
                  <c:v>58.393471299999995</c:v>
                </c:pt>
                <c:pt idx="1">
                  <c:v>48.0781487</c:v>
                </c:pt>
                <c:pt idx="2">
                  <c:v>49.728595599999998</c:v>
                </c:pt>
                <c:pt idx="3">
                  <c:v>49.370850900000001</c:v>
                </c:pt>
                <c:pt idx="4">
                  <c:v>49.8177302</c:v>
                </c:pt>
                <c:pt idx="5">
                  <c:v>50.624892000000003</c:v>
                </c:pt>
                <c:pt idx="6">
                  <c:v>51.026834900000004</c:v>
                </c:pt>
                <c:pt idx="7">
                  <c:v>51.554374199999998</c:v>
                </c:pt>
                <c:pt idx="8">
                  <c:v>52.636243900000004</c:v>
                </c:pt>
                <c:pt idx="9">
                  <c:v>54.278641199999996</c:v>
                </c:pt>
                <c:pt idx="10">
                  <c:v>53.750059800000002</c:v>
                </c:pt>
                <c:pt idx="11">
                  <c:v>54.264381300000004</c:v>
                </c:pt>
                <c:pt idx="12">
                  <c:v>55.965405700000005</c:v>
                </c:pt>
                <c:pt idx="13">
                  <c:v>59.021461700000003</c:v>
                </c:pt>
                <c:pt idx="14">
                  <c:v>67.804293699999988</c:v>
                </c:pt>
              </c:numCache>
            </c:numRef>
          </c:val>
          <c:extLst>
            <c:ext xmlns:c16="http://schemas.microsoft.com/office/drawing/2014/chart" uri="{C3380CC4-5D6E-409C-BE32-E72D297353CC}">
              <c16:uniqueId val="{00000001-403D-48C6-998E-85119C2813E0}"/>
            </c:ext>
          </c:extLst>
        </c:ser>
        <c:dLbls>
          <c:showLegendKey val="0"/>
          <c:showVal val="0"/>
          <c:showCatName val="0"/>
          <c:showSerName val="0"/>
          <c:showPercent val="0"/>
          <c:showBubbleSize val="0"/>
        </c:dLbls>
        <c:gapWidth val="219"/>
        <c:overlap val="-27"/>
        <c:axId val="1797904432"/>
        <c:axId val="1594647472"/>
      </c:barChart>
      <c:lineChart>
        <c:grouping val="standard"/>
        <c:varyColors val="0"/>
        <c:ser>
          <c:idx val="2"/>
          <c:order val="2"/>
          <c:tx>
            <c:strRef>
              <c:f>'G7'!$N$3</c:f>
              <c:strCache>
                <c:ptCount val="1"/>
                <c:pt idx="0">
                  <c:v> průměrná mzda učitelů v regionálním školství
– % průměrné mzdy zaměstnanců s vysokoškolským vzděláním</c:v>
                </c:pt>
              </c:strCache>
            </c:strRef>
          </c:tx>
          <c:spPr>
            <a:ln w="25400" cap="rnd">
              <a:noFill/>
              <a:round/>
            </a:ln>
            <a:effectLst/>
          </c:spPr>
          <c:marker>
            <c:symbol val="circle"/>
            <c:size val="5"/>
            <c:spPr>
              <a:solidFill>
                <a:srgbClr val="92D050"/>
              </a:solidFill>
              <a:ln w="9525">
                <a:solidFill>
                  <a:schemeClr val="accent3">
                    <a:lumMod val="50000"/>
                  </a:schemeClr>
                </a:solidFill>
              </a:ln>
              <a:effectLst/>
            </c:spPr>
          </c:marker>
          <c:dLbls>
            <c:dLbl>
              <c:idx val="0"/>
              <c:layout>
                <c:manualLayout>
                  <c:x val="-3.6563602407138421E-2"/>
                  <c:y val="-0.111425989927763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3D-48C6-998E-85119C2813E0}"/>
                </c:ext>
              </c:extLst>
            </c:dLbl>
            <c:dLbl>
              <c:idx val="14"/>
              <c:layout>
                <c:manualLayout>
                  <c:x val="-3.9558892283952214E-2"/>
                  <c:y val="-0.119404843626757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3D-48C6-998E-85119C2813E0}"/>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'G7'!$K$4:$K$18</c:f>
              <c:strCache>
                <c:ptCount val="15"/>
                <c:pt idx="0">
                  <c:v>Česká republika</c:v>
                </c:pt>
                <c:pt idx="1">
                  <c:v>Karlovarský</c:v>
                </c:pt>
                <c:pt idx="2">
                  <c:v>Zlínský</c:v>
                </c:pt>
                <c:pt idx="3">
                  <c:v>Olomoucký</c:v>
                </c:pt>
                <c:pt idx="4">
                  <c:v>Pardubický</c:v>
                </c:pt>
                <c:pt idx="5">
                  <c:v>Moravskoslezský</c:v>
                </c:pt>
                <c:pt idx="6">
                  <c:v>Jihočeský</c:v>
                </c:pt>
                <c:pt idx="7">
                  <c:v>Královéhradecký</c:v>
                </c:pt>
                <c:pt idx="8">
                  <c:v>Jihomoravský</c:v>
                </c:pt>
                <c:pt idx="9">
                  <c:v>Kraj Vysočina</c:v>
                </c:pt>
                <c:pt idx="10">
                  <c:v>Liberecký</c:v>
                </c:pt>
                <c:pt idx="11">
                  <c:v>Plzeňský</c:v>
                </c:pt>
                <c:pt idx="12">
                  <c:v>Ústecký</c:v>
                </c:pt>
                <c:pt idx="13">
                  <c:v>Středočeský</c:v>
                </c:pt>
                <c:pt idx="14">
                  <c:v>Hl. m. Praha</c:v>
                </c:pt>
              </c:strCache>
            </c:strRef>
          </c:cat>
          <c:val>
            <c:numRef>
              <c:f>'G7'!$N$4:$N$18</c:f>
              <c:numCache>
                <c:formatCode>General</c:formatCode>
                <c:ptCount val="15"/>
                <c:pt idx="0">
                  <c:v>0.74182827524418815</c:v>
                </c:pt>
                <c:pt idx="1">
                  <c:v>0.90651611342098115</c:v>
                </c:pt>
                <c:pt idx="2">
                  <c:v>0.87221348153254519</c:v>
                </c:pt>
                <c:pt idx="3">
                  <c:v>0.86482257691855979</c:v>
                </c:pt>
                <c:pt idx="4">
                  <c:v>0.86033516637415963</c:v>
                </c:pt>
                <c:pt idx="5">
                  <c:v>0.85644502510741161</c:v>
                </c:pt>
                <c:pt idx="6">
                  <c:v>0.85188743697681302</c:v>
                </c:pt>
                <c:pt idx="7">
                  <c:v>0.82649654003558837</c:v>
                </c:pt>
                <c:pt idx="8">
                  <c:v>0.82043967426786701</c:v>
                </c:pt>
                <c:pt idx="9">
                  <c:v>0.81912168059210744</c:v>
                </c:pt>
                <c:pt idx="10">
                  <c:v>0.81507537969287991</c:v>
                </c:pt>
                <c:pt idx="11">
                  <c:v>0.81167099752780192</c:v>
                </c:pt>
                <c:pt idx="12">
                  <c:v>0.78460130594568356</c:v>
                </c:pt>
                <c:pt idx="13">
                  <c:v>0.74188528272250498</c:v>
                </c:pt>
                <c:pt idx="14">
                  <c:v>0.6523641673152627</c:v>
                </c:pt>
              </c:numCache>
            </c:numRef>
          </c:val>
          <c:smooth val="0"/>
          <c:extLst>
            <c:ext xmlns:c16="http://schemas.microsoft.com/office/drawing/2014/chart" uri="{C3380CC4-5D6E-409C-BE32-E72D297353CC}">
              <c16:uniqueId val="{00000003-403D-48C6-998E-85119C2813E0}"/>
            </c:ext>
          </c:extLst>
        </c:ser>
        <c:dLbls>
          <c:showLegendKey val="0"/>
          <c:showVal val="0"/>
          <c:showCatName val="0"/>
          <c:showSerName val="0"/>
          <c:showPercent val="0"/>
          <c:showBubbleSize val="0"/>
        </c:dLbls>
        <c:marker val="1"/>
        <c:smooth val="0"/>
        <c:axId val="1791951376"/>
        <c:axId val="1791957200"/>
      </c:lineChart>
      <c:catAx>
        <c:axId val="179790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594647472"/>
        <c:crosses val="autoZero"/>
        <c:auto val="1"/>
        <c:lblAlgn val="ctr"/>
        <c:lblOffset val="100"/>
        <c:noMultiLvlLbl val="0"/>
      </c:catAx>
      <c:valAx>
        <c:axId val="1594647472"/>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Tis. Kč</a:t>
                </a:r>
              </a:p>
            </c:rich>
          </c:tx>
          <c:layout>
            <c:manualLayout>
              <c:xMode val="edge"/>
              <c:yMode val="edge"/>
              <c:x val="1.6600954554886905E-2"/>
              <c:y val="0.2138496718277311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797904432"/>
        <c:crosses val="autoZero"/>
        <c:crossBetween val="between"/>
      </c:valAx>
      <c:valAx>
        <c:axId val="1791957200"/>
        <c:scaling>
          <c:orientation val="minMax"/>
          <c:max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791951376"/>
        <c:crosses val="max"/>
        <c:crossBetween val="between"/>
      </c:valAx>
      <c:catAx>
        <c:axId val="1791951376"/>
        <c:scaling>
          <c:orientation val="minMax"/>
        </c:scaling>
        <c:delete val="1"/>
        <c:axPos val="b"/>
        <c:numFmt formatCode="General" sourceLinked="1"/>
        <c:majorTickMark val="out"/>
        <c:minorTickMark val="none"/>
        <c:tickLblPos val="nextTo"/>
        <c:crossAx val="1791957200"/>
        <c:crosses val="autoZero"/>
        <c:auto val="1"/>
        <c:lblAlgn val="ctr"/>
        <c:lblOffset val="100"/>
        <c:noMultiLvlLbl val="0"/>
      </c:catAx>
      <c:spPr>
        <a:noFill/>
        <a:ln>
          <a:noFill/>
        </a:ln>
        <a:effectLst/>
      </c:spPr>
    </c:plotArea>
    <c:legend>
      <c:legendPos val="b"/>
      <c:layout>
        <c:manualLayout>
          <c:xMode val="edge"/>
          <c:yMode val="edge"/>
          <c:x val="0.14274484365528184"/>
          <c:y val="0.74291603420800534"/>
          <c:w val="0.70959146292644115"/>
          <c:h val="0.23315002047888375"/>
        </c:manualLayout>
      </c:layout>
      <c:overlay val="0"/>
      <c:spPr>
        <a:noFill/>
        <a:ln>
          <a:solidFill>
            <a:schemeClr val="bg1">
              <a:lumMod val="6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A86C1-4C2C-4D15-8B17-CFBE63708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Template>
  <TotalTime>7</TotalTime>
  <Pages>7</Pages>
  <Words>1749</Words>
  <Characters>10321</Characters>
  <Application>Microsoft Office Word</Application>
  <DocSecurity>0</DocSecurity>
  <Lines>86</Lines>
  <Paragraphs>24</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12046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hykysova23070</dc:creator>
  <cp:keywords/>
  <dc:description/>
  <cp:lastModifiedBy>Jitka Wichová</cp:lastModifiedBy>
  <cp:revision>6</cp:revision>
  <cp:lastPrinted>2014-07-17T14:07:00Z</cp:lastPrinted>
  <dcterms:created xsi:type="dcterms:W3CDTF">2021-08-17T13:45:00Z</dcterms:created>
  <dcterms:modified xsi:type="dcterms:W3CDTF">2021-08-17T14:14:00Z</dcterms:modified>
  <cp:category/>
</cp:coreProperties>
</file>