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88" w:rsidRPr="007327FE" w:rsidRDefault="00626DA3" w:rsidP="00A67988">
      <w:pPr>
        <w:pStyle w:val="Datum"/>
      </w:pPr>
      <w:r w:rsidRPr="007327FE">
        <w:t>6 March 2023</w:t>
      </w:r>
    </w:p>
    <w:p w:rsidR="00A67988" w:rsidRPr="007327FE" w:rsidRDefault="00A67663" w:rsidP="00A67988">
      <w:pPr>
        <w:pStyle w:val="Nzev"/>
        <w:rPr>
          <w:color w:val="C00000"/>
        </w:rPr>
      </w:pPr>
      <w:r w:rsidRPr="007327FE">
        <w:rPr>
          <w:color w:val="C00000"/>
        </w:rPr>
        <w:t>Development on</w:t>
      </w:r>
      <w:r w:rsidR="00A67988" w:rsidRPr="007327FE">
        <w:rPr>
          <w:color w:val="C00000"/>
        </w:rPr>
        <w:t xml:space="preserve"> the Czech </w:t>
      </w:r>
      <w:r w:rsidR="00800711" w:rsidRPr="007327FE">
        <w:rPr>
          <w:color w:val="C00000"/>
        </w:rPr>
        <w:t>l</w:t>
      </w:r>
      <w:r w:rsidR="00A67988" w:rsidRPr="007327FE">
        <w:rPr>
          <w:color w:val="C00000"/>
        </w:rPr>
        <w:t xml:space="preserve">abour </w:t>
      </w:r>
      <w:r w:rsidR="00800711" w:rsidRPr="007327FE">
        <w:rPr>
          <w:color w:val="C00000"/>
        </w:rPr>
        <w:t>m</w:t>
      </w:r>
      <w:r w:rsidR="00A67988" w:rsidRPr="007327FE">
        <w:rPr>
          <w:color w:val="C00000"/>
        </w:rPr>
        <w:t>arket in</w:t>
      </w:r>
      <w:r w:rsidR="00800711" w:rsidRPr="007327FE">
        <w:rPr>
          <w:color w:val="C00000"/>
        </w:rPr>
        <w:t xml:space="preserve"> the</w:t>
      </w:r>
      <w:r w:rsidR="00593132" w:rsidRPr="007327FE">
        <w:rPr>
          <w:color w:val="C00000"/>
        </w:rPr>
        <w:t xml:space="preserve"> Q4</w:t>
      </w:r>
      <w:r w:rsidR="00BA0519" w:rsidRPr="007327FE">
        <w:rPr>
          <w:color w:val="C00000"/>
        </w:rPr>
        <w:t> </w:t>
      </w:r>
      <w:r w:rsidR="00626DA3" w:rsidRPr="007327FE">
        <w:rPr>
          <w:color w:val="C00000"/>
        </w:rPr>
        <w:t>2022</w:t>
      </w:r>
    </w:p>
    <w:p w:rsidR="004313EC" w:rsidRPr="007327FE" w:rsidRDefault="00080946" w:rsidP="00DE075C">
      <w:pPr>
        <w:pStyle w:val="Perex"/>
        <w:spacing w:after="0"/>
        <w:rPr>
          <w:szCs w:val="20"/>
        </w:rPr>
      </w:pPr>
      <w:r w:rsidRPr="007327FE">
        <w:rPr>
          <w:szCs w:val="20"/>
        </w:rPr>
        <w:t>Culminating inflation is still a</w:t>
      </w:r>
      <w:r w:rsidR="00B902B0" w:rsidRPr="007327FE">
        <w:rPr>
          <w:szCs w:val="20"/>
        </w:rPr>
        <w:t xml:space="preserve">n ultimate </w:t>
      </w:r>
      <w:r w:rsidRPr="007327FE">
        <w:rPr>
          <w:szCs w:val="20"/>
        </w:rPr>
        <w:t xml:space="preserve">topic also on the labour market, where </w:t>
      </w:r>
      <w:r w:rsidR="006C66DC" w:rsidRPr="007327FE">
        <w:rPr>
          <w:szCs w:val="20"/>
        </w:rPr>
        <w:t xml:space="preserve">an </w:t>
      </w:r>
      <w:r w:rsidRPr="007327FE">
        <w:rPr>
          <w:szCs w:val="20"/>
        </w:rPr>
        <w:t xml:space="preserve">increased price level decreased purchase power of wages of employees in real terms. </w:t>
      </w:r>
      <w:r w:rsidR="003101BF" w:rsidRPr="007327FE">
        <w:rPr>
          <w:szCs w:val="20"/>
        </w:rPr>
        <w:t xml:space="preserve">The average wage </w:t>
      </w:r>
      <w:r w:rsidR="004313EC" w:rsidRPr="007327FE">
        <w:rPr>
          <w:szCs w:val="20"/>
        </w:rPr>
        <w:t>de</w:t>
      </w:r>
      <w:r w:rsidR="003101BF" w:rsidRPr="007327FE">
        <w:rPr>
          <w:szCs w:val="20"/>
        </w:rPr>
        <w:t>creased</w:t>
      </w:r>
      <w:r w:rsidR="004313EC" w:rsidRPr="007327FE">
        <w:rPr>
          <w:szCs w:val="20"/>
        </w:rPr>
        <w:t xml:space="preserve"> in real terms by 6.7</w:t>
      </w:r>
      <w:r w:rsidR="003101BF" w:rsidRPr="007327FE">
        <w:rPr>
          <w:szCs w:val="20"/>
        </w:rPr>
        <w:t>%, year-on-year</w:t>
      </w:r>
      <w:r w:rsidR="00CA63B7" w:rsidRPr="007327FE">
        <w:rPr>
          <w:szCs w:val="20"/>
        </w:rPr>
        <w:t xml:space="preserve"> (y-o-y)</w:t>
      </w:r>
      <w:r w:rsidR="004313EC" w:rsidRPr="007327FE">
        <w:rPr>
          <w:szCs w:val="20"/>
        </w:rPr>
        <w:t>. A decrease of earnings</w:t>
      </w:r>
      <w:r w:rsidR="00B902B0" w:rsidRPr="007327FE">
        <w:rPr>
          <w:szCs w:val="20"/>
        </w:rPr>
        <w:t xml:space="preserve"> in real terms</w:t>
      </w:r>
      <w:r w:rsidR="004313EC" w:rsidRPr="007327FE">
        <w:rPr>
          <w:szCs w:val="20"/>
        </w:rPr>
        <w:t xml:space="preserve"> affected all industries (economic activities)</w:t>
      </w:r>
      <w:r w:rsidR="00B902B0" w:rsidRPr="007327FE">
        <w:rPr>
          <w:szCs w:val="20"/>
        </w:rPr>
        <w:t>,</w:t>
      </w:r>
      <w:r w:rsidR="004313EC" w:rsidRPr="007327FE">
        <w:rPr>
          <w:szCs w:val="20"/>
        </w:rPr>
        <w:t xml:space="preserve"> however, with a different intensity.</w:t>
      </w:r>
      <w:r w:rsidR="00B902B0" w:rsidRPr="007327FE">
        <w:rPr>
          <w:szCs w:val="20"/>
        </w:rPr>
        <w:t xml:space="preserve"> Nevertheless, e</w:t>
      </w:r>
      <w:r w:rsidR="00B902B0" w:rsidRPr="007327FE">
        <w:t xml:space="preserve">mployment increased and </w:t>
      </w:r>
      <w:r w:rsidR="00A32556">
        <w:t xml:space="preserve">the </w:t>
      </w:r>
      <w:r w:rsidR="00B902B0" w:rsidRPr="007327FE">
        <w:t xml:space="preserve">unemployment rate stagnated </w:t>
      </w:r>
      <w:r w:rsidR="006C66DC" w:rsidRPr="007327FE">
        <w:t>at</w:t>
      </w:r>
      <w:r w:rsidR="00B902B0" w:rsidRPr="007327FE">
        <w:t xml:space="preserve"> 2.2%. </w:t>
      </w:r>
    </w:p>
    <w:p w:rsidR="002032D9" w:rsidRPr="007327FE" w:rsidRDefault="002032D9" w:rsidP="00A67988">
      <w:pPr>
        <w:pStyle w:val="Perex"/>
        <w:spacing w:after="0"/>
        <w:rPr>
          <w:szCs w:val="20"/>
        </w:rPr>
      </w:pPr>
    </w:p>
    <w:p w:rsidR="00A67988" w:rsidRPr="007327FE" w:rsidRDefault="00F3203A" w:rsidP="00A67988">
      <w:pPr>
        <w:rPr>
          <w:b/>
          <w:lang w:val="en-GB"/>
        </w:rPr>
      </w:pPr>
      <w:r w:rsidRPr="007327FE">
        <w:rPr>
          <w:b/>
          <w:lang w:val="en-GB"/>
        </w:rPr>
        <w:t>E</w:t>
      </w:r>
      <w:r w:rsidR="00A67988" w:rsidRPr="007327FE">
        <w:rPr>
          <w:b/>
          <w:lang w:val="en-GB"/>
        </w:rPr>
        <w:t xml:space="preserve">mployment, </w:t>
      </w:r>
      <w:r w:rsidR="00681309" w:rsidRPr="007327FE">
        <w:rPr>
          <w:b/>
          <w:lang w:val="en-GB"/>
        </w:rPr>
        <w:t>u</w:t>
      </w:r>
      <w:r w:rsidR="00A67988" w:rsidRPr="007327FE">
        <w:rPr>
          <w:b/>
          <w:lang w:val="en-GB"/>
        </w:rPr>
        <w:t xml:space="preserve">nemployment, and </w:t>
      </w:r>
      <w:r w:rsidR="007F5BA7" w:rsidRPr="007327FE">
        <w:rPr>
          <w:b/>
          <w:lang w:val="en-GB"/>
        </w:rPr>
        <w:t xml:space="preserve">economic </w:t>
      </w:r>
      <w:r w:rsidR="008D4AA2" w:rsidRPr="007327FE">
        <w:rPr>
          <w:b/>
          <w:lang w:val="en-GB"/>
        </w:rPr>
        <w:t>in</w:t>
      </w:r>
      <w:r w:rsidR="007F5BA7" w:rsidRPr="007327FE">
        <w:rPr>
          <w:b/>
          <w:lang w:val="en-GB"/>
        </w:rPr>
        <w:t>activity</w:t>
      </w:r>
      <w:r w:rsidR="00A67988" w:rsidRPr="007327FE">
        <w:rPr>
          <w:b/>
          <w:lang w:val="en-GB"/>
        </w:rPr>
        <w:t xml:space="preserve"> </w:t>
      </w:r>
    </w:p>
    <w:p w:rsidR="00072C94" w:rsidRPr="007327FE" w:rsidRDefault="00714C3D" w:rsidP="00F3203A">
      <w:pPr>
        <w:rPr>
          <w:lang w:val="en-GB"/>
        </w:rPr>
      </w:pPr>
      <w:r w:rsidRPr="007327FE">
        <w:rPr>
          <w:lang w:val="en-GB"/>
        </w:rPr>
        <w:t xml:space="preserve">Results of the Labour Force Sample Survey (LFSS) brought for the Q4 2022 a year-on-year increase of the employment by 45.2 thousand. </w:t>
      </w:r>
      <w:r w:rsidR="00072C94" w:rsidRPr="007327FE">
        <w:rPr>
          <w:lang w:val="en-GB"/>
        </w:rPr>
        <w:t>The number of the employed thus increased by 1.0%.</w:t>
      </w:r>
      <w:r w:rsidR="006959E0" w:rsidRPr="007327FE">
        <w:rPr>
          <w:lang w:val="en-GB"/>
        </w:rPr>
        <w:t xml:space="preserve"> In the quarter-on-quarter (q-o-q) comparison, the employment increased by 37.7 thousand after seasonal adjustment. </w:t>
      </w:r>
      <w:r w:rsidR="001B5613" w:rsidRPr="007327FE">
        <w:rPr>
          <w:lang w:val="en-GB"/>
        </w:rPr>
        <w:t>In the y-o-y increase of the number of</w:t>
      </w:r>
      <w:r w:rsidR="00072C94" w:rsidRPr="007327FE">
        <w:rPr>
          <w:lang w:val="en-GB"/>
        </w:rPr>
        <w:t xml:space="preserve"> </w:t>
      </w:r>
      <w:r w:rsidR="001B5613" w:rsidRPr="007327FE">
        <w:rPr>
          <w:lang w:val="en-GB"/>
        </w:rPr>
        <w:t xml:space="preserve">working persons, an increase in the number of working females dominated again (by 30.1 thousand) and the whole increase was driven by the </w:t>
      </w:r>
      <w:r w:rsidR="006538C3" w:rsidRPr="007327FE">
        <w:rPr>
          <w:lang w:val="en-GB"/>
        </w:rPr>
        <w:t>age group of 45–64 years (</w:t>
      </w:r>
      <w:r w:rsidR="00DB6687">
        <w:rPr>
          <w:lang w:val="en-GB"/>
        </w:rPr>
        <w:t xml:space="preserve">an </w:t>
      </w:r>
      <w:r w:rsidR="006538C3" w:rsidRPr="007327FE">
        <w:rPr>
          <w:lang w:val="en-GB"/>
        </w:rPr>
        <w:t xml:space="preserve">increment by 45.3 thousand). </w:t>
      </w:r>
      <w:r w:rsidR="001B5613" w:rsidRPr="007327FE">
        <w:rPr>
          <w:lang w:val="en-GB"/>
        </w:rPr>
        <w:t xml:space="preserve"> </w:t>
      </w:r>
    </w:p>
    <w:p w:rsidR="00753463" w:rsidRPr="007327FE" w:rsidRDefault="00753463" w:rsidP="00F3203A">
      <w:pPr>
        <w:rPr>
          <w:rFonts w:eastAsia="Times New Roman"/>
          <w:bCs/>
          <w:szCs w:val="28"/>
        </w:rPr>
      </w:pPr>
    </w:p>
    <w:p w:rsidR="00E6686B" w:rsidRPr="007327FE" w:rsidRDefault="009359FC" w:rsidP="00F3203A">
      <w:pPr>
        <w:rPr>
          <w:rFonts w:eastAsia="Times New Roman"/>
          <w:bCs/>
          <w:szCs w:val="28"/>
          <w:lang w:val="en-GB"/>
        </w:rPr>
      </w:pPr>
      <w:r w:rsidRPr="007327FE">
        <w:rPr>
          <w:lang w:val="en-GB"/>
        </w:rPr>
        <w:t>As for the self-employed without employees (own-account workers), the number of the employed increased by 26.5 thousand, y-o-y, whereas among the self-employed with employees there was a decrease by 9.8 thousand. The number of contributing family workers rem</w:t>
      </w:r>
      <w:r w:rsidR="00201DB8">
        <w:rPr>
          <w:lang w:val="en-GB"/>
        </w:rPr>
        <w:t xml:space="preserve">ained almost unchanged. </w:t>
      </w:r>
      <w:r w:rsidR="00E6686B" w:rsidRPr="007327FE">
        <w:rPr>
          <w:rFonts w:eastAsia="Times New Roman"/>
          <w:bCs/>
          <w:szCs w:val="28"/>
          <w:lang w:val="en-GB"/>
        </w:rPr>
        <w:t xml:space="preserve">The most </w:t>
      </w:r>
      <w:r w:rsidR="00C77E59">
        <w:rPr>
          <w:rFonts w:eastAsia="Times New Roman"/>
          <w:bCs/>
          <w:szCs w:val="28"/>
          <w:lang w:val="en-GB"/>
        </w:rPr>
        <w:t>considerable</w:t>
      </w:r>
      <w:r w:rsidR="00E6686B" w:rsidRPr="007327FE">
        <w:rPr>
          <w:rFonts w:eastAsia="Times New Roman"/>
          <w:bCs/>
          <w:szCs w:val="28"/>
          <w:lang w:val="en-GB"/>
        </w:rPr>
        <w:t xml:space="preserve"> increase </w:t>
      </w:r>
      <w:r w:rsidR="00C77E59">
        <w:rPr>
          <w:rFonts w:eastAsia="Times New Roman"/>
          <w:bCs/>
          <w:szCs w:val="28"/>
          <w:lang w:val="en-GB"/>
        </w:rPr>
        <w:t xml:space="preserve">was </w:t>
      </w:r>
      <w:r w:rsidR="00E6686B" w:rsidRPr="007327FE">
        <w:rPr>
          <w:rFonts w:eastAsia="Times New Roman"/>
          <w:bCs/>
          <w:szCs w:val="28"/>
          <w:lang w:val="en-GB"/>
        </w:rPr>
        <w:t xml:space="preserve">in the largest group of employees (by 26.2 thousand); however, it was considerably weaker compared to the previous quarter. </w:t>
      </w:r>
    </w:p>
    <w:p w:rsidR="00323A38" w:rsidRPr="007327FE" w:rsidRDefault="00323A38" w:rsidP="00301B55">
      <w:pPr>
        <w:rPr>
          <w:rFonts w:eastAsia="Times New Roman"/>
          <w:bCs/>
          <w:szCs w:val="28"/>
        </w:rPr>
      </w:pPr>
    </w:p>
    <w:p w:rsidR="00301B55" w:rsidRPr="007327FE" w:rsidRDefault="00323A38" w:rsidP="00301B55">
      <w:pPr>
        <w:rPr>
          <w:szCs w:val="20"/>
          <w:lang w:val="en-GB"/>
        </w:rPr>
      </w:pPr>
      <w:r w:rsidRPr="007327FE">
        <w:rPr>
          <w:rFonts w:eastAsia="Times New Roman"/>
          <w:bCs/>
          <w:szCs w:val="28"/>
          <w:lang w:val="en-GB"/>
        </w:rPr>
        <w:t xml:space="preserve">The employment rate </w:t>
      </w:r>
      <w:r w:rsidRPr="007327FE">
        <w:rPr>
          <w:lang w:val="en-GB"/>
        </w:rPr>
        <w:t>in the age group of 15–64 years increased by 0.6 percentage point (p. p.)</w:t>
      </w:r>
      <w:r w:rsidR="00D71CFB">
        <w:rPr>
          <w:lang w:val="en-GB"/>
        </w:rPr>
        <w:t>, year-on-year,</w:t>
      </w:r>
      <w:r w:rsidRPr="007327FE">
        <w:rPr>
          <w:lang w:val="en-GB"/>
        </w:rPr>
        <w:t xml:space="preserve"> to 75.8%. </w:t>
      </w:r>
      <w:r w:rsidR="00C71EF0" w:rsidRPr="007327FE">
        <w:rPr>
          <w:lang w:val="en-GB"/>
        </w:rPr>
        <w:t xml:space="preserve">The male employment rate </w:t>
      </w:r>
      <w:r w:rsidR="00A66EB4">
        <w:rPr>
          <w:lang w:val="en-GB"/>
        </w:rPr>
        <w:t>increased by 0.4 p. p. to 82.2%;</w:t>
      </w:r>
      <w:r w:rsidR="00C71EF0" w:rsidRPr="007327FE">
        <w:rPr>
          <w:lang w:val="en-GB"/>
        </w:rPr>
        <w:t xml:space="preserve"> </w:t>
      </w:r>
      <w:r w:rsidR="002E1F47" w:rsidRPr="007327FE">
        <w:rPr>
          <w:lang w:val="en-GB"/>
        </w:rPr>
        <w:t>it was</w:t>
      </w:r>
      <w:r w:rsidR="00A66EB4" w:rsidRPr="00A66EB4">
        <w:rPr>
          <w:lang w:val="en-GB"/>
        </w:rPr>
        <w:t xml:space="preserve"> </w:t>
      </w:r>
      <w:r w:rsidR="00A66EB4" w:rsidRPr="007327FE">
        <w:rPr>
          <w:lang w:val="en-GB"/>
        </w:rPr>
        <w:t>more</w:t>
      </w:r>
      <w:r w:rsidR="002E1F47" w:rsidRPr="007327FE">
        <w:rPr>
          <w:lang w:val="en-GB"/>
        </w:rPr>
        <w:t xml:space="preserve"> as for</w:t>
      </w:r>
      <w:r w:rsidR="00C71EF0" w:rsidRPr="007327FE">
        <w:rPr>
          <w:lang w:val="en-GB"/>
        </w:rPr>
        <w:t xml:space="preserve"> the female one by 0.8 p. p. to 69.0%. </w:t>
      </w:r>
      <w:r w:rsidR="007F7D78" w:rsidRPr="007327FE">
        <w:rPr>
          <w:lang w:val="en-GB"/>
        </w:rPr>
        <w:t xml:space="preserve">This trend is also confirmed by mirror data on the </w:t>
      </w:r>
      <w:r w:rsidR="007F7D78" w:rsidRPr="007327FE">
        <w:rPr>
          <w:szCs w:val="20"/>
          <w:lang w:val="en-GB"/>
        </w:rPr>
        <w:t>number of economically inactive persons.</w:t>
      </w:r>
      <w:r w:rsidR="00CD3F01" w:rsidRPr="007327FE">
        <w:rPr>
          <w:szCs w:val="20"/>
          <w:lang w:val="en-GB"/>
        </w:rPr>
        <w:t xml:space="preserve"> The number of economically inactive persons aged 15+ years decreased by 35.2 thousand, year-on-year, to </w:t>
      </w:r>
      <w:r w:rsidR="00CD3F01" w:rsidRPr="007327FE">
        <w:rPr>
          <w:rFonts w:eastAsia="Times New Roman"/>
          <w:bCs/>
          <w:szCs w:val="28"/>
          <w:lang w:val="en-GB"/>
        </w:rPr>
        <w:t>3 523.1 thousand, while the number of</w:t>
      </w:r>
      <w:r w:rsidR="00CD3F01" w:rsidRPr="007327FE">
        <w:rPr>
          <w:rFonts w:eastAsia="Times New Roman"/>
          <w:bCs/>
          <w:szCs w:val="28"/>
        </w:rPr>
        <w:t xml:space="preserve"> </w:t>
      </w:r>
      <w:r w:rsidR="00CD3F01" w:rsidRPr="007327FE">
        <w:rPr>
          <w:szCs w:val="20"/>
          <w:lang w:val="en-GB"/>
        </w:rPr>
        <w:t>economically inactive females decreased by 27.8 thousand and</w:t>
      </w:r>
      <w:r w:rsidR="00FB55C9" w:rsidRPr="007327FE">
        <w:rPr>
          <w:szCs w:val="20"/>
          <w:lang w:val="en-GB"/>
        </w:rPr>
        <w:t xml:space="preserve"> the</w:t>
      </w:r>
      <w:r w:rsidR="00CD3F01" w:rsidRPr="007327FE">
        <w:rPr>
          <w:szCs w:val="20"/>
          <w:lang w:val="en-GB"/>
        </w:rPr>
        <w:t xml:space="preserve"> </w:t>
      </w:r>
      <w:r w:rsidR="00A66EB4">
        <w:rPr>
          <w:rFonts w:eastAsia="Times New Roman"/>
          <w:bCs/>
          <w:szCs w:val="28"/>
          <w:lang w:val="en-GB"/>
        </w:rPr>
        <w:t>number of</w:t>
      </w:r>
      <w:r w:rsidR="00FB55C9" w:rsidRPr="007327FE">
        <w:rPr>
          <w:rFonts w:eastAsia="Times New Roman"/>
          <w:bCs/>
          <w:szCs w:val="28"/>
        </w:rPr>
        <w:t xml:space="preserve"> </w:t>
      </w:r>
      <w:r w:rsidR="00FB55C9" w:rsidRPr="007327FE">
        <w:rPr>
          <w:szCs w:val="20"/>
          <w:lang w:val="en-GB"/>
        </w:rPr>
        <w:t xml:space="preserve">economically inactive males by 7.4 thousand. </w:t>
      </w:r>
      <w:r w:rsidR="00301B55" w:rsidRPr="007327FE">
        <w:rPr>
          <w:rFonts w:cs="Arial"/>
          <w:color w:val="000000"/>
          <w:szCs w:val="20"/>
          <w:lang w:val="en-GB" w:eastAsia="cs-CZ"/>
        </w:rPr>
        <w:t xml:space="preserve">The number of </w:t>
      </w:r>
      <w:r w:rsidR="009359FC" w:rsidRPr="007327FE">
        <w:rPr>
          <w:rFonts w:cs="Arial"/>
          <w:color w:val="000000"/>
          <w:szCs w:val="20"/>
          <w:lang w:val="en-GB" w:eastAsia="cs-CZ"/>
        </w:rPr>
        <w:t xml:space="preserve">non-working </w:t>
      </w:r>
      <w:r w:rsidR="00301B55" w:rsidRPr="007327FE">
        <w:rPr>
          <w:rFonts w:cs="Arial"/>
          <w:color w:val="000000"/>
          <w:szCs w:val="20"/>
          <w:lang w:val="en-GB" w:eastAsia="cs-CZ"/>
        </w:rPr>
        <w:t>persons who do not comply with the condition to be classified as the unemployed, however, who are declaring that they are willing to work,</w:t>
      </w:r>
      <w:r w:rsidR="0017731A" w:rsidRPr="007327FE">
        <w:rPr>
          <w:rFonts w:cs="Arial"/>
          <w:color w:val="000000"/>
          <w:szCs w:val="20"/>
          <w:lang w:val="en-GB" w:eastAsia="cs-CZ"/>
        </w:rPr>
        <w:t xml:space="preserve"> further</w:t>
      </w:r>
      <w:r w:rsidR="00301B55" w:rsidRPr="007327FE">
        <w:rPr>
          <w:rFonts w:cs="Arial"/>
          <w:color w:val="000000"/>
          <w:szCs w:val="20"/>
          <w:lang w:val="en-GB" w:eastAsia="cs-CZ"/>
        </w:rPr>
        <w:t xml:space="preserve"> decreased by 13.3 thousand, y-o-y, to 50.0 thousand.</w:t>
      </w:r>
      <w:r w:rsidR="0017731A" w:rsidRPr="007327FE">
        <w:rPr>
          <w:rFonts w:cs="Arial"/>
          <w:color w:val="000000"/>
          <w:szCs w:val="20"/>
          <w:lang w:val="en-GB" w:eastAsia="cs-CZ"/>
        </w:rPr>
        <w:t xml:space="preserve"> </w:t>
      </w:r>
      <w:r w:rsidR="000748AE" w:rsidRPr="007327FE">
        <w:rPr>
          <w:rFonts w:cs="Arial"/>
          <w:color w:val="000000"/>
          <w:szCs w:val="20"/>
          <w:lang w:val="en-GB" w:eastAsia="cs-CZ"/>
        </w:rPr>
        <w:t>The</w:t>
      </w:r>
      <w:r w:rsidR="00D30E23" w:rsidRPr="007327FE">
        <w:rPr>
          <w:rFonts w:cs="Arial"/>
          <w:color w:val="000000"/>
          <w:szCs w:val="20"/>
          <w:lang w:val="en-GB" w:eastAsia="cs-CZ"/>
        </w:rPr>
        <w:t xml:space="preserve"> l</w:t>
      </w:r>
      <w:r w:rsidR="0017731A" w:rsidRPr="007327FE">
        <w:rPr>
          <w:rFonts w:cs="Arial"/>
          <w:color w:val="000000"/>
          <w:szCs w:val="20"/>
          <w:lang w:val="en-GB" w:eastAsia="cs-CZ"/>
        </w:rPr>
        <w:t>abour</w:t>
      </w:r>
      <w:r w:rsidR="000748AE" w:rsidRPr="007327FE">
        <w:rPr>
          <w:rFonts w:cs="Arial"/>
          <w:color w:val="000000"/>
          <w:szCs w:val="20"/>
          <w:lang w:val="en-GB" w:eastAsia="cs-CZ"/>
        </w:rPr>
        <w:t xml:space="preserve"> reserve</w:t>
      </w:r>
      <w:r w:rsidR="0017731A" w:rsidRPr="007327FE">
        <w:rPr>
          <w:rFonts w:cs="Arial"/>
          <w:color w:val="000000"/>
          <w:szCs w:val="20"/>
          <w:lang w:val="en-GB" w:eastAsia="cs-CZ"/>
        </w:rPr>
        <w:t xml:space="preserve"> </w:t>
      </w:r>
      <w:r w:rsidR="00D30E23" w:rsidRPr="007327FE">
        <w:rPr>
          <w:rFonts w:cs="Arial"/>
          <w:color w:val="000000"/>
          <w:szCs w:val="20"/>
          <w:lang w:val="en-GB" w:eastAsia="cs-CZ"/>
        </w:rPr>
        <w:t>was</w:t>
      </w:r>
      <w:r w:rsidR="0017731A" w:rsidRPr="007327FE">
        <w:rPr>
          <w:rFonts w:cs="Arial"/>
          <w:color w:val="000000"/>
          <w:szCs w:val="20"/>
          <w:lang w:val="en-GB" w:eastAsia="cs-CZ"/>
        </w:rPr>
        <w:t xml:space="preserve"> therefore strongly exhausted in Czechia. </w:t>
      </w:r>
      <w:r w:rsidR="00301B55" w:rsidRPr="007327FE">
        <w:rPr>
          <w:rFonts w:cs="Arial"/>
          <w:color w:val="000000"/>
          <w:szCs w:val="20"/>
          <w:lang w:val="en-GB" w:eastAsia="cs-CZ"/>
        </w:rPr>
        <w:t xml:space="preserve"> </w:t>
      </w:r>
    </w:p>
    <w:p w:rsidR="00EA6EA5" w:rsidRPr="007327FE" w:rsidRDefault="00EA6EA5" w:rsidP="00F3203A"/>
    <w:p w:rsidR="00EA6EA5" w:rsidRPr="007327FE" w:rsidRDefault="00EA6EA5" w:rsidP="00F3203A">
      <w:pPr>
        <w:rPr>
          <w:lang w:val="en-GB"/>
        </w:rPr>
      </w:pPr>
      <w:r w:rsidRPr="007327FE">
        <w:rPr>
          <w:lang w:val="en-GB"/>
        </w:rPr>
        <w:t xml:space="preserve">The total number of the unemployed according to the LFSS (persons </w:t>
      </w:r>
      <w:r w:rsidRPr="007327FE">
        <w:rPr>
          <w:szCs w:val="20"/>
          <w:lang w:val="en-GB"/>
        </w:rPr>
        <w:t>who seek a job in an active manner</w:t>
      </w:r>
      <w:r w:rsidRPr="007327FE">
        <w:rPr>
          <w:lang w:val="en-GB"/>
        </w:rPr>
        <w:t xml:space="preserve"> as defined by the International Labour Organisation (ILO)) reached 11</w:t>
      </w:r>
      <w:r w:rsidR="00D93B3D" w:rsidRPr="007327FE">
        <w:rPr>
          <w:lang w:val="en-GB"/>
        </w:rPr>
        <w:t>7</w:t>
      </w:r>
      <w:r w:rsidRPr="007327FE">
        <w:rPr>
          <w:lang w:val="en-GB"/>
        </w:rPr>
        <w:t>.</w:t>
      </w:r>
      <w:r w:rsidR="00D93B3D" w:rsidRPr="007327FE">
        <w:rPr>
          <w:lang w:val="en-GB"/>
        </w:rPr>
        <w:t>2 </w:t>
      </w:r>
      <w:r w:rsidRPr="007327FE">
        <w:rPr>
          <w:lang w:val="en-GB"/>
        </w:rPr>
        <w:t>thousand persons</w:t>
      </w:r>
      <w:r w:rsidR="008E7680" w:rsidRPr="007327FE">
        <w:rPr>
          <w:lang w:val="en-GB"/>
        </w:rPr>
        <w:t>, which was a slight year-on-year increase by 1.0 thousand; however, after seasonal adjustment, the numbers show a q-o-q decrease by 9.5 thousand persons. Therefore, the unemployment rate in the age group of 15–64 years stagnated</w:t>
      </w:r>
      <w:r w:rsidR="0069743B">
        <w:rPr>
          <w:lang w:val="en-GB"/>
        </w:rPr>
        <w:t>,</w:t>
      </w:r>
      <w:r w:rsidR="0069743B" w:rsidRPr="0069743B">
        <w:rPr>
          <w:lang w:val="en-GB"/>
        </w:rPr>
        <w:t xml:space="preserve"> </w:t>
      </w:r>
      <w:r w:rsidR="0069743B">
        <w:rPr>
          <w:lang w:val="en-GB"/>
        </w:rPr>
        <w:t>y-o-y,</w:t>
      </w:r>
      <w:r w:rsidR="008E7680" w:rsidRPr="007327FE">
        <w:rPr>
          <w:lang w:val="en-GB"/>
        </w:rPr>
        <w:t xml:space="preserve"> at 2.2%. </w:t>
      </w:r>
      <w:r w:rsidRPr="007327FE">
        <w:rPr>
          <w:lang w:val="en-GB"/>
        </w:rPr>
        <w:t>As for comparison of Regions, the highest unemployment rate</w:t>
      </w:r>
      <w:r w:rsidR="001F74A0" w:rsidRPr="007327FE">
        <w:rPr>
          <w:lang w:val="en-GB"/>
        </w:rPr>
        <w:t xml:space="preserve"> was in the </w:t>
      </w:r>
      <w:r w:rsidR="001F74A0" w:rsidRPr="007327FE">
        <w:rPr>
          <w:i/>
          <w:lang w:val="en-GB"/>
        </w:rPr>
        <w:t xml:space="preserve">Moravskoslezský </w:t>
      </w:r>
      <w:r w:rsidR="001F74A0" w:rsidRPr="007327FE">
        <w:rPr>
          <w:lang w:val="en-GB"/>
        </w:rPr>
        <w:t xml:space="preserve">Region (4.2%), followed by </w:t>
      </w:r>
      <w:r w:rsidRPr="007327FE">
        <w:rPr>
          <w:lang w:val="en-GB"/>
        </w:rPr>
        <w:t xml:space="preserve">the </w:t>
      </w:r>
      <w:r w:rsidRPr="007327FE">
        <w:rPr>
          <w:i/>
          <w:lang w:val="en-GB"/>
        </w:rPr>
        <w:t>Karlovarský</w:t>
      </w:r>
      <w:r w:rsidRPr="007327FE">
        <w:rPr>
          <w:lang w:val="en-GB"/>
        </w:rPr>
        <w:t xml:space="preserve"> Region (</w:t>
      </w:r>
      <w:r w:rsidR="001F74A0" w:rsidRPr="007327FE">
        <w:rPr>
          <w:lang w:val="en-GB"/>
        </w:rPr>
        <w:t>3.9</w:t>
      </w:r>
      <w:r w:rsidRPr="007327FE">
        <w:rPr>
          <w:lang w:val="en-GB"/>
        </w:rPr>
        <w:t xml:space="preserve">%) and the </w:t>
      </w:r>
      <w:r w:rsidRPr="007327FE">
        <w:rPr>
          <w:i/>
          <w:lang w:val="en-GB"/>
        </w:rPr>
        <w:t xml:space="preserve">Ústecký </w:t>
      </w:r>
      <w:r w:rsidRPr="007327FE">
        <w:rPr>
          <w:lang w:val="en-GB"/>
        </w:rPr>
        <w:t>Region (</w:t>
      </w:r>
      <w:r w:rsidR="001F74A0" w:rsidRPr="007327FE">
        <w:rPr>
          <w:lang w:val="en-GB"/>
        </w:rPr>
        <w:t>3.2</w:t>
      </w:r>
      <w:r w:rsidRPr="007327FE">
        <w:rPr>
          <w:lang w:val="en-GB"/>
        </w:rPr>
        <w:t>%). On the contrary, the lowest unemployment rate</w:t>
      </w:r>
      <w:r w:rsidR="001F74A0" w:rsidRPr="007327FE">
        <w:rPr>
          <w:lang w:val="en-GB"/>
        </w:rPr>
        <w:t xml:space="preserve"> within Czechia</w:t>
      </w:r>
      <w:r w:rsidRPr="007327FE">
        <w:rPr>
          <w:lang w:val="en-GB"/>
        </w:rPr>
        <w:t xml:space="preserve"> was in the</w:t>
      </w:r>
      <w:r w:rsidR="001F74A0" w:rsidRPr="007327FE">
        <w:rPr>
          <w:lang w:val="en-GB"/>
        </w:rPr>
        <w:t xml:space="preserve"> </w:t>
      </w:r>
      <w:r w:rsidR="001F74A0" w:rsidRPr="007327FE">
        <w:rPr>
          <w:i/>
          <w:lang w:val="en-GB"/>
        </w:rPr>
        <w:t xml:space="preserve">Jihočeský </w:t>
      </w:r>
      <w:r w:rsidR="001F74A0" w:rsidRPr="007327FE">
        <w:rPr>
          <w:lang w:val="en-GB"/>
        </w:rPr>
        <w:t xml:space="preserve">Region (1.2%). The unemployment rate decreased the most in the </w:t>
      </w:r>
      <w:r w:rsidRPr="007327FE">
        <w:rPr>
          <w:i/>
          <w:lang w:val="en-GB"/>
        </w:rPr>
        <w:t>Pardubický</w:t>
      </w:r>
      <w:r w:rsidRPr="007327FE">
        <w:rPr>
          <w:lang w:val="en-GB"/>
        </w:rPr>
        <w:t xml:space="preserve"> Region (</w:t>
      </w:r>
      <w:r w:rsidR="001F74A0" w:rsidRPr="007327FE">
        <w:rPr>
          <w:lang w:val="en-GB"/>
        </w:rPr>
        <w:t xml:space="preserve">by 1 p. p. to </w:t>
      </w:r>
      <w:r w:rsidRPr="007327FE">
        <w:rPr>
          <w:lang w:val="en-GB"/>
        </w:rPr>
        <w:t>1.3%)</w:t>
      </w:r>
      <w:r w:rsidR="001F74A0" w:rsidRPr="007327FE">
        <w:rPr>
          <w:lang w:val="en-GB"/>
        </w:rPr>
        <w:t xml:space="preserve">. </w:t>
      </w:r>
      <w:r w:rsidRPr="007327FE">
        <w:rPr>
          <w:lang w:val="en-GB"/>
        </w:rPr>
        <w:t xml:space="preserve"> </w:t>
      </w:r>
    </w:p>
    <w:p w:rsidR="00D93B3D" w:rsidRPr="007327FE" w:rsidRDefault="00D93B3D" w:rsidP="00F3203A">
      <w:pPr>
        <w:rPr>
          <w:rFonts w:eastAsia="Times New Roman"/>
          <w:bCs/>
          <w:szCs w:val="28"/>
        </w:rPr>
      </w:pPr>
    </w:p>
    <w:p w:rsidR="001F152C" w:rsidRPr="007327FE" w:rsidRDefault="001F152C" w:rsidP="00F3203A">
      <w:pPr>
        <w:rPr>
          <w:rFonts w:eastAsia="Times New Roman"/>
          <w:bCs/>
          <w:szCs w:val="28"/>
          <w:lang w:val="en-GB"/>
        </w:rPr>
      </w:pPr>
      <w:r w:rsidRPr="007327FE">
        <w:rPr>
          <w:rFonts w:eastAsia="Times New Roman"/>
          <w:bCs/>
          <w:szCs w:val="28"/>
          <w:lang w:val="en-GB"/>
        </w:rPr>
        <w:t xml:space="preserve">26.9% of the unemployed (31.5 thousand) were looking for a job for over a year; the number of the long-term unemployed thus </w:t>
      </w:r>
      <w:r w:rsidR="00E87771">
        <w:rPr>
          <w:rFonts w:eastAsia="Times New Roman"/>
          <w:bCs/>
          <w:szCs w:val="28"/>
          <w:lang w:val="en-GB"/>
        </w:rPr>
        <w:t>considerably</w:t>
      </w:r>
      <w:r w:rsidRPr="007327FE">
        <w:rPr>
          <w:rFonts w:eastAsia="Times New Roman"/>
          <w:bCs/>
          <w:szCs w:val="28"/>
          <w:lang w:val="en-GB"/>
        </w:rPr>
        <w:t xml:space="preserve"> decreased by 22.0 thousand, year-on-year.  </w:t>
      </w:r>
    </w:p>
    <w:p w:rsidR="00082B85" w:rsidRPr="007327FE" w:rsidRDefault="00082B85" w:rsidP="00082B85"/>
    <w:p w:rsidR="00632646" w:rsidRPr="007327FE" w:rsidRDefault="00082B85" w:rsidP="00D4052B">
      <w:pPr>
        <w:rPr>
          <w:lang w:val="en-GB"/>
        </w:rPr>
      </w:pPr>
      <w:r w:rsidRPr="007327FE">
        <w:rPr>
          <w:lang w:val="en-GB"/>
        </w:rPr>
        <w:t xml:space="preserve">It has to be reminded that the LFSS practice in the field </w:t>
      </w:r>
      <w:r w:rsidR="007217A6" w:rsidRPr="007327FE">
        <w:rPr>
          <w:lang w:val="en-GB"/>
        </w:rPr>
        <w:t xml:space="preserve">only </w:t>
      </w:r>
      <w:r w:rsidRPr="007327FE">
        <w:rPr>
          <w:lang w:val="en-GB"/>
        </w:rPr>
        <w:t>covers persons living in dwellings (flats), not those living in hostels and similar collective households, which has a negative influence on the capture of</w:t>
      </w:r>
      <w:r w:rsidR="00D4052B" w:rsidRPr="007327FE">
        <w:rPr>
          <w:lang w:val="en-GB"/>
        </w:rPr>
        <w:t xml:space="preserve"> working activity of foreigners who</w:t>
      </w:r>
      <w:r w:rsidR="007217A6" w:rsidRPr="007327FE">
        <w:rPr>
          <w:lang w:val="en-GB"/>
        </w:rPr>
        <w:t xml:space="preserve"> </w:t>
      </w:r>
      <w:r w:rsidRPr="007327FE">
        <w:rPr>
          <w:lang w:val="en-GB"/>
        </w:rPr>
        <w:t>often use such ways of housing.</w:t>
      </w:r>
      <w:r w:rsidR="00D4052B" w:rsidRPr="007327FE">
        <w:rPr>
          <w:lang w:val="en-GB"/>
        </w:rPr>
        <w:t xml:space="preserve"> </w:t>
      </w:r>
      <w:r w:rsidR="00632646" w:rsidRPr="007327FE">
        <w:rPr>
          <w:lang w:val="en-GB"/>
        </w:rPr>
        <w:t xml:space="preserve">The LFSS is a sample survey in households, which is weighted and grossed up to the data of demographic statistics of the Czech Republic, while population weights have not included refugees from the war in Ukraine, yet. </w:t>
      </w:r>
    </w:p>
    <w:p w:rsidR="006F1524" w:rsidRPr="007327FE" w:rsidRDefault="006F1524" w:rsidP="00F717DC"/>
    <w:p w:rsidR="0019648B" w:rsidRPr="007327FE" w:rsidRDefault="00A67988" w:rsidP="00B46B2B">
      <w:pPr>
        <w:rPr>
          <w:b/>
          <w:lang w:val="en-GB"/>
        </w:rPr>
      </w:pPr>
      <w:r w:rsidRPr="007327FE">
        <w:rPr>
          <w:b/>
          <w:lang w:val="en-GB"/>
        </w:rPr>
        <w:t xml:space="preserve">Registered </w:t>
      </w:r>
      <w:r w:rsidR="00681309" w:rsidRPr="007327FE">
        <w:rPr>
          <w:b/>
          <w:lang w:val="en-GB"/>
        </w:rPr>
        <w:t>n</w:t>
      </w:r>
      <w:r w:rsidRPr="007327FE">
        <w:rPr>
          <w:b/>
          <w:lang w:val="en-GB"/>
        </w:rPr>
        <w:t xml:space="preserve">umber of </w:t>
      </w:r>
      <w:r w:rsidR="00681309" w:rsidRPr="007327FE">
        <w:rPr>
          <w:b/>
          <w:lang w:val="en-GB"/>
        </w:rPr>
        <w:t>e</w:t>
      </w:r>
      <w:r w:rsidRPr="007327FE">
        <w:rPr>
          <w:b/>
          <w:lang w:val="en-GB"/>
        </w:rPr>
        <w:t xml:space="preserve">mployees </w:t>
      </w:r>
      <w:r w:rsidR="00681309" w:rsidRPr="007327FE">
        <w:rPr>
          <w:b/>
          <w:lang w:val="en-GB"/>
        </w:rPr>
        <w:t>e</w:t>
      </w:r>
      <w:r w:rsidRPr="007327FE">
        <w:rPr>
          <w:b/>
          <w:lang w:val="en-GB"/>
        </w:rPr>
        <w:t xml:space="preserve">xpressed as </w:t>
      </w:r>
      <w:r w:rsidR="00681309" w:rsidRPr="007327FE">
        <w:rPr>
          <w:b/>
          <w:lang w:val="en-GB"/>
        </w:rPr>
        <w:t>full-t</w:t>
      </w:r>
      <w:r w:rsidRPr="007327FE">
        <w:rPr>
          <w:b/>
          <w:lang w:val="en-GB"/>
        </w:rPr>
        <w:t xml:space="preserve">ime </w:t>
      </w:r>
      <w:r w:rsidR="00681309" w:rsidRPr="007327FE">
        <w:rPr>
          <w:b/>
          <w:lang w:val="en-GB"/>
        </w:rPr>
        <w:t>e</w:t>
      </w:r>
      <w:r w:rsidRPr="007327FE">
        <w:rPr>
          <w:b/>
          <w:lang w:val="en-GB"/>
        </w:rPr>
        <w:t xml:space="preserve">quivalent </w:t>
      </w:r>
      <w:r w:rsidR="00681309" w:rsidRPr="007327FE">
        <w:rPr>
          <w:b/>
          <w:lang w:val="en-GB"/>
        </w:rPr>
        <w:t>e</w:t>
      </w:r>
      <w:r w:rsidRPr="007327FE">
        <w:rPr>
          <w:b/>
          <w:lang w:val="en-GB"/>
        </w:rPr>
        <w:t>mployees</w:t>
      </w:r>
    </w:p>
    <w:p w:rsidR="005A67F8" w:rsidRPr="007327FE" w:rsidRDefault="005A67F8" w:rsidP="005A67F8">
      <w:pPr>
        <w:pStyle w:val="Perex"/>
        <w:spacing w:after="0"/>
        <w:rPr>
          <w:b w:val="0"/>
          <w:szCs w:val="20"/>
          <w:lang w:eastAsia="cs-CZ"/>
        </w:rPr>
      </w:pPr>
      <w:r w:rsidRPr="007327FE">
        <w:rPr>
          <w:b w:val="0"/>
          <w:szCs w:val="20"/>
          <w:lang w:eastAsia="cs-CZ"/>
        </w:rPr>
        <w:t>A year-on-year increase in the registered number of employees by 34.8 thousand (0.9%)</w:t>
      </w:r>
      <w:r w:rsidR="00775828" w:rsidRPr="007327FE">
        <w:rPr>
          <w:b w:val="0"/>
          <w:szCs w:val="20"/>
          <w:lang w:eastAsia="cs-CZ"/>
        </w:rPr>
        <w:t xml:space="preserve"> can seem to be low in the light of an inflow of refugees from Ukraine. It can be explained by the fact that they are often employed upon agreements</w:t>
      </w:r>
      <w:r w:rsidR="00674673" w:rsidRPr="007327FE">
        <w:rPr>
          <w:b w:val="0"/>
          <w:szCs w:val="20"/>
          <w:lang w:eastAsia="cs-CZ"/>
        </w:rPr>
        <w:t xml:space="preserve"> on work performed</w:t>
      </w:r>
      <w:r w:rsidR="00775828" w:rsidRPr="007327FE">
        <w:rPr>
          <w:b w:val="0"/>
          <w:szCs w:val="20"/>
          <w:lang w:eastAsia="cs-CZ"/>
        </w:rPr>
        <w:t xml:space="preserve"> out of employment relationship. It is also necessary to realise that</w:t>
      </w:r>
      <w:r w:rsidR="00453C23" w:rsidRPr="007327FE">
        <w:rPr>
          <w:b w:val="0"/>
          <w:szCs w:val="20"/>
          <w:lang w:eastAsia="cs-CZ"/>
        </w:rPr>
        <w:t xml:space="preserve"> it is a full-time equivalent of employees and a huge number of women with children were only able to work part time. On the other hand, there was </w:t>
      </w:r>
      <w:r w:rsidR="002F76ED">
        <w:rPr>
          <w:b w:val="0"/>
          <w:szCs w:val="20"/>
          <w:lang w:eastAsia="cs-CZ"/>
        </w:rPr>
        <w:t xml:space="preserve">probably </w:t>
      </w:r>
      <w:r w:rsidR="00453C23" w:rsidRPr="007327FE">
        <w:rPr>
          <w:b w:val="0"/>
          <w:szCs w:val="20"/>
          <w:lang w:eastAsia="cs-CZ"/>
        </w:rPr>
        <w:t xml:space="preserve">also a decrease of employees coming from other countries (Romania, Bulgaria). </w:t>
      </w:r>
      <w:r w:rsidR="00775828" w:rsidRPr="007327FE">
        <w:rPr>
          <w:b w:val="0"/>
          <w:szCs w:val="20"/>
          <w:lang w:eastAsia="cs-CZ"/>
        </w:rPr>
        <w:t xml:space="preserve"> </w:t>
      </w:r>
      <w:r w:rsidRPr="007327FE">
        <w:rPr>
          <w:b w:val="0"/>
          <w:szCs w:val="20"/>
          <w:lang w:eastAsia="cs-CZ"/>
        </w:rPr>
        <w:t xml:space="preserve"> </w:t>
      </w:r>
    </w:p>
    <w:p w:rsidR="005A67F8" w:rsidRPr="007327FE" w:rsidRDefault="005A67F8" w:rsidP="005A67F8">
      <w:pPr>
        <w:pStyle w:val="Perex"/>
        <w:spacing w:after="0"/>
        <w:rPr>
          <w:b w:val="0"/>
          <w:szCs w:val="20"/>
          <w:lang w:eastAsia="cs-CZ"/>
        </w:rPr>
      </w:pPr>
    </w:p>
    <w:p w:rsidR="00B75A60" w:rsidRPr="00027549" w:rsidRDefault="00336DC3" w:rsidP="00027549">
      <w:pPr>
        <w:pStyle w:val="Perex"/>
        <w:spacing w:after="0"/>
        <w:rPr>
          <w:b w:val="0"/>
        </w:rPr>
      </w:pPr>
      <w:r w:rsidRPr="007327FE">
        <w:rPr>
          <w:b w:val="0"/>
        </w:rPr>
        <w:t>As for individual industries (economic activities), the situation was very heterogeneous.</w:t>
      </w:r>
      <w:r w:rsidR="00BC049D" w:rsidRPr="007327FE">
        <w:rPr>
          <w:b w:val="0"/>
        </w:rPr>
        <w:t xml:space="preserve"> In nine sections of the CZ-NACE the number of employees decreased, in the remaining ten it increased; in total, it was ranging from </w:t>
      </w:r>
      <w:r w:rsidR="00BC049D" w:rsidRPr="007327FE">
        <w:rPr>
          <w:b w:val="0"/>
          <w:lang w:val="cs-CZ"/>
        </w:rPr>
        <w:t xml:space="preserve">-3.4% up to 9.0%. </w:t>
      </w:r>
      <w:r w:rsidR="00F87546" w:rsidRPr="00027549">
        <w:rPr>
          <w:b w:val="0"/>
        </w:rPr>
        <w:t xml:space="preserve">The relatively highest increase can be found again in the fourth smallest section of ‘real estate activities’; when </w:t>
      </w:r>
      <w:r w:rsidR="0021369B">
        <w:rPr>
          <w:b w:val="0"/>
        </w:rPr>
        <w:t>expressed as</w:t>
      </w:r>
      <w:r w:rsidR="00F87546" w:rsidRPr="00027549">
        <w:rPr>
          <w:b w:val="0"/>
        </w:rPr>
        <w:t xml:space="preserve"> an absolute number, it is </w:t>
      </w:r>
      <w:r w:rsidR="0021369B">
        <w:rPr>
          <w:b w:val="0"/>
        </w:rPr>
        <w:t xml:space="preserve">only </w:t>
      </w:r>
      <w:r w:rsidR="00F87546" w:rsidRPr="00027549">
        <w:rPr>
          <w:b w:val="0"/>
        </w:rPr>
        <w:t>an increase by 3.9 thousand jobs.</w:t>
      </w:r>
      <w:r w:rsidR="007C64AE" w:rsidRPr="00027549">
        <w:rPr>
          <w:b w:val="0"/>
        </w:rPr>
        <w:t xml:space="preserve"> A more important increase in the number of employees was in </w:t>
      </w:r>
      <w:r w:rsidR="00366B68" w:rsidRPr="00027549">
        <w:rPr>
          <w:b w:val="0"/>
          <w:lang w:eastAsia="cs-CZ"/>
        </w:rPr>
        <w:t>‘information and communication</w:t>
      </w:r>
      <w:r w:rsidR="00366B68" w:rsidRPr="00027549">
        <w:rPr>
          <w:b w:val="0"/>
          <w:szCs w:val="20"/>
          <w:lang w:eastAsia="cs-CZ"/>
        </w:rPr>
        <w:t xml:space="preserve">’ by 5.2%, because it was by 6.7 thousand jobs. This economic activity has been increasing for a long-term and currently it got to the total amount of </w:t>
      </w:r>
      <w:r w:rsidR="00F87546" w:rsidRPr="00027549">
        <w:rPr>
          <w:b w:val="0"/>
        </w:rPr>
        <w:t>1</w:t>
      </w:r>
      <w:r w:rsidR="00366B68" w:rsidRPr="00027549">
        <w:rPr>
          <w:b w:val="0"/>
        </w:rPr>
        <w:t>37.</w:t>
      </w:r>
      <w:r w:rsidR="00F87546" w:rsidRPr="00027549">
        <w:rPr>
          <w:b w:val="0"/>
        </w:rPr>
        <w:t>0</w:t>
      </w:r>
      <w:r w:rsidR="00366B68" w:rsidRPr="00027549">
        <w:rPr>
          <w:b w:val="0"/>
        </w:rPr>
        <w:t> thousand</w:t>
      </w:r>
      <w:r w:rsidR="00F87546" w:rsidRPr="00027549">
        <w:rPr>
          <w:b w:val="0"/>
        </w:rPr>
        <w:t xml:space="preserve">. </w:t>
      </w:r>
      <w:r w:rsidR="00B75A60" w:rsidRPr="00027549">
        <w:rPr>
          <w:b w:val="0"/>
        </w:rPr>
        <w:t xml:space="preserve">Thus it was higher than </w:t>
      </w:r>
      <w:r w:rsidR="00812819" w:rsidRPr="00027549">
        <w:rPr>
          <w:b w:val="0"/>
        </w:rPr>
        <w:t>‘accommodation and food service activities’</w:t>
      </w:r>
      <w:r w:rsidR="00F87546" w:rsidRPr="00027549">
        <w:rPr>
          <w:b w:val="0"/>
        </w:rPr>
        <w:t xml:space="preserve"> </w:t>
      </w:r>
      <w:r w:rsidR="00B75A60" w:rsidRPr="00027549">
        <w:rPr>
          <w:b w:val="0"/>
        </w:rPr>
        <w:t>with the amount of 109.</w:t>
      </w:r>
      <w:r w:rsidR="00F87546" w:rsidRPr="00027549">
        <w:rPr>
          <w:b w:val="0"/>
        </w:rPr>
        <w:t>3</w:t>
      </w:r>
      <w:r w:rsidR="00B75A60" w:rsidRPr="00027549">
        <w:rPr>
          <w:b w:val="0"/>
        </w:rPr>
        <w:t> thousand</w:t>
      </w:r>
      <w:r w:rsidR="00F87546" w:rsidRPr="00027549">
        <w:rPr>
          <w:b w:val="0"/>
        </w:rPr>
        <w:t>;</w:t>
      </w:r>
      <w:r w:rsidR="00B75A60" w:rsidRPr="00027549">
        <w:rPr>
          <w:b w:val="0"/>
        </w:rPr>
        <w:t xml:space="preserve"> there we can find the third most considerable relative increase by 3.6%, which was 3.8 thousand when expressed as an absolute number. </w:t>
      </w:r>
    </w:p>
    <w:p w:rsidR="005A67F8" w:rsidRPr="007327FE" w:rsidRDefault="005A67F8" w:rsidP="005A67F8"/>
    <w:p w:rsidR="00696910" w:rsidRPr="007327FE" w:rsidRDefault="00696910" w:rsidP="00696910">
      <w:pPr>
        <w:rPr>
          <w:lang w:val="en-GB"/>
        </w:rPr>
      </w:pPr>
      <w:r w:rsidRPr="007327FE">
        <w:rPr>
          <w:lang w:val="en-GB"/>
        </w:rPr>
        <w:t>However, two most important increase</w:t>
      </w:r>
      <w:r w:rsidR="0030088A" w:rsidRPr="007327FE">
        <w:rPr>
          <w:lang w:val="en-GB"/>
        </w:rPr>
        <w:t>s</w:t>
      </w:r>
      <w:r w:rsidRPr="007327FE">
        <w:rPr>
          <w:lang w:val="en-GB"/>
        </w:rPr>
        <w:t xml:space="preserve"> as for the</w:t>
      </w:r>
      <w:r w:rsidR="00C53A9C">
        <w:rPr>
          <w:lang w:val="en-GB"/>
        </w:rPr>
        <w:t xml:space="preserve"> absolute</w:t>
      </w:r>
      <w:r w:rsidRPr="007327FE">
        <w:rPr>
          <w:lang w:val="en-GB"/>
        </w:rPr>
        <w:t xml:space="preserve"> number were in other economic activities as follows:</w:t>
      </w:r>
      <w:r w:rsidR="0030088A" w:rsidRPr="007327FE">
        <w:rPr>
          <w:lang w:val="en-GB"/>
        </w:rPr>
        <w:t xml:space="preserve"> ‘education’ became more numerous by</w:t>
      </w:r>
      <w:r w:rsidRPr="007327FE">
        <w:rPr>
          <w:lang w:val="en-GB"/>
        </w:rPr>
        <w:t xml:space="preserve"> 10.3 thousand jobs</w:t>
      </w:r>
      <w:r w:rsidR="0030088A" w:rsidRPr="007327FE">
        <w:rPr>
          <w:lang w:val="en-GB"/>
        </w:rPr>
        <w:t xml:space="preserve"> and </w:t>
      </w:r>
      <w:r w:rsidR="00B002D8" w:rsidRPr="007327FE">
        <w:rPr>
          <w:lang w:val="en-GB"/>
        </w:rPr>
        <w:t>‘human health and social work activities’</w:t>
      </w:r>
      <w:r w:rsidR="0030088A" w:rsidRPr="007327FE">
        <w:rPr>
          <w:lang w:val="en-GB"/>
        </w:rPr>
        <w:t xml:space="preserve"> </w:t>
      </w:r>
      <w:r w:rsidR="00B002D8" w:rsidRPr="007327FE">
        <w:rPr>
          <w:lang w:val="en-GB"/>
        </w:rPr>
        <w:t>by 9.3 thousand; in relative expression, it was by 3.2% and 2.9%</w:t>
      </w:r>
      <w:r w:rsidR="00C53A9C">
        <w:rPr>
          <w:lang w:val="en-GB"/>
        </w:rPr>
        <w:t xml:space="preserve"> more</w:t>
      </w:r>
      <w:r w:rsidR="00B002D8" w:rsidRPr="007327FE">
        <w:rPr>
          <w:lang w:val="en-GB"/>
        </w:rPr>
        <w:t xml:space="preserve">, respectively, with regards to the size of those sections of </w:t>
      </w:r>
      <w:r w:rsidR="00C53A9C">
        <w:rPr>
          <w:lang w:val="en-GB"/>
        </w:rPr>
        <w:t xml:space="preserve">the </w:t>
      </w:r>
      <w:r w:rsidR="00B002D8" w:rsidRPr="007327FE">
        <w:rPr>
          <w:lang w:val="en-GB"/>
        </w:rPr>
        <w:t>CZ-NACE</w:t>
      </w:r>
      <w:r w:rsidR="00C53A9C">
        <w:rPr>
          <w:lang w:val="en-GB"/>
        </w:rPr>
        <w:t xml:space="preserve"> classification</w:t>
      </w:r>
      <w:r w:rsidR="00B002D8" w:rsidRPr="007327FE">
        <w:rPr>
          <w:lang w:val="en-GB"/>
        </w:rPr>
        <w:t>.</w:t>
      </w:r>
      <w:r w:rsidRPr="007327FE">
        <w:rPr>
          <w:lang w:val="en-GB"/>
        </w:rPr>
        <w:t xml:space="preserve"> </w:t>
      </w:r>
    </w:p>
    <w:p w:rsidR="005A67F8" w:rsidRPr="007327FE" w:rsidRDefault="005A67F8" w:rsidP="005A67F8"/>
    <w:p w:rsidR="00B773C8" w:rsidRDefault="001C10D2" w:rsidP="001C10D2">
      <w:pPr>
        <w:rPr>
          <w:szCs w:val="20"/>
          <w:lang w:val="en-GB" w:eastAsia="cs-CZ"/>
        </w:rPr>
      </w:pPr>
      <w:r w:rsidRPr="007327FE">
        <w:rPr>
          <w:lang w:val="en-GB"/>
        </w:rPr>
        <w:t xml:space="preserve">A </w:t>
      </w:r>
      <w:r w:rsidR="00B773C8">
        <w:rPr>
          <w:lang w:val="en-GB"/>
        </w:rPr>
        <w:t>considerable</w:t>
      </w:r>
      <w:r w:rsidRPr="007327FE">
        <w:rPr>
          <w:lang w:val="en-GB"/>
        </w:rPr>
        <w:t xml:space="preserve"> absolute increase by 6.4 thousand can also be found in ‘wholesale and retail trade; repair of motor vehicles and motorcycles’; this section is the second largest, it employs over half a million people (517.5 thousand jobs). ‘</w:t>
      </w:r>
      <w:r w:rsidRPr="007327FE">
        <w:rPr>
          <w:szCs w:val="20"/>
          <w:lang w:val="en-GB" w:eastAsia="cs-CZ"/>
        </w:rPr>
        <w:t>Professional, scientific and technical activities’</w:t>
      </w:r>
      <w:r w:rsidR="000128D0" w:rsidRPr="007327FE">
        <w:rPr>
          <w:szCs w:val="20"/>
          <w:lang w:val="en-GB" w:eastAsia="cs-CZ"/>
        </w:rPr>
        <w:t xml:space="preserve"> increased the number of their employees by 5.5 thousand (3.2%), by which they got to 174.9 thousand.</w:t>
      </w:r>
    </w:p>
    <w:p w:rsidR="001C10D2" w:rsidRPr="007327FE" w:rsidRDefault="000128D0" w:rsidP="001C10D2">
      <w:pPr>
        <w:rPr>
          <w:szCs w:val="20"/>
          <w:lang w:val="en-GB" w:eastAsia="cs-CZ"/>
        </w:rPr>
      </w:pPr>
      <w:r w:rsidRPr="007327FE">
        <w:rPr>
          <w:szCs w:val="20"/>
          <w:lang w:val="en-GB" w:eastAsia="cs-CZ"/>
        </w:rPr>
        <w:t xml:space="preserve"> </w:t>
      </w:r>
      <w:r w:rsidR="001C10D2" w:rsidRPr="007327FE">
        <w:rPr>
          <w:szCs w:val="20"/>
          <w:lang w:val="en-GB" w:eastAsia="cs-CZ"/>
        </w:rPr>
        <w:t xml:space="preserve"> </w:t>
      </w:r>
    </w:p>
    <w:p w:rsidR="002F6B67" w:rsidRPr="007327FE" w:rsidRDefault="002F7386" w:rsidP="007674AD">
      <w:pPr>
        <w:rPr>
          <w:lang w:val="en-GB"/>
        </w:rPr>
      </w:pPr>
      <w:r w:rsidRPr="007327FE">
        <w:rPr>
          <w:lang w:val="en-GB"/>
        </w:rPr>
        <w:t xml:space="preserve">And now let´s have a look at the second group of sections, in which numbers of employees were decreasing, namely in the total by 11.9 thousand. There are two main contributors to the decrease. </w:t>
      </w:r>
      <w:r w:rsidR="007911A5" w:rsidRPr="007327FE">
        <w:rPr>
          <w:lang w:val="en-GB"/>
        </w:rPr>
        <w:t>‘Manufacturing</w:t>
      </w:r>
      <w:r w:rsidR="007911A5" w:rsidRPr="007327FE">
        <w:rPr>
          <w:szCs w:val="20"/>
          <w:lang w:val="en-GB" w:eastAsia="cs-CZ"/>
        </w:rPr>
        <w:t>’ is still t</w:t>
      </w:r>
      <w:r w:rsidR="00441CD5" w:rsidRPr="007327FE">
        <w:rPr>
          <w:lang w:val="en-GB"/>
        </w:rPr>
        <w:t>he biggest section</w:t>
      </w:r>
      <w:r w:rsidR="007911A5" w:rsidRPr="007327FE">
        <w:rPr>
          <w:szCs w:val="20"/>
          <w:lang w:val="en-GB" w:eastAsia="cs-CZ"/>
        </w:rPr>
        <w:t>; it</w:t>
      </w:r>
      <w:r w:rsidR="00441CD5" w:rsidRPr="007327FE">
        <w:rPr>
          <w:szCs w:val="20"/>
          <w:lang w:val="en-GB" w:eastAsia="cs-CZ"/>
        </w:rPr>
        <w:t xml:space="preserve"> </w:t>
      </w:r>
      <w:r w:rsidR="007911A5" w:rsidRPr="007327FE">
        <w:rPr>
          <w:szCs w:val="20"/>
          <w:lang w:val="en-GB" w:eastAsia="cs-CZ"/>
        </w:rPr>
        <w:t>currently</w:t>
      </w:r>
      <w:r w:rsidR="00441CD5" w:rsidRPr="007327FE">
        <w:rPr>
          <w:szCs w:val="20"/>
          <w:lang w:val="en-GB" w:eastAsia="cs-CZ"/>
        </w:rPr>
        <w:t xml:space="preserve"> employ</w:t>
      </w:r>
      <w:r w:rsidR="007911A5" w:rsidRPr="007327FE">
        <w:rPr>
          <w:szCs w:val="20"/>
          <w:lang w:val="en-GB" w:eastAsia="cs-CZ"/>
        </w:rPr>
        <w:t>s 1 092</w:t>
      </w:r>
      <w:r w:rsidR="00441CD5" w:rsidRPr="007327FE">
        <w:rPr>
          <w:szCs w:val="20"/>
          <w:lang w:val="en-GB" w:eastAsia="cs-CZ"/>
        </w:rPr>
        <w:t>.</w:t>
      </w:r>
      <w:r w:rsidR="007911A5" w:rsidRPr="007327FE">
        <w:rPr>
          <w:szCs w:val="20"/>
          <w:lang w:val="en-GB" w:eastAsia="cs-CZ"/>
        </w:rPr>
        <w:t>4 </w:t>
      </w:r>
      <w:r w:rsidR="00441CD5" w:rsidRPr="007327FE">
        <w:rPr>
          <w:szCs w:val="20"/>
          <w:lang w:val="en-GB" w:eastAsia="cs-CZ"/>
        </w:rPr>
        <w:t xml:space="preserve">thousand employees; however, there was a decrease by </w:t>
      </w:r>
      <w:r w:rsidR="003E691C">
        <w:rPr>
          <w:szCs w:val="20"/>
          <w:lang w:val="en-GB" w:eastAsia="cs-CZ"/>
        </w:rPr>
        <w:t>3.4 thousand (</w:t>
      </w:r>
      <w:r w:rsidR="007911A5" w:rsidRPr="007327FE">
        <w:rPr>
          <w:szCs w:val="20"/>
          <w:lang w:val="en-GB" w:eastAsia="cs-CZ"/>
        </w:rPr>
        <w:t>0.3% in relative expression), year-on-year.</w:t>
      </w:r>
      <w:r w:rsidRPr="007327FE">
        <w:rPr>
          <w:szCs w:val="20"/>
          <w:lang w:val="en-GB" w:eastAsia="cs-CZ"/>
        </w:rPr>
        <w:t xml:space="preserve"> </w:t>
      </w:r>
      <w:r w:rsidR="003B1E98" w:rsidRPr="007327FE">
        <w:rPr>
          <w:lang w:val="en-GB"/>
        </w:rPr>
        <w:t xml:space="preserve">Concurrently, </w:t>
      </w:r>
      <w:r w:rsidR="003935C5" w:rsidRPr="007327FE">
        <w:rPr>
          <w:szCs w:val="20"/>
          <w:lang w:val="en-GB" w:eastAsia="cs-CZ"/>
        </w:rPr>
        <w:t xml:space="preserve">Table 1 from </w:t>
      </w:r>
      <w:r w:rsidR="003935C5" w:rsidRPr="007327FE">
        <w:rPr>
          <w:lang w:val="en-GB"/>
        </w:rPr>
        <w:t>the News Release</w:t>
      </w:r>
      <w:r w:rsidR="004B52E8" w:rsidRPr="007327FE">
        <w:rPr>
          <w:lang w:val="en-GB"/>
        </w:rPr>
        <w:t xml:space="preserve"> on average wages</w:t>
      </w:r>
      <w:r w:rsidR="003935C5" w:rsidRPr="007327FE">
        <w:rPr>
          <w:lang w:val="en-GB"/>
        </w:rPr>
        <w:t xml:space="preserve"> </w:t>
      </w:r>
      <w:r w:rsidR="004B52E8" w:rsidRPr="007327FE">
        <w:rPr>
          <w:lang w:val="en-GB"/>
        </w:rPr>
        <w:t>shows us</w:t>
      </w:r>
      <w:r w:rsidR="003935C5" w:rsidRPr="007327FE">
        <w:rPr>
          <w:lang w:val="en-GB"/>
        </w:rPr>
        <w:t xml:space="preserve"> CZ-NACE divisions of this section</w:t>
      </w:r>
      <w:r w:rsidR="004B52E8" w:rsidRPr="007327FE">
        <w:rPr>
          <w:lang w:val="en-GB"/>
        </w:rPr>
        <w:t xml:space="preserve">, which are the most important as for the number of employees. Currently, an increase in the number of employees can only be found in </w:t>
      </w:r>
      <w:r w:rsidR="000B65FD" w:rsidRPr="007327FE">
        <w:rPr>
          <w:lang w:val="en-GB"/>
        </w:rPr>
        <w:t>‘manufacture of electrical equipment</w:t>
      </w:r>
      <w:r w:rsidR="000B65FD" w:rsidRPr="007327FE">
        <w:rPr>
          <w:szCs w:val="20"/>
          <w:lang w:val="en-GB" w:eastAsia="cs-CZ"/>
        </w:rPr>
        <w:t>’</w:t>
      </w:r>
      <w:r w:rsidR="006F2EB8" w:rsidRPr="007327FE">
        <w:rPr>
          <w:lang w:val="en-GB"/>
        </w:rPr>
        <w:t xml:space="preserve"> (1.</w:t>
      </w:r>
      <w:r w:rsidR="004B52E8" w:rsidRPr="007327FE">
        <w:rPr>
          <w:lang w:val="en-GB"/>
        </w:rPr>
        <w:t>4</w:t>
      </w:r>
      <w:r w:rsidR="006F2EB8" w:rsidRPr="007327FE">
        <w:rPr>
          <w:lang w:val="en-GB"/>
        </w:rPr>
        <w:t> thousand, 1.</w:t>
      </w:r>
      <w:r w:rsidR="004B52E8" w:rsidRPr="007327FE">
        <w:rPr>
          <w:lang w:val="en-GB"/>
        </w:rPr>
        <w:t xml:space="preserve">5%). </w:t>
      </w:r>
      <w:r w:rsidR="007674AD" w:rsidRPr="007327FE">
        <w:rPr>
          <w:lang w:val="en-GB"/>
        </w:rPr>
        <w:t>As for ‘manufacture of motor vehicles, trailers and semi-trailers</w:t>
      </w:r>
      <w:r w:rsidR="007674AD" w:rsidRPr="007327FE">
        <w:rPr>
          <w:szCs w:val="20"/>
          <w:lang w:val="en-GB" w:eastAsia="cs-CZ"/>
        </w:rPr>
        <w:t>’,</w:t>
      </w:r>
      <w:r w:rsidR="002F6B67" w:rsidRPr="007327FE">
        <w:rPr>
          <w:szCs w:val="20"/>
          <w:lang w:val="en-GB" w:eastAsia="cs-CZ"/>
        </w:rPr>
        <w:t xml:space="preserve"> there was a significant decrease </w:t>
      </w:r>
      <w:r w:rsidR="002F6B67" w:rsidRPr="007327FE">
        <w:rPr>
          <w:lang w:val="en-GB"/>
        </w:rPr>
        <w:t>(-3.</w:t>
      </w:r>
      <w:r w:rsidR="00DA3D28" w:rsidRPr="007327FE">
        <w:rPr>
          <w:lang w:val="en-GB"/>
        </w:rPr>
        <w:t>5</w:t>
      </w:r>
      <w:r w:rsidR="002F6B67" w:rsidRPr="007327FE">
        <w:rPr>
          <w:lang w:val="en-GB"/>
        </w:rPr>
        <w:t> thousand; -2.</w:t>
      </w:r>
      <w:r w:rsidR="00DA3D28" w:rsidRPr="007327FE">
        <w:rPr>
          <w:lang w:val="en-GB"/>
        </w:rPr>
        <w:t>1</w:t>
      </w:r>
      <w:r w:rsidR="002F6B67" w:rsidRPr="007327FE">
        <w:rPr>
          <w:lang w:val="en-GB"/>
        </w:rPr>
        <w:t xml:space="preserve">%); </w:t>
      </w:r>
      <w:r w:rsidR="002F6B67" w:rsidRPr="00546BA8">
        <w:rPr>
          <w:lang w:val="en-GB"/>
        </w:rPr>
        <w:t xml:space="preserve">despite that, it remains to be the </w:t>
      </w:r>
      <w:r w:rsidR="0040058F" w:rsidRPr="00546BA8">
        <w:rPr>
          <w:lang w:val="en-GB"/>
        </w:rPr>
        <w:t>biggest</w:t>
      </w:r>
      <w:r w:rsidR="002F6B67" w:rsidRPr="00546BA8">
        <w:rPr>
          <w:lang w:val="en-GB"/>
        </w:rPr>
        <w:t xml:space="preserve"> </w:t>
      </w:r>
      <w:r w:rsidR="0040058F" w:rsidRPr="00546BA8">
        <w:rPr>
          <w:lang w:val="en-GB"/>
        </w:rPr>
        <w:t>division</w:t>
      </w:r>
      <w:r w:rsidR="002F6B67" w:rsidRPr="00546BA8">
        <w:rPr>
          <w:lang w:val="en-GB"/>
        </w:rPr>
        <w:t xml:space="preserve"> of Czech manufacturing with 166.6 thousand jobs.</w:t>
      </w:r>
      <w:r w:rsidR="002F6B67" w:rsidRPr="007327FE">
        <w:rPr>
          <w:lang w:val="en-GB"/>
        </w:rPr>
        <w:t xml:space="preserve"> </w:t>
      </w:r>
      <w:r w:rsidR="00DA3D28" w:rsidRPr="007327FE">
        <w:rPr>
          <w:lang w:val="en-GB"/>
        </w:rPr>
        <w:t xml:space="preserve"> </w:t>
      </w:r>
    </w:p>
    <w:p w:rsidR="005A67F8" w:rsidRPr="007327FE" w:rsidRDefault="005A67F8" w:rsidP="005A67F8"/>
    <w:p w:rsidR="002F6B67" w:rsidRPr="007327FE" w:rsidRDefault="002F6B67" w:rsidP="005A67F8">
      <w:pPr>
        <w:rPr>
          <w:lang w:val="en-GB"/>
        </w:rPr>
      </w:pPr>
      <w:r w:rsidRPr="007327FE">
        <w:rPr>
          <w:lang w:val="en-GB"/>
        </w:rPr>
        <w:t>The second highest decrease in the number of employees was in</w:t>
      </w:r>
      <w:r w:rsidR="00C6112F" w:rsidRPr="007327FE">
        <w:rPr>
          <w:lang w:val="en-GB"/>
        </w:rPr>
        <w:t xml:space="preserve"> ‘public administration and defence; compulsory social security’</w:t>
      </w:r>
      <w:r w:rsidR="004325BD" w:rsidRPr="007327FE">
        <w:rPr>
          <w:lang w:val="en-GB"/>
        </w:rPr>
        <w:t>, in which there was a y-o-y decrease in the number of jobs by 3.2 thousand</w:t>
      </w:r>
      <w:r w:rsidR="00C468FA" w:rsidRPr="007327FE">
        <w:rPr>
          <w:lang w:val="en-GB"/>
        </w:rPr>
        <w:t xml:space="preserve">, which is a 1.1% decrease. </w:t>
      </w:r>
    </w:p>
    <w:p w:rsidR="0013019D" w:rsidRPr="007327FE" w:rsidRDefault="0013019D" w:rsidP="00DA3D28"/>
    <w:p w:rsidR="00231469" w:rsidRPr="007327FE" w:rsidRDefault="0013019D" w:rsidP="00231469">
      <w:pPr>
        <w:rPr>
          <w:szCs w:val="20"/>
          <w:lang w:val="en-GB" w:eastAsia="cs-CZ"/>
        </w:rPr>
      </w:pPr>
      <w:r w:rsidRPr="007327FE">
        <w:rPr>
          <w:lang w:val="en-GB"/>
        </w:rPr>
        <w:t xml:space="preserve">With a margin, there is a decrease in the number of jobs in </w:t>
      </w:r>
      <w:r w:rsidR="004118FF" w:rsidRPr="007327FE">
        <w:rPr>
          <w:lang w:val="en-GB"/>
        </w:rPr>
        <w:t>‘agriculture, forestry and fishing</w:t>
      </w:r>
      <w:r w:rsidR="004118FF" w:rsidRPr="007327FE">
        <w:rPr>
          <w:szCs w:val="20"/>
          <w:lang w:val="en-GB" w:eastAsia="cs-CZ"/>
        </w:rPr>
        <w:t>’</w:t>
      </w:r>
      <w:r w:rsidR="00AA63BC" w:rsidRPr="007327FE">
        <w:rPr>
          <w:szCs w:val="20"/>
          <w:lang w:val="en-GB" w:eastAsia="cs-CZ"/>
        </w:rPr>
        <w:t xml:space="preserve"> (1.9 thousand; 2.0%).</w:t>
      </w:r>
      <w:r w:rsidR="00215FD5" w:rsidRPr="007327FE">
        <w:rPr>
          <w:szCs w:val="20"/>
          <w:lang w:val="en-GB" w:eastAsia="cs-CZ"/>
        </w:rPr>
        <w:t xml:space="preserve"> In</w:t>
      </w:r>
      <w:r w:rsidR="00AA63BC" w:rsidRPr="007327FE">
        <w:rPr>
          <w:szCs w:val="20"/>
          <w:lang w:val="en-GB" w:eastAsia="cs-CZ"/>
        </w:rPr>
        <w:t xml:space="preserve"> </w:t>
      </w:r>
      <w:r w:rsidR="00215FD5" w:rsidRPr="007327FE">
        <w:rPr>
          <w:lang w:val="en-GB"/>
        </w:rPr>
        <w:t xml:space="preserve">‘other service activities’, there was a decrease by 1.6 thousand jobs, which is a relative decrease by 3.4%. In </w:t>
      </w:r>
      <w:r w:rsidR="00215FD5" w:rsidRPr="007327FE">
        <w:rPr>
          <w:lang w:val="en-GB" w:eastAsia="cs-CZ"/>
        </w:rPr>
        <w:t>‘administrative and support service activities</w:t>
      </w:r>
      <w:r w:rsidR="00215FD5" w:rsidRPr="007327FE">
        <w:rPr>
          <w:szCs w:val="20"/>
          <w:lang w:val="en-GB" w:eastAsia="cs-CZ"/>
        </w:rPr>
        <w:t>’, there was a decrease by a thousand employees, year-on-year (</w:t>
      </w:r>
      <w:r w:rsidR="00010EB8">
        <w:rPr>
          <w:szCs w:val="20"/>
          <w:lang w:val="en-GB" w:eastAsia="cs-CZ"/>
        </w:rPr>
        <w:t xml:space="preserve">or </w:t>
      </w:r>
      <w:r w:rsidR="00215FD5" w:rsidRPr="007327FE">
        <w:rPr>
          <w:szCs w:val="20"/>
          <w:lang w:val="en-GB" w:eastAsia="cs-CZ"/>
        </w:rPr>
        <w:t>0.6%) to 172.7 thousand. It also includes</w:t>
      </w:r>
      <w:r w:rsidR="008C4B4A" w:rsidRPr="007327FE">
        <w:rPr>
          <w:szCs w:val="20"/>
          <w:lang w:val="en-GB" w:eastAsia="cs-CZ"/>
        </w:rPr>
        <w:t xml:space="preserve"> agency workers; </w:t>
      </w:r>
      <w:r w:rsidR="00FB5B69" w:rsidRPr="007327FE">
        <w:rPr>
          <w:lang w:val="en-GB"/>
        </w:rPr>
        <w:t>this group responds the most substantially to economic fluctuations and therefore it is a suitable barometer of changes.</w:t>
      </w:r>
      <w:r w:rsidR="00C42DE9" w:rsidRPr="007327FE">
        <w:rPr>
          <w:lang w:val="en-GB"/>
        </w:rPr>
        <w:t xml:space="preserve"> Previous decreases were deeper there and thus it seems that the situation has stabilised. </w:t>
      </w:r>
      <w:r w:rsidR="00FB5B69" w:rsidRPr="007327FE">
        <w:rPr>
          <w:lang w:val="en-GB"/>
        </w:rPr>
        <w:t xml:space="preserve"> </w:t>
      </w:r>
    </w:p>
    <w:p w:rsidR="00E549CE" w:rsidRPr="007327FE" w:rsidRDefault="00E549CE" w:rsidP="00231469">
      <w:pPr>
        <w:rPr>
          <w:szCs w:val="20"/>
          <w:lang w:val="en-GB" w:eastAsia="cs-CZ"/>
        </w:rPr>
      </w:pPr>
    </w:p>
    <w:p w:rsidR="00390AFC" w:rsidRPr="007327FE" w:rsidRDefault="00231469" w:rsidP="004118FF">
      <w:pPr>
        <w:rPr>
          <w:lang w:val="en-GB"/>
        </w:rPr>
      </w:pPr>
      <w:r w:rsidRPr="007327FE">
        <w:rPr>
          <w:lang w:val="en-GB"/>
        </w:rPr>
        <w:t>Other increments or decrements were marginal. A small exception from the long-term trend are values in the section of ‘mining and quarrying,’ in which there was a 1% increase (by 0.2 thousand); this economic activity</w:t>
      </w:r>
      <w:r w:rsidR="005E2BE5">
        <w:rPr>
          <w:lang w:val="en-GB"/>
        </w:rPr>
        <w:t>, however,</w:t>
      </w:r>
      <w:r w:rsidRPr="007327FE">
        <w:rPr>
          <w:lang w:val="en-GB"/>
        </w:rPr>
        <w:t xml:space="preserve"> remains to be the least important with its total number of jobs of mere 18.2 thousand. </w:t>
      </w:r>
    </w:p>
    <w:p w:rsidR="00E32856" w:rsidRPr="007327FE" w:rsidRDefault="00E32856" w:rsidP="00390AFC">
      <w:pPr>
        <w:rPr>
          <w:lang w:val="en-GB"/>
        </w:rPr>
      </w:pPr>
    </w:p>
    <w:p w:rsidR="00A42B42" w:rsidRPr="007327FE" w:rsidRDefault="00A67988" w:rsidP="00817219">
      <w:pPr>
        <w:rPr>
          <w:b/>
          <w:lang w:val="en-GB"/>
        </w:rPr>
      </w:pPr>
      <w:r w:rsidRPr="007327FE">
        <w:rPr>
          <w:b/>
          <w:lang w:val="en-GB"/>
        </w:rPr>
        <w:t xml:space="preserve">Average </w:t>
      </w:r>
      <w:r w:rsidR="00681309" w:rsidRPr="007327FE">
        <w:rPr>
          <w:b/>
          <w:lang w:val="en-GB"/>
        </w:rPr>
        <w:t>g</w:t>
      </w:r>
      <w:r w:rsidRPr="007327FE">
        <w:rPr>
          <w:b/>
          <w:lang w:val="en-GB"/>
        </w:rPr>
        <w:t xml:space="preserve">ross </w:t>
      </w:r>
      <w:r w:rsidR="00681309" w:rsidRPr="007327FE">
        <w:rPr>
          <w:b/>
          <w:lang w:val="en-GB"/>
        </w:rPr>
        <w:t>m</w:t>
      </w:r>
      <w:r w:rsidRPr="007327FE">
        <w:rPr>
          <w:b/>
          <w:lang w:val="en-GB"/>
        </w:rPr>
        <w:t xml:space="preserve">onthly </w:t>
      </w:r>
      <w:r w:rsidR="00681309" w:rsidRPr="007327FE">
        <w:rPr>
          <w:b/>
          <w:lang w:val="en-GB"/>
        </w:rPr>
        <w:t>w</w:t>
      </w:r>
      <w:r w:rsidRPr="007327FE">
        <w:rPr>
          <w:b/>
          <w:lang w:val="en-GB"/>
        </w:rPr>
        <w:t xml:space="preserve">ages </w:t>
      </w:r>
    </w:p>
    <w:p w:rsidR="0027454E" w:rsidRPr="007327FE" w:rsidRDefault="00A42B42" w:rsidP="00A42B42">
      <w:pPr>
        <w:rPr>
          <w:szCs w:val="20"/>
          <w:lang w:val="en-GB"/>
        </w:rPr>
      </w:pPr>
      <w:r w:rsidRPr="007327FE">
        <w:rPr>
          <w:lang w:val="en-GB"/>
        </w:rPr>
        <w:t xml:space="preserve">The average wage </w:t>
      </w:r>
      <w:r w:rsidRPr="007327FE">
        <w:rPr>
          <w:szCs w:val="20"/>
          <w:lang w:val="en-GB" w:eastAsia="cs-CZ"/>
        </w:rPr>
        <w:t xml:space="preserve">(CZK 43 412) increased nominally </w:t>
      </w:r>
      <w:r w:rsidRPr="007327FE">
        <w:rPr>
          <w:szCs w:val="20"/>
          <w:lang w:val="en-GB"/>
        </w:rPr>
        <w:t xml:space="preserve">by CZK 3 188 </w:t>
      </w:r>
      <w:r w:rsidRPr="007327FE">
        <w:rPr>
          <w:szCs w:val="20"/>
          <w:lang w:val="en-GB" w:eastAsia="cs-CZ"/>
        </w:rPr>
        <w:t>in the Q4 2022</w:t>
      </w:r>
      <w:r w:rsidRPr="007327FE">
        <w:rPr>
          <w:szCs w:val="20"/>
          <w:lang w:val="en-GB"/>
        </w:rPr>
        <w:t>, compared to the corresponding period of 202</w:t>
      </w:r>
      <w:r w:rsidR="00077E38" w:rsidRPr="007327FE">
        <w:rPr>
          <w:szCs w:val="20"/>
          <w:lang w:val="en-GB"/>
        </w:rPr>
        <w:t>1</w:t>
      </w:r>
      <w:r w:rsidRPr="007327FE">
        <w:rPr>
          <w:szCs w:val="20"/>
          <w:lang w:val="en-GB"/>
        </w:rPr>
        <w:t>, i.e. by 7.9%. It is an average of a very diverse development on the level of individual branches (fields of activity), enterprises, or organisations.</w:t>
      </w:r>
      <w:r w:rsidR="00077E38" w:rsidRPr="007327FE">
        <w:rPr>
          <w:szCs w:val="20"/>
          <w:lang w:val="en-GB"/>
        </w:rPr>
        <w:t xml:space="preserve"> </w:t>
      </w:r>
      <w:r w:rsidR="0027454E" w:rsidRPr="007327FE">
        <w:rPr>
          <w:szCs w:val="20"/>
          <w:lang w:val="en-GB"/>
        </w:rPr>
        <w:t xml:space="preserve">Quarter-on-quarter growth rate (after seasonal adjustment) was increasing during the year 2022. </w:t>
      </w:r>
      <w:r w:rsidR="00923BAE" w:rsidRPr="007327FE">
        <w:rPr>
          <w:szCs w:val="20"/>
          <w:lang w:val="en-GB"/>
        </w:rPr>
        <w:t xml:space="preserve">The year-on-year nominal increase in the Q4 2022 was the highest since the Q2 2021. </w:t>
      </w:r>
    </w:p>
    <w:p w:rsidR="00A42B42" w:rsidRPr="007327FE" w:rsidRDefault="00A42B42" w:rsidP="00A42B42">
      <w:pPr>
        <w:rPr>
          <w:noProof/>
          <w:lang w:eastAsia="cs-CZ"/>
        </w:rPr>
      </w:pPr>
    </w:p>
    <w:p w:rsidR="00DD3E1E" w:rsidRPr="007327FE" w:rsidRDefault="00A42B42" w:rsidP="00A42B42">
      <w:pPr>
        <w:rPr>
          <w:noProof/>
          <w:lang w:val="en-GB" w:eastAsia="cs-CZ"/>
        </w:rPr>
      </w:pPr>
      <w:r w:rsidRPr="007327FE">
        <w:rPr>
          <w:lang w:val="en-GB" w:eastAsia="cs-CZ"/>
        </w:rPr>
        <w:t>Expressed in real terms,</w:t>
      </w:r>
      <w:r w:rsidR="0059015D" w:rsidRPr="007327FE">
        <w:rPr>
          <w:lang w:val="en-GB" w:eastAsia="cs-CZ"/>
        </w:rPr>
        <w:t xml:space="preserve"> however, we still have to speak about a decrease of wages. It is because the average wage</w:t>
      </w:r>
      <w:r w:rsidR="00807070" w:rsidRPr="007327FE">
        <w:rPr>
          <w:lang w:val="en-GB" w:eastAsia="cs-CZ"/>
        </w:rPr>
        <w:t>,</w:t>
      </w:r>
      <w:r w:rsidR="0059015D" w:rsidRPr="007327FE">
        <w:rPr>
          <w:lang w:val="en-GB" w:eastAsia="cs-CZ"/>
        </w:rPr>
        <w:t xml:space="preserve"> after</w:t>
      </w:r>
      <w:r w:rsidR="00807070" w:rsidRPr="007327FE">
        <w:rPr>
          <w:lang w:val="en-GB" w:eastAsia="cs-CZ"/>
        </w:rPr>
        <w:t xml:space="preserve"> having been</w:t>
      </w:r>
      <w:r w:rsidR="0059015D" w:rsidRPr="007327FE">
        <w:rPr>
          <w:lang w:val="en-GB" w:eastAsia="cs-CZ"/>
        </w:rPr>
        <w:t xml:space="preserve"> adjust</w:t>
      </w:r>
      <w:r w:rsidR="00807070" w:rsidRPr="007327FE">
        <w:rPr>
          <w:lang w:val="en-GB" w:eastAsia="cs-CZ"/>
        </w:rPr>
        <w:t>ed</w:t>
      </w:r>
      <w:r w:rsidR="0059015D" w:rsidRPr="007327FE">
        <w:rPr>
          <w:lang w:val="en-GB" w:eastAsia="cs-CZ"/>
        </w:rPr>
        <w:t xml:space="preserve"> by the influence of inflation</w:t>
      </w:r>
      <w:r w:rsidR="00807070" w:rsidRPr="007327FE">
        <w:rPr>
          <w:lang w:val="en-GB" w:eastAsia="cs-CZ"/>
        </w:rPr>
        <w:t>, decreased by 6.7%, which was already the fifth successive decrease.</w:t>
      </w:r>
      <w:r w:rsidR="00CA5843" w:rsidRPr="007327FE">
        <w:rPr>
          <w:lang w:val="en-GB" w:eastAsia="cs-CZ"/>
        </w:rPr>
        <w:t xml:space="preserve"> </w:t>
      </w:r>
      <w:r w:rsidRPr="007327FE">
        <w:rPr>
          <w:noProof/>
          <w:lang w:val="en-GB" w:eastAsia="cs-CZ"/>
        </w:rPr>
        <w:t>The real wage growth depends o</w:t>
      </w:r>
      <w:r w:rsidR="008A5645" w:rsidRPr="007327FE">
        <w:rPr>
          <w:noProof/>
          <w:lang w:val="en-GB" w:eastAsia="cs-CZ"/>
        </w:rPr>
        <w:t xml:space="preserve">n the growth of consumer prices, which reached 15.7%, year-on-year, in the Q4 2022. </w:t>
      </w:r>
      <w:r w:rsidR="00772D93" w:rsidRPr="007327FE">
        <w:rPr>
          <w:noProof/>
          <w:lang w:val="en-GB" w:eastAsia="cs-CZ"/>
        </w:rPr>
        <w:t>For the sake of completeness, let</w:t>
      </w:r>
      <w:r w:rsidR="00772D93" w:rsidRPr="007327FE">
        <w:rPr>
          <w:rFonts w:cs="Arial"/>
          <w:szCs w:val="20"/>
          <w:lang w:val="en-GB"/>
        </w:rPr>
        <w:t>'</w:t>
      </w:r>
      <w:r w:rsidR="00772D93" w:rsidRPr="007327FE">
        <w:rPr>
          <w:noProof/>
          <w:lang w:val="en-GB" w:eastAsia="cs-CZ"/>
        </w:rPr>
        <w:t xml:space="preserve">s mention that in the Q1 2022, the average wage decreased in real terms by 3.5%, in </w:t>
      </w:r>
      <w:r w:rsidR="00D40B07">
        <w:rPr>
          <w:noProof/>
          <w:lang w:val="en-GB" w:eastAsia="cs-CZ"/>
        </w:rPr>
        <w:t>the Q2 by 9.8%, and in the Q3 b</w:t>
      </w:r>
      <w:r w:rsidR="00772D93" w:rsidRPr="007327FE">
        <w:rPr>
          <w:noProof/>
          <w:lang w:val="en-GB" w:eastAsia="cs-CZ"/>
        </w:rPr>
        <w:t xml:space="preserve">y 9.7%. </w:t>
      </w:r>
      <w:r w:rsidR="00DD3E1E" w:rsidRPr="007327FE">
        <w:rPr>
          <w:noProof/>
          <w:lang w:val="en-GB" w:eastAsia="cs-CZ"/>
        </w:rPr>
        <w:t xml:space="preserve">The year-on-year price increase was the highest namely in the Q3 2022 (17.6%). </w:t>
      </w:r>
    </w:p>
    <w:p w:rsidR="00BB32F3" w:rsidRPr="007327FE" w:rsidRDefault="00BB32F3" w:rsidP="00817219"/>
    <w:p w:rsidR="00772D93" w:rsidRPr="007327FE" w:rsidRDefault="00BB32F3" w:rsidP="00817219">
      <w:pPr>
        <w:rPr>
          <w:szCs w:val="20"/>
          <w:lang w:val="en-GB" w:eastAsia="cs-CZ"/>
        </w:rPr>
      </w:pPr>
      <w:r w:rsidRPr="007327FE">
        <w:rPr>
          <w:lang w:val="en-GB"/>
        </w:rPr>
        <w:t>The wage development was also extraordinarily differentiated by CZ-NACE section, even when compared to the previous quarter.</w:t>
      </w:r>
      <w:r w:rsidR="00772D93" w:rsidRPr="007327FE">
        <w:rPr>
          <w:lang w:val="en-GB"/>
        </w:rPr>
        <w:t xml:space="preserve"> </w:t>
      </w:r>
      <w:r w:rsidRPr="007327FE">
        <w:rPr>
          <w:lang w:val="en-GB"/>
        </w:rPr>
        <w:t xml:space="preserve">In </w:t>
      </w:r>
      <w:r w:rsidR="00772D93" w:rsidRPr="007327FE">
        <w:rPr>
          <w:lang w:val="en-GB"/>
        </w:rPr>
        <w:t>one CZ-NACE section</w:t>
      </w:r>
      <w:r w:rsidRPr="007327FE">
        <w:rPr>
          <w:lang w:val="en-GB"/>
        </w:rPr>
        <w:t xml:space="preserve">, </w:t>
      </w:r>
      <w:r w:rsidR="00772D93" w:rsidRPr="007327FE">
        <w:rPr>
          <w:lang w:val="en-GB"/>
        </w:rPr>
        <w:t>there was even</w:t>
      </w:r>
      <w:r w:rsidRPr="007327FE">
        <w:rPr>
          <w:lang w:val="en-GB"/>
        </w:rPr>
        <w:t xml:space="preserve"> a nominal decrease</w:t>
      </w:r>
      <w:r w:rsidR="00772D93" w:rsidRPr="007327FE">
        <w:rPr>
          <w:lang w:val="en-GB"/>
        </w:rPr>
        <w:t xml:space="preserve"> – it was in </w:t>
      </w:r>
      <w:r w:rsidR="00772D93" w:rsidRPr="007327FE">
        <w:rPr>
          <w:szCs w:val="20"/>
          <w:lang w:val="en-GB" w:eastAsia="cs-CZ"/>
        </w:rPr>
        <w:t xml:space="preserve">‘education’ in which wages decreased by 0.3% or CZK 147 to CZK 49 021. In other CZ-NACE sections, there was an increase ranging from 4.5% up to 14.6%. </w:t>
      </w:r>
    </w:p>
    <w:p w:rsidR="00772D93" w:rsidRPr="007327FE" w:rsidRDefault="00772D93" w:rsidP="00817219"/>
    <w:p w:rsidR="00212D7C" w:rsidRPr="007327FE" w:rsidRDefault="00BB32F3" w:rsidP="00817219">
      <w:pPr>
        <w:rPr>
          <w:szCs w:val="20"/>
          <w:lang w:val="en-GB" w:eastAsia="cs-CZ"/>
        </w:rPr>
      </w:pPr>
      <w:r w:rsidRPr="007327FE">
        <w:rPr>
          <w:lang w:val="en-GB"/>
        </w:rPr>
        <w:t xml:space="preserve">The </w:t>
      </w:r>
      <w:r w:rsidR="00B15FEA" w:rsidRPr="007327FE">
        <w:rPr>
          <w:lang w:val="en-GB"/>
        </w:rPr>
        <w:t xml:space="preserve">weakest nominal growth (following the </w:t>
      </w:r>
      <w:r w:rsidR="00B15FEA" w:rsidRPr="007327FE">
        <w:rPr>
          <w:szCs w:val="20"/>
          <w:lang w:val="en-GB" w:eastAsia="cs-CZ"/>
        </w:rPr>
        <w:t xml:space="preserve">‘education’) can be found in </w:t>
      </w:r>
      <w:r w:rsidRPr="007327FE">
        <w:rPr>
          <w:szCs w:val="20"/>
          <w:lang w:val="en-GB" w:eastAsia="cs-CZ"/>
        </w:rPr>
        <w:t>‘human health and social work activities’</w:t>
      </w:r>
      <w:r w:rsidR="00B15FEA" w:rsidRPr="007327FE">
        <w:rPr>
          <w:szCs w:val="20"/>
          <w:lang w:val="en-GB" w:eastAsia="cs-CZ"/>
        </w:rPr>
        <w:t xml:space="preserve">, in which the average wage increased by 4.5% to CZK 48 074. Without those two economic activities, in which the state is highly dominating, </w:t>
      </w:r>
      <w:r w:rsidR="00396878" w:rsidRPr="007327FE">
        <w:rPr>
          <w:szCs w:val="20"/>
          <w:lang w:val="en-GB" w:eastAsia="cs-CZ"/>
        </w:rPr>
        <w:t>that together</w:t>
      </w:r>
      <w:r w:rsidR="00B15FEA" w:rsidRPr="007327FE">
        <w:rPr>
          <w:szCs w:val="20"/>
          <w:lang w:val="en-GB" w:eastAsia="cs-CZ"/>
        </w:rPr>
        <w:t xml:space="preserve"> </w:t>
      </w:r>
      <w:r w:rsidR="00396878" w:rsidRPr="007327FE">
        <w:rPr>
          <w:szCs w:val="20"/>
          <w:lang w:val="en-GB" w:eastAsia="cs-CZ"/>
        </w:rPr>
        <w:t>employ</w:t>
      </w:r>
      <w:r w:rsidRPr="007327FE">
        <w:rPr>
          <w:szCs w:val="20"/>
          <w:lang w:val="en-GB" w:eastAsia="cs-CZ"/>
        </w:rPr>
        <w:t xml:space="preserve"> </w:t>
      </w:r>
      <w:r w:rsidR="00396878" w:rsidRPr="007327FE">
        <w:rPr>
          <w:szCs w:val="20"/>
          <w:lang w:val="en-GB" w:eastAsia="cs-CZ"/>
        </w:rPr>
        <w:t>16.5% of all employees and that acted as a break, wages would increase with about nine percent growth rate, year-on-year.</w:t>
      </w:r>
      <w:r w:rsidR="003D609C" w:rsidRPr="007327FE">
        <w:rPr>
          <w:szCs w:val="20"/>
          <w:lang w:val="en-GB" w:eastAsia="cs-CZ"/>
        </w:rPr>
        <w:t xml:space="preserve"> </w:t>
      </w:r>
      <w:r w:rsidR="00212D7C" w:rsidRPr="007327FE">
        <w:rPr>
          <w:szCs w:val="20"/>
          <w:lang w:val="en-GB" w:eastAsia="cs-CZ"/>
        </w:rPr>
        <w:t>‘Water supply; sewerage, waste management and remediation acti</w:t>
      </w:r>
      <w:r w:rsidR="00610AB1">
        <w:rPr>
          <w:szCs w:val="20"/>
          <w:lang w:val="en-GB" w:eastAsia="cs-CZ"/>
        </w:rPr>
        <w:t>vities’ had less than eight per</w:t>
      </w:r>
      <w:r w:rsidR="00212D7C" w:rsidRPr="007327FE">
        <w:rPr>
          <w:szCs w:val="20"/>
          <w:lang w:val="en-GB" w:eastAsia="cs-CZ"/>
        </w:rPr>
        <w:t xml:space="preserve">cent increase (7.4%); in all the remaining ones there was a higher increase. </w:t>
      </w:r>
    </w:p>
    <w:p w:rsidR="0014269F" w:rsidRPr="007327FE" w:rsidRDefault="0014269F" w:rsidP="00817219"/>
    <w:p w:rsidR="0014269F" w:rsidRPr="007327FE" w:rsidRDefault="0014269F" w:rsidP="00817219">
      <w:pPr>
        <w:rPr>
          <w:lang w:val="en-GB"/>
        </w:rPr>
      </w:pPr>
      <w:r w:rsidRPr="007327FE">
        <w:rPr>
          <w:lang w:val="en-GB"/>
        </w:rPr>
        <w:t xml:space="preserve">Conversely, </w:t>
      </w:r>
      <w:r w:rsidR="00E14396" w:rsidRPr="007327FE">
        <w:rPr>
          <w:lang w:val="en-GB"/>
        </w:rPr>
        <w:t xml:space="preserve">the wage </w:t>
      </w:r>
      <w:r w:rsidR="00E14396" w:rsidRPr="009D525B">
        <w:rPr>
          <w:lang w:val="en-GB"/>
        </w:rPr>
        <w:t>increase was driven up</w:t>
      </w:r>
      <w:r w:rsidR="00E14396" w:rsidRPr="007327FE">
        <w:rPr>
          <w:lang w:val="en-GB"/>
        </w:rPr>
        <w:t xml:space="preserve"> the most by </w:t>
      </w:r>
      <w:r w:rsidR="00E14396" w:rsidRPr="007327FE">
        <w:rPr>
          <w:szCs w:val="20"/>
          <w:lang w:val="en-GB" w:eastAsia="cs-CZ"/>
        </w:rPr>
        <w:t xml:space="preserve">‘electricity, gas, steam and air conditioning supply’ (14.6%, i.e. by CZK 8 282), in which the average wage got to the level of CZK 65 034. Thus it was the third highest among the CZ-NACE sections. </w:t>
      </w:r>
    </w:p>
    <w:p w:rsidR="00FE6952" w:rsidRPr="007327FE" w:rsidRDefault="00FE6952" w:rsidP="00817219"/>
    <w:p w:rsidR="00DE6F41" w:rsidRPr="007327FE" w:rsidRDefault="00FE6952" w:rsidP="00817219">
      <w:pPr>
        <w:rPr>
          <w:lang w:val="en-GB"/>
        </w:rPr>
      </w:pPr>
      <w:r w:rsidRPr="007327FE">
        <w:rPr>
          <w:lang w:val="en-GB" w:eastAsia="cs-CZ"/>
        </w:rPr>
        <w:t>‘Information and communication</w:t>
      </w:r>
      <w:r w:rsidRPr="007327FE">
        <w:rPr>
          <w:szCs w:val="20"/>
          <w:lang w:val="en-GB" w:eastAsia="cs-CZ"/>
        </w:rPr>
        <w:t xml:space="preserve">’ remained the first; </w:t>
      </w:r>
      <w:r w:rsidRPr="007327FE">
        <w:rPr>
          <w:lang w:val="en-GB"/>
        </w:rPr>
        <w:t xml:space="preserve">the </w:t>
      </w:r>
      <w:r w:rsidRPr="007327FE">
        <w:rPr>
          <w:szCs w:val="20"/>
          <w:lang w:val="en-GB" w:eastAsia="cs-CZ"/>
        </w:rPr>
        <w:t>averag</w:t>
      </w:r>
      <w:r w:rsidR="009D525B">
        <w:rPr>
          <w:szCs w:val="20"/>
          <w:lang w:val="en-GB" w:eastAsia="cs-CZ"/>
        </w:rPr>
        <w:t>e wage increased there by 9.1%</w:t>
      </w:r>
      <w:r w:rsidRPr="007327FE">
        <w:rPr>
          <w:szCs w:val="20"/>
          <w:lang w:val="en-GB" w:eastAsia="cs-CZ"/>
        </w:rPr>
        <w:t xml:space="preserve"> to CZK </w:t>
      </w:r>
      <w:r w:rsidRPr="007327FE">
        <w:rPr>
          <w:lang w:val="en-GB"/>
        </w:rPr>
        <w:t>73</w:t>
      </w:r>
      <w:r w:rsidR="00DE6F41" w:rsidRPr="007327FE">
        <w:rPr>
          <w:lang w:val="en-GB"/>
        </w:rPr>
        <w:t> </w:t>
      </w:r>
      <w:r w:rsidRPr="007327FE">
        <w:rPr>
          <w:lang w:val="en-GB"/>
        </w:rPr>
        <w:t>053</w:t>
      </w:r>
      <w:r w:rsidR="00DE6F41" w:rsidRPr="007327FE">
        <w:rPr>
          <w:lang w:val="en-GB"/>
        </w:rPr>
        <w:t xml:space="preserve">. </w:t>
      </w:r>
      <w:r w:rsidR="000C2CD2" w:rsidRPr="007327FE">
        <w:rPr>
          <w:lang w:val="en-GB"/>
        </w:rPr>
        <w:t>The second highest average wage can be found in</w:t>
      </w:r>
      <w:r w:rsidR="00ED2CF8" w:rsidRPr="007327FE">
        <w:rPr>
          <w:lang w:val="en-GB"/>
        </w:rPr>
        <w:t xml:space="preserve"> ‘financial and insurance activities’, in which the average wage increased by 10.3% to CZK 66 400.</w:t>
      </w:r>
      <w:r w:rsidR="000C2CD2" w:rsidRPr="007327FE">
        <w:rPr>
          <w:lang w:val="en-GB"/>
        </w:rPr>
        <w:t xml:space="preserve"> </w:t>
      </w:r>
      <w:r w:rsidRPr="007327FE">
        <w:rPr>
          <w:lang w:val="en-GB"/>
        </w:rPr>
        <w:t xml:space="preserve"> </w:t>
      </w:r>
    </w:p>
    <w:p w:rsidR="004B425B" w:rsidRPr="007327FE" w:rsidRDefault="004B425B" w:rsidP="00817219">
      <w:pPr>
        <w:rPr>
          <w:smallCaps/>
        </w:rPr>
      </w:pPr>
    </w:p>
    <w:p w:rsidR="00B4642F" w:rsidRPr="007327FE" w:rsidRDefault="004B425B" w:rsidP="004B425B">
      <w:pPr>
        <w:rPr>
          <w:lang w:val="en-GB"/>
        </w:rPr>
      </w:pPr>
      <w:r w:rsidRPr="007327FE">
        <w:rPr>
          <w:lang w:val="en-GB"/>
        </w:rPr>
        <w:t>Dismissals of workers with low wages is probably</w:t>
      </w:r>
      <w:r w:rsidR="009D525B">
        <w:rPr>
          <w:lang w:val="en-GB"/>
        </w:rPr>
        <w:t xml:space="preserve"> the reason</w:t>
      </w:r>
      <w:r w:rsidRPr="007327FE">
        <w:rPr>
          <w:lang w:val="en-GB"/>
        </w:rPr>
        <w:t xml:space="preserve"> why the average increased by 11.6% in </w:t>
      </w:r>
      <w:r w:rsidRPr="007327FE">
        <w:rPr>
          <w:szCs w:val="20"/>
          <w:lang w:val="en-GB" w:eastAsia="cs-CZ"/>
        </w:rPr>
        <w:t>‘</w:t>
      </w:r>
      <w:r w:rsidRPr="007327FE">
        <w:rPr>
          <w:lang w:val="en-GB"/>
        </w:rPr>
        <w:t xml:space="preserve">other service activities’. </w:t>
      </w:r>
      <w:r w:rsidR="00B4642F" w:rsidRPr="007327FE">
        <w:rPr>
          <w:lang w:val="en-GB"/>
        </w:rPr>
        <w:t xml:space="preserve">In </w:t>
      </w:r>
      <w:r w:rsidRPr="007327FE">
        <w:rPr>
          <w:lang w:val="en-GB"/>
        </w:rPr>
        <w:t>‘</w:t>
      </w:r>
      <w:r w:rsidR="00B4642F" w:rsidRPr="007327FE">
        <w:rPr>
          <w:lang w:val="en-GB"/>
        </w:rPr>
        <w:t>m</w:t>
      </w:r>
      <w:r w:rsidRPr="007327FE">
        <w:rPr>
          <w:lang w:val="en-GB"/>
        </w:rPr>
        <w:t>ining and quarrying’</w:t>
      </w:r>
      <w:r w:rsidR="00B4642F" w:rsidRPr="007327FE">
        <w:rPr>
          <w:lang w:val="en-GB"/>
        </w:rPr>
        <w:t xml:space="preserve">, the average wage increased by 10.1% to CZK 48 822. In </w:t>
      </w:r>
      <w:r w:rsidR="00B4642F" w:rsidRPr="007327FE">
        <w:rPr>
          <w:lang w:val="en-GB" w:eastAsia="cs-CZ"/>
        </w:rPr>
        <w:t>‘administrative and support service activities</w:t>
      </w:r>
      <w:r w:rsidR="001A5171">
        <w:rPr>
          <w:lang w:val="en-GB" w:eastAsia="cs-CZ"/>
        </w:rPr>
        <w:t>,</w:t>
      </w:r>
      <w:r w:rsidR="00B4642F" w:rsidRPr="007327FE">
        <w:rPr>
          <w:szCs w:val="20"/>
          <w:lang w:val="en-GB" w:eastAsia="cs-CZ"/>
        </w:rPr>
        <w:t xml:space="preserve">’ wages increased with a ten percent growth rate; the wage level thus reached CZK 29 779 and thus it was the second lowest. The absolutely lowest average wage continued to be among employees in </w:t>
      </w:r>
      <w:r w:rsidR="001D4B05" w:rsidRPr="007327FE">
        <w:rPr>
          <w:lang w:val="en-GB"/>
        </w:rPr>
        <w:t>‘</w:t>
      </w:r>
      <w:r w:rsidR="001D4B05" w:rsidRPr="007327FE">
        <w:rPr>
          <w:szCs w:val="20"/>
          <w:lang w:val="en-GB" w:eastAsia="cs-CZ"/>
        </w:rPr>
        <w:t>accommodation and food service activities</w:t>
      </w:r>
      <w:r w:rsidR="001D4B05" w:rsidRPr="007327FE">
        <w:rPr>
          <w:lang w:val="en-GB"/>
        </w:rPr>
        <w:t>’</w:t>
      </w:r>
      <w:r w:rsidR="001D4B05" w:rsidRPr="007327FE">
        <w:rPr>
          <w:szCs w:val="20"/>
          <w:lang w:val="en-GB" w:eastAsia="cs-CZ"/>
        </w:rPr>
        <w:t xml:space="preserve"> (CZK 24 686), while it increased by 8.8%, year-on-year. </w:t>
      </w:r>
    </w:p>
    <w:p w:rsidR="00172AA6" w:rsidRPr="007327FE" w:rsidRDefault="00172AA6" w:rsidP="00817219"/>
    <w:p w:rsidR="00172AA6" w:rsidRPr="007327FE" w:rsidRDefault="00172AA6" w:rsidP="00817219">
      <w:pPr>
        <w:rPr>
          <w:lang w:val="en-GB"/>
        </w:rPr>
      </w:pPr>
      <w:r w:rsidRPr="007327FE">
        <w:rPr>
          <w:lang w:val="en-GB"/>
        </w:rPr>
        <w:t xml:space="preserve">In the remaining sections, the nominal growth of wages ranged from 8.1% in </w:t>
      </w:r>
      <w:r w:rsidR="00237E7C" w:rsidRPr="007327FE">
        <w:rPr>
          <w:lang w:val="en-GB"/>
        </w:rPr>
        <w:t xml:space="preserve">‘public administration and defence; compulsory social security’ </w:t>
      </w:r>
      <w:r w:rsidRPr="007327FE">
        <w:rPr>
          <w:lang w:val="en-GB"/>
        </w:rPr>
        <w:t xml:space="preserve">to 9.8% in </w:t>
      </w:r>
      <w:r w:rsidR="00237E7C" w:rsidRPr="007327FE">
        <w:rPr>
          <w:lang w:val="en-GB"/>
        </w:rPr>
        <w:t>‘agriculture, forestry and fishing</w:t>
      </w:r>
      <w:r w:rsidR="00237E7C" w:rsidRPr="007327FE">
        <w:rPr>
          <w:szCs w:val="20"/>
          <w:lang w:val="en-GB" w:eastAsia="cs-CZ"/>
        </w:rPr>
        <w:t>’.</w:t>
      </w:r>
    </w:p>
    <w:p w:rsidR="00E11D8A" w:rsidRPr="007327FE" w:rsidRDefault="00E11D8A" w:rsidP="00817219"/>
    <w:p w:rsidR="00553D0F" w:rsidRPr="007327FE" w:rsidRDefault="00E11D8A" w:rsidP="00E11D8A">
      <w:pPr>
        <w:rPr>
          <w:lang w:val="en-GB"/>
        </w:rPr>
      </w:pPr>
      <w:r w:rsidRPr="007327FE">
        <w:rPr>
          <w:lang w:val="en-GB"/>
        </w:rPr>
        <w:t>In ‘manufacturing</w:t>
      </w:r>
      <w:r w:rsidRPr="007327FE">
        <w:rPr>
          <w:szCs w:val="20"/>
          <w:lang w:val="en-GB" w:eastAsia="cs-CZ"/>
        </w:rPr>
        <w:t xml:space="preserve">’, which is the largest section of the CZ-NACE, wages increased by 9.3% to CZK 41 549. A slightly weaker growth (9.0%) can be found in </w:t>
      </w:r>
      <w:r w:rsidRPr="007327FE">
        <w:rPr>
          <w:lang w:val="en-GB"/>
        </w:rPr>
        <w:t>‘construction</w:t>
      </w:r>
      <w:r w:rsidRPr="007327FE">
        <w:rPr>
          <w:szCs w:val="20"/>
          <w:lang w:val="en-GB" w:eastAsia="cs-CZ"/>
        </w:rPr>
        <w:t xml:space="preserve">’, in which </w:t>
      </w:r>
      <w:r w:rsidRPr="007327FE">
        <w:rPr>
          <w:lang w:val="en-GB"/>
        </w:rPr>
        <w:t>wages increased to CZK </w:t>
      </w:r>
      <w:r w:rsidRPr="007327FE">
        <w:t xml:space="preserve">37 223. </w:t>
      </w:r>
      <w:r w:rsidR="00234FB9" w:rsidRPr="007327FE">
        <w:t>In ‘</w:t>
      </w:r>
      <w:r w:rsidR="00234FB9" w:rsidRPr="007327FE">
        <w:rPr>
          <w:lang w:val="en-GB"/>
        </w:rPr>
        <w:t>transportation and storage</w:t>
      </w:r>
      <w:r w:rsidR="00234FB9" w:rsidRPr="007327FE">
        <w:rPr>
          <w:szCs w:val="20"/>
          <w:lang w:val="en-GB" w:eastAsia="cs-CZ"/>
        </w:rPr>
        <w:t>’, the wage increase was by 9.7% to CZK 38 706.</w:t>
      </w:r>
      <w:r w:rsidR="00553D0F" w:rsidRPr="007327FE">
        <w:rPr>
          <w:szCs w:val="20"/>
          <w:lang w:val="en-GB" w:eastAsia="cs-CZ"/>
        </w:rPr>
        <w:t xml:space="preserve"> In</w:t>
      </w:r>
      <w:r w:rsidR="00234FB9" w:rsidRPr="007327FE">
        <w:rPr>
          <w:szCs w:val="20"/>
          <w:lang w:val="en-GB" w:eastAsia="cs-CZ"/>
        </w:rPr>
        <w:t xml:space="preserve"> </w:t>
      </w:r>
      <w:r w:rsidR="00553D0F" w:rsidRPr="007327FE">
        <w:rPr>
          <w:lang w:val="en-GB"/>
        </w:rPr>
        <w:t>‘wholesale and retail trade; repair of motor vehicles and motorcycles’</w:t>
      </w:r>
      <w:r w:rsidR="00AA2B4D" w:rsidRPr="007327FE">
        <w:rPr>
          <w:lang w:val="en-GB"/>
        </w:rPr>
        <w:t xml:space="preserve">, </w:t>
      </w:r>
      <w:r w:rsidR="00D860AE" w:rsidRPr="007327FE">
        <w:rPr>
          <w:lang w:val="en-GB"/>
        </w:rPr>
        <w:t xml:space="preserve">as the second most important section as for the number of employees, wages increased by 8.5% to CZK 39 574.  </w:t>
      </w:r>
    </w:p>
    <w:p w:rsidR="0063192B" w:rsidRPr="007327FE" w:rsidRDefault="0063192B" w:rsidP="00817219">
      <w:pPr>
        <w:rPr>
          <w:noProof/>
          <w:lang w:eastAsia="cs-CZ"/>
        </w:rPr>
      </w:pPr>
    </w:p>
    <w:p w:rsidR="00674BE7" w:rsidRPr="007327FE" w:rsidRDefault="008B48FA" w:rsidP="00817219">
      <w:pPr>
        <w:rPr>
          <w:noProof/>
          <w:lang w:eastAsia="cs-CZ"/>
        </w:rPr>
      </w:pPr>
      <w:r w:rsidRPr="007327FE">
        <w:rPr>
          <w:noProof/>
          <w:lang w:eastAsia="cs-CZ"/>
        </w:rPr>
        <w:t>As for</w:t>
      </w:r>
      <w:r w:rsidR="0063192B" w:rsidRPr="007327FE">
        <w:rPr>
          <w:noProof/>
          <w:lang w:eastAsia="cs-CZ"/>
        </w:rPr>
        <w:t xml:space="preserve"> statistics </w:t>
      </w:r>
      <w:r w:rsidR="0063192B" w:rsidRPr="00ED2BDE">
        <w:rPr>
          <w:noProof/>
          <w:lang w:eastAsia="cs-CZ"/>
        </w:rPr>
        <w:t>of</w:t>
      </w:r>
      <w:r w:rsidR="004833FC" w:rsidRPr="00ED2BDE">
        <w:rPr>
          <w:noProof/>
          <w:lang w:eastAsia="cs-CZ"/>
        </w:rPr>
        <w:t xml:space="preserve"> working hours</w:t>
      </w:r>
      <w:r w:rsidR="0063192B" w:rsidRPr="00ED2BDE">
        <w:rPr>
          <w:noProof/>
          <w:lang w:eastAsia="cs-CZ"/>
        </w:rPr>
        <w:t xml:space="preserve"> </w:t>
      </w:r>
      <w:r w:rsidR="004833FC" w:rsidRPr="00ED2BDE">
        <w:rPr>
          <w:noProof/>
          <w:lang w:eastAsia="cs-CZ"/>
        </w:rPr>
        <w:t>(</w:t>
      </w:r>
      <w:r w:rsidR="0063192B" w:rsidRPr="00ED2BDE">
        <w:rPr>
          <w:noProof/>
          <w:lang w:eastAsia="cs-CZ"/>
        </w:rPr>
        <w:t>hours worked</w:t>
      </w:r>
      <w:r w:rsidR="004833FC" w:rsidRPr="00ED2BDE">
        <w:rPr>
          <w:noProof/>
          <w:lang w:eastAsia="cs-CZ"/>
        </w:rPr>
        <w:t>)</w:t>
      </w:r>
      <w:r w:rsidR="0063192B" w:rsidRPr="00ED2BDE">
        <w:rPr>
          <w:noProof/>
          <w:lang w:eastAsia="cs-CZ"/>
        </w:rPr>
        <w:t>, th</w:t>
      </w:r>
      <w:r w:rsidR="0063192B" w:rsidRPr="007327FE">
        <w:rPr>
          <w:noProof/>
          <w:lang w:eastAsia="cs-CZ"/>
        </w:rPr>
        <w:t xml:space="preserve">ere was a lower number of non-worked </w:t>
      </w:r>
      <w:r w:rsidR="00457B76" w:rsidRPr="007327FE">
        <w:rPr>
          <w:noProof/>
          <w:lang w:eastAsia="cs-CZ"/>
        </w:rPr>
        <w:t xml:space="preserve">hours </w:t>
      </w:r>
      <w:r w:rsidR="0063192B" w:rsidRPr="007327FE">
        <w:rPr>
          <w:noProof/>
          <w:lang w:eastAsia="cs-CZ"/>
        </w:rPr>
        <w:t>in the Q4 2022 compared to the corresponding period of the previous year.</w:t>
      </w:r>
      <w:r w:rsidR="00754962" w:rsidRPr="007327FE">
        <w:rPr>
          <w:noProof/>
          <w:lang w:eastAsia="cs-CZ"/>
        </w:rPr>
        <w:t xml:space="preserve"> </w:t>
      </w:r>
      <w:r w:rsidR="00674BE7" w:rsidRPr="007327FE">
        <w:rPr>
          <w:noProof/>
          <w:lang w:eastAsia="cs-CZ"/>
        </w:rPr>
        <w:t xml:space="preserve">In the Q4 2022, bonuses usually make a significant part of earnings. </w:t>
      </w:r>
    </w:p>
    <w:p w:rsidR="007121A8" w:rsidRPr="007327FE" w:rsidRDefault="007121A8" w:rsidP="00817219"/>
    <w:p w:rsidR="008B48FA" w:rsidRPr="007327FE" w:rsidRDefault="008B48FA" w:rsidP="00817219">
      <w:pPr>
        <w:rPr>
          <w:lang w:val="en-GB"/>
        </w:rPr>
      </w:pPr>
      <w:r w:rsidRPr="007327FE">
        <w:rPr>
          <w:lang w:val="en-GB"/>
        </w:rPr>
        <w:t>In te</w:t>
      </w:r>
      <w:r w:rsidR="00ED2BDE">
        <w:rPr>
          <w:lang w:val="en-GB"/>
        </w:rPr>
        <w:t xml:space="preserve">rms of real wages, all the </w:t>
      </w:r>
      <w:r w:rsidRPr="007327FE">
        <w:rPr>
          <w:lang w:val="en-GB"/>
        </w:rPr>
        <w:t xml:space="preserve">mentioned increases were lower than the inflation and therefore they were decreases. It can thus be assumed that, except for smaller exceptions, the purchase power of earnings of all Czech employees decreased, year-on-year.  </w:t>
      </w:r>
    </w:p>
    <w:p w:rsidR="00244EA3" w:rsidRPr="00ED2BDE" w:rsidRDefault="00244EA3" w:rsidP="00A61D11">
      <w:pPr>
        <w:rPr>
          <w:szCs w:val="20"/>
          <w:lang w:val="en-GB" w:eastAsia="cs-CZ"/>
        </w:rPr>
      </w:pPr>
    </w:p>
    <w:p w:rsidR="00A67988" w:rsidRPr="007327FE" w:rsidRDefault="00691C8F" w:rsidP="00A67988">
      <w:pPr>
        <w:rPr>
          <w:b/>
          <w:lang w:val="en-GB"/>
        </w:rPr>
      </w:pPr>
      <w:r w:rsidRPr="007327FE">
        <w:rPr>
          <w:b/>
          <w:lang w:val="en-GB"/>
        </w:rPr>
        <w:t>D</w:t>
      </w:r>
      <w:r w:rsidR="00A67988" w:rsidRPr="007327FE">
        <w:rPr>
          <w:b/>
          <w:lang w:val="en-GB"/>
        </w:rPr>
        <w:t>evelopment</w:t>
      </w:r>
      <w:r w:rsidRPr="007327FE">
        <w:rPr>
          <w:b/>
          <w:lang w:val="en-GB"/>
        </w:rPr>
        <w:t xml:space="preserve"> in Regions</w:t>
      </w:r>
    </w:p>
    <w:p w:rsidR="00B334E3" w:rsidRPr="007327FE" w:rsidRDefault="00AD185A" w:rsidP="00817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r w:rsidRPr="007327FE">
        <w:rPr>
          <w:rFonts w:cs="Arial"/>
          <w:szCs w:val="20"/>
          <w:lang w:val="en-GB"/>
        </w:rPr>
        <w:t>Regional results</w:t>
      </w:r>
      <w:r w:rsidR="00A00760" w:rsidRPr="007327FE">
        <w:rPr>
          <w:rFonts w:cs="Arial"/>
          <w:szCs w:val="20"/>
          <w:lang w:val="en-GB"/>
        </w:rPr>
        <w:t xml:space="preserve"> do not depict such </w:t>
      </w:r>
      <w:r w:rsidR="007C01AF" w:rsidRPr="007327FE">
        <w:rPr>
          <w:rFonts w:cs="Arial"/>
          <w:szCs w:val="20"/>
          <w:lang w:val="en-GB"/>
        </w:rPr>
        <w:t>considerable</w:t>
      </w:r>
      <w:r w:rsidR="00A00760" w:rsidRPr="007327FE">
        <w:rPr>
          <w:rFonts w:cs="Arial"/>
          <w:szCs w:val="20"/>
          <w:lang w:val="en-GB"/>
        </w:rPr>
        <w:t xml:space="preserve"> differences </w:t>
      </w:r>
      <w:r w:rsidR="007C01AF" w:rsidRPr="007327FE">
        <w:rPr>
          <w:rFonts w:cs="Arial"/>
          <w:szCs w:val="20"/>
          <w:lang w:val="en-GB"/>
        </w:rPr>
        <w:t>that</w:t>
      </w:r>
      <w:r w:rsidR="00E72366" w:rsidRPr="007327FE">
        <w:rPr>
          <w:rFonts w:cs="Arial"/>
          <w:szCs w:val="20"/>
          <w:lang w:val="en-GB"/>
        </w:rPr>
        <w:t xml:space="preserve"> we can see as for economic activities (industries). Nevertheless, i</w:t>
      </w:r>
      <w:r w:rsidRPr="007327FE">
        <w:rPr>
          <w:rFonts w:cs="Arial"/>
          <w:szCs w:val="20"/>
          <w:lang w:val="en-GB"/>
        </w:rPr>
        <w:t xml:space="preserve">n terms of the number of employees, there </w:t>
      </w:r>
      <w:r w:rsidR="00A00760" w:rsidRPr="007327FE">
        <w:rPr>
          <w:rFonts w:cs="Arial"/>
          <w:szCs w:val="20"/>
          <w:lang w:val="en-GB"/>
        </w:rPr>
        <w:t>were small year-on-year decreases in five</w:t>
      </w:r>
      <w:r w:rsidRPr="007327FE">
        <w:rPr>
          <w:rFonts w:cs="Arial"/>
          <w:szCs w:val="20"/>
          <w:lang w:val="en-GB"/>
        </w:rPr>
        <w:t xml:space="preserve"> Regions</w:t>
      </w:r>
      <w:r w:rsidR="008126AF" w:rsidRPr="007327FE">
        <w:rPr>
          <w:rFonts w:cs="Arial"/>
          <w:szCs w:val="20"/>
          <w:lang w:val="en-GB"/>
        </w:rPr>
        <w:t xml:space="preserve"> in the Q4 </w:t>
      </w:r>
      <w:r w:rsidRPr="007327FE">
        <w:rPr>
          <w:rFonts w:cs="Arial"/>
          <w:szCs w:val="20"/>
          <w:lang w:val="en-GB"/>
        </w:rPr>
        <w:t>2022 as follows:</w:t>
      </w:r>
      <w:r w:rsidR="008126AF" w:rsidRPr="007327FE">
        <w:rPr>
          <w:rFonts w:cs="Arial"/>
          <w:szCs w:val="20"/>
          <w:lang w:val="en-GB"/>
        </w:rPr>
        <w:t xml:space="preserve"> by 0.7</w:t>
      </w:r>
      <w:r w:rsidRPr="007327FE">
        <w:rPr>
          <w:rFonts w:cs="Arial"/>
          <w:szCs w:val="20"/>
          <w:lang w:val="en-GB"/>
        </w:rPr>
        <w:t xml:space="preserve">% in the </w:t>
      </w:r>
      <w:r w:rsidRPr="007327FE">
        <w:rPr>
          <w:rFonts w:cs="Arial"/>
          <w:i/>
          <w:szCs w:val="20"/>
          <w:lang w:val="en-GB"/>
        </w:rPr>
        <w:t>Ústecký</w:t>
      </w:r>
      <w:r w:rsidRPr="007327FE">
        <w:rPr>
          <w:rFonts w:cs="Arial"/>
          <w:szCs w:val="20"/>
          <w:lang w:val="en-GB"/>
        </w:rPr>
        <w:t xml:space="preserve"> Region, </w:t>
      </w:r>
      <w:r w:rsidR="008126AF" w:rsidRPr="007327FE">
        <w:rPr>
          <w:rFonts w:cs="Arial"/>
          <w:szCs w:val="20"/>
          <w:lang w:val="en-GB"/>
        </w:rPr>
        <w:t xml:space="preserve">by 0.4% in the </w:t>
      </w:r>
      <w:r w:rsidR="008126AF" w:rsidRPr="007327FE">
        <w:rPr>
          <w:rFonts w:cs="Arial"/>
          <w:i/>
          <w:szCs w:val="20"/>
          <w:lang w:val="en-GB"/>
        </w:rPr>
        <w:t xml:space="preserve">Olomoucký </w:t>
      </w:r>
      <w:r w:rsidR="008126AF" w:rsidRPr="007327FE">
        <w:rPr>
          <w:rFonts w:cs="Arial"/>
          <w:szCs w:val="20"/>
          <w:lang w:val="en-GB"/>
        </w:rPr>
        <w:t xml:space="preserve">Region and in the </w:t>
      </w:r>
      <w:r w:rsidR="008126AF" w:rsidRPr="007327FE">
        <w:rPr>
          <w:rFonts w:cs="Arial"/>
          <w:i/>
          <w:szCs w:val="20"/>
          <w:lang w:val="en-GB"/>
        </w:rPr>
        <w:t xml:space="preserve">Zlínský </w:t>
      </w:r>
      <w:r w:rsidR="008126AF" w:rsidRPr="007327FE">
        <w:rPr>
          <w:rFonts w:cs="Arial"/>
          <w:szCs w:val="20"/>
          <w:lang w:val="en-GB"/>
        </w:rPr>
        <w:t xml:space="preserve">Region, by 0.2% </w:t>
      </w:r>
      <w:r w:rsidRPr="007327FE">
        <w:rPr>
          <w:rFonts w:cs="Arial"/>
          <w:szCs w:val="20"/>
          <w:lang w:val="en-GB"/>
        </w:rPr>
        <w:t xml:space="preserve">in the </w:t>
      </w:r>
      <w:r w:rsidRPr="007327FE">
        <w:rPr>
          <w:rFonts w:cs="Arial"/>
          <w:i/>
          <w:szCs w:val="20"/>
          <w:lang w:val="en-GB"/>
        </w:rPr>
        <w:t xml:space="preserve">Moravskoslezský </w:t>
      </w:r>
      <w:r w:rsidRPr="007327FE">
        <w:rPr>
          <w:rFonts w:cs="Arial"/>
          <w:szCs w:val="20"/>
          <w:lang w:val="en-GB"/>
        </w:rPr>
        <w:t xml:space="preserve">Region, and by 0.1% in the </w:t>
      </w:r>
      <w:r w:rsidR="001025F7" w:rsidRPr="007327FE">
        <w:rPr>
          <w:rFonts w:cs="Arial"/>
          <w:i/>
          <w:szCs w:val="20"/>
          <w:lang w:val="en-GB"/>
        </w:rPr>
        <w:t xml:space="preserve">Vysočina </w:t>
      </w:r>
      <w:r w:rsidR="001025F7" w:rsidRPr="007327FE">
        <w:rPr>
          <w:rFonts w:cs="Arial"/>
          <w:szCs w:val="20"/>
          <w:lang w:val="en-GB"/>
        </w:rPr>
        <w:t xml:space="preserve">Region. </w:t>
      </w:r>
      <w:r w:rsidR="00E41D3B" w:rsidRPr="007327FE">
        <w:rPr>
          <w:rFonts w:cs="Arial"/>
          <w:szCs w:val="20"/>
          <w:lang w:val="en-GB"/>
        </w:rPr>
        <w:t>On the other hand, a considerable increase in the number of employees was again in Prague (</w:t>
      </w:r>
      <w:r w:rsidR="00EF7E60">
        <w:rPr>
          <w:rFonts w:cs="Arial"/>
          <w:szCs w:val="20"/>
          <w:lang w:val="en-GB"/>
        </w:rPr>
        <w:t xml:space="preserve">by </w:t>
      </w:r>
      <w:r w:rsidR="00E41D3B" w:rsidRPr="007327FE">
        <w:rPr>
          <w:rFonts w:cs="Arial"/>
          <w:szCs w:val="20"/>
          <w:lang w:val="en-GB"/>
        </w:rPr>
        <w:t xml:space="preserve">3.3%), which also follows the trend that was obvious in the pre-covid period. </w:t>
      </w:r>
      <w:r w:rsidR="006E1E71" w:rsidRPr="007327FE">
        <w:rPr>
          <w:rFonts w:cs="Arial"/>
          <w:szCs w:val="20"/>
          <w:lang w:val="en-GB"/>
        </w:rPr>
        <w:t xml:space="preserve">A higher increase was also </w:t>
      </w:r>
      <w:r w:rsidR="006E1E71" w:rsidRPr="007327FE">
        <w:rPr>
          <w:lang w:val="en-GB"/>
        </w:rPr>
        <w:t xml:space="preserve">in the </w:t>
      </w:r>
      <w:r w:rsidR="006E1E71" w:rsidRPr="007327FE">
        <w:rPr>
          <w:rFonts w:cs="Arial"/>
          <w:i/>
          <w:szCs w:val="20"/>
          <w:lang w:val="en-GB"/>
        </w:rPr>
        <w:t xml:space="preserve">Plzeňský </w:t>
      </w:r>
      <w:r w:rsidR="006E1E71" w:rsidRPr="007327FE">
        <w:rPr>
          <w:rFonts w:cs="Arial"/>
          <w:szCs w:val="20"/>
          <w:lang w:val="en-GB"/>
        </w:rPr>
        <w:t>Region</w:t>
      </w:r>
      <w:r w:rsidR="00165C9A" w:rsidRPr="007327FE">
        <w:rPr>
          <w:rFonts w:cs="Arial"/>
          <w:szCs w:val="20"/>
          <w:lang w:val="en-GB"/>
        </w:rPr>
        <w:t xml:space="preserve"> (1.7%)</w:t>
      </w:r>
      <w:r w:rsidR="006E1E71" w:rsidRPr="007327FE">
        <w:rPr>
          <w:rFonts w:cs="Arial"/>
          <w:szCs w:val="20"/>
          <w:lang w:val="en-GB"/>
        </w:rPr>
        <w:t xml:space="preserve"> and in the </w:t>
      </w:r>
      <w:r w:rsidR="006E1E71" w:rsidRPr="007327FE">
        <w:rPr>
          <w:i/>
          <w:lang w:val="en-GB"/>
        </w:rPr>
        <w:t xml:space="preserve">Středočeský </w:t>
      </w:r>
      <w:r w:rsidR="006E1E71" w:rsidRPr="007327FE">
        <w:rPr>
          <w:lang w:val="en-GB"/>
        </w:rPr>
        <w:t xml:space="preserve">Region (0.8%). </w:t>
      </w:r>
      <w:r w:rsidR="00B334E3" w:rsidRPr="007327FE">
        <w:rPr>
          <w:rFonts w:cs="Arial"/>
          <w:szCs w:val="20"/>
          <w:lang w:val="en-GB"/>
        </w:rPr>
        <w:t xml:space="preserve">In the </w:t>
      </w:r>
      <w:r w:rsidR="00B334E3" w:rsidRPr="007327FE">
        <w:rPr>
          <w:rFonts w:cs="Arial"/>
          <w:i/>
          <w:szCs w:val="20"/>
          <w:lang w:val="en-GB"/>
        </w:rPr>
        <w:t xml:space="preserve">Jihomoravský </w:t>
      </w:r>
      <w:r w:rsidR="00B334E3" w:rsidRPr="007327FE">
        <w:rPr>
          <w:rFonts w:cs="Arial"/>
          <w:szCs w:val="20"/>
          <w:lang w:val="en-GB"/>
        </w:rPr>
        <w:t xml:space="preserve">Region, the number of employees increased by 0.5% and in other Regions it was less. </w:t>
      </w:r>
    </w:p>
    <w:p w:rsidR="00765B17" w:rsidRPr="007327FE" w:rsidRDefault="00765B17" w:rsidP="00817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rsidR="00C54710" w:rsidRPr="007327FE" w:rsidRDefault="00C54710" w:rsidP="00817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7327FE">
        <w:rPr>
          <w:rFonts w:cs="Arial"/>
          <w:szCs w:val="20"/>
          <w:lang w:val="en-GB"/>
        </w:rPr>
        <w:t>As for the development of average wages, it is difficult to find some unifying rule there. T</w:t>
      </w:r>
      <w:r w:rsidR="00765B17" w:rsidRPr="007327FE">
        <w:rPr>
          <w:rFonts w:cs="Arial"/>
          <w:szCs w:val="20"/>
          <w:lang w:val="en-GB"/>
        </w:rPr>
        <w:t xml:space="preserve">he </w:t>
      </w:r>
      <w:r w:rsidRPr="007327FE">
        <w:rPr>
          <w:rFonts w:cs="Arial"/>
          <w:szCs w:val="20"/>
          <w:lang w:val="en-GB"/>
        </w:rPr>
        <w:t>lowest nominal growth (6.5%) was</w:t>
      </w:r>
      <w:r w:rsidR="00765B17" w:rsidRPr="007327FE">
        <w:rPr>
          <w:rFonts w:cs="Arial"/>
          <w:szCs w:val="20"/>
          <w:lang w:val="en-GB"/>
        </w:rPr>
        <w:t xml:space="preserve"> in </w:t>
      </w:r>
      <w:r w:rsidRPr="007327FE">
        <w:rPr>
          <w:rFonts w:cs="Arial"/>
          <w:szCs w:val="20"/>
          <w:lang w:val="en-GB"/>
        </w:rPr>
        <w:t xml:space="preserve">the </w:t>
      </w:r>
      <w:r w:rsidRPr="007327FE">
        <w:rPr>
          <w:rFonts w:cs="Arial"/>
          <w:i/>
          <w:szCs w:val="20"/>
          <w:lang w:val="en-GB"/>
        </w:rPr>
        <w:t xml:space="preserve">Karlovarský </w:t>
      </w:r>
      <w:r w:rsidRPr="007327FE">
        <w:rPr>
          <w:rFonts w:cs="Arial"/>
          <w:szCs w:val="20"/>
          <w:lang w:val="en-GB"/>
        </w:rPr>
        <w:t xml:space="preserve">Region; it was weak in the </w:t>
      </w:r>
      <w:r w:rsidRPr="007327FE">
        <w:rPr>
          <w:rFonts w:cs="Arial"/>
          <w:i/>
          <w:szCs w:val="20"/>
          <w:lang w:val="en-GB"/>
        </w:rPr>
        <w:t>Plzeňský</w:t>
      </w:r>
      <w:r w:rsidRPr="007327FE">
        <w:rPr>
          <w:rFonts w:cs="Arial"/>
          <w:szCs w:val="20"/>
          <w:lang w:val="en-GB"/>
        </w:rPr>
        <w:t xml:space="preserve"> Region and in the </w:t>
      </w:r>
      <w:r w:rsidRPr="007327FE">
        <w:rPr>
          <w:rFonts w:cs="Arial"/>
          <w:i/>
          <w:szCs w:val="20"/>
          <w:lang w:val="en-GB"/>
        </w:rPr>
        <w:t>Pardubický</w:t>
      </w:r>
      <w:r w:rsidRPr="007327FE">
        <w:rPr>
          <w:rFonts w:cs="Arial"/>
          <w:szCs w:val="20"/>
          <w:lang w:val="en-GB"/>
        </w:rPr>
        <w:t xml:space="preserve"> Region as well (both the same, 6.7%). </w:t>
      </w:r>
      <w:r w:rsidR="00765B17" w:rsidRPr="007327FE">
        <w:rPr>
          <w:rFonts w:cs="Arial"/>
          <w:szCs w:val="20"/>
          <w:lang w:val="en-GB"/>
        </w:rPr>
        <w:t xml:space="preserve">Conversely, the highest wage increases were in the </w:t>
      </w:r>
      <w:r w:rsidRPr="007327FE">
        <w:rPr>
          <w:rFonts w:cs="Arial"/>
          <w:i/>
          <w:szCs w:val="20"/>
          <w:lang w:val="en-GB"/>
        </w:rPr>
        <w:t>Středočeský</w:t>
      </w:r>
      <w:r w:rsidRPr="007327FE">
        <w:rPr>
          <w:rFonts w:cs="Arial"/>
          <w:szCs w:val="20"/>
          <w:lang w:val="en-GB"/>
        </w:rPr>
        <w:t xml:space="preserve"> Region (8.5%) followed by the </w:t>
      </w:r>
      <w:r w:rsidRPr="007327FE">
        <w:rPr>
          <w:rFonts w:cs="Arial"/>
          <w:i/>
          <w:szCs w:val="20"/>
          <w:lang w:val="en-GB"/>
        </w:rPr>
        <w:t xml:space="preserve">Jihočeský </w:t>
      </w:r>
      <w:r w:rsidRPr="007327FE">
        <w:rPr>
          <w:rFonts w:cs="Arial"/>
          <w:szCs w:val="20"/>
          <w:lang w:val="en-GB"/>
        </w:rPr>
        <w:t xml:space="preserve">Region (8.3%), the </w:t>
      </w:r>
      <w:r w:rsidR="00765B17" w:rsidRPr="007327FE">
        <w:rPr>
          <w:rFonts w:cs="Arial"/>
          <w:i/>
          <w:szCs w:val="20"/>
          <w:lang w:val="en-GB"/>
        </w:rPr>
        <w:t>Ústecký</w:t>
      </w:r>
      <w:r w:rsidRPr="007327FE">
        <w:rPr>
          <w:rFonts w:cs="Arial"/>
          <w:szCs w:val="20"/>
          <w:lang w:val="en-GB"/>
        </w:rPr>
        <w:t xml:space="preserve"> Region (8.2</w:t>
      </w:r>
      <w:r w:rsidR="00765B17" w:rsidRPr="007327FE">
        <w:rPr>
          <w:rFonts w:cs="Arial"/>
          <w:szCs w:val="20"/>
          <w:lang w:val="en-GB"/>
        </w:rPr>
        <w:t>%)</w:t>
      </w:r>
      <w:r w:rsidRPr="007327FE">
        <w:rPr>
          <w:rFonts w:cs="Arial"/>
          <w:szCs w:val="20"/>
          <w:lang w:val="en-GB"/>
        </w:rPr>
        <w:t>,</w:t>
      </w:r>
      <w:r w:rsidR="00765B17" w:rsidRPr="007327FE">
        <w:rPr>
          <w:rFonts w:cs="Arial"/>
          <w:szCs w:val="20"/>
          <w:lang w:val="en-GB"/>
        </w:rPr>
        <w:t xml:space="preserve"> and the </w:t>
      </w:r>
      <w:r w:rsidRPr="007327FE">
        <w:rPr>
          <w:rFonts w:cs="Arial"/>
          <w:i/>
          <w:szCs w:val="20"/>
          <w:lang w:val="en-GB"/>
        </w:rPr>
        <w:t xml:space="preserve">Jihomoravský </w:t>
      </w:r>
      <w:r w:rsidR="00765B17" w:rsidRPr="007327FE">
        <w:rPr>
          <w:rFonts w:cs="Arial"/>
          <w:szCs w:val="20"/>
          <w:lang w:val="en-GB"/>
        </w:rPr>
        <w:t>Region (8.</w:t>
      </w:r>
      <w:r w:rsidRPr="007327FE">
        <w:rPr>
          <w:rFonts w:cs="Arial"/>
          <w:szCs w:val="20"/>
          <w:lang w:val="en-GB"/>
        </w:rPr>
        <w:t>1%).</w:t>
      </w:r>
    </w:p>
    <w:p w:rsidR="00CE1E0D" w:rsidRPr="007327FE" w:rsidRDefault="00CE1E0D" w:rsidP="00817219">
      <w:pPr>
        <w:rPr>
          <w:rFonts w:cs="Arial"/>
          <w:szCs w:val="20"/>
        </w:rPr>
      </w:pPr>
    </w:p>
    <w:p w:rsidR="00765B17" w:rsidRPr="007327FE" w:rsidRDefault="00CE1E0D" w:rsidP="00817219">
      <w:pPr>
        <w:rPr>
          <w:rFonts w:cs="Arial"/>
          <w:szCs w:val="20"/>
          <w:lang w:val="en-GB"/>
        </w:rPr>
      </w:pPr>
      <w:r w:rsidRPr="007327FE">
        <w:rPr>
          <w:rFonts w:cs="Arial"/>
          <w:szCs w:val="20"/>
          <w:lang w:val="en-GB"/>
        </w:rPr>
        <w:t xml:space="preserve">According to the absolute level of earnings, the Capital City of Prague still remains to be the richest among the Regions of the Czech Republic. The average wage in Prague was CZK 52 213. The </w:t>
      </w:r>
      <w:r w:rsidRPr="007327FE">
        <w:rPr>
          <w:rFonts w:cs="Arial"/>
          <w:i/>
          <w:szCs w:val="20"/>
          <w:lang w:val="en-GB"/>
        </w:rPr>
        <w:t>Středočeský</w:t>
      </w:r>
      <w:r w:rsidR="008E4A83" w:rsidRPr="007327FE">
        <w:rPr>
          <w:rFonts w:cs="Arial"/>
          <w:szCs w:val="20"/>
          <w:lang w:val="en-GB"/>
        </w:rPr>
        <w:t xml:space="preserve"> Region maintained</w:t>
      </w:r>
      <w:r w:rsidRPr="007327FE">
        <w:rPr>
          <w:rFonts w:cs="Arial"/>
          <w:szCs w:val="20"/>
          <w:lang w:val="en-GB"/>
        </w:rPr>
        <w:t xml:space="preserve"> its second position with CZK </w:t>
      </w:r>
      <w:r w:rsidR="008E4A83" w:rsidRPr="007327FE">
        <w:rPr>
          <w:rFonts w:cs="Arial"/>
          <w:szCs w:val="20"/>
          <w:lang w:val="en-GB"/>
        </w:rPr>
        <w:t>43 730</w:t>
      </w:r>
      <w:r w:rsidRPr="007327FE">
        <w:rPr>
          <w:rFonts w:cs="Arial"/>
          <w:szCs w:val="20"/>
          <w:lang w:val="en-GB"/>
        </w:rPr>
        <w:t xml:space="preserve">. On the other hand, the </w:t>
      </w:r>
      <w:r w:rsidRPr="007327FE">
        <w:rPr>
          <w:rFonts w:cs="Arial"/>
          <w:i/>
          <w:szCs w:val="20"/>
          <w:lang w:val="en-GB"/>
        </w:rPr>
        <w:t xml:space="preserve">Karlovarský </w:t>
      </w:r>
      <w:r w:rsidR="008E4A83" w:rsidRPr="007327FE">
        <w:rPr>
          <w:rFonts w:cs="Arial"/>
          <w:szCs w:val="20"/>
          <w:lang w:val="en-GB"/>
        </w:rPr>
        <w:t>Region remained</w:t>
      </w:r>
      <w:r w:rsidRPr="007327FE">
        <w:rPr>
          <w:rFonts w:cs="Arial"/>
          <w:szCs w:val="20"/>
          <w:lang w:val="en-GB"/>
        </w:rPr>
        <w:t xml:space="preserve"> to be the Re</w:t>
      </w:r>
      <w:r w:rsidR="008E4A83" w:rsidRPr="007327FE">
        <w:rPr>
          <w:rFonts w:cs="Arial"/>
          <w:szCs w:val="20"/>
          <w:lang w:val="en-GB"/>
        </w:rPr>
        <w:t>gion with the lowest wage level (</w:t>
      </w:r>
      <w:r w:rsidR="001701E3">
        <w:rPr>
          <w:rFonts w:cs="Arial"/>
          <w:szCs w:val="20"/>
          <w:lang w:val="en-GB"/>
        </w:rPr>
        <w:t>CZK </w:t>
      </w:r>
      <w:r w:rsidR="008E4A83" w:rsidRPr="007327FE">
        <w:rPr>
          <w:rFonts w:cs="Arial"/>
          <w:szCs w:val="20"/>
          <w:lang w:val="en-GB"/>
        </w:rPr>
        <w:t xml:space="preserve">38 019). </w:t>
      </w:r>
      <w:r w:rsidRPr="007327FE">
        <w:rPr>
          <w:rFonts w:cs="Arial"/>
          <w:szCs w:val="20"/>
          <w:lang w:val="en-GB"/>
        </w:rPr>
        <w:t xml:space="preserve">It is followed with a margin by the </w:t>
      </w:r>
      <w:r w:rsidRPr="007327FE">
        <w:rPr>
          <w:rFonts w:cs="Arial"/>
          <w:i/>
          <w:szCs w:val="20"/>
          <w:lang w:val="en-GB"/>
        </w:rPr>
        <w:t>Pardubický</w:t>
      </w:r>
      <w:r w:rsidRPr="007327FE">
        <w:rPr>
          <w:rFonts w:cs="Arial"/>
          <w:szCs w:val="20"/>
          <w:lang w:val="en-GB"/>
        </w:rPr>
        <w:t xml:space="preserve"> Region</w:t>
      </w:r>
      <w:r w:rsidR="00765B17" w:rsidRPr="007327FE">
        <w:rPr>
          <w:rFonts w:cs="Arial"/>
          <w:szCs w:val="20"/>
          <w:lang w:val="en-GB"/>
        </w:rPr>
        <w:t xml:space="preserve">, </w:t>
      </w:r>
      <w:r w:rsidRPr="007327FE">
        <w:rPr>
          <w:rFonts w:cs="Arial"/>
          <w:szCs w:val="20"/>
          <w:lang w:val="en-GB"/>
        </w:rPr>
        <w:t>in which the average wage got to CZK</w:t>
      </w:r>
      <w:r w:rsidR="00765B17" w:rsidRPr="007327FE">
        <w:rPr>
          <w:rFonts w:cs="Arial"/>
          <w:szCs w:val="20"/>
          <w:lang w:val="en-GB"/>
        </w:rPr>
        <w:t xml:space="preserve"> 39 345. </w:t>
      </w:r>
      <w:r w:rsidRPr="007327FE">
        <w:rPr>
          <w:rFonts w:cs="Arial"/>
          <w:szCs w:val="20"/>
          <w:lang w:val="en-GB"/>
        </w:rPr>
        <w:t> </w:t>
      </w:r>
    </w:p>
    <w:p w:rsidR="00AC7003" w:rsidRPr="007327FE" w:rsidRDefault="00AC7003"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80342C" w:rsidRPr="007327FE" w:rsidRDefault="0080342C" w:rsidP="008034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b/>
          <w:lang w:val="en-GB"/>
        </w:rPr>
      </w:pPr>
      <w:r w:rsidRPr="007327FE">
        <w:rPr>
          <w:rFonts w:cs="Arial"/>
          <w:b/>
          <w:lang w:val="en-GB"/>
        </w:rPr>
        <w:t>Cumulative results for the whole year 2022 and comparison with the year 2018</w:t>
      </w:r>
    </w:p>
    <w:p w:rsidR="004624EA" w:rsidRPr="007327FE" w:rsidRDefault="0080342C" w:rsidP="008034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r w:rsidRPr="007327FE">
        <w:rPr>
          <w:lang w:val="en-GB"/>
        </w:rPr>
        <w:t>In the year 2022, the registered number of employees increased by 0.9%. The average wage (CZK 40 353) increased nominally by 6.5%</w:t>
      </w:r>
      <w:r w:rsidR="004624EA" w:rsidRPr="007327FE">
        <w:rPr>
          <w:lang w:val="en-GB"/>
        </w:rPr>
        <w:t xml:space="preserve">; however, in real terms it decreased by 7.5%, because the inflation reached 15.1%. </w:t>
      </w:r>
    </w:p>
    <w:p w:rsidR="0080342C" w:rsidRPr="007327FE" w:rsidRDefault="0080342C" w:rsidP="008034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rsidR="0080342C" w:rsidRPr="007327FE" w:rsidRDefault="00D8248E" w:rsidP="008034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7327FE">
        <w:rPr>
          <w:rFonts w:cs="Arial"/>
          <w:szCs w:val="20"/>
          <w:lang w:val="en-GB"/>
        </w:rPr>
        <w:t xml:space="preserve">Year-on-year indices for </w:t>
      </w:r>
      <w:r w:rsidR="00DE0FC5" w:rsidRPr="007327FE">
        <w:rPr>
          <w:rFonts w:cs="Arial"/>
          <w:szCs w:val="20"/>
          <w:lang w:val="en-GB"/>
        </w:rPr>
        <w:t>annual</w:t>
      </w:r>
      <w:r w:rsidRPr="007327FE">
        <w:rPr>
          <w:rFonts w:cs="Arial"/>
          <w:szCs w:val="20"/>
          <w:lang w:val="en-GB"/>
        </w:rPr>
        <w:t xml:space="preserve"> data thus show a picture, which does not differ much from the quarterly ones. </w:t>
      </w:r>
      <w:r w:rsidR="008F4D28" w:rsidRPr="007327FE">
        <w:rPr>
          <w:rFonts w:cs="Arial"/>
          <w:szCs w:val="20"/>
          <w:lang w:val="en-GB"/>
        </w:rPr>
        <w:t>What can be more interesting is a comparison of devel</w:t>
      </w:r>
      <w:r w:rsidR="00370124" w:rsidRPr="007327FE">
        <w:rPr>
          <w:rFonts w:cs="Arial"/>
          <w:szCs w:val="20"/>
          <w:lang w:val="en-GB"/>
        </w:rPr>
        <w:t>opment in economic activities over</w:t>
      </w:r>
      <w:r w:rsidR="008F4D28" w:rsidRPr="007327FE">
        <w:rPr>
          <w:rFonts w:cs="Arial"/>
          <w:szCs w:val="20"/>
          <w:lang w:val="en-GB"/>
        </w:rPr>
        <w:t xml:space="preserve"> a longer time</w:t>
      </w:r>
      <w:r w:rsidR="00370124" w:rsidRPr="007327FE">
        <w:rPr>
          <w:rFonts w:cs="Arial"/>
          <w:szCs w:val="20"/>
          <w:lang w:val="en-GB"/>
        </w:rPr>
        <w:t xml:space="preserve"> period</w:t>
      </w:r>
      <w:r w:rsidR="008F4D28" w:rsidRPr="007327FE">
        <w:rPr>
          <w:rFonts w:cs="Arial"/>
          <w:szCs w:val="20"/>
          <w:lang w:val="en-GB"/>
        </w:rPr>
        <w:t xml:space="preserve">, e.g. for a four-year period since 2018. </w:t>
      </w:r>
      <w:r w:rsidR="003A37D1" w:rsidRPr="007327FE">
        <w:rPr>
          <w:rFonts w:cs="Arial"/>
          <w:szCs w:val="20"/>
          <w:lang w:val="en-GB"/>
        </w:rPr>
        <w:t>I</w:t>
      </w:r>
      <w:r w:rsidR="003A37D1" w:rsidRPr="007327FE">
        <w:rPr>
          <w:lang w:val="en-GB"/>
        </w:rPr>
        <w:t>n this respect, c</w:t>
      </w:r>
      <w:r w:rsidR="00647F70" w:rsidRPr="007327FE">
        <w:rPr>
          <w:lang w:val="en-GB"/>
        </w:rPr>
        <w:t xml:space="preserve">umulative </w:t>
      </w:r>
      <w:r w:rsidR="00EF773E" w:rsidRPr="007327FE">
        <w:rPr>
          <w:lang w:val="en-GB"/>
        </w:rPr>
        <w:t xml:space="preserve">data are more </w:t>
      </w:r>
      <w:r w:rsidR="003A37D1" w:rsidRPr="007327FE">
        <w:rPr>
          <w:lang w:val="en-GB"/>
        </w:rPr>
        <w:t>stable</w:t>
      </w:r>
      <w:r w:rsidR="00EF773E" w:rsidRPr="007327FE">
        <w:rPr>
          <w:lang w:val="en-GB"/>
        </w:rPr>
        <w:t xml:space="preserve"> and therefore more comparable than quarterly data. </w:t>
      </w:r>
    </w:p>
    <w:p w:rsidR="00DD473A" w:rsidRPr="007327FE" w:rsidRDefault="00DD473A" w:rsidP="008034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rsidR="00DD473A" w:rsidRPr="007327FE" w:rsidRDefault="00DD473A" w:rsidP="008034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color w:val="E36C0A" w:themeColor="accent6" w:themeShade="BF"/>
          <w:szCs w:val="20"/>
          <w:lang w:val="en-GB"/>
        </w:rPr>
      </w:pPr>
      <w:r w:rsidRPr="007327FE">
        <w:rPr>
          <w:rFonts w:cs="Arial"/>
          <w:szCs w:val="20"/>
          <w:lang w:val="en-GB"/>
        </w:rPr>
        <w:t xml:space="preserve">In total, the average wage </w:t>
      </w:r>
      <w:r w:rsidR="00906FF5" w:rsidRPr="007327FE">
        <w:rPr>
          <w:rFonts w:cs="Arial"/>
          <w:szCs w:val="20"/>
          <w:lang w:val="en-GB"/>
        </w:rPr>
        <w:t xml:space="preserve">for the 4-year period nominally increased by 25.9%. In real terms, however, it </w:t>
      </w:r>
      <w:r w:rsidR="00865E7F" w:rsidRPr="007327FE">
        <w:rPr>
          <w:rFonts w:cs="Arial"/>
          <w:szCs w:val="20"/>
          <w:lang w:val="en-GB"/>
        </w:rPr>
        <w:t xml:space="preserve">even </w:t>
      </w:r>
      <w:r w:rsidR="00906FF5" w:rsidRPr="007327FE">
        <w:rPr>
          <w:rFonts w:cs="Arial"/>
          <w:szCs w:val="20"/>
          <w:lang w:val="en-GB"/>
        </w:rPr>
        <w:t xml:space="preserve">does not reach the level of the year 2018, it is by 0.5% lower due to </w:t>
      </w:r>
      <w:r w:rsidR="00865E7F" w:rsidRPr="007327FE">
        <w:rPr>
          <w:rFonts w:cs="Arial"/>
          <w:szCs w:val="20"/>
          <w:lang w:val="en-GB"/>
        </w:rPr>
        <w:t xml:space="preserve">the </w:t>
      </w:r>
      <w:r w:rsidR="00906FF5" w:rsidRPr="007327FE">
        <w:rPr>
          <w:rFonts w:cs="Arial"/>
          <w:szCs w:val="20"/>
          <w:lang w:val="en-GB"/>
        </w:rPr>
        <w:t>high inflation, because the consumer price index was higher than the nominal wage increase</w:t>
      </w:r>
      <w:r w:rsidR="00865E7F" w:rsidRPr="007327FE">
        <w:rPr>
          <w:rFonts w:cs="Arial"/>
          <w:szCs w:val="20"/>
          <w:lang w:val="en-GB"/>
        </w:rPr>
        <w:t xml:space="preserve"> in the mentioned period</w:t>
      </w:r>
      <w:r w:rsidR="00906FF5" w:rsidRPr="007327FE">
        <w:rPr>
          <w:rFonts w:cs="Arial"/>
          <w:szCs w:val="20"/>
          <w:lang w:val="en-GB"/>
        </w:rPr>
        <w:t xml:space="preserve">. </w:t>
      </w:r>
    </w:p>
    <w:p w:rsidR="003127A4" w:rsidRPr="007327FE" w:rsidRDefault="003127A4"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b/>
          <w:szCs w:val="20"/>
        </w:rPr>
      </w:pPr>
    </w:p>
    <w:p w:rsidR="003127A4" w:rsidRPr="007327FE" w:rsidRDefault="00A80234"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b/>
          <w:szCs w:val="20"/>
          <w:lang w:val="en-GB"/>
        </w:rPr>
      </w:pPr>
      <w:r w:rsidRPr="007327FE">
        <w:rPr>
          <w:rFonts w:cs="Arial"/>
          <w:b/>
          <w:szCs w:val="20"/>
          <w:lang w:val="en-GB"/>
        </w:rPr>
        <w:t>Chart </w:t>
      </w:r>
      <w:r w:rsidR="003127A4" w:rsidRPr="007327FE">
        <w:rPr>
          <w:rFonts w:cs="Arial"/>
          <w:b/>
          <w:szCs w:val="20"/>
          <w:lang w:val="en-GB"/>
        </w:rPr>
        <w:t>1</w:t>
      </w:r>
      <w:r w:rsidRPr="007327FE">
        <w:rPr>
          <w:rFonts w:cs="Arial"/>
          <w:b/>
          <w:szCs w:val="20"/>
          <w:lang w:val="en-GB"/>
        </w:rPr>
        <w:t xml:space="preserve"> Development of average wages in selected industries (economic activities), years </w:t>
      </w:r>
      <w:r w:rsidR="003127A4" w:rsidRPr="00B2298F">
        <w:rPr>
          <w:rFonts w:cs="Arial"/>
          <w:b/>
          <w:szCs w:val="20"/>
          <w:lang w:val="en-GB"/>
        </w:rPr>
        <w:t>2018</w:t>
      </w:r>
      <w:r w:rsidR="00B2298F" w:rsidRPr="00B2298F">
        <w:rPr>
          <w:rFonts w:cs="Arial"/>
          <w:b/>
          <w:szCs w:val="20"/>
          <w:lang w:val="en-GB"/>
        </w:rPr>
        <w:t>–</w:t>
      </w:r>
      <w:r w:rsidR="003127A4" w:rsidRPr="00B2298F">
        <w:rPr>
          <w:rFonts w:cs="Arial"/>
          <w:b/>
          <w:szCs w:val="20"/>
          <w:lang w:val="en-GB"/>
        </w:rPr>
        <w:t>2022</w:t>
      </w:r>
    </w:p>
    <w:p w:rsidR="003127A4" w:rsidRPr="007327FE" w:rsidRDefault="003127A4"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b/>
          <w:szCs w:val="20"/>
        </w:rPr>
      </w:pPr>
    </w:p>
    <w:p w:rsidR="0021472C" w:rsidRPr="007327FE" w:rsidRDefault="0021472C"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r w:rsidRPr="007327FE">
        <w:rPr>
          <w:noProof/>
          <w:lang w:eastAsia="cs-CZ"/>
        </w:rPr>
        <w:drawing>
          <wp:inline distT="0" distB="0" distL="0" distR="0" wp14:anchorId="47D0F1A5" wp14:editId="36928180">
            <wp:extent cx="5400040" cy="3599815"/>
            <wp:effectExtent l="0" t="0" r="10160" b="63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4FF4" w:rsidRPr="007327FE" w:rsidRDefault="004F4FF4"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rsidR="00410904" w:rsidRPr="007327FE" w:rsidRDefault="004F4FF4"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Cs w:val="20"/>
          <w:lang w:val="en-GB" w:eastAsia="cs-CZ"/>
        </w:rPr>
      </w:pPr>
      <w:r w:rsidRPr="007327FE">
        <w:rPr>
          <w:lang w:val="en-GB" w:eastAsia="cs-CZ"/>
        </w:rPr>
        <w:t>In ‘administrative and support service activities</w:t>
      </w:r>
      <w:r w:rsidRPr="007327FE">
        <w:rPr>
          <w:szCs w:val="20"/>
          <w:lang w:val="en-GB" w:eastAsia="cs-CZ"/>
        </w:rPr>
        <w:t>’</w:t>
      </w:r>
      <w:r w:rsidR="0000133F" w:rsidRPr="007327FE">
        <w:rPr>
          <w:szCs w:val="20"/>
          <w:lang w:val="en-GB" w:eastAsia="cs-CZ"/>
        </w:rPr>
        <w:t xml:space="preserve">, wages increased relatively the most, from CZK 20 955 to CZK 28 795; for the mentioned four years they thus increased by 37.4%, which </w:t>
      </w:r>
      <w:r w:rsidR="00615DD3" w:rsidRPr="007327FE">
        <w:rPr>
          <w:szCs w:val="20"/>
          <w:lang w:val="en-GB" w:eastAsia="cs-CZ"/>
        </w:rPr>
        <w:t xml:space="preserve">was largely sufficient to compensate </w:t>
      </w:r>
      <w:r w:rsidR="0000133F" w:rsidRPr="007327FE">
        <w:rPr>
          <w:szCs w:val="20"/>
          <w:lang w:val="en-GB" w:eastAsia="cs-CZ"/>
        </w:rPr>
        <w:t xml:space="preserve">the price increase. </w:t>
      </w:r>
      <w:r w:rsidR="008676B0" w:rsidRPr="007327FE">
        <w:rPr>
          <w:szCs w:val="20"/>
          <w:lang w:val="en-GB" w:eastAsia="cs-CZ"/>
        </w:rPr>
        <w:t xml:space="preserve">On the </w:t>
      </w:r>
      <w:r w:rsidR="005E2086" w:rsidRPr="007327FE">
        <w:rPr>
          <w:szCs w:val="20"/>
          <w:lang w:val="en-GB" w:eastAsia="cs-CZ"/>
        </w:rPr>
        <w:t>other end,</w:t>
      </w:r>
      <w:r w:rsidR="008676B0" w:rsidRPr="007327FE">
        <w:rPr>
          <w:szCs w:val="20"/>
          <w:lang w:val="en-GB" w:eastAsia="cs-CZ"/>
        </w:rPr>
        <w:t xml:space="preserve"> we can find </w:t>
      </w:r>
      <w:r w:rsidR="00410904" w:rsidRPr="007327FE">
        <w:rPr>
          <w:lang w:val="en-GB"/>
        </w:rPr>
        <w:t xml:space="preserve">‘public administration and defence; compulsory social security,’ in which the average wage got only from CZK 36 323 to CZK 42 725, i.e. it only increased by 17.6%. </w:t>
      </w:r>
    </w:p>
    <w:p w:rsidR="004A319E" w:rsidRPr="007327FE" w:rsidRDefault="004A319E"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rsidR="004A319E" w:rsidRPr="007327FE" w:rsidRDefault="004A319E"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7327FE">
        <w:rPr>
          <w:rFonts w:cs="Arial"/>
          <w:szCs w:val="20"/>
          <w:lang w:val="en-GB"/>
        </w:rPr>
        <w:t xml:space="preserve">The second lowest increase was in </w:t>
      </w:r>
      <w:r w:rsidRPr="007327FE">
        <w:rPr>
          <w:lang w:val="en-GB" w:eastAsia="cs-CZ"/>
        </w:rPr>
        <w:t>‘</w:t>
      </w:r>
      <w:r w:rsidRPr="007327FE">
        <w:rPr>
          <w:rFonts w:cs="Arial"/>
          <w:szCs w:val="20"/>
          <w:lang w:val="en-GB"/>
        </w:rPr>
        <w:t>mining and quarrying</w:t>
      </w:r>
      <w:r w:rsidRPr="007327FE">
        <w:rPr>
          <w:szCs w:val="20"/>
          <w:lang w:val="en-GB" w:eastAsia="cs-CZ"/>
        </w:rPr>
        <w:t xml:space="preserve">’, from CZK 36 028 to CZK 43 149, i.e. by 19.8%. </w:t>
      </w:r>
      <w:r w:rsidRPr="007327FE">
        <w:rPr>
          <w:lang w:val="en-GB" w:eastAsia="cs-CZ"/>
        </w:rPr>
        <w:t>‘Manufacturing</w:t>
      </w:r>
      <w:r w:rsidRPr="007327FE">
        <w:rPr>
          <w:szCs w:val="20"/>
          <w:lang w:val="en-GB" w:eastAsia="cs-CZ"/>
        </w:rPr>
        <w:t xml:space="preserve">’ with a nominal increase by 22.0% ranks third; the average wage increased there from CZK 31 893 to CZK 38 899. </w:t>
      </w:r>
    </w:p>
    <w:p w:rsidR="007121A8" w:rsidRPr="003127A4" w:rsidRDefault="007121A8"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highlight w:val="yellow"/>
        </w:rPr>
      </w:pPr>
    </w:p>
    <w:p w:rsidR="00766072" w:rsidRDefault="00EE6C46"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4D4442">
        <w:rPr>
          <w:rFonts w:cs="Arial"/>
          <w:szCs w:val="20"/>
          <w:lang w:val="en-GB"/>
        </w:rPr>
        <w:t>Nevertheless</w:t>
      </w:r>
      <w:r w:rsidR="00B9262C" w:rsidRPr="004D4442">
        <w:rPr>
          <w:rFonts w:cs="Arial"/>
          <w:szCs w:val="20"/>
          <w:lang w:val="en-GB"/>
        </w:rPr>
        <w:t xml:space="preserve">, in some economic activities, the wage development was anything but smooth. </w:t>
      </w:r>
      <w:r w:rsidR="00C90E0F" w:rsidRPr="004D4442">
        <w:rPr>
          <w:rFonts w:cs="Arial"/>
          <w:szCs w:val="20"/>
          <w:lang w:val="en-GB"/>
        </w:rPr>
        <w:t xml:space="preserve">Slumps in the year 2020 related to anti-infectious measures were reflected in </w:t>
      </w:r>
      <w:r w:rsidR="004D4442" w:rsidRPr="004D4442">
        <w:rPr>
          <w:lang w:val="en-GB" w:eastAsia="cs-CZ"/>
        </w:rPr>
        <w:t>‘</w:t>
      </w:r>
      <w:r w:rsidR="00C90E0F" w:rsidRPr="004D4442">
        <w:rPr>
          <w:rFonts w:cs="Arial"/>
          <w:szCs w:val="20"/>
          <w:lang w:val="en-GB"/>
        </w:rPr>
        <w:t>real estate activities</w:t>
      </w:r>
      <w:r w:rsidR="004D4442" w:rsidRPr="004D4442">
        <w:rPr>
          <w:szCs w:val="20"/>
          <w:lang w:val="en-GB" w:eastAsia="cs-CZ"/>
        </w:rPr>
        <w:t>’</w:t>
      </w:r>
      <w:r w:rsidR="00C90E0F" w:rsidRPr="004D4442">
        <w:rPr>
          <w:rFonts w:cs="Arial"/>
          <w:szCs w:val="20"/>
          <w:lang w:val="en-GB"/>
        </w:rPr>
        <w:t>, in which, however, wages considerably increased</w:t>
      </w:r>
      <w:r w:rsidR="009300E0">
        <w:rPr>
          <w:rFonts w:cs="Arial"/>
          <w:szCs w:val="20"/>
          <w:lang w:val="en-GB"/>
        </w:rPr>
        <w:t xml:space="preserve"> in total</w:t>
      </w:r>
      <w:r w:rsidR="00C90E0F" w:rsidRPr="004D4442">
        <w:rPr>
          <w:rFonts w:cs="Arial"/>
          <w:szCs w:val="20"/>
          <w:lang w:val="en-GB"/>
        </w:rPr>
        <w:t xml:space="preserve"> by 29.4% and also in </w:t>
      </w:r>
      <w:r w:rsidR="004D4442" w:rsidRPr="004D4442">
        <w:rPr>
          <w:lang w:val="en-GB" w:eastAsia="cs-CZ"/>
        </w:rPr>
        <w:t>‘</w:t>
      </w:r>
      <w:r w:rsidR="00C90E0F" w:rsidRPr="004D4442">
        <w:rPr>
          <w:rFonts w:cs="Arial"/>
          <w:szCs w:val="20"/>
          <w:lang w:val="en-GB"/>
        </w:rPr>
        <w:t>accommodation and food service activities</w:t>
      </w:r>
      <w:r w:rsidR="00513223">
        <w:rPr>
          <w:rFonts w:cs="Arial"/>
          <w:szCs w:val="20"/>
          <w:lang w:val="en-GB"/>
        </w:rPr>
        <w:t>,</w:t>
      </w:r>
      <w:r w:rsidR="004D4442" w:rsidRPr="004D4442">
        <w:rPr>
          <w:szCs w:val="20"/>
          <w:lang w:val="en-GB" w:eastAsia="cs-CZ"/>
        </w:rPr>
        <w:t>’</w:t>
      </w:r>
      <w:r w:rsidR="00C90E0F" w:rsidRPr="004D4442">
        <w:rPr>
          <w:rFonts w:cs="Arial"/>
          <w:szCs w:val="20"/>
          <w:lang w:val="en-GB"/>
        </w:rPr>
        <w:t xml:space="preserve"> in which, on the other hand, </w:t>
      </w:r>
      <w:r w:rsidRPr="004D4442">
        <w:rPr>
          <w:rFonts w:cs="Arial"/>
          <w:szCs w:val="20"/>
          <w:lang w:val="en-GB"/>
        </w:rPr>
        <w:t>wages increased for the whole period only by 23.0% from CZK 19 272 to CZK 23 708.</w:t>
      </w:r>
      <w:r w:rsidRPr="00EE6C46">
        <w:rPr>
          <w:rFonts w:cs="Arial"/>
          <w:szCs w:val="20"/>
          <w:lang w:val="en-GB"/>
        </w:rPr>
        <w:t xml:space="preserve"> </w:t>
      </w:r>
      <w:r w:rsidR="00766072">
        <w:rPr>
          <w:rFonts w:cs="Arial"/>
          <w:szCs w:val="20"/>
          <w:lang w:val="en-GB"/>
        </w:rPr>
        <w:t xml:space="preserve">An unbalanced development is also clear from the annexed chart as for </w:t>
      </w:r>
      <w:r w:rsidR="00766072" w:rsidRPr="004D4442">
        <w:rPr>
          <w:lang w:val="en-GB" w:eastAsia="cs-CZ"/>
        </w:rPr>
        <w:t>‘</w:t>
      </w:r>
      <w:r w:rsidR="00766072">
        <w:rPr>
          <w:rFonts w:cs="Arial"/>
          <w:szCs w:val="20"/>
          <w:lang w:val="en-GB"/>
        </w:rPr>
        <w:t>financial and insurance activities</w:t>
      </w:r>
      <w:r w:rsidR="00766072" w:rsidRPr="004D4442">
        <w:rPr>
          <w:szCs w:val="20"/>
          <w:lang w:val="en-GB" w:eastAsia="cs-CZ"/>
        </w:rPr>
        <w:t>’</w:t>
      </w:r>
      <w:r w:rsidR="00766072">
        <w:rPr>
          <w:rFonts w:cs="Arial"/>
          <w:szCs w:val="20"/>
          <w:lang w:val="en-GB"/>
        </w:rPr>
        <w:t xml:space="preserve">, in which wages increased in total by 24.0% from CZK 54 882 to CZK 68 030. </w:t>
      </w:r>
    </w:p>
    <w:p w:rsidR="004476AB" w:rsidRDefault="004476AB"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highlight w:val="yellow"/>
        </w:rPr>
      </w:pPr>
    </w:p>
    <w:p w:rsidR="002A75EB" w:rsidRDefault="004476AB"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r w:rsidRPr="004476AB">
        <w:rPr>
          <w:rFonts w:cs="Arial"/>
          <w:szCs w:val="20"/>
          <w:lang w:val="en-GB"/>
        </w:rPr>
        <w:t>The diversity of development is also reflected in some changes in the order of industries</w:t>
      </w:r>
      <w:r w:rsidR="00513223">
        <w:rPr>
          <w:rFonts w:cs="Arial"/>
          <w:szCs w:val="20"/>
          <w:lang w:val="en-GB"/>
        </w:rPr>
        <w:t xml:space="preserve"> (economic activities)</w:t>
      </w:r>
      <w:r w:rsidRPr="004476AB">
        <w:rPr>
          <w:rFonts w:cs="Arial"/>
          <w:szCs w:val="20"/>
          <w:lang w:val="en-GB"/>
        </w:rPr>
        <w:t xml:space="preserve"> from the best to the worst paid. The </w:t>
      </w:r>
      <w:r>
        <w:rPr>
          <w:rFonts w:cs="Arial"/>
          <w:szCs w:val="20"/>
          <w:lang w:val="en-GB"/>
        </w:rPr>
        <w:t>economic activities</w:t>
      </w:r>
      <w:r w:rsidRPr="004476AB">
        <w:rPr>
          <w:rFonts w:cs="Arial"/>
          <w:szCs w:val="20"/>
          <w:lang w:val="en-GB"/>
        </w:rPr>
        <w:t xml:space="preserve"> of </w:t>
      </w:r>
      <w:r w:rsidR="00E773F5" w:rsidRPr="004D4442">
        <w:rPr>
          <w:lang w:val="en-GB" w:eastAsia="cs-CZ"/>
        </w:rPr>
        <w:t>‘</w:t>
      </w:r>
      <w:r w:rsidRPr="004476AB">
        <w:rPr>
          <w:rFonts w:cs="Arial"/>
          <w:szCs w:val="20"/>
          <w:lang w:val="en-GB"/>
        </w:rPr>
        <w:t>education</w:t>
      </w:r>
      <w:r w:rsidR="00E773F5" w:rsidRPr="004D4442">
        <w:rPr>
          <w:szCs w:val="20"/>
          <w:lang w:val="en-GB" w:eastAsia="cs-CZ"/>
        </w:rPr>
        <w:t>’</w:t>
      </w:r>
      <w:r w:rsidRPr="004476AB">
        <w:rPr>
          <w:rFonts w:cs="Arial"/>
          <w:szCs w:val="20"/>
          <w:lang w:val="en-GB"/>
        </w:rPr>
        <w:t xml:space="preserve"> and </w:t>
      </w:r>
      <w:r w:rsidR="00E773F5" w:rsidRPr="00F47EC8">
        <w:rPr>
          <w:lang w:val="en-GB"/>
        </w:rPr>
        <w:t>‘</w:t>
      </w:r>
      <w:r w:rsidR="00E773F5">
        <w:rPr>
          <w:lang w:val="en-GB"/>
        </w:rPr>
        <w:t>h</w:t>
      </w:r>
      <w:r w:rsidR="00E773F5" w:rsidRPr="005B5F4D">
        <w:rPr>
          <w:lang w:val="en-GB"/>
        </w:rPr>
        <w:t>uman health and social work activities</w:t>
      </w:r>
      <w:r w:rsidR="00E773F5" w:rsidRPr="00F47EC8">
        <w:rPr>
          <w:lang w:val="en-GB"/>
        </w:rPr>
        <w:t>’</w:t>
      </w:r>
      <w:r w:rsidR="00E773F5">
        <w:rPr>
          <w:lang w:val="en-GB"/>
        </w:rPr>
        <w:t xml:space="preserve"> </w:t>
      </w:r>
      <w:r w:rsidRPr="004476AB">
        <w:rPr>
          <w:rFonts w:cs="Arial"/>
          <w:szCs w:val="20"/>
          <w:lang w:val="en-GB"/>
        </w:rPr>
        <w:t>are special in this regard, remuneration depends</w:t>
      </w:r>
      <w:r w:rsidR="00C9096F">
        <w:rPr>
          <w:rFonts w:cs="Arial"/>
          <w:szCs w:val="20"/>
          <w:lang w:val="en-GB"/>
        </w:rPr>
        <w:t xml:space="preserve"> there</w:t>
      </w:r>
      <w:r w:rsidRPr="004476AB">
        <w:rPr>
          <w:rFonts w:cs="Arial"/>
          <w:szCs w:val="20"/>
          <w:lang w:val="en-GB"/>
        </w:rPr>
        <w:t xml:space="preserve"> to a large extent on government </w:t>
      </w:r>
      <w:r w:rsidRPr="00C9096F">
        <w:rPr>
          <w:rFonts w:cs="Arial"/>
          <w:szCs w:val="20"/>
          <w:lang w:val="en-GB"/>
        </w:rPr>
        <w:t xml:space="preserve">decisions </w:t>
      </w:r>
      <w:r w:rsidR="00C9096F" w:rsidRPr="00C9096F">
        <w:rPr>
          <w:rFonts w:cs="Arial"/>
          <w:szCs w:val="20"/>
          <w:lang w:val="en-GB"/>
        </w:rPr>
        <w:t>on</w:t>
      </w:r>
      <w:r w:rsidRPr="00C9096F">
        <w:rPr>
          <w:rFonts w:cs="Arial"/>
          <w:szCs w:val="20"/>
          <w:lang w:val="en-GB"/>
        </w:rPr>
        <w:t xml:space="preserve"> </w:t>
      </w:r>
      <w:r w:rsidR="00C9096F" w:rsidRPr="00C9096F">
        <w:rPr>
          <w:rFonts w:cs="Arial"/>
          <w:szCs w:val="20"/>
          <w:lang w:val="en-GB"/>
        </w:rPr>
        <w:t>salary scale</w:t>
      </w:r>
      <w:r w:rsidRPr="00C9096F">
        <w:rPr>
          <w:rFonts w:cs="Arial"/>
          <w:szCs w:val="20"/>
          <w:lang w:val="en-GB"/>
        </w:rPr>
        <w:t xml:space="preserve"> adjustments.</w:t>
      </w:r>
      <w:r w:rsidR="00C9096F" w:rsidRPr="00C9096F">
        <w:rPr>
          <w:rFonts w:cs="Arial"/>
          <w:szCs w:val="20"/>
          <w:lang w:val="en-GB"/>
        </w:rPr>
        <w:t xml:space="preserve"> In </w:t>
      </w:r>
      <w:r w:rsidR="00C9096F" w:rsidRPr="00C9096F">
        <w:rPr>
          <w:lang w:val="en-GB" w:eastAsia="cs-CZ"/>
        </w:rPr>
        <w:t>‘</w:t>
      </w:r>
      <w:r w:rsidR="00C9096F" w:rsidRPr="00C9096F">
        <w:rPr>
          <w:rFonts w:cs="Arial"/>
          <w:szCs w:val="20"/>
          <w:lang w:val="en-GB"/>
        </w:rPr>
        <w:t>education</w:t>
      </w:r>
      <w:r w:rsidR="00C9096F" w:rsidRPr="00C9096F">
        <w:rPr>
          <w:szCs w:val="20"/>
          <w:lang w:val="en-GB" w:eastAsia="cs-CZ"/>
        </w:rPr>
        <w:t xml:space="preserve">’ in </w:t>
      </w:r>
      <w:r w:rsidR="00C9096F" w:rsidRPr="00C9096F">
        <w:rPr>
          <w:rFonts w:cs="Arial"/>
          <w:szCs w:val="20"/>
          <w:lang w:val="en-GB"/>
        </w:rPr>
        <w:t>2018</w:t>
      </w:r>
      <w:r w:rsidR="00B2298F" w:rsidRPr="007D293E">
        <w:rPr>
          <w:rFonts w:cs="Arial"/>
          <w:color w:val="000000" w:themeColor="text1"/>
          <w:szCs w:val="20"/>
        </w:rPr>
        <w:t>–</w:t>
      </w:r>
      <w:r w:rsidR="00C9096F" w:rsidRPr="00C9096F">
        <w:rPr>
          <w:rFonts w:cs="Arial"/>
          <w:szCs w:val="20"/>
          <w:lang w:val="en-GB"/>
        </w:rPr>
        <w:t>2020</w:t>
      </w:r>
      <w:r w:rsidR="00C9096F">
        <w:rPr>
          <w:rFonts w:cs="Arial"/>
          <w:szCs w:val="20"/>
          <w:lang w:val="en-GB"/>
        </w:rPr>
        <w:t xml:space="preserve">, the average wage was considerably increasing, however, afterwards it started to </w:t>
      </w:r>
      <w:r w:rsidR="00934995">
        <w:rPr>
          <w:rFonts w:cs="Arial"/>
          <w:szCs w:val="20"/>
          <w:lang w:val="en-GB"/>
        </w:rPr>
        <w:t>slow down; in total, it thus increased by 31.8% from CZK 31 464 to CZK 41 485. While in 2018 it was still below the level of an average wage in manufacturing (by CZK 429), in 2022 it was</w:t>
      </w:r>
      <w:r w:rsidR="00513223">
        <w:rPr>
          <w:rFonts w:cs="Arial"/>
          <w:szCs w:val="20"/>
          <w:lang w:val="en-GB"/>
        </w:rPr>
        <w:t xml:space="preserve"> already</w:t>
      </w:r>
      <w:r w:rsidR="00934995">
        <w:rPr>
          <w:rFonts w:cs="Arial"/>
          <w:szCs w:val="20"/>
          <w:lang w:val="en-GB"/>
        </w:rPr>
        <w:t xml:space="preserve"> considerably exceeding it (by CZK 2 586).</w:t>
      </w:r>
      <w:r w:rsidR="00B24709">
        <w:rPr>
          <w:rFonts w:cs="Arial"/>
          <w:szCs w:val="20"/>
          <w:lang w:val="en-GB"/>
        </w:rPr>
        <w:t xml:space="preserve"> </w:t>
      </w:r>
      <w:r w:rsidR="00B24709" w:rsidRPr="003A7E64">
        <w:rPr>
          <w:rFonts w:cs="Arial"/>
          <w:szCs w:val="20"/>
          <w:lang w:val="en-GB"/>
        </w:rPr>
        <w:t xml:space="preserve">In </w:t>
      </w:r>
      <w:r w:rsidR="00B24709" w:rsidRPr="003A7E64">
        <w:rPr>
          <w:lang w:val="en-GB"/>
        </w:rPr>
        <w:t xml:space="preserve">‘human health and social work activities,’ </w:t>
      </w:r>
      <w:r w:rsidR="003A7E64" w:rsidRPr="003A7E64">
        <w:rPr>
          <w:lang w:val="en-GB"/>
        </w:rPr>
        <w:t xml:space="preserve">the growth was even sharper </w:t>
      </w:r>
      <w:r w:rsidR="003A7E64" w:rsidRPr="003A7E64">
        <w:rPr>
          <w:rFonts w:cs="Arial"/>
          <w:szCs w:val="20"/>
          <w:lang w:val="en-GB"/>
        </w:rPr>
        <w:t>–</w:t>
      </w:r>
      <w:r w:rsidR="003A7E64">
        <w:rPr>
          <w:rFonts w:cs="Arial"/>
          <w:szCs w:val="20"/>
          <w:lang w:val="en-GB"/>
        </w:rPr>
        <w:t xml:space="preserve"> up to 2021, when</w:t>
      </w:r>
      <w:r w:rsidR="003E5406">
        <w:rPr>
          <w:rFonts w:cs="Arial"/>
          <w:szCs w:val="20"/>
          <w:lang w:val="en-GB"/>
        </w:rPr>
        <w:t xml:space="preserve"> high</w:t>
      </w:r>
      <w:r w:rsidR="003A7E64">
        <w:rPr>
          <w:rFonts w:cs="Arial"/>
          <w:szCs w:val="20"/>
          <w:lang w:val="en-GB"/>
        </w:rPr>
        <w:t xml:space="preserve"> covid bonuses were paid; however, afterwards wages slumped. In total, wages increased there by 31.1% from CZK 33 871 to CZK 44 417, by which this economic activity exceeded the wage level in</w:t>
      </w:r>
      <w:r w:rsidR="00EE7B5B">
        <w:rPr>
          <w:rFonts w:cs="Arial"/>
          <w:szCs w:val="20"/>
          <w:lang w:val="en-GB"/>
        </w:rPr>
        <w:t xml:space="preserve"> </w:t>
      </w:r>
      <w:r w:rsidR="00EE7B5B" w:rsidRPr="007327FE">
        <w:rPr>
          <w:lang w:val="en-GB"/>
        </w:rPr>
        <w:t>‘public administration and defence; compuls</w:t>
      </w:r>
      <w:r w:rsidR="00EE7B5B">
        <w:rPr>
          <w:lang w:val="en-GB"/>
        </w:rPr>
        <w:t>ory social security</w:t>
      </w:r>
      <w:r w:rsidR="00EE7B5B" w:rsidRPr="007327FE">
        <w:rPr>
          <w:lang w:val="en-GB"/>
        </w:rPr>
        <w:t>’</w:t>
      </w:r>
      <w:r w:rsidR="00EE7B5B">
        <w:rPr>
          <w:lang w:val="en-GB"/>
        </w:rPr>
        <w:t xml:space="preserve">. </w:t>
      </w:r>
    </w:p>
    <w:p w:rsidR="00EE7B5B" w:rsidRDefault="00EE7B5B"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highlight w:val="yellow"/>
        </w:rPr>
      </w:pPr>
    </w:p>
    <w:p w:rsidR="002A75EB" w:rsidRPr="007327FE" w:rsidRDefault="002A75EB"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7327FE">
        <w:rPr>
          <w:rFonts w:cs="Arial"/>
          <w:szCs w:val="20"/>
          <w:lang w:val="en-GB"/>
        </w:rPr>
        <w:t xml:space="preserve">A rather </w:t>
      </w:r>
      <w:r w:rsidR="00255A89" w:rsidRPr="007327FE">
        <w:rPr>
          <w:rFonts w:cs="Arial"/>
          <w:szCs w:val="20"/>
          <w:lang w:val="en-GB"/>
        </w:rPr>
        <w:t>smooth</w:t>
      </w:r>
      <w:r w:rsidRPr="007327FE">
        <w:rPr>
          <w:rFonts w:cs="Arial"/>
          <w:szCs w:val="20"/>
          <w:lang w:val="en-GB"/>
        </w:rPr>
        <w:t xml:space="preserve"> development can be found in </w:t>
      </w:r>
      <w:r w:rsidRPr="007327FE">
        <w:rPr>
          <w:lang w:val="en-GB" w:eastAsia="cs-CZ"/>
        </w:rPr>
        <w:t>‘</w:t>
      </w:r>
      <w:r w:rsidRPr="007327FE">
        <w:rPr>
          <w:rFonts w:cs="Arial"/>
          <w:szCs w:val="20"/>
          <w:lang w:val="en-GB"/>
        </w:rPr>
        <w:t>i</w:t>
      </w:r>
      <w:r w:rsidRPr="007327FE">
        <w:rPr>
          <w:color w:val="000000"/>
          <w:lang w:val="en-GB"/>
        </w:rPr>
        <w:t>nformation and communication</w:t>
      </w:r>
      <w:r w:rsidRPr="007327FE">
        <w:rPr>
          <w:szCs w:val="20"/>
          <w:lang w:val="en-GB" w:eastAsia="cs-CZ"/>
        </w:rPr>
        <w:t>’</w:t>
      </w:r>
      <w:r w:rsidR="00255A89" w:rsidRPr="007327FE">
        <w:rPr>
          <w:szCs w:val="20"/>
          <w:lang w:val="en-GB" w:eastAsia="cs-CZ"/>
        </w:rPr>
        <w:t xml:space="preserve"> and ‘electricity, gas, steam and air conditioning supply’, which are industries with the highest and the third highest, respectively, absolute level of the average wage (see Chart</w:t>
      </w:r>
      <w:r w:rsidR="00C93745" w:rsidRPr="007327FE">
        <w:rPr>
          <w:szCs w:val="20"/>
          <w:lang w:val="en-GB" w:eastAsia="cs-CZ"/>
        </w:rPr>
        <w:t> 1</w:t>
      </w:r>
      <w:r w:rsidR="005A0BAE" w:rsidRPr="007327FE">
        <w:rPr>
          <w:szCs w:val="20"/>
          <w:lang w:val="en-GB" w:eastAsia="cs-CZ"/>
        </w:rPr>
        <w:t xml:space="preserve"> above</w:t>
      </w:r>
      <w:r w:rsidR="00255A89" w:rsidRPr="007327FE">
        <w:rPr>
          <w:szCs w:val="20"/>
          <w:lang w:val="en-GB" w:eastAsia="cs-CZ"/>
        </w:rPr>
        <w:t xml:space="preserve">). </w:t>
      </w:r>
      <w:r w:rsidRPr="007327FE">
        <w:rPr>
          <w:rFonts w:cs="Arial"/>
          <w:szCs w:val="20"/>
          <w:lang w:val="en-GB"/>
        </w:rPr>
        <w:t xml:space="preserve"> </w:t>
      </w:r>
    </w:p>
    <w:p w:rsidR="006C5FF2" w:rsidRPr="007327FE" w:rsidRDefault="006C5FF2"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rsidR="00513395" w:rsidRPr="007327FE" w:rsidRDefault="006C5FF2" w:rsidP="00312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r w:rsidRPr="007327FE">
        <w:rPr>
          <w:rFonts w:cs="Arial"/>
          <w:szCs w:val="20"/>
          <w:lang w:val="en-GB"/>
        </w:rPr>
        <w:t xml:space="preserve">Economic activities (industries) underwent a remarkable development also as for the registered number of employees. It increased the most in </w:t>
      </w:r>
      <w:r w:rsidR="007F29FE" w:rsidRPr="007327FE">
        <w:rPr>
          <w:lang w:val="en-GB" w:eastAsia="cs-CZ"/>
        </w:rPr>
        <w:t>‘</w:t>
      </w:r>
      <w:r w:rsidR="007F29FE" w:rsidRPr="007327FE">
        <w:rPr>
          <w:rFonts w:cs="Arial"/>
          <w:szCs w:val="20"/>
          <w:lang w:val="en-GB"/>
        </w:rPr>
        <w:t>i</w:t>
      </w:r>
      <w:r w:rsidR="007F29FE" w:rsidRPr="007327FE">
        <w:rPr>
          <w:color w:val="000000"/>
          <w:lang w:val="en-GB"/>
        </w:rPr>
        <w:t>nformation and communication,</w:t>
      </w:r>
      <w:r w:rsidR="007F29FE" w:rsidRPr="007327FE">
        <w:rPr>
          <w:szCs w:val="20"/>
          <w:lang w:val="en-GB" w:eastAsia="cs-CZ"/>
        </w:rPr>
        <w:t xml:space="preserve">’ </w:t>
      </w:r>
      <w:r w:rsidR="003E5406">
        <w:rPr>
          <w:szCs w:val="20"/>
          <w:lang w:val="en-GB" w:eastAsia="cs-CZ"/>
        </w:rPr>
        <w:t xml:space="preserve">in </w:t>
      </w:r>
      <w:r w:rsidR="007F29FE" w:rsidRPr="007327FE">
        <w:rPr>
          <w:szCs w:val="20"/>
          <w:lang w:val="en-GB" w:eastAsia="cs-CZ"/>
        </w:rPr>
        <w:t xml:space="preserve">which </w:t>
      </w:r>
      <w:r w:rsidR="003E5406">
        <w:rPr>
          <w:szCs w:val="20"/>
          <w:lang w:val="en-GB" w:eastAsia="cs-CZ"/>
        </w:rPr>
        <w:t xml:space="preserve">it </w:t>
      </w:r>
      <w:r w:rsidR="007F29FE" w:rsidRPr="007327FE">
        <w:rPr>
          <w:szCs w:val="20"/>
          <w:lang w:val="en-GB" w:eastAsia="cs-CZ"/>
        </w:rPr>
        <w:t xml:space="preserve">increased by 12.4% for the four-year period. A considerable increase by 11.8% was in </w:t>
      </w:r>
      <w:r w:rsidR="007F29FE" w:rsidRPr="007327FE">
        <w:rPr>
          <w:lang w:val="en-GB" w:eastAsia="cs-CZ"/>
        </w:rPr>
        <w:t>‘</w:t>
      </w:r>
      <w:r w:rsidR="007F29FE" w:rsidRPr="007327FE">
        <w:rPr>
          <w:szCs w:val="20"/>
          <w:lang w:val="en-GB" w:eastAsia="cs-CZ"/>
        </w:rPr>
        <w:t xml:space="preserve">education’ and by 9.0% in </w:t>
      </w:r>
      <w:r w:rsidR="007F29FE" w:rsidRPr="007327FE">
        <w:rPr>
          <w:lang w:val="en-GB" w:eastAsia="cs-CZ"/>
        </w:rPr>
        <w:t>‘</w:t>
      </w:r>
      <w:r w:rsidR="007F29FE" w:rsidRPr="007327FE">
        <w:rPr>
          <w:szCs w:val="20"/>
          <w:lang w:val="en-GB" w:eastAsia="cs-CZ"/>
        </w:rPr>
        <w:t xml:space="preserve">real estate activities’. On the other hand, the biggest slump in the number of employees can be found in </w:t>
      </w:r>
      <w:r w:rsidR="007F29FE" w:rsidRPr="007327FE">
        <w:rPr>
          <w:lang w:val="en-GB"/>
        </w:rPr>
        <w:t>‘mining and quarrying,’ in which almost a quarter of jobs (23.1%) disappeared.</w:t>
      </w:r>
      <w:r w:rsidR="00865EF4" w:rsidRPr="007327FE">
        <w:rPr>
          <w:lang w:val="en-GB"/>
        </w:rPr>
        <w:t xml:space="preserve"> Other strong decreases were in </w:t>
      </w:r>
      <w:r w:rsidR="00E201B6" w:rsidRPr="007327FE">
        <w:rPr>
          <w:lang w:val="en-GB" w:eastAsia="cs-CZ"/>
        </w:rPr>
        <w:t>‘administrative and support service activities</w:t>
      </w:r>
      <w:r w:rsidR="00E201B6" w:rsidRPr="007327FE">
        <w:rPr>
          <w:szCs w:val="20"/>
          <w:lang w:val="en-GB" w:eastAsia="cs-CZ"/>
        </w:rPr>
        <w:t>’</w:t>
      </w:r>
      <w:r w:rsidR="00E201B6" w:rsidRPr="007327FE">
        <w:rPr>
          <w:lang w:val="en-GB"/>
        </w:rPr>
        <w:t xml:space="preserve"> </w:t>
      </w:r>
      <w:r w:rsidR="00E201B6" w:rsidRPr="007327FE">
        <w:rPr>
          <w:rFonts w:cs="Arial"/>
          <w:szCs w:val="20"/>
        </w:rPr>
        <w:t>(17.</w:t>
      </w:r>
      <w:r w:rsidRPr="007327FE">
        <w:rPr>
          <w:rFonts w:cs="Arial"/>
          <w:szCs w:val="20"/>
        </w:rPr>
        <w:t>6%) a</w:t>
      </w:r>
      <w:r w:rsidR="00E201B6" w:rsidRPr="007327FE">
        <w:rPr>
          <w:rFonts w:cs="Arial"/>
          <w:szCs w:val="20"/>
        </w:rPr>
        <w:t>nd in</w:t>
      </w:r>
      <w:r w:rsidR="00513395" w:rsidRPr="007327FE">
        <w:rPr>
          <w:rFonts w:cs="Arial"/>
          <w:szCs w:val="20"/>
        </w:rPr>
        <w:t xml:space="preserve"> </w:t>
      </w:r>
      <w:r w:rsidR="00513395" w:rsidRPr="007327FE">
        <w:rPr>
          <w:lang w:val="en-GB"/>
        </w:rPr>
        <w:t>‘</w:t>
      </w:r>
      <w:r w:rsidR="00513395" w:rsidRPr="007327FE">
        <w:rPr>
          <w:szCs w:val="20"/>
          <w:lang w:val="en-GB" w:eastAsia="cs-CZ"/>
        </w:rPr>
        <w:t>accommodation and food service activities</w:t>
      </w:r>
      <w:r w:rsidR="00513395" w:rsidRPr="007327FE">
        <w:rPr>
          <w:lang w:val="en-GB"/>
        </w:rPr>
        <w:t>’</w:t>
      </w:r>
      <w:r w:rsidR="00513395" w:rsidRPr="007327FE">
        <w:rPr>
          <w:rFonts w:cs="Arial"/>
          <w:szCs w:val="20"/>
        </w:rPr>
        <w:t xml:space="preserve"> (12.</w:t>
      </w:r>
      <w:r w:rsidRPr="007327FE">
        <w:rPr>
          <w:rFonts w:cs="Arial"/>
          <w:szCs w:val="20"/>
        </w:rPr>
        <w:t>1%).</w:t>
      </w:r>
      <w:r w:rsidR="00513395" w:rsidRPr="007327FE">
        <w:rPr>
          <w:rFonts w:cs="Arial"/>
          <w:szCs w:val="20"/>
        </w:rPr>
        <w:t xml:space="preserve"> </w:t>
      </w:r>
      <w:r w:rsidR="006B4AF0" w:rsidRPr="007327FE">
        <w:rPr>
          <w:rFonts w:cs="Arial"/>
          <w:szCs w:val="20"/>
        </w:rPr>
        <w:t>In</w:t>
      </w:r>
      <w:r w:rsidRPr="007327FE">
        <w:rPr>
          <w:rFonts w:cs="Arial"/>
          <w:szCs w:val="20"/>
        </w:rPr>
        <w:t xml:space="preserve"> </w:t>
      </w:r>
      <w:r w:rsidR="006B4AF0" w:rsidRPr="007327FE">
        <w:rPr>
          <w:lang w:val="en-GB"/>
        </w:rPr>
        <w:t xml:space="preserve">‘public administration and defence; compulsory social security,’ which is often discussed in the media, there was a drop by 0.1%. </w:t>
      </w:r>
    </w:p>
    <w:p w:rsidR="00381181" w:rsidRPr="007327FE" w:rsidRDefault="00381181" w:rsidP="005860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rsidR="00A67988" w:rsidRPr="007327FE" w:rsidRDefault="00A67988" w:rsidP="00A67988">
      <w:pPr>
        <w:rPr>
          <w:b/>
          <w:lang w:val="en-GB"/>
        </w:rPr>
      </w:pPr>
      <w:r w:rsidRPr="007327FE">
        <w:rPr>
          <w:b/>
          <w:lang w:val="en-GB"/>
        </w:rPr>
        <w:t xml:space="preserve">Median </w:t>
      </w:r>
      <w:r w:rsidR="00522F94" w:rsidRPr="007327FE">
        <w:rPr>
          <w:b/>
          <w:lang w:val="en-GB"/>
        </w:rPr>
        <w:t>w</w:t>
      </w:r>
      <w:r w:rsidRPr="007327FE">
        <w:rPr>
          <w:b/>
          <w:lang w:val="en-GB"/>
        </w:rPr>
        <w:t xml:space="preserve">ages and </w:t>
      </w:r>
      <w:r w:rsidR="00B85943" w:rsidRPr="007327FE">
        <w:rPr>
          <w:b/>
          <w:lang w:val="en-GB"/>
        </w:rPr>
        <w:t>decile intervals of wages</w:t>
      </w:r>
      <w:r w:rsidR="002C4B71" w:rsidRPr="007327FE">
        <w:rPr>
          <w:b/>
          <w:lang w:val="en-GB"/>
        </w:rPr>
        <w:t xml:space="preserve">, </w:t>
      </w:r>
      <w:r w:rsidR="009B6BA8" w:rsidRPr="007327FE">
        <w:rPr>
          <w:b/>
          <w:lang w:val="en-GB"/>
        </w:rPr>
        <w:t>breakdown by sex</w:t>
      </w:r>
    </w:p>
    <w:p w:rsidR="0080342C" w:rsidRPr="007327FE" w:rsidRDefault="0080342C" w:rsidP="00E13A42">
      <w:pPr>
        <w:pStyle w:val="Zkladntextodsazen3"/>
        <w:spacing w:after="0" w:line="276" w:lineRule="auto"/>
        <w:ind w:firstLine="0"/>
        <w:rPr>
          <w:rFonts w:cs="Arial"/>
          <w:lang w:val="en-GB"/>
        </w:rPr>
      </w:pPr>
      <w:r w:rsidRPr="007327FE">
        <w:rPr>
          <w:rFonts w:cs="Arial"/>
          <w:lang w:val="en-GB"/>
        </w:rPr>
        <w:t>The News Release of the CZSO on wages also contains a piece of data on the median wage, which is calculated from a mathematical model of the distribution of earnings and shows the wage of a middle employee, i.e. a common wage level. Extreme deciles were calculated concurrently, too. In the Q4 2022, the median wage got to CZK </w:t>
      </w:r>
      <w:r w:rsidR="00AD28A1" w:rsidRPr="007327FE">
        <w:rPr>
          <w:rFonts w:cs="Arial"/>
          <w:bCs/>
          <w:szCs w:val="20"/>
          <w:lang w:val="en-GB"/>
        </w:rPr>
        <w:t>37 463</w:t>
      </w:r>
      <w:r w:rsidRPr="007327FE">
        <w:rPr>
          <w:rFonts w:cs="Arial"/>
          <w:lang w:val="en-GB"/>
        </w:rPr>
        <w:t>, which is by CZK</w:t>
      </w:r>
      <w:r w:rsidR="00947C5C" w:rsidRPr="007327FE">
        <w:rPr>
          <w:rFonts w:cs="Arial"/>
          <w:lang w:val="en-GB"/>
        </w:rPr>
        <w:t xml:space="preserve"> 3 084 (by 9.0%) more </w:t>
      </w:r>
      <w:r w:rsidRPr="007327FE">
        <w:rPr>
          <w:rFonts w:cs="Arial"/>
          <w:bCs/>
          <w:szCs w:val="20"/>
          <w:lang w:val="en-GB"/>
        </w:rPr>
        <w:t xml:space="preserve">than in the corresponding period of the previous year. </w:t>
      </w:r>
    </w:p>
    <w:p w:rsidR="00A37EF6" w:rsidRPr="007327FE" w:rsidRDefault="00A37EF6" w:rsidP="00E13A42">
      <w:pPr>
        <w:pStyle w:val="Zkladntextodsazen3"/>
        <w:spacing w:after="0" w:line="276" w:lineRule="auto"/>
        <w:ind w:firstLine="0"/>
        <w:rPr>
          <w:rFonts w:cs="Arial"/>
          <w:bCs/>
          <w:szCs w:val="20"/>
        </w:rPr>
      </w:pPr>
    </w:p>
    <w:p w:rsidR="00796B50" w:rsidRPr="007327FE" w:rsidRDefault="00A37EF6" w:rsidP="00E13A42">
      <w:pPr>
        <w:pStyle w:val="Zkladntextodsazen3"/>
        <w:spacing w:after="0" w:line="276" w:lineRule="auto"/>
        <w:ind w:firstLine="0"/>
        <w:rPr>
          <w:rFonts w:cs="Arial"/>
          <w:bCs/>
          <w:szCs w:val="20"/>
          <w:lang w:val="en-GB"/>
        </w:rPr>
      </w:pPr>
      <w:r w:rsidRPr="007327FE">
        <w:rPr>
          <w:rFonts w:cs="Arial"/>
          <w:lang w:val="en-GB"/>
        </w:rPr>
        <w:t>The wage interval has slightly narrowed in the Q4 2022, year-on-year. Ten percent of employees with the lowest wages were receiving a gross wage below CZK </w:t>
      </w:r>
      <w:r w:rsidRPr="007327FE">
        <w:rPr>
          <w:rFonts w:cs="Arial"/>
          <w:bCs/>
          <w:szCs w:val="20"/>
        </w:rPr>
        <w:t>18 666</w:t>
      </w:r>
      <w:r w:rsidRPr="007327FE">
        <w:rPr>
          <w:rFonts w:cs="Arial"/>
          <w:lang w:val="en-GB"/>
        </w:rPr>
        <w:t xml:space="preserve"> (the bottom decile increased by 8.0%, y-o-y), whereas the opposite tenth having highest wages earned over CZK</w:t>
      </w:r>
      <w:r w:rsidR="0036317E" w:rsidRPr="007327FE">
        <w:rPr>
          <w:rFonts w:cs="Arial"/>
          <w:lang w:val="en-GB"/>
        </w:rPr>
        <w:t> 70 514</w:t>
      </w:r>
      <w:r w:rsidRPr="007327FE">
        <w:rPr>
          <w:rFonts w:cs="Arial"/>
          <w:lang w:val="en-GB"/>
        </w:rPr>
        <w:t xml:space="preserve"> (the top decile increased by </w:t>
      </w:r>
      <w:r w:rsidR="0036317E" w:rsidRPr="007327FE">
        <w:rPr>
          <w:rFonts w:cs="Arial"/>
          <w:lang w:val="en-GB"/>
        </w:rPr>
        <w:t>7.2</w:t>
      </w:r>
      <w:r w:rsidRPr="007327FE">
        <w:rPr>
          <w:rFonts w:cs="Arial"/>
          <w:lang w:val="en-GB"/>
        </w:rPr>
        <w:t xml:space="preserve">%). </w:t>
      </w:r>
      <w:r w:rsidR="0036317E" w:rsidRPr="007327FE">
        <w:rPr>
          <w:rFonts w:cs="Arial"/>
          <w:lang w:val="en-GB"/>
        </w:rPr>
        <w:t>The decile ratio decreased by 0.03 </w:t>
      </w:r>
      <w:r w:rsidRPr="007327FE">
        <w:rPr>
          <w:rFonts w:cs="Arial"/>
          <w:lang w:val="en-GB"/>
        </w:rPr>
        <w:t>point, year-on-year</w:t>
      </w:r>
      <w:r w:rsidR="0036317E" w:rsidRPr="007327FE">
        <w:rPr>
          <w:rFonts w:cs="Arial"/>
          <w:lang w:val="en-GB"/>
        </w:rPr>
        <w:t>.</w:t>
      </w:r>
      <w:r w:rsidR="0036317E" w:rsidRPr="007327FE">
        <w:rPr>
          <w:rFonts w:cs="Arial"/>
          <w:bCs/>
          <w:szCs w:val="20"/>
          <w:lang w:val="en-GB"/>
        </w:rPr>
        <w:t xml:space="preserve"> </w:t>
      </w:r>
      <w:r w:rsidR="00796B50" w:rsidRPr="007327FE">
        <w:rPr>
          <w:rFonts w:cs="Arial"/>
          <w:bCs/>
          <w:szCs w:val="20"/>
          <w:lang w:val="en-GB"/>
        </w:rPr>
        <w:t xml:space="preserve">Females played an exclusive role in this development; conversely, among males, the distribution (wage interval) widened. </w:t>
      </w:r>
    </w:p>
    <w:p w:rsidR="007121A8" w:rsidRPr="007327FE" w:rsidRDefault="007121A8" w:rsidP="00E13A42">
      <w:pPr>
        <w:pStyle w:val="Zkladntextodsazen3"/>
        <w:spacing w:after="0" w:line="276" w:lineRule="auto"/>
        <w:ind w:firstLine="0"/>
        <w:rPr>
          <w:rFonts w:cs="Arial"/>
          <w:bCs/>
          <w:color w:val="E36C0A" w:themeColor="accent6" w:themeShade="BF"/>
          <w:szCs w:val="20"/>
        </w:rPr>
      </w:pPr>
    </w:p>
    <w:p w:rsidR="00223AE7" w:rsidRPr="007327FE" w:rsidRDefault="00223AE7" w:rsidP="00E13A42">
      <w:pPr>
        <w:pStyle w:val="Zkladntextodsazen3"/>
        <w:spacing w:after="0" w:line="276" w:lineRule="auto"/>
        <w:ind w:firstLine="0"/>
        <w:rPr>
          <w:rFonts w:cs="Arial"/>
          <w:bCs/>
          <w:szCs w:val="20"/>
          <w:lang w:val="en-GB"/>
        </w:rPr>
      </w:pPr>
      <w:r w:rsidRPr="007327FE">
        <w:rPr>
          <w:rFonts w:cs="Arial"/>
          <w:bCs/>
          <w:szCs w:val="20"/>
          <w:lang w:val="en-GB"/>
        </w:rPr>
        <w:t xml:space="preserve">Male median wages were still </w:t>
      </w:r>
      <w:r w:rsidR="009D0F09">
        <w:rPr>
          <w:rFonts w:cs="Arial"/>
          <w:bCs/>
          <w:szCs w:val="20"/>
          <w:lang w:val="en-GB"/>
        </w:rPr>
        <w:t>considerably</w:t>
      </w:r>
      <w:r w:rsidRPr="007327FE">
        <w:rPr>
          <w:rFonts w:cs="Arial"/>
          <w:bCs/>
          <w:szCs w:val="20"/>
          <w:lang w:val="en-GB"/>
        </w:rPr>
        <w:t xml:space="preserve"> higher than female ones; in the Q4 2022, the female median wage was CZK 34 554, whereas the male median wage was CZK 40 232. The gap between median earnings thus was 14.1%.   </w:t>
      </w:r>
    </w:p>
    <w:p w:rsidR="00B90BAB" w:rsidRPr="007327FE" w:rsidRDefault="00B90BAB" w:rsidP="00894B6C">
      <w:pPr>
        <w:pStyle w:val="Zkladntextodsazen3"/>
        <w:spacing w:after="0" w:line="276" w:lineRule="auto"/>
        <w:ind w:firstLine="0"/>
        <w:rPr>
          <w:bCs/>
          <w:szCs w:val="18"/>
        </w:rPr>
      </w:pPr>
    </w:p>
    <w:p w:rsidR="0055325D" w:rsidRPr="007327FE" w:rsidRDefault="008E29D0" w:rsidP="008E29D0">
      <w:pPr>
        <w:pStyle w:val="Zkladntextodsazen3"/>
        <w:spacing w:after="0" w:line="276" w:lineRule="auto"/>
        <w:ind w:firstLine="0"/>
        <w:rPr>
          <w:rFonts w:cs="Arial"/>
          <w:lang w:val="en-GB"/>
        </w:rPr>
      </w:pPr>
      <w:r w:rsidRPr="007327FE">
        <w:rPr>
          <w:rFonts w:cs="Arial"/>
          <w:bCs/>
          <w:szCs w:val="20"/>
          <w:lang w:val="en-GB"/>
        </w:rPr>
        <w:t xml:space="preserve">Concurrently, wages of males </w:t>
      </w:r>
      <w:r w:rsidRPr="007327FE">
        <w:rPr>
          <w:rFonts w:cs="Arial"/>
          <w:lang w:val="en-GB"/>
        </w:rPr>
        <w:t>were distributed over a substantially wider interval</w:t>
      </w:r>
      <w:r w:rsidR="009A6CFE" w:rsidRPr="007327FE">
        <w:rPr>
          <w:rFonts w:cs="Arial"/>
          <w:lang w:val="en-GB"/>
        </w:rPr>
        <w:t>,</w:t>
      </w:r>
      <w:r w:rsidR="0005497F" w:rsidRPr="007327FE">
        <w:rPr>
          <w:rFonts w:cs="Arial"/>
          <w:lang w:val="en-GB"/>
        </w:rPr>
        <w:t xml:space="preserve"> especially the area of high earnings </w:t>
      </w:r>
      <w:r w:rsidR="00883A16" w:rsidRPr="007327FE">
        <w:rPr>
          <w:rFonts w:cs="Arial"/>
          <w:lang w:val="en-GB"/>
        </w:rPr>
        <w:t>is</w:t>
      </w:r>
      <w:r w:rsidR="0005497F" w:rsidRPr="007327FE">
        <w:rPr>
          <w:rFonts w:cs="Arial"/>
          <w:lang w:val="en-GB"/>
        </w:rPr>
        <w:t xml:space="preserve"> considerably higher for males than for females,</w:t>
      </w:r>
      <w:r w:rsidR="007716FC" w:rsidRPr="007327FE">
        <w:rPr>
          <w:rFonts w:cs="Arial"/>
          <w:lang w:val="en-GB"/>
        </w:rPr>
        <w:t xml:space="preserve"> which was even supported by the latest development. </w:t>
      </w:r>
      <w:r w:rsidR="00B81CC0" w:rsidRPr="007327FE">
        <w:rPr>
          <w:rFonts w:cs="Arial"/>
          <w:lang w:val="en-GB"/>
        </w:rPr>
        <w:t xml:space="preserve">As for the top decile for females, their earnings currently increased by 4.4%, whereas for males they increased by 9.6%. </w:t>
      </w:r>
      <w:r w:rsidR="00FB4A36" w:rsidRPr="007327FE">
        <w:rPr>
          <w:rFonts w:cs="Arial"/>
          <w:lang w:val="en-GB"/>
        </w:rPr>
        <w:t>The top decile for females thus was CZK 62 986 and</w:t>
      </w:r>
      <w:r w:rsidR="00B81CC0" w:rsidRPr="007327FE">
        <w:rPr>
          <w:rFonts w:cs="Arial"/>
          <w:lang w:val="en-GB"/>
        </w:rPr>
        <w:t xml:space="preserve"> </w:t>
      </w:r>
      <w:r w:rsidR="00610134" w:rsidRPr="007327FE">
        <w:rPr>
          <w:rFonts w:cs="Arial"/>
          <w:lang w:val="en-GB"/>
        </w:rPr>
        <w:t>for males it was CZK 78 190, by which the gap at high earnings was 19.4%.</w:t>
      </w:r>
      <w:r w:rsidR="0055325D" w:rsidRPr="007327FE">
        <w:rPr>
          <w:rFonts w:cs="Arial"/>
          <w:lang w:val="en-GB"/>
        </w:rPr>
        <w:t xml:space="preserve"> </w:t>
      </w:r>
      <w:r w:rsidRPr="007327FE">
        <w:rPr>
          <w:rFonts w:cs="Arial"/>
          <w:lang w:val="en-GB"/>
        </w:rPr>
        <w:t xml:space="preserve">As for </w:t>
      </w:r>
      <w:r w:rsidR="00A60BA4" w:rsidRPr="007327FE">
        <w:rPr>
          <w:rFonts w:cs="Arial"/>
          <w:lang w:val="en-GB"/>
        </w:rPr>
        <w:t>low earnings, the difference is</w:t>
      </w:r>
      <w:r w:rsidRPr="007327FE">
        <w:rPr>
          <w:rFonts w:cs="Arial"/>
          <w:lang w:val="en-GB"/>
        </w:rPr>
        <w:t xml:space="preserve"> </w:t>
      </w:r>
      <w:r w:rsidR="0055325D" w:rsidRPr="007327FE">
        <w:rPr>
          <w:rFonts w:cs="Arial"/>
          <w:lang w:val="en-GB"/>
        </w:rPr>
        <w:t>lower</w:t>
      </w:r>
      <w:r w:rsidR="00A60BA4" w:rsidRPr="007327FE">
        <w:rPr>
          <w:rFonts w:cs="Arial"/>
          <w:lang w:val="en-GB"/>
        </w:rPr>
        <w:t xml:space="preserve"> as usually:</w:t>
      </w:r>
      <w:r w:rsidRPr="007327FE">
        <w:rPr>
          <w:rFonts w:cs="Arial"/>
          <w:lang w:val="en-GB"/>
        </w:rPr>
        <w:t xml:space="preserve"> the bottom decile for females</w:t>
      </w:r>
      <w:r w:rsidR="0055325D" w:rsidRPr="007327FE">
        <w:rPr>
          <w:rFonts w:cs="Arial"/>
          <w:lang w:val="en-GB"/>
        </w:rPr>
        <w:t xml:space="preserve"> currently</w:t>
      </w:r>
      <w:r w:rsidRPr="007327FE">
        <w:rPr>
          <w:rFonts w:cs="Arial"/>
          <w:lang w:val="en-GB"/>
        </w:rPr>
        <w:t xml:space="preserve"> </w:t>
      </w:r>
      <w:r w:rsidR="00A60BA4" w:rsidRPr="007327FE">
        <w:rPr>
          <w:rFonts w:cs="Arial"/>
          <w:lang w:val="en-GB"/>
        </w:rPr>
        <w:t>increased</w:t>
      </w:r>
      <w:r w:rsidR="00FC095B" w:rsidRPr="007327FE">
        <w:rPr>
          <w:rFonts w:cs="Arial"/>
          <w:lang w:val="en-GB"/>
        </w:rPr>
        <w:t xml:space="preserve"> by 8.5% to</w:t>
      </w:r>
      <w:r w:rsidRPr="007327FE">
        <w:rPr>
          <w:rFonts w:cs="Arial"/>
          <w:bCs/>
          <w:szCs w:val="20"/>
          <w:lang w:val="en-GB"/>
        </w:rPr>
        <w:t xml:space="preserve"> CZK</w:t>
      </w:r>
      <w:r w:rsidR="0055325D" w:rsidRPr="007327FE">
        <w:rPr>
          <w:rFonts w:cs="Arial"/>
          <w:bCs/>
          <w:szCs w:val="20"/>
          <w:lang w:val="en-GB"/>
        </w:rPr>
        <w:t xml:space="preserve"> 17 817 and </w:t>
      </w:r>
      <w:r w:rsidRPr="007327FE">
        <w:rPr>
          <w:rFonts w:cs="Arial"/>
          <w:bCs/>
          <w:szCs w:val="20"/>
          <w:lang w:val="en-GB"/>
        </w:rPr>
        <w:t>for</w:t>
      </w:r>
      <w:r w:rsidRPr="007327FE">
        <w:rPr>
          <w:rFonts w:cs="Arial"/>
          <w:lang w:val="en-GB"/>
        </w:rPr>
        <w:t xml:space="preserve"> males it was</w:t>
      </w:r>
      <w:r w:rsidR="0055325D" w:rsidRPr="007327FE">
        <w:rPr>
          <w:rFonts w:cs="Arial"/>
          <w:lang w:val="en-GB"/>
        </w:rPr>
        <w:t xml:space="preserve"> by 6.5% to CZK 19 463, which results in a gap of 8.5%. </w:t>
      </w:r>
    </w:p>
    <w:p w:rsidR="005318C3" w:rsidRPr="007327FE" w:rsidRDefault="005318C3" w:rsidP="005318C3">
      <w:pPr>
        <w:pStyle w:val="Zkladntextodsazen3"/>
        <w:spacing w:after="0" w:line="276" w:lineRule="auto"/>
        <w:ind w:firstLine="0"/>
        <w:rPr>
          <w:rFonts w:cs="Arial"/>
          <w:bCs/>
          <w:szCs w:val="20"/>
        </w:rPr>
      </w:pPr>
    </w:p>
    <w:p w:rsidR="005318C3" w:rsidRPr="007327FE" w:rsidRDefault="005318C3" w:rsidP="005318C3">
      <w:pPr>
        <w:ind w:left="360"/>
        <w:jc w:val="center"/>
        <w:rPr>
          <w:rFonts w:cs="Arial"/>
        </w:rPr>
      </w:pPr>
      <w:r w:rsidRPr="007327FE">
        <w:rPr>
          <w:rFonts w:cs="Arial"/>
        </w:rPr>
        <w:t>* * *</w:t>
      </w:r>
    </w:p>
    <w:p w:rsidR="0094009E" w:rsidRPr="007327FE" w:rsidRDefault="0094009E" w:rsidP="0094009E">
      <w:pPr>
        <w:pStyle w:val="Zkladntextodsazen3"/>
        <w:spacing w:after="0" w:line="276" w:lineRule="auto"/>
        <w:ind w:firstLine="0"/>
        <w:rPr>
          <w:rFonts w:cs="Arial"/>
          <w:bCs/>
          <w:szCs w:val="20"/>
        </w:rPr>
      </w:pPr>
    </w:p>
    <w:p w:rsidR="004525E7" w:rsidRPr="007327FE" w:rsidRDefault="004525E7" w:rsidP="004525E7">
      <w:pPr>
        <w:pStyle w:val="Zkladntextodsazen3"/>
        <w:spacing w:after="0" w:line="276" w:lineRule="auto"/>
        <w:ind w:firstLine="0"/>
        <w:rPr>
          <w:rFonts w:cs="Arial"/>
          <w:lang w:val="en-GB"/>
        </w:rPr>
      </w:pPr>
      <w:r w:rsidRPr="007327FE">
        <w:rPr>
          <w:rFonts w:cs="Arial"/>
          <w:bCs/>
          <w:szCs w:val="20"/>
          <w:lang w:val="en-GB"/>
        </w:rPr>
        <w:t xml:space="preserve">Preliminary results from the </w:t>
      </w:r>
      <w:r w:rsidRPr="007327FE">
        <w:rPr>
          <w:rFonts w:cs="Arial"/>
          <w:b/>
          <w:bCs/>
          <w:szCs w:val="20"/>
          <w:lang w:val="en-GB"/>
        </w:rPr>
        <w:t xml:space="preserve">Information System on Average </w:t>
      </w:r>
      <w:r w:rsidRPr="00502415">
        <w:rPr>
          <w:rFonts w:cs="Arial"/>
          <w:b/>
          <w:bCs/>
          <w:szCs w:val="20"/>
          <w:lang w:val="en-GB"/>
        </w:rPr>
        <w:t>Earnings (ISAE) for the whole year 2022</w:t>
      </w:r>
      <w:r w:rsidRPr="007327FE">
        <w:rPr>
          <w:rFonts w:cs="Arial"/>
          <w:bCs/>
          <w:szCs w:val="20"/>
          <w:lang w:val="en-GB"/>
        </w:rPr>
        <w:t xml:space="preserve"> bring a more detailed view of wage structures, </w:t>
      </w:r>
      <w:r w:rsidRPr="007327FE">
        <w:rPr>
          <w:rFonts w:cs="Arial"/>
          <w:lang w:val="en-GB"/>
        </w:rPr>
        <w:t>distributions, and socio-economic breakdowns</w:t>
      </w:r>
      <w:r w:rsidRPr="007327FE">
        <w:rPr>
          <w:rFonts w:cs="Arial"/>
          <w:bCs/>
          <w:szCs w:val="20"/>
          <w:lang w:val="en-GB"/>
        </w:rPr>
        <w:t xml:space="preserve">. </w:t>
      </w:r>
      <w:r w:rsidR="006A13B2">
        <w:rPr>
          <w:rFonts w:cs="Arial"/>
          <w:bCs/>
          <w:szCs w:val="20"/>
          <w:lang w:val="en-GB"/>
        </w:rPr>
        <w:t>H</w:t>
      </w:r>
      <w:r w:rsidR="006A13B2" w:rsidRPr="007327FE">
        <w:rPr>
          <w:rFonts w:cs="Arial"/>
          <w:lang w:val="en-GB"/>
        </w:rPr>
        <w:t>owever</w:t>
      </w:r>
      <w:r w:rsidR="006A13B2">
        <w:rPr>
          <w:rFonts w:cs="Arial"/>
          <w:lang w:val="en-GB"/>
        </w:rPr>
        <w:t>, t</w:t>
      </w:r>
      <w:r w:rsidR="008472B6">
        <w:rPr>
          <w:rFonts w:cs="Arial"/>
          <w:lang w:val="en-GB"/>
        </w:rPr>
        <w:t>he ISAE</w:t>
      </w:r>
      <w:r w:rsidRPr="007327FE">
        <w:rPr>
          <w:rFonts w:cs="Arial"/>
          <w:lang w:val="en-GB"/>
        </w:rPr>
        <w:t xml:space="preserve"> applies a different methodology for the calculation of personal earnings of </w:t>
      </w:r>
      <w:r w:rsidRPr="007327FE">
        <w:rPr>
          <w:rFonts w:cs="Arial"/>
          <w:bCs/>
          <w:szCs w:val="20"/>
          <w:lang w:val="en-GB"/>
        </w:rPr>
        <w:t>an employee</w:t>
      </w:r>
      <w:r w:rsidRPr="007327FE">
        <w:rPr>
          <w:rFonts w:cs="Arial"/>
          <w:lang w:val="en-GB"/>
        </w:rPr>
        <w:t xml:space="preserve"> </w:t>
      </w:r>
      <w:r w:rsidRPr="007327FE">
        <w:rPr>
          <w:rFonts w:cs="Arial"/>
          <w:bCs/>
          <w:szCs w:val="20"/>
          <w:lang w:val="en-GB"/>
        </w:rPr>
        <w:t xml:space="preserve">(first of all, it excludes all absences at work) </w:t>
      </w:r>
      <w:r w:rsidRPr="007327FE">
        <w:rPr>
          <w:rFonts w:cs="Arial"/>
          <w:lang w:val="en-GB"/>
        </w:rPr>
        <w:t xml:space="preserve">and therefore these data </w:t>
      </w:r>
      <w:r w:rsidRPr="001E2B62">
        <w:rPr>
          <w:rFonts w:cs="Arial"/>
          <w:lang w:val="en-GB"/>
        </w:rPr>
        <w:t xml:space="preserve">are not comparable </w:t>
      </w:r>
      <w:r w:rsidR="001E2B62" w:rsidRPr="001E2B62">
        <w:rPr>
          <w:rFonts w:cs="Arial"/>
          <w:lang w:val="en-GB"/>
        </w:rPr>
        <w:t xml:space="preserve">either </w:t>
      </w:r>
      <w:r w:rsidRPr="001E2B62">
        <w:rPr>
          <w:rFonts w:cs="Arial"/>
          <w:lang w:val="en-GB"/>
        </w:rPr>
        <w:t>to the aforementioned amounts of the average wages or to figures</w:t>
      </w:r>
      <w:r w:rsidRPr="007327FE">
        <w:rPr>
          <w:rFonts w:cs="Arial"/>
          <w:lang w:val="en-GB"/>
        </w:rPr>
        <w:t xml:space="preserve"> given in tables annexed to the News Release of the </w:t>
      </w:r>
      <w:r w:rsidRPr="007327FE">
        <w:rPr>
          <w:rFonts w:cs="Arial"/>
          <w:bCs/>
          <w:szCs w:val="20"/>
          <w:lang w:val="en-GB"/>
        </w:rPr>
        <w:t>CZSO</w:t>
      </w:r>
      <w:r w:rsidRPr="007327FE">
        <w:rPr>
          <w:rFonts w:cs="Arial"/>
          <w:lang w:val="en-GB"/>
        </w:rPr>
        <w:t>.</w:t>
      </w:r>
    </w:p>
    <w:p w:rsidR="006B2C4D" w:rsidRPr="007327FE" w:rsidRDefault="006B2C4D" w:rsidP="00E55261">
      <w:pPr>
        <w:pStyle w:val="Zkladntextodsazen3"/>
        <w:spacing w:after="0" w:line="276" w:lineRule="auto"/>
        <w:ind w:firstLine="0"/>
        <w:rPr>
          <w:rFonts w:cs="Arial"/>
        </w:rPr>
      </w:pPr>
    </w:p>
    <w:p w:rsidR="006B2C4D" w:rsidRPr="007327FE" w:rsidRDefault="006B2C4D" w:rsidP="00E55261">
      <w:pPr>
        <w:pStyle w:val="Zkladntextodsazen3"/>
        <w:spacing w:after="0" w:line="276" w:lineRule="auto"/>
        <w:ind w:firstLine="0"/>
        <w:rPr>
          <w:rFonts w:cs="Arial"/>
          <w:lang w:val="en-GB"/>
        </w:rPr>
      </w:pPr>
      <w:r w:rsidRPr="007327FE">
        <w:rPr>
          <w:rFonts w:cs="Arial"/>
          <w:lang w:val="en-GB"/>
        </w:rPr>
        <w:t xml:space="preserve">The ISAE also measures employees by </w:t>
      </w:r>
      <w:r w:rsidR="00841A10" w:rsidRPr="007327FE">
        <w:rPr>
          <w:rFonts w:cs="Arial"/>
          <w:b/>
          <w:lang w:val="en-GB"/>
        </w:rPr>
        <w:t>state</w:t>
      </w:r>
      <w:r w:rsidR="00841A10" w:rsidRPr="007327FE">
        <w:rPr>
          <w:rFonts w:cs="Arial"/>
          <w:lang w:val="en-GB"/>
        </w:rPr>
        <w:t xml:space="preserve"> </w:t>
      </w:r>
      <w:r w:rsidRPr="007327FE">
        <w:rPr>
          <w:rFonts w:cs="Arial"/>
          <w:b/>
          <w:lang w:val="en-GB"/>
        </w:rPr>
        <w:t>citizenship</w:t>
      </w:r>
      <w:r w:rsidRPr="007327FE">
        <w:rPr>
          <w:rFonts w:cs="Arial"/>
          <w:lang w:val="en-GB"/>
        </w:rPr>
        <w:t xml:space="preserve">, which was especially important for the last year. </w:t>
      </w:r>
      <w:r w:rsidR="00095B2F" w:rsidRPr="007327FE">
        <w:rPr>
          <w:rFonts w:cs="Arial"/>
          <w:lang w:val="en-GB"/>
        </w:rPr>
        <w:t>The average number of employees with Ukrainian citizenship in this</w:t>
      </w:r>
      <w:r w:rsidR="0038139B" w:rsidRPr="007327FE">
        <w:rPr>
          <w:rFonts w:cs="Arial"/>
          <w:lang w:val="en-GB"/>
        </w:rPr>
        <w:t xml:space="preserve"> sample</w:t>
      </w:r>
      <w:r w:rsidR="00095B2F" w:rsidRPr="007327FE">
        <w:rPr>
          <w:rFonts w:cs="Arial"/>
          <w:lang w:val="en-GB"/>
        </w:rPr>
        <w:t xml:space="preserve"> survey</w:t>
      </w:r>
      <w:r w:rsidR="0038139B" w:rsidRPr="007327FE">
        <w:rPr>
          <w:rFonts w:cs="Arial"/>
          <w:lang w:val="en-GB"/>
        </w:rPr>
        <w:t xml:space="preserve"> increased after grossing-ups by 44.4%, y-o-y, from 68.4 thousand to 98.7 thousand, by which this group significantly exceeded Slovaks (73.1 thousand). </w:t>
      </w:r>
      <w:r w:rsidR="00446032" w:rsidRPr="007327FE">
        <w:rPr>
          <w:rFonts w:cs="Arial"/>
          <w:lang w:val="en-GB"/>
        </w:rPr>
        <w:t xml:space="preserve">Median wages of Ukrainians </w:t>
      </w:r>
      <w:r w:rsidR="00CC2C5C" w:rsidRPr="007327FE">
        <w:rPr>
          <w:rFonts w:cs="Arial"/>
          <w:lang w:val="en-GB"/>
        </w:rPr>
        <w:t>were always very low, the lowest from among big groups of foreigners in the Czech Republic.</w:t>
      </w:r>
      <w:r w:rsidR="004D2591" w:rsidRPr="007327FE">
        <w:rPr>
          <w:rFonts w:cs="Arial"/>
          <w:lang w:val="en-GB"/>
        </w:rPr>
        <w:t xml:space="preserve"> In 2022, it only reached CZK 28 415, three quarters of the level of wages of Czech citizens; they were also only by 3.3% higher, y-o-y, whereas the median wage of Czech citizens (CZK 37 690) increased by 6.6%. </w:t>
      </w:r>
      <w:r w:rsidR="00CC2C5C" w:rsidRPr="007327FE">
        <w:rPr>
          <w:rFonts w:cs="Arial"/>
          <w:lang w:val="en-GB"/>
        </w:rPr>
        <w:t xml:space="preserve"> </w:t>
      </w:r>
      <w:r w:rsidR="00095B2F" w:rsidRPr="007327FE">
        <w:rPr>
          <w:rFonts w:cs="Arial"/>
          <w:lang w:val="en-GB"/>
        </w:rPr>
        <w:t xml:space="preserve"> </w:t>
      </w:r>
    </w:p>
    <w:p w:rsidR="000D78F5" w:rsidRPr="007327FE" w:rsidRDefault="000D78F5" w:rsidP="00D83A1A">
      <w:pPr>
        <w:rPr>
          <w:rFonts w:cs="Arial"/>
        </w:rPr>
      </w:pPr>
    </w:p>
    <w:p w:rsidR="00D83A1A" w:rsidRPr="007327FE" w:rsidRDefault="00E06800" w:rsidP="00D83A1A">
      <w:pPr>
        <w:rPr>
          <w:rFonts w:cs="Arial"/>
          <w:lang w:val="en-GB"/>
        </w:rPr>
      </w:pPr>
      <w:r>
        <w:rPr>
          <w:rFonts w:cs="Arial"/>
          <w:lang w:val="en-GB"/>
        </w:rPr>
        <w:t>A</w:t>
      </w:r>
      <w:r w:rsidRPr="007327FE">
        <w:rPr>
          <w:rFonts w:cs="Arial"/>
          <w:lang w:val="en-GB"/>
        </w:rPr>
        <w:t>s usually</w:t>
      </w:r>
      <w:r>
        <w:rPr>
          <w:rFonts w:cs="Arial"/>
          <w:lang w:val="en-GB"/>
        </w:rPr>
        <w:t>,</w:t>
      </w:r>
      <w:r w:rsidRPr="007327FE">
        <w:rPr>
          <w:rFonts w:cs="Arial"/>
          <w:lang w:val="en-GB"/>
        </w:rPr>
        <w:t xml:space="preserve"> Slovaks</w:t>
      </w:r>
      <w:r>
        <w:rPr>
          <w:rFonts w:cs="Arial"/>
          <w:lang w:val="en-GB"/>
        </w:rPr>
        <w:t xml:space="preserve"> received v</w:t>
      </w:r>
      <w:r w:rsidR="00B31456" w:rsidRPr="007327FE">
        <w:rPr>
          <w:rFonts w:cs="Arial"/>
          <w:lang w:val="en-GB"/>
        </w:rPr>
        <w:t>ery high</w:t>
      </w:r>
      <w:r w:rsidR="00D83A1A" w:rsidRPr="007327FE">
        <w:rPr>
          <w:rFonts w:cs="Arial"/>
          <w:lang w:val="en-GB"/>
        </w:rPr>
        <w:t xml:space="preserve"> median wages in Czechia (CZK</w:t>
      </w:r>
      <w:r w:rsidR="000D78F5" w:rsidRPr="007327FE">
        <w:rPr>
          <w:rFonts w:cs="Arial"/>
          <w:lang w:val="en-GB"/>
        </w:rPr>
        <w:t xml:space="preserve"> 41 599); they were by 7.9% higher, year-on-year. </w:t>
      </w:r>
      <w:r w:rsidR="00F1067C" w:rsidRPr="007327FE">
        <w:rPr>
          <w:rFonts w:cs="Arial"/>
          <w:lang w:val="en-GB"/>
        </w:rPr>
        <w:t xml:space="preserve">Substantially lower than the Czech ones were also wage levels of </w:t>
      </w:r>
      <w:r w:rsidR="00CD1DB9" w:rsidRPr="007327FE">
        <w:rPr>
          <w:rFonts w:cs="Arial"/>
          <w:lang w:val="en-GB"/>
        </w:rPr>
        <w:t xml:space="preserve">other three smaller groups of foreigners, i.e. </w:t>
      </w:r>
      <w:r w:rsidR="00D83A1A" w:rsidRPr="007327FE">
        <w:rPr>
          <w:rFonts w:cs="Arial"/>
          <w:lang w:val="en-GB"/>
        </w:rPr>
        <w:t>of Bulgarians</w:t>
      </w:r>
      <w:r w:rsidR="00CD1DB9" w:rsidRPr="007327FE">
        <w:rPr>
          <w:rFonts w:cs="Arial"/>
          <w:lang w:val="en-GB"/>
        </w:rPr>
        <w:t xml:space="preserve"> (CZK 31 575), Romanians (CZK 31 629), and Poles (CZK 34 791). While the number of records of Romanians and Bulgarians in the ISAE database considerably decreased, year-on-year (by 9.7% and 6.3%, respectively), the number of Poles increased by 2.7%. The number of citizens from Slovakia increased</w:t>
      </w:r>
      <w:r w:rsidR="0015771A" w:rsidRPr="007327FE">
        <w:rPr>
          <w:rFonts w:cs="Arial"/>
          <w:lang w:val="en-GB"/>
        </w:rPr>
        <w:t xml:space="preserve"> only insignificantly</w:t>
      </w:r>
      <w:r w:rsidR="00CD1DB9" w:rsidRPr="007327FE">
        <w:rPr>
          <w:rFonts w:cs="Arial"/>
          <w:lang w:val="en-GB"/>
        </w:rPr>
        <w:t xml:space="preserve"> (by 0.5%); numbers were increasing much more as for other</w:t>
      </w:r>
      <w:r>
        <w:rPr>
          <w:rFonts w:cs="Arial"/>
          <w:lang w:val="en-GB"/>
        </w:rPr>
        <w:t xml:space="preserve"> state</w:t>
      </w:r>
      <w:r w:rsidR="00CD1DB9" w:rsidRPr="007327FE">
        <w:rPr>
          <w:rFonts w:cs="Arial"/>
          <w:lang w:val="en-GB"/>
        </w:rPr>
        <w:t xml:space="preserve"> citizenships.  </w:t>
      </w:r>
    </w:p>
    <w:p w:rsidR="00572906" w:rsidRPr="007327FE" w:rsidRDefault="00572906" w:rsidP="00E55261">
      <w:pPr>
        <w:rPr>
          <w:rFonts w:cs="Arial"/>
        </w:rPr>
      </w:pPr>
    </w:p>
    <w:p w:rsidR="00CF3321" w:rsidRPr="007327FE" w:rsidRDefault="00572906" w:rsidP="00572906">
      <w:pPr>
        <w:rPr>
          <w:rFonts w:cs="Arial"/>
          <w:lang w:val="en-GB"/>
        </w:rPr>
      </w:pPr>
      <w:r w:rsidRPr="007327FE">
        <w:rPr>
          <w:rFonts w:cs="Arial"/>
          <w:lang w:val="en-GB"/>
        </w:rPr>
        <w:t xml:space="preserve">According to the valid Classification of </w:t>
      </w:r>
      <w:r w:rsidRPr="007327FE">
        <w:rPr>
          <w:rFonts w:cs="Arial"/>
          <w:b/>
          <w:lang w:val="en-GB"/>
        </w:rPr>
        <w:t>Occupations</w:t>
      </w:r>
      <w:r w:rsidRPr="007327FE">
        <w:rPr>
          <w:rFonts w:cs="Arial"/>
          <w:lang w:val="en-GB"/>
        </w:rPr>
        <w:t xml:space="preserve"> (CZ-ISCO) managers were the group with highest earnings having the median wage of CZK</w:t>
      </w:r>
      <w:r w:rsidR="003644B4" w:rsidRPr="007327FE">
        <w:rPr>
          <w:rFonts w:cs="Arial"/>
          <w:lang w:val="en-GB"/>
        </w:rPr>
        <w:t> 74 151; it increased by 7.3%, year-on-year. T</w:t>
      </w:r>
      <w:r w:rsidRPr="007327FE">
        <w:rPr>
          <w:rFonts w:cs="Arial"/>
          <w:lang w:val="en-GB"/>
        </w:rPr>
        <w:t>heir wages are the most differentiated ones; a tenth o</w:t>
      </w:r>
      <w:r w:rsidR="000D1745" w:rsidRPr="007327FE">
        <w:rPr>
          <w:rFonts w:cs="Arial"/>
          <w:lang w:val="en-GB"/>
        </w:rPr>
        <w:t>f the best-paid earned over CZK </w:t>
      </w:r>
      <w:r w:rsidRPr="007327FE">
        <w:rPr>
          <w:rFonts w:cs="Arial"/>
          <w:lang w:val="en-GB"/>
        </w:rPr>
        <w:t>1</w:t>
      </w:r>
      <w:r w:rsidRPr="007327FE">
        <w:rPr>
          <w:rFonts w:cs="Arial"/>
        </w:rPr>
        <w:t>7</w:t>
      </w:r>
      <w:r w:rsidR="000D1745" w:rsidRPr="007327FE">
        <w:rPr>
          <w:rFonts w:cs="Arial"/>
        </w:rPr>
        <w:t>0 073</w:t>
      </w:r>
      <w:r w:rsidRPr="007327FE">
        <w:rPr>
          <w:rFonts w:cs="Arial"/>
          <w:lang w:val="en-GB"/>
        </w:rPr>
        <w:t xml:space="preserve">, while the opposite tenth </w:t>
      </w:r>
      <w:r w:rsidR="00024FA8">
        <w:rPr>
          <w:rFonts w:cs="Arial"/>
          <w:lang w:val="en-GB"/>
        </w:rPr>
        <w:t>received</w:t>
      </w:r>
      <w:r w:rsidRPr="007327FE">
        <w:rPr>
          <w:rFonts w:cs="Arial"/>
          <w:lang w:val="en-GB"/>
        </w:rPr>
        <w:t xml:space="preserve"> less than CZK </w:t>
      </w:r>
      <w:r w:rsidRPr="007327FE">
        <w:rPr>
          <w:rFonts w:cs="Arial"/>
        </w:rPr>
        <w:t>3</w:t>
      </w:r>
      <w:r w:rsidR="000D1745" w:rsidRPr="007327FE">
        <w:rPr>
          <w:rFonts w:cs="Arial"/>
        </w:rPr>
        <w:t>8 102</w:t>
      </w:r>
      <w:r w:rsidRPr="007327FE">
        <w:rPr>
          <w:rFonts w:cs="Arial"/>
          <w:lang w:val="en-GB"/>
        </w:rPr>
        <w:t>. The second highest wage level can be found in professionals with the median wage of CZK</w:t>
      </w:r>
      <w:r w:rsidR="00FA7A14" w:rsidRPr="007327FE">
        <w:rPr>
          <w:rFonts w:cs="Arial"/>
          <w:lang w:val="en-GB"/>
        </w:rPr>
        <w:t> 52 455 (an increase only by 4.1%). T</w:t>
      </w:r>
      <w:r w:rsidRPr="007327FE">
        <w:rPr>
          <w:rFonts w:cs="Arial"/>
          <w:lang w:val="en-GB"/>
        </w:rPr>
        <w:t xml:space="preserve">he third </w:t>
      </w:r>
      <w:r w:rsidR="00FA7A14" w:rsidRPr="007327FE">
        <w:rPr>
          <w:rFonts w:cs="Arial"/>
          <w:lang w:val="en-GB"/>
        </w:rPr>
        <w:t xml:space="preserve">major group includes </w:t>
      </w:r>
      <w:r w:rsidRPr="007327FE">
        <w:rPr>
          <w:rFonts w:cs="Arial"/>
          <w:lang w:val="en-GB"/>
        </w:rPr>
        <w:t>technicians and associate professionals with the median wage of CZK</w:t>
      </w:r>
      <w:r w:rsidR="0025236D">
        <w:rPr>
          <w:rFonts w:cs="Arial"/>
          <w:lang w:val="en-GB"/>
        </w:rPr>
        <w:t> 42 769</w:t>
      </w:r>
      <w:r w:rsidR="00FA7A14" w:rsidRPr="007327FE">
        <w:rPr>
          <w:rFonts w:cs="Arial"/>
          <w:lang w:val="en-GB"/>
        </w:rPr>
        <w:t xml:space="preserve"> and the fourth major group of c</w:t>
      </w:r>
      <w:r w:rsidRPr="007327FE">
        <w:rPr>
          <w:rFonts w:ascii="FreeSerif" w:hAnsi="FreeSerif" w:cs="FreeSerif"/>
          <w:szCs w:val="20"/>
          <w:lang w:val="en-GB" w:eastAsia="cs-CZ"/>
        </w:rPr>
        <w:t>lerical support workers</w:t>
      </w:r>
      <w:r w:rsidRPr="007327FE">
        <w:rPr>
          <w:rFonts w:cs="Arial"/>
          <w:lang w:val="en-GB"/>
        </w:rPr>
        <w:t xml:space="preserve"> had the me</w:t>
      </w:r>
      <w:r w:rsidR="00FA7A14" w:rsidRPr="007327FE">
        <w:rPr>
          <w:rFonts w:cs="Arial"/>
          <w:lang w:val="en-GB"/>
        </w:rPr>
        <w:t>dian wage of CZK 32 460</w:t>
      </w:r>
      <w:r w:rsidRPr="007327FE">
        <w:rPr>
          <w:rFonts w:cs="Arial"/>
          <w:lang w:val="en-GB"/>
        </w:rPr>
        <w:t xml:space="preserve">. </w:t>
      </w:r>
      <w:r w:rsidR="00782EED" w:rsidRPr="007327FE">
        <w:rPr>
          <w:rFonts w:cs="Arial"/>
          <w:lang w:val="en-GB"/>
        </w:rPr>
        <w:t>Service and sales workers often belong to low-income employees</w:t>
      </w:r>
      <w:r w:rsidR="00782EED" w:rsidRPr="007327FE">
        <w:rPr>
          <w:rStyle w:val="Znakapoznpodarou"/>
          <w:rFonts w:cs="Arial"/>
        </w:rPr>
        <w:footnoteReference w:id="1"/>
      </w:r>
      <w:r w:rsidR="00782EED" w:rsidRPr="007327FE">
        <w:rPr>
          <w:rFonts w:cs="Arial"/>
          <w:lang w:val="en-GB"/>
        </w:rPr>
        <w:t xml:space="preserve"> </w:t>
      </w:r>
      <w:r w:rsidR="0025236D" w:rsidRPr="007D293E">
        <w:rPr>
          <w:rFonts w:cs="Arial"/>
          <w:color w:val="000000" w:themeColor="text1"/>
          <w:szCs w:val="20"/>
        </w:rPr>
        <w:t>–</w:t>
      </w:r>
      <w:r w:rsidR="00782EED" w:rsidRPr="007327FE">
        <w:rPr>
          <w:rFonts w:cs="Arial"/>
          <w:lang w:val="en-GB"/>
        </w:rPr>
        <w:t xml:space="preserve"> they had the decile ranging from CZK 19 193 to CZK 45 261 and their median wage was CZK 28 573. </w:t>
      </w:r>
      <w:r w:rsidR="002241C4" w:rsidRPr="007327FE">
        <w:rPr>
          <w:rFonts w:cs="Arial"/>
          <w:lang w:val="en-GB"/>
        </w:rPr>
        <w:t xml:space="preserve">The median wage of craft and related trades workers </w:t>
      </w:r>
      <w:r w:rsidR="0027038E" w:rsidRPr="007327FE">
        <w:rPr>
          <w:rFonts w:cs="Arial"/>
          <w:lang w:val="en-GB"/>
        </w:rPr>
        <w:t>increased the most, y-o-y (by 8.4%)</w:t>
      </w:r>
      <w:r w:rsidR="00F1330D" w:rsidRPr="007327FE">
        <w:rPr>
          <w:rFonts w:cs="Arial"/>
          <w:lang w:val="en-GB"/>
        </w:rPr>
        <w:t xml:space="preserve">; thus it got to the level of CZK 35 197; concurrently, the number of records decreased </w:t>
      </w:r>
      <w:r w:rsidR="00FF4CEC">
        <w:rPr>
          <w:rFonts w:cs="Arial"/>
          <w:lang w:val="en-GB"/>
        </w:rPr>
        <w:t>there</w:t>
      </w:r>
      <w:r w:rsidR="00F1330D" w:rsidRPr="007327FE">
        <w:rPr>
          <w:rFonts w:cs="Arial"/>
          <w:lang w:val="en-GB"/>
        </w:rPr>
        <w:t xml:space="preserve">, y-o-y. </w:t>
      </w:r>
      <w:r w:rsidR="00F51A76" w:rsidRPr="007327FE">
        <w:rPr>
          <w:rFonts w:cs="Arial"/>
          <w:lang w:val="en-GB"/>
        </w:rPr>
        <w:t>Plant and machine operators and assemblers had CZK 33 494 (</w:t>
      </w:r>
      <w:r w:rsidR="00A811C4">
        <w:rPr>
          <w:rFonts w:cs="Arial"/>
          <w:lang w:val="en-GB"/>
        </w:rPr>
        <w:t xml:space="preserve">an </w:t>
      </w:r>
      <w:r w:rsidR="00F51A76" w:rsidRPr="007327FE">
        <w:rPr>
          <w:rFonts w:cs="Arial"/>
          <w:lang w:val="en-GB"/>
        </w:rPr>
        <w:t xml:space="preserve">increase by 6.9%). </w:t>
      </w:r>
      <w:r w:rsidR="00CF3321" w:rsidRPr="007327FE">
        <w:rPr>
          <w:rFonts w:cs="Arial"/>
          <w:lang w:val="en-GB"/>
        </w:rPr>
        <w:t xml:space="preserve">At elementary occupations, there is always the lowest wage level; currently, the median increased by 5.4% to CZK 23 308; therefore, they have </w:t>
      </w:r>
      <w:r w:rsidR="0057576F" w:rsidRPr="007327FE">
        <w:rPr>
          <w:rFonts w:cs="Arial"/>
          <w:lang w:val="en-GB"/>
        </w:rPr>
        <w:t xml:space="preserve">over </w:t>
      </w:r>
      <w:r w:rsidR="0032557D" w:rsidRPr="007327FE">
        <w:rPr>
          <w:rFonts w:cs="Arial"/>
          <w:lang w:val="en-GB"/>
        </w:rPr>
        <w:t>a</w:t>
      </w:r>
      <w:r w:rsidR="0057576F" w:rsidRPr="007327FE">
        <w:rPr>
          <w:rFonts w:cs="Arial"/>
          <w:lang w:val="en-GB"/>
        </w:rPr>
        <w:t xml:space="preserve"> half share of low-</w:t>
      </w:r>
      <w:r w:rsidR="0032557D" w:rsidRPr="007327FE">
        <w:rPr>
          <w:rFonts w:cs="Arial"/>
          <w:lang w:val="en-GB"/>
        </w:rPr>
        <w:t>income</w:t>
      </w:r>
      <w:r w:rsidR="0057576F" w:rsidRPr="007327FE">
        <w:rPr>
          <w:rFonts w:cs="Arial"/>
          <w:lang w:val="en-GB"/>
        </w:rPr>
        <w:t xml:space="preserve"> employees, the</w:t>
      </w:r>
      <w:r w:rsidR="0032557D" w:rsidRPr="007327FE">
        <w:rPr>
          <w:rFonts w:cs="Arial"/>
          <w:lang w:val="en-GB"/>
        </w:rPr>
        <w:t>ir</w:t>
      </w:r>
      <w:r w:rsidR="0057576F" w:rsidRPr="007327FE">
        <w:rPr>
          <w:rFonts w:cs="Arial"/>
          <w:lang w:val="en-GB"/>
        </w:rPr>
        <w:t xml:space="preserve"> decile </w:t>
      </w:r>
      <w:r w:rsidR="00EA010C" w:rsidRPr="007327FE">
        <w:rPr>
          <w:rFonts w:cs="Arial"/>
          <w:lang w:val="en-GB"/>
        </w:rPr>
        <w:t>range</w:t>
      </w:r>
      <w:r w:rsidR="0032557D" w:rsidRPr="007327FE">
        <w:rPr>
          <w:rFonts w:cs="Arial"/>
          <w:lang w:val="en-GB"/>
        </w:rPr>
        <w:t xml:space="preserve"> was</w:t>
      </w:r>
      <w:r w:rsidR="00EA010C" w:rsidRPr="007327FE">
        <w:rPr>
          <w:rFonts w:cs="Arial"/>
          <w:lang w:val="en-GB"/>
        </w:rPr>
        <w:t xml:space="preserve"> from CZK 16 848 to CZK 36 103. </w:t>
      </w:r>
      <w:r w:rsidR="0032557D" w:rsidRPr="007327FE">
        <w:rPr>
          <w:rFonts w:cs="Arial"/>
          <w:lang w:val="en-GB"/>
        </w:rPr>
        <w:t xml:space="preserve">Concurrently, among them, the number of records increased the most, year-on-year (by 4.4%). As for small major group of employees in armed forces occupations, their median wage only increased insignificantly by 1.8% to CZK 42 793. </w:t>
      </w:r>
      <w:r w:rsidR="00CF3321" w:rsidRPr="007327FE">
        <w:rPr>
          <w:rFonts w:cs="Arial"/>
          <w:lang w:val="en-GB"/>
        </w:rPr>
        <w:t xml:space="preserve"> </w:t>
      </w:r>
    </w:p>
    <w:p w:rsidR="00572906" w:rsidRPr="007327FE" w:rsidRDefault="00572906" w:rsidP="00E55261">
      <w:pPr>
        <w:rPr>
          <w:rFonts w:cs="Arial"/>
        </w:rPr>
      </w:pPr>
    </w:p>
    <w:p w:rsidR="00572906" w:rsidRPr="007327FE" w:rsidRDefault="00572906" w:rsidP="00E55261">
      <w:pPr>
        <w:rPr>
          <w:rFonts w:cs="Arial"/>
          <w:lang w:val="en-GB"/>
        </w:rPr>
      </w:pPr>
      <w:r w:rsidRPr="007327FE">
        <w:rPr>
          <w:rFonts w:cs="Arial"/>
          <w:lang w:val="en-GB"/>
        </w:rPr>
        <w:t xml:space="preserve">By </w:t>
      </w:r>
      <w:r w:rsidRPr="007327FE">
        <w:rPr>
          <w:rFonts w:cs="Arial"/>
          <w:b/>
          <w:lang w:val="en-GB"/>
        </w:rPr>
        <w:t>age group</w:t>
      </w:r>
      <w:r w:rsidRPr="007327FE">
        <w:rPr>
          <w:rFonts w:cs="Arial"/>
          <w:lang w:val="en-GB"/>
        </w:rPr>
        <w:t>, employees up to 20 years of age earned the lowest wages (</w:t>
      </w:r>
      <w:r w:rsidR="00606366" w:rsidRPr="007327FE">
        <w:rPr>
          <w:rFonts w:cs="Arial"/>
          <w:lang w:val="en-GB"/>
        </w:rPr>
        <w:t>the median</w:t>
      </w:r>
      <w:r w:rsidR="008F68F1" w:rsidRPr="007327FE">
        <w:rPr>
          <w:rFonts w:cs="Arial"/>
          <w:lang w:val="en-GB"/>
        </w:rPr>
        <w:t xml:space="preserve"> wage</w:t>
      </w:r>
      <w:r w:rsidR="00606366" w:rsidRPr="007327FE">
        <w:rPr>
          <w:rFonts w:cs="Arial"/>
          <w:lang w:val="en-GB"/>
        </w:rPr>
        <w:t xml:space="preserve"> </w:t>
      </w:r>
      <w:r w:rsidRPr="007327FE">
        <w:rPr>
          <w:rFonts w:cs="Arial"/>
          <w:lang w:val="en-GB"/>
        </w:rPr>
        <w:t>CZK</w:t>
      </w:r>
      <w:r w:rsidR="00606366" w:rsidRPr="007327FE">
        <w:rPr>
          <w:rFonts w:cs="Arial"/>
          <w:lang w:val="en-GB"/>
        </w:rPr>
        <w:t> </w:t>
      </w:r>
      <w:r w:rsidRPr="007327FE">
        <w:rPr>
          <w:rFonts w:cs="Arial"/>
          <w:lang w:val="en-GB"/>
        </w:rPr>
        <w:t>2</w:t>
      </w:r>
      <w:r w:rsidR="00606366" w:rsidRPr="007327FE">
        <w:rPr>
          <w:rFonts w:cs="Arial"/>
          <w:lang w:val="en-GB"/>
        </w:rPr>
        <w:t>7 143),</w:t>
      </w:r>
      <w:r w:rsidR="008F68F1" w:rsidRPr="007327FE">
        <w:rPr>
          <w:rFonts w:cs="Arial"/>
          <w:lang w:val="en-GB"/>
        </w:rPr>
        <w:t xml:space="preserve"> only every tenth of them exceeded the threshold of CZK 37 140. </w:t>
      </w:r>
      <w:r w:rsidRPr="007327FE">
        <w:rPr>
          <w:rFonts w:cs="Arial"/>
          <w:lang w:val="en-GB"/>
        </w:rPr>
        <w:t>Concurrently,</w:t>
      </w:r>
      <w:r w:rsidR="00F930AA" w:rsidRPr="007327FE">
        <w:rPr>
          <w:rFonts w:cs="Arial"/>
          <w:lang w:val="en-GB"/>
        </w:rPr>
        <w:t xml:space="preserve"> </w:t>
      </w:r>
      <w:r w:rsidR="008F68F1" w:rsidRPr="007327FE">
        <w:rPr>
          <w:rFonts w:cs="Arial"/>
          <w:lang w:val="en-GB"/>
        </w:rPr>
        <w:t xml:space="preserve">their number increased the most, y-o-y, in the sample (almost by 15%). </w:t>
      </w:r>
      <w:r w:rsidRPr="007327FE">
        <w:rPr>
          <w:rFonts w:cs="Arial"/>
          <w:lang w:val="en-GB"/>
        </w:rPr>
        <w:t>In the age group of 20–29 years, the medi</w:t>
      </w:r>
      <w:r w:rsidR="00356247" w:rsidRPr="007327FE">
        <w:rPr>
          <w:rFonts w:cs="Arial"/>
          <w:lang w:val="en-GB"/>
        </w:rPr>
        <w:t>an wage was already much higher</w:t>
      </w:r>
      <w:r w:rsidRPr="007327FE">
        <w:rPr>
          <w:rFonts w:cs="Arial"/>
          <w:lang w:val="en-GB"/>
        </w:rPr>
        <w:t xml:space="preserve"> </w:t>
      </w:r>
      <w:r w:rsidR="00356247" w:rsidRPr="007327FE">
        <w:rPr>
          <w:rFonts w:cs="Arial"/>
          <w:lang w:val="en-GB"/>
        </w:rPr>
        <w:t>(</w:t>
      </w:r>
      <w:r w:rsidRPr="007327FE">
        <w:rPr>
          <w:rFonts w:cs="Arial"/>
          <w:lang w:val="en-GB"/>
        </w:rPr>
        <w:t>CZK 3</w:t>
      </w:r>
      <w:r w:rsidR="00356247" w:rsidRPr="007327FE">
        <w:rPr>
          <w:rFonts w:cs="Arial"/>
          <w:lang w:val="en-GB"/>
        </w:rPr>
        <w:t>4 335) and in</w:t>
      </w:r>
      <w:r w:rsidRPr="007327FE">
        <w:rPr>
          <w:rFonts w:cs="Arial"/>
          <w:lang w:val="en-GB"/>
        </w:rPr>
        <w:t xml:space="preserve"> the age group of 30–39 years, the median was the highest (CZK </w:t>
      </w:r>
      <w:r w:rsidR="00356247" w:rsidRPr="007327FE">
        <w:rPr>
          <w:rFonts w:cs="Arial"/>
          <w:lang w:val="en-GB"/>
        </w:rPr>
        <w:t>3</w:t>
      </w:r>
      <w:r w:rsidRPr="007327FE">
        <w:rPr>
          <w:rFonts w:cs="Arial"/>
          <w:lang w:val="en-GB"/>
        </w:rPr>
        <w:t>9</w:t>
      </w:r>
      <w:r w:rsidR="00356247" w:rsidRPr="007327FE">
        <w:rPr>
          <w:rFonts w:cs="Arial"/>
          <w:lang w:val="en-GB"/>
        </w:rPr>
        <w:t> 387</w:t>
      </w:r>
      <w:r w:rsidRPr="007327FE">
        <w:rPr>
          <w:rFonts w:cs="Arial"/>
          <w:lang w:val="en-GB"/>
        </w:rPr>
        <w:t xml:space="preserve">). In the other age groups, wages are </w:t>
      </w:r>
      <w:r w:rsidR="00356247" w:rsidRPr="007327FE">
        <w:rPr>
          <w:rFonts w:cs="Arial"/>
          <w:lang w:val="en-GB"/>
        </w:rPr>
        <w:t xml:space="preserve">decreasing, to CZK 38 489 for the most numerous category of those aged 40-49 years, and to CZK 36 879 for both categories of those aged 50-59 years as well as </w:t>
      </w:r>
      <w:r w:rsidR="00482162" w:rsidRPr="007327FE">
        <w:rPr>
          <w:rFonts w:cs="Arial"/>
          <w:lang w:val="en-GB"/>
        </w:rPr>
        <w:t xml:space="preserve">for those aged 60+ years. Year-on-year increments of median wages did not differ much. </w:t>
      </w:r>
    </w:p>
    <w:p w:rsidR="00C44997" w:rsidRPr="007327FE" w:rsidRDefault="00C44997" w:rsidP="005318C3">
      <w:pPr>
        <w:rPr>
          <w:rFonts w:cs="Arial"/>
        </w:rPr>
      </w:pPr>
    </w:p>
    <w:p w:rsidR="00E35D8F" w:rsidRPr="007327FE" w:rsidRDefault="00C44997" w:rsidP="00850464">
      <w:pPr>
        <w:rPr>
          <w:rFonts w:cs="Arial"/>
          <w:lang w:val="en-GB"/>
        </w:rPr>
      </w:pPr>
      <w:r w:rsidRPr="007327FE">
        <w:rPr>
          <w:rFonts w:cs="Arial"/>
          <w:lang w:val="en-GB"/>
        </w:rPr>
        <w:t>Wages are also highly structured by the</w:t>
      </w:r>
      <w:r w:rsidR="00850464" w:rsidRPr="007327FE">
        <w:rPr>
          <w:rFonts w:cs="Arial"/>
          <w:lang w:val="en-GB"/>
        </w:rPr>
        <w:t xml:space="preserve"> level of</w:t>
      </w:r>
      <w:r w:rsidRPr="007327FE">
        <w:rPr>
          <w:rFonts w:cs="Arial"/>
          <w:lang w:val="en-GB"/>
        </w:rPr>
        <w:t xml:space="preserve"> </w:t>
      </w:r>
      <w:r w:rsidRPr="007327FE">
        <w:rPr>
          <w:rFonts w:cs="Arial"/>
          <w:b/>
          <w:lang w:val="en-GB"/>
        </w:rPr>
        <w:t>educational attainment</w:t>
      </w:r>
      <w:r w:rsidRPr="007327FE">
        <w:rPr>
          <w:rFonts w:cs="Arial"/>
          <w:lang w:val="en-GB"/>
        </w:rPr>
        <w:t xml:space="preserve"> of a</w:t>
      </w:r>
      <w:r w:rsidR="008B7F6E" w:rsidRPr="007327FE">
        <w:rPr>
          <w:rFonts w:cs="Arial"/>
          <w:lang w:val="en-GB"/>
        </w:rPr>
        <w:t>n employee.</w:t>
      </w:r>
      <w:r w:rsidR="00850464" w:rsidRPr="007327FE">
        <w:rPr>
          <w:rFonts w:cs="Arial"/>
          <w:lang w:val="en-GB"/>
        </w:rPr>
        <w:t xml:space="preserve"> E</w:t>
      </w:r>
      <w:r w:rsidR="00461BF7" w:rsidRPr="007327FE">
        <w:rPr>
          <w:rFonts w:cs="Arial"/>
          <w:lang w:val="en-GB"/>
        </w:rPr>
        <w:t>mployees with higher education</w:t>
      </w:r>
      <w:r w:rsidR="00850464" w:rsidRPr="007327FE">
        <w:rPr>
          <w:rFonts w:cs="Arial"/>
          <w:lang w:val="en-GB"/>
        </w:rPr>
        <w:t xml:space="preserve"> have</w:t>
      </w:r>
      <w:r w:rsidRPr="007327FE">
        <w:rPr>
          <w:rFonts w:cs="Arial"/>
          <w:lang w:val="en-GB"/>
        </w:rPr>
        <w:t xml:space="preserve"> the highest earnings, their median wage was CZK</w:t>
      </w:r>
      <w:r w:rsidR="00850464" w:rsidRPr="007327FE">
        <w:rPr>
          <w:rFonts w:cs="Arial"/>
          <w:lang w:val="en-GB"/>
        </w:rPr>
        <w:t xml:space="preserve"> 52 865. </w:t>
      </w:r>
      <w:r w:rsidR="00CE453E" w:rsidRPr="007327FE">
        <w:rPr>
          <w:rFonts w:cs="Arial"/>
          <w:lang w:val="en-GB"/>
        </w:rPr>
        <w:t>Conversely</w:t>
      </w:r>
      <w:r w:rsidRPr="007327FE">
        <w:rPr>
          <w:rFonts w:cs="Arial"/>
          <w:lang w:val="en-GB"/>
        </w:rPr>
        <w:t xml:space="preserve">, </w:t>
      </w:r>
      <w:r w:rsidR="009C3922" w:rsidRPr="007327FE">
        <w:rPr>
          <w:rFonts w:cs="Arial"/>
          <w:lang w:val="en-GB"/>
        </w:rPr>
        <w:t xml:space="preserve">wages of employees </w:t>
      </w:r>
      <w:r w:rsidR="009C3922" w:rsidRPr="005764A2">
        <w:rPr>
          <w:rFonts w:cs="Arial"/>
          <w:lang w:val="en-GB"/>
        </w:rPr>
        <w:t>with primary education</w:t>
      </w:r>
      <w:r w:rsidR="009C3922" w:rsidRPr="007327FE">
        <w:rPr>
          <w:rFonts w:cs="Arial"/>
          <w:lang w:val="en-GB"/>
        </w:rPr>
        <w:t xml:space="preserve"> or </w:t>
      </w:r>
      <w:r w:rsidR="009C3922" w:rsidRPr="005B1998">
        <w:rPr>
          <w:rFonts w:cs="Arial"/>
          <w:lang w:val="en-GB"/>
        </w:rPr>
        <w:t>with incomplete primary education</w:t>
      </w:r>
      <w:r w:rsidR="009C3922" w:rsidRPr="007327FE">
        <w:rPr>
          <w:rFonts w:cs="Arial"/>
          <w:lang w:val="en-GB"/>
        </w:rPr>
        <w:t xml:space="preserve"> remained the lowest </w:t>
      </w:r>
      <w:r w:rsidR="00850464" w:rsidRPr="007327FE">
        <w:rPr>
          <w:rFonts w:cs="Arial"/>
        </w:rPr>
        <w:t>(CZK 28 774</w:t>
      </w:r>
      <w:r w:rsidR="009C3922" w:rsidRPr="007327FE">
        <w:rPr>
          <w:rFonts w:cs="Arial"/>
        </w:rPr>
        <w:t>).</w:t>
      </w:r>
      <w:r w:rsidR="008D0DFA" w:rsidRPr="007327FE">
        <w:rPr>
          <w:rFonts w:cs="Arial"/>
        </w:rPr>
        <w:t xml:space="preserve"> </w:t>
      </w:r>
      <w:r w:rsidRPr="007327FE">
        <w:rPr>
          <w:rFonts w:cs="Arial"/>
          <w:lang w:val="en-GB"/>
        </w:rPr>
        <w:t xml:space="preserve">Graduates of secondary schools with an A-level examination earned much more (CZK </w:t>
      </w:r>
      <w:r w:rsidR="008D0DFA" w:rsidRPr="007327FE">
        <w:rPr>
          <w:rFonts w:cs="Arial"/>
        </w:rPr>
        <w:t>3</w:t>
      </w:r>
      <w:r w:rsidR="00850464" w:rsidRPr="007327FE">
        <w:rPr>
          <w:rFonts w:cs="Arial"/>
        </w:rPr>
        <w:t>8 204</w:t>
      </w:r>
      <w:r w:rsidRPr="007327FE">
        <w:rPr>
          <w:rFonts w:cs="Arial"/>
          <w:lang w:val="en-GB"/>
        </w:rPr>
        <w:t xml:space="preserve">) than those without the A-level examination (CZK </w:t>
      </w:r>
      <w:r w:rsidR="00850464" w:rsidRPr="007327FE">
        <w:rPr>
          <w:rFonts w:cs="Arial"/>
          <w:lang w:val="en-GB"/>
        </w:rPr>
        <w:t>31 646</w:t>
      </w:r>
      <w:r w:rsidRPr="007327FE">
        <w:rPr>
          <w:rFonts w:cs="Arial"/>
          <w:lang w:val="en-GB"/>
        </w:rPr>
        <w:t xml:space="preserve">), but less than employees </w:t>
      </w:r>
      <w:r w:rsidRPr="000A2834">
        <w:rPr>
          <w:rFonts w:cs="Arial"/>
          <w:lang w:val="en-GB"/>
        </w:rPr>
        <w:t xml:space="preserve">with </w:t>
      </w:r>
      <w:r w:rsidR="00C33554" w:rsidRPr="000A2834">
        <w:rPr>
          <w:rFonts w:cs="Arial"/>
          <w:lang w:val="en-GB"/>
        </w:rPr>
        <w:t>short-cycle tertiary</w:t>
      </w:r>
      <w:r w:rsidR="00C33554" w:rsidRPr="007327FE">
        <w:rPr>
          <w:rFonts w:cs="Arial"/>
          <w:lang w:val="en-GB"/>
        </w:rPr>
        <w:t xml:space="preserve"> </w:t>
      </w:r>
      <w:r w:rsidRPr="007F792C">
        <w:rPr>
          <w:rFonts w:cs="Arial"/>
          <w:lang w:val="en-GB"/>
        </w:rPr>
        <w:t xml:space="preserve">education or graduates from bachelor study programmes (CZK </w:t>
      </w:r>
      <w:r w:rsidR="00850464" w:rsidRPr="007F792C">
        <w:rPr>
          <w:rFonts w:cs="Arial"/>
          <w:lang w:val="en-GB"/>
        </w:rPr>
        <w:t>43 566</w:t>
      </w:r>
      <w:r w:rsidRPr="007F792C">
        <w:rPr>
          <w:rFonts w:cs="Arial"/>
          <w:lang w:val="en-GB"/>
        </w:rPr>
        <w:t>).</w:t>
      </w:r>
      <w:r w:rsidR="00E35D8F" w:rsidRPr="007F792C">
        <w:rPr>
          <w:rFonts w:cs="Arial"/>
          <w:lang w:val="en-GB"/>
        </w:rPr>
        <w:t xml:space="preserve"> Wages were growing the</w:t>
      </w:r>
      <w:r w:rsidR="00E35D8F" w:rsidRPr="007327FE">
        <w:rPr>
          <w:rFonts w:cs="Arial"/>
          <w:lang w:val="en-GB"/>
        </w:rPr>
        <w:t xml:space="preserve"> fastest among less educated employees, the highest increase (by 8.7%) was in the ninth decile at secondary education without </w:t>
      </w:r>
      <w:r w:rsidR="008E49F7" w:rsidRPr="007327FE">
        <w:rPr>
          <w:rFonts w:cs="Arial"/>
          <w:lang w:val="en-GB"/>
        </w:rPr>
        <w:t xml:space="preserve">the </w:t>
      </w:r>
      <w:r w:rsidR="00E35D8F" w:rsidRPr="007327FE">
        <w:rPr>
          <w:rFonts w:cs="Arial"/>
          <w:lang w:val="en-GB"/>
        </w:rPr>
        <w:t xml:space="preserve">A-level examination. On the </w:t>
      </w:r>
      <w:r w:rsidR="00333DB6" w:rsidRPr="007327FE">
        <w:rPr>
          <w:rFonts w:cs="Arial"/>
          <w:lang w:val="en-GB"/>
        </w:rPr>
        <w:t>other hand</w:t>
      </w:r>
      <w:r w:rsidR="00E35D8F" w:rsidRPr="007327FE">
        <w:rPr>
          <w:rFonts w:cs="Arial"/>
          <w:lang w:val="en-GB"/>
        </w:rPr>
        <w:t>, the lowest increase was</w:t>
      </w:r>
      <w:r w:rsidR="007F792C">
        <w:rPr>
          <w:rFonts w:cs="Arial"/>
          <w:lang w:val="en-GB"/>
        </w:rPr>
        <w:t xml:space="preserve"> in wages of employees</w:t>
      </w:r>
      <w:r w:rsidR="00E35D8F" w:rsidRPr="007327FE">
        <w:rPr>
          <w:rFonts w:cs="Arial"/>
          <w:lang w:val="en-GB"/>
        </w:rPr>
        <w:t xml:space="preserve"> </w:t>
      </w:r>
      <w:r w:rsidR="007F792C">
        <w:rPr>
          <w:rFonts w:cs="Arial"/>
          <w:lang w:val="en-GB"/>
        </w:rPr>
        <w:t>with</w:t>
      </w:r>
      <w:r w:rsidR="00EA3753" w:rsidRPr="000A2834">
        <w:rPr>
          <w:rFonts w:cs="Arial"/>
          <w:lang w:val="en-GB"/>
        </w:rPr>
        <w:t xml:space="preserve"> </w:t>
      </w:r>
      <w:r w:rsidR="004000C3" w:rsidRPr="000A2834">
        <w:rPr>
          <w:rFonts w:cs="Arial"/>
          <w:lang w:val="en-GB"/>
        </w:rPr>
        <w:t>short-cycle tertiary education</w:t>
      </w:r>
      <w:r w:rsidR="004000C3" w:rsidRPr="007327FE">
        <w:rPr>
          <w:rFonts w:cs="Arial"/>
          <w:lang w:val="en-GB"/>
        </w:rPr>
        <w:t xml:space="preserve"> </w:t>
      </w:r>
      <w:r w:rsidR="00EA3753" w:rsidRPr="007F792C">
        <w:rPr>
          <w:rFonts w:cs="Arial"/>
          <w:lang w:val="en-GB"/>
        </w:rPr>
        <w:t>and bachelor</w:t>
      </w:r>
      <w:r w:rsidR="003C4315" w:rsidRPr="007F792C">
        <w:rPr>
          <w:rFonts w:cs="Arial"/>
          <w:lang w:val="en-GB"/>
        </w:rPr>
        <w:t xml:space="preserve"> </w:t>
      </w:r>
      <w:r w:rsidR="00D607B8" w:rsidRPr="007F792C">
        <w:rPr>
          <w:rFonts w:cs="Arial"/>
          <w:lang w:val="en-GB"/>
        </w:rPr>
        <w:t>study programmes</w:t>
      </w:r>
      <w:r w:rsidR="003C4315" w:rsidRPr="007F792C">
        <w:rPr>
          <w:rFonts w:cs="Arial"/>
          <w:lang w:val="en-GB"/>
        </w:rPr>
        <w:t xml:space="preserve"> </w:t>
      </w:r>
      <w:r w:rsidR="00EA3753" w:rsidRPr="007F792C">
        <w:rPr>
          <w:rFonts w:cs="Arial"/>
          <w:lang w:val="en-GB"/>
        </w:rPr>
        <w:t>in the</w:t>
      </w:r>
      <w:r w:rsidR="00EA3753" w:rsidRPr="007327FE">
        <w:rPr>
          <w:rFonts w:cs="Arial"/>
          <w:lang w:val="en-GB"/>
        </w:rPr>
        <w:t xml:space="preserve"> medium and higher area (the median by 4.4%, the ninth decile by 3.3%), it was also weaker among those with </w:t>
      </w:r>
      <w:r w:rsidR="00F5206E" w:rsidRPr="007327FE">
        <w:rPr>
          <w:rFonts w:cs="Arial"/>
          <w:lang w:val="en-GB"/>
        </w:rPr>
        <w:t>higher</w:t>
      </w:r>
      <w:r w:rsidR="00EA3753" w:rsidRPr="007327FE">
        <w:rPr>
          <w:rFonts w:cs="Arial"/>
          <w:lang w:val="en-GB"/>
        </w:rPr>
        <w:t xml:space="preserve"> education. </w:t>
      </w:r>
      <w:r w:rsidR="008E49F7" w:rsidRPr="007327FE">
        <w:rPr>
          <w:rFonts w:cs="Arial"/>
          <w:lang w:val="en-GB"/>
        </w:rPr>
        <w:t xml:space="preserve"> </w:t>
      </w:r>
    </w:p>
    <w:p w:rsidR="00485015" w:rsidRPr="007327FE" w:rsidRDefault="00485015" w:rsidP="00485015">
      <w:pPr>
        <w:rPr>
          <w:rFonts w:cs="Arial"/>
        </w:rPr>
      </w:pPr>
    </w:p>
    <w:p w:rsidR="00B90BAB" w:rsidRPr="007327FE" w:rsidRDefault="00B90BAB" w:rsidP="00A67988">
      <w:pPr>
        <w:rPr>
          <w:b/>
        </w:rPr>
      </w:pPr>
    </w:p>
    <w:p w:rsidR="009C4703" w:rsidRPr="007327FE" w:rsidRDefault="009C4703" w:rsidP="00A67988">
      <w:pPr>
        <w:rPr>
          <w:b/>
          <w:lang w:val="en-GB"/>
        </w:rPr>
      </w:pPr>
      <w:r w:rsidRPr="007327FE">
        <w:rPr>
          <w:b/>
          <w:lang w:val="en-GB"/>
        </w:rPr>
        <w:t>Author/Contact/</w:t>
      </w:r>
      <w:r w:rsidR="0001731E">
        <w:rPr>
          <w:b/>
          <w:lang w:val="en-GB"/>
        </w:rPr>
        <w:t xml:space="preserve"> </w:t>
      </w:r>
      <w:r w:rsidR="00DA2E57" w:rsidRPr="007327FE">
        <w:rPr>
          <w:b/>
          <w:lang w:val="en-GB"/>
        </w:rPr>
        <w:t>Elaborated by</w:t>
      </w:r>
      <w:r w:rsidR="00A67988" w:rsidRPr="007327FE">
        <w:rPr>
          <w:b/>
          <w:lang w:val="en-GB"/>
        </w:rPr>
        <w:t xml:space="preserve"> </w:t>
      </w:r>
    </w:p>
    <w:p w:rsidR="00A67988" w:rsidRPr="007327FE" w:rsidRDefault="00A67988" w:rsidP="00A67988">
      <w:pPr>
        <w:rPr>
          <w:lang w:val="en-GB"/>
        </w:rPr>
      </w:pPr>
      <w:r w:rsidRPr="007327FE">
        <w:rPr>
          <w:lang w:val="en-GB"/>
        </w:rPr>
        <w:t>Dalibor Holý</w:t>
      </w:r>
    </w:p>
    <w:p w:rsidR="00A67988" w:rsidRPr="007327FE" w:rsidRDefault="00A67988" w:rsidP="00A67988">
      <w:pPr>
        <w:rPr>
          <w:lang w:val="en-GB"/>
        </w:rPr>
      </w:pPr>
      <w:r w:rsidRPr="007327FE">
        <w:rPr>
          <w:lang w:val="en-GB"/>
        </w:rPr>
        <w:t>Labour Market and Equal Opportunities Statistics Department of the CZSO</w:t>
      </w:r>
    </w:p>
    <w:p w:rsidR="00A67988" w:rsidRPr="007327FE" w:rsidRDefault="00A67988" w:rsidP="00A67988">
      <w:pPr>
        <w:rPr>
          <w:lang w:val="en-GB"/>
        </w:rPr>
      </w:pPr>
      <w:r w:rsidRPr="007327FE">
        <w:rPr>
          <w:lang w:val="en-GB"/>
        </w:rPr>
        <w:t>Phone number: (</w:t>
      </w:r>
      <w:r w:rsidR="005A408A" w:rsidRPr="007327FE">
        <w:rPr>
          <w:lang w:val="en-GB"/>
        </w:rPr>
        <w:t>+</w:t>
      </w:r>
      <w:r w:rsidRPr="007327FE">
        <w:rPr>
          <w:lang w:val="en-GB"/>
        </w:rPr>
        <w:t>420) 274 052 694</w:t>
      </w:r>
    </w:p>
    <w:p w:rsidR="007F5746" w:rsidRPr="00410904" w:rsidRDefault="00A67988" w:rsidP="00A67988">
      <w:pPr>
        <w:rPr>
          <w:lang w:val="en-GB"/>
        </w:rPr>
      </w:pPr>
      <w:r w:rsidRPr="007327FE">
        <w:rPr>
          <w:lang w:val="en-GB"/>
        </w:rPr>
        <w:t xml:space="preserve">E-mail: </w:t>
      </w:r>
      <w:hyperlink r:id="rId8" w:history="1">
        <w:r w:rsidRPr="007327FE">
          <w:rPr>
            <w:rStyle w:val="Hypertextovodkaz"/>
            <w:lang w:val="en-GB"/>
          </w:rPr>
          <w:t>dalibor.holy@czso.cz</w:t>
        </w:r>
      </w:hyperlink>
    </w:p>
    <w:sectPr w:rsidR="007F5746" w:rsidRPr="00410904"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B4" w:rsidRDefault="00CE3AB4" w:rsidP="00BA6370">
      <w:r>
        <w:separator/>
      </w:r>
    </w:p>
  </w:endnote>
  <w:endnote w:type="continuationSeparator" w:id="0">
    <w:p w:rsidR="00CE3AB4" w:rsidRDefault="00CE3AB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Free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BC" w:rsidRDefault="00AA63BC">
    <w:pPr>
      <w:pStyle w:val="Zpat"/>
    </w:pPr>
    <w:r>
      <w:rPr>
        <w:noProof/>
        <w:lang w:eastAsia="cs-CZ"/>
      </w:rPr>
      <mc:AlternateContent>
        <mc:Choice Requires="wps">
          <w:drawing>
            <wp:anchor distT="0" distB="0" distL="114300" distR="114300" simplePos="0" relativeHeight="251657728" behindDoc="0" locked="0" layoutInCell="1" allowOverlap="1" wp14:anchorId="76997ED3" wp14:editId="79A36693">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AA63BC" w:rsidRPr="00D52A09" w:rsidRDefault="00AA63BC" w:rsidP="005061C8">
                          <w:pPr>
                            <w:spacing w:line="220" w:lineRule="atLeast"/>
                            <w:rPr>
                              <w:rFonts w:cs="Arial"/>
                              <w:b/>
                              <w:bCs/>
                              <w:sz w:val="15"/>
                              <w:szCs w:val="15"/>
                            </w:rPr>
                          </w:pPr>
                          <w:r w:rsidRPr="00D52A09">
                            <w:rPr>
                              <w:rFonts w:cs="Arial"/>
                              <w:b/>
                              <w:bCs/>
                              <w:sz w:val="15"/>
                              <w:szCs w:val="15"/>
                            </w:rPr>
                            <w:t>Information Services Unit – Headquarters</w:t>
                          </w:r>
                        </w:p>
                        <w:p w:rsidR="00AA63BC" w:rsidRDefault="00AA63BC"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AA63BC" w:rsidRPr="00D52A09" w:rsidRDefault="00AA63BC"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A63BC" w:rsidRPr="000172E7" w:rsidRDefault="00AA63BC"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31FCE">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97ED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AA63BC" w:rsidRPr="00D52A09" w:rsidRDefault="00AA63BC" w:rsidP="005061C8">
                    <w:pPr>
                      <w:spacing w:line="220" w:lineRule="atLeast"/>
                      <w:rPr>
                        <w:rFonts w:cs="Arial"/>
                        <w:b/>
                        <w:bCs/>
                        <w:sz w:val="15"/>
                        <w:szCs w:val="15"/>
                      </w:rPr>
                    </w:pPr>
                    <w:r w:rsidRPr="00D52A09">
                      <w:rPr>
                        <w:rFonts w:cs="Arial"/>
                        <w:b/>
                        <w:bCs/>
                        <w:sz w:val="15"/>
                        <w:szCs w:val="15"/>
                      </w:rPr>
                      <w:t>Information Services Unit – Headquarters</w:t>
                    </w:r>
                  </w:p>
                  <w:p w:rsidR="00AA63BC" w:rsidRDefault="00AA63BC"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AA63BC" w:rsidRPr="00D52A09" w:rsidRDefault="00AA63BC"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A63BC" w:rsidRPr="000172E7" w:rsidRDefault="00AA63BC"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31FCE">
                      <w:rPr>
                        <w:rFonts w:cs="Arial"/>
                        <w:noProof/>
                        <w:szCs w:val="15"/>
                      </w:rPr>
                      <w:t>1</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0CA31469" wp14:editId="6752AF1F">
              <wp:simplePos x="0" y="0"/>
              <wp:positionH relativeFrom="page">
                <wp:posOffset>1242060</wp:posOffset>
              </wp:positionH>
              <wp:positionV relativeFrom="page">
                <wp:posOffset>9613265</wp:posOffset>
              </wp:positionV>
              <wp:extent cx="5436235" cy="0"/>
              <wp:effectExtent l="13335" t="12065" r="17780" b="16510"/>
              <wp:wrapNone/>
              <wp:docPr id="3"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48A99F"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Cg7g+O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B4" w:rsidRDefault="00CE3AB4" w:rsidP="00BA6370">
      <w:r>
        <w:separator/>
      </w:r>
    </w:p>
  </w:footnote>
  <w:footnote w:type="continuationSeparator" w:id="0">
    <w:p w:rsidR="00CE3AB4" w:rsidRDefault="00CE3AB4" w:rsidP="00BA6370">
      <w:r>
        <w:continuationSeparator/>
      </w:r>
    </w:p>
  </w:footnote>
  <w:footnote w:id="1">
    <w:p w:rsidR="00782EED" w:rsidRDefault="00782EED" w:rsidP="00782EED">
      <w:pPr>
        <w:pStyle w:val="Textpoznpodarou"/>
      </w:pPr>
      <w:r w:rsidRPr="00ED41B2">
        <w:rPr>
          <w:rStyle w:val="Znakapoznpodarou"/>
          <w:sz w:val="18"/>
          <w:szCs w:val="18"/>
          <w:lang w:val="en-GB"/>
        </w:rPr>
        <w:footnoteRef/>
      </w:r>
      <w:r w:rsidRPr="00ED41B2">
        <w:rPr>
          <w:sz w:val="18"/>
          <w:szCs w:val="18"/>
          <w:lang w:val="en-GB"/>
        </w:rPr>
        <w:t xml:space="preserve"> In general, such an employee is considered to be a low-income (low-wage) employee who earns less than 2/3 of the total median wage; according to preliminary results of the ISAE for the year 2022, the threshold was CZK 2</w:t>
      </w:r>
      <w:r w:rsidR="001136F4" w:rsidRPr="00ED41B2">
        <w:rPr>
          <w:sz w:val="18"/>
          <w:szCs w:val="18"/>
          <w:lang w:val="en-GB"/>
        </w:rPr>
        <w:t>4 941</w:t>
      </w:r>
      <w:r w:rsidRPr="00ED41B2">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BC" w:rsidRDefault="00AA63BC">
    <w:pPr>
      <w:pStyle w:val="Zhlav"/>
    </w:pPr>
    <w:r>
      <w:rPr>
        <w:noProof/>
        <w:lang w:eastAsia="cs-CZ"/>
      </w:rPr>
      <mc:AlternateContent>
        <mc:Choice Requires="wpg">
          <w:drawing>
            <wp:anchor distT="0" distB="0" distL="114300" distR="114300" simplePos="0" relativeHeight="251658752" behindDoc="0" locked="0" layoutInCell="1" allowOverlap="1" wp14:anchorId="79CFC6AB" wp14:editId="33058A5A">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4"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A627A"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08ilYYAABK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S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8"/>
    <w:rsid w:val="00000675"/>
    <w:rsid w:val="00000B9F"/>
    <w:rsid w:val="00000BBB"/>
    <w:rsid w:val="0000133F"/>
    <w:rsid w:val="0000142D"/>
    <w:rsid w:val="00001794"/>
    <w:rsid w:val="000034DF"/>
    <w:rsid w:val="00003AC8"/>
    <w:rsid w:val="000046A5"/>
    <w:rsid w:val="000059EE"/>
    <w:rsid w:val="00005CA2"/>
    <w:rsid w:val="000102DB"/>
    <w:rsid w:val="00010EB8"/>
    <w:rsid w:val="00010F5A"/>
    <w:rsid w:val="000128D0"/>
    <w:rsid w:val="00012A9C"/>
    <w:rsid w:val="00013734"/>
    <w:rsid w:val="000143B5"/>
    <w:rsid w:val="0001731E"/>
    <w:rsid w:val="00017F43"/>
    <w:rsid w:val="000202FD"/>
    <w:rsid w:val="00021344"/>
    <w:rsid w:val="000228D8"/>
    <w:rsid w:val="00024FA8"/>
    <w:rsid w:val="000273D7"/>
    <w:rsid w:val="00027549"/>
    <w:rsid w:val="00030F4D"/>
    <w:rsid w:val="00031599"/>
    <w:rsid w:val="00031FCE"/>
    <w:rsid w:val="00032F2D"/>
    <w:rsid w:val="00033C2D"/>
    <w:rsid w:val="00034116"/>
    <w:rsid w:val="00034ED7"/>
    <w:rsid w:val="00036A7A"/>
    <w:rsid w:val="00036CB9"/>
    <w:rsid w:val="00037696"/>
    <w:rsid w:val="00037800"/>
    <w:rsid w:val="000415D2"/>
    <w:rsid w:val="000432B3"/>
    <w:rsid w:val="00043BF4"/>
    <w:rsid w:val="00044C30"/>
    <w:rsid w:val="00044DC1"/>
    <w:rsid w:val="00044DE6"/>
    <w:rsid w:val="00045189"/>
    <w:rsid w:val="00045547"/>
    <w:rsid w:val="00047047"/>
    <w:rsid w:val="000525E8"/>
    <w:rsid w:val="00052604"/>
    <w:rsid w:val="0005341B"/>
    <w:rsid w:val="000534B1"/>
    <w:rsid w:val="00053609"/>
    <w:rsid w:val="0005497F"/>
    <w:rsid w:val="00055120"/>
    <w:rsid w:val="00055401"/>
    <w:rsid w:val="00056457"/>
    <w:rsid w:val="00056B7C"/>
    <w:rsid w:val="00056ECC"/>
    <w:rsid w:val="000571B2"/>
    <w:rsid w:val="00057D91"/>
    <w:rsid w:val="00060B4C"/>
    <w:rsid w:val="00062785"/>
    <w:rsid w:val="00063A95"/>
    <w:rsid w:val="00066322"/>
    <w:rsid w:val="000671BC"/>
    <w:rsid w:val="00067865"/>
    <w:rsid w:val="000709A2"/>
    <w:rsid w:val="00070EFE"/>
    <w:rsid w:val="00072C94"/>
    <w:rsid w:val="00073148"/>
    <w:rsid w:val="00074666"/>
    <w:rsid w:val="000748AE"/>
    <w:rsid w:val="000777C6"/>
    <w:rsid w:val="00077E38"/>
    <w:rsid w:val="000805ED"/>
    <w:rsid w:val="00080946"/>
    <w:rsid w:val="00082215"/>
    <w:rsid w:val="0008265D"/>
    <w:rsid w:val="000829E1"/>
    <w:rsid w:val="00082B85"/>
    <w:rsid w:val="00083EA6"/>
    <w:rsid w:val="00084161"/>
    <w:rsid w:val="000842AA"/>
    <w:rsid w:val="000842D7"/>
    <w:rsid w:val="000843A5"/>
    <w:rsid w:val="00086BA7"/>
    <w:rsid w:val="00087FCC"/>
    <w:rsid w:val="00090842"/>
    <w:rsid w:val="00093060"/>
    <w:rsid w:val="00095B2F"/>
    <w:rsid w:val="000964FE"/>
    <w:rsid w:val="000A0AE7"/>
    <w:rsid w:val="000A13FD"/>
    <w:rsid w:val="000A233E"/>
    <w:rsid w:val="000A2834"/>
    <w:rsid w:val="000A2AC9"/>
    <w:rsid w:val="000A3170"/>
    <w:rsid w:val="000A3E2D"/>
    <w:rsid w:val="000A5211"/>
    <w:rsid w:val="000A5E46"/>
    <w:rsid w:val="000A6E9C"/>
    <w:rsid w:val="000A7020"/>
    <w:rsid w:val="000B23BF"/>
    <w:rsid w:val="000B3440"/>
    <w:rsid w:val="000B3759"/>
    <w:rsid w:val="000B3D5C"/>
    <w:rsid w:val="000B48B6"/>
    <w:rsid w:val="000B53E0"/>
    <w:rsid w:val="000B5F23"/>
    <w:rsid w:val="000B63F7"/>
    <w:rsid w:val="000B65FD"/>
    <w:rsid w:val="000B6F63"/>
    <w:rsid w:val="000C1C4E"/>
    <w:rsid w:val="000C2159"/>
    <w:rsid w:val="000C2C9A"/>
    <w:rsid w:val="000C2CD2"/>
    <w:rsid w:val="000C311B"/>
    <w:rsid w:val="000C48F9"/>
    <w:rsid w:val="000C5B92"/>
    <w:rsid w:val="000C725B"/>
    <w:rsid w:val="000D0ED7"/>
    <w:rsid w:val="000D154F"/>
    <w:rsid w:val="000D1745"/>
    <w:rsid w:val="000D1AC3"/>
    <w:rsid w:val="000D28A4"/>
    <w:rsid w:val="000D2B85"/>
    <w:rsid w:val="000D660A"/>
    <w:rsid w:val="000D6A8B"/>
    <w:rsid w:val="000D772A"/>
    <w:rsid w:val="000D78F5"/>
    <w:rsid w:val="000E00EE"/>
    <w:rsid w:val="000E0611"/>
    <w:rsid w:val="000E27C3"/>
    <w:rsid w:val="000E2D07"/>
    <w:rsid w:val="000E35C0"/>
    <w:rsid w:val="000E3B95"/>
    <w:rsid w:val="000E5F1F"/>
    <w:rsid w:val="000E7417"/>
    <w:rsid w:val="000F0416"/>
    <w:rsid w:val="000F1B0A"/>
    <w:rsid w:val="000F2017"/>
    <w:rsid w:val="000F24D9"/>
    <w:rsid w:val="000F2EFC"/>
    <w:rsid w:val="000F3640"/>
    <w:rsid w:val="000F366E"/>
    <w:rsid w:val="000F3D58"/>
    <w:rsid w:val="00100163"/>
    <w:rsid w:val="001005C0"/>
    <w:rsid w:val="001008CF"/>
    <w:rsid w:val="001025F7"/>
    <w:rsid w:val="00102968"/>
    <w:rsid w:val="00104166"/>
    <w:rsid w:val="001044BA"/>
    <w:rsid w:val="0010482E"/>
    <w:rsid w:val="00107D66"/>
    <w:rsid w:val="00110518"/>
    <w:rsid w:val="00110AD1"/>
    <w:rsid w:val="0011243F"/>
    <w:rsid w:val="001136F4"/>
    <w:rsid w:val="00114E33"/>
    <w:rsid w:val="00115370"/>
    <w:rsid w:val="00115649"/>
    <w:rsid w:val="00116885"/>
    <w:rsid w:val="00121EDB"/>
    <w:rsid w:val="0012214E"/>
    <w:rsid w:val="001223DB"/>
    <w:rsid w:val="00123966"/>
    <w:rsid w:val="0012617B"/>
    <w:rsid w:val="00126A3B"/>
    <w:rsid w:val="00127183"/>
    <w:rsid w:val="0013019D"/>
    <w:rsid w:val="00131DBE"/>
    <w:rsid w:val="00132F05"/>
    <w:rsid w:val="0013339F"/>
    <w:rsid w:val="0013653F"/>
    <w:rsid w:val="00136861"/>
    <w:rsid w:val="00137C28"/>
    <w:rsid w:val="00137EB0"/>
    <w:rsid w:val="001404AB"/>
    <w:rsid w:val="001404E9"/>
    <w:rsid w:val="0014269F"/>
    <w:rsid w:val="00144DD2"/>
    <w:rsid w:val="001454F8"/>
    <w:rsid w:val="00146067"/>
    <w:rsid w:val="001474C0"/>
    <w:rsid w:val="001503FF"/>
    <w:rsid w:val="00150D71"/>
    <w:rsid w:val="00152CD9"/>
    <w:rsid w:val="00153694"/>
    <w:rsid w:val="001556EA"/>
    <w:rsid w:val="00156844"/>
    <w:rsid w:val="0015771A"/>
    <w:rsid w:val="00160289"/>
    <w:rsid w:val="00160D65"/>
    <w:rsid w:val="00161C5E"/>
    <w:rsid w:val="0016382C"/>
    <w:rsid w:val="001639B4"/>
    <w:rsid w:val="001641CA"/>
    <w:rsid w:val="0016431B"/>
    <w:rsid w:val="0016440F"/>
    <w:rsid w:val="00164D3A"/>
    <w:rsid w:val="00165C9A"/>
    <w:rsid w:val="001701E3"/>
    <w:rsid w:val="0017111F"/>
    <w:rsid w:val="00171B07"/>
    <w:rsid w:val="0017231D"/>
    <w:rsid w:val="00172AA6"/>
    <w:rsid w:val="00176CCE"/>
    <w:rsid w:val="0017731A"/>
    <w:rsid w:val="00177FEC"/>
    <w:rsid w:val="00180C24"/>
    <w:rsid w:val="001810DC"/>
    <w:rsid w:val="00184797"/>
    <w:rsid w:val="00184958"/>
    <w:rsid w:val="001854B5"/>
    <w:rsid w:val="001879A4"/>
    <w:rsid w:val="00190737"/>
    <w:rsid w:val="0019085B"/>
    <w:rsid w:val="00191081"/>
    <w:rsid w:val="001918EA"/>
    <w:rsid w:val="00193C2C"/>
    <w:rsid w:val="00193DEA"/>
    <w:rsid w:val="00193EFC"/>
    <w:rsid w:val="001947EB"/>
    <w:rsid w:val="0019648B"/>
    <w:rsid w:val="001969E1"/>
    <w:rsid w:val="001A0B23"/>
    <w:rsid w:val="001A0E32"/>
    <w:rsid w:val="001A1BF2"/>
    <w:rsid w:val="001A1ED3"/>
    <w:rsid w:val="001A2875"/>
    <w:rsid w:val="001A5171"/>
    <w:rsid w:val="001A55AA"/>
    <w:rsid w:val="001A56EA"/>
    <w:rsid w:val="001A5A97"/>
    <w:rsid w:val="001A5C79"/>
    <w:rsid w:val="001A614F"/>
    <w:rsid w:val="001A6256"/>
    <w:rsid w:val="001B372A"/>
    <w:rsid w:val="001B5613"/>
    <w:rsid w:val="001B573B"/>
    <w:rsid w:val="001B5BEF"/>
    <w:rsid w:val="001B607F"/>
    <w:rsid w:val="001B63E1"/>
    <w:rsid w:val="001B673D"/>
    <w:rsid w:val="001B6818"/>
    <w:rsid w:val="001B6949"/>
    <w:rsid w:val="001B6C1F"/>
    <w:rsid w:val="001B7705"/>
    <w:rsid w:val="001C0092"/>
    <w:rsid w:val="001C02A0"/>
    <w:rsid w:val="001C10D2"/>
    <w:rsid w:val="001C18D9"/>
    <w:rsid w:val="001C2D45"/>
    <w:rsid w:val="001C690D"/>
    <w:rsid w:val="001C734C"/>
    <w:rsid w:val="001D0CA6"/>
    <w:rsid w:val="001D0F8D"/>
    <w:rsid w:val="001D127D"/>
    <w:rsid w:val="001D277F"/>
    <w:rsid w:val="001D369A"/>
    <w:rsid w:val="001D3A02"/>
    <w:rsid w:val="001D4B05"/>
    <w:rsid w:val="001D635B"/>
    <w:rsid w:val="001D6DEE"/>
    <w:rsid w:val="001D6E78"/>
    <w:rsid w:val="001E1ADA"/>
    <w:rsid w:val="001E2B62"/>
    <w:rsid w:val="001E31FA"/>
    <w:rsid w:val="001E3A5C"/>
    <w:rsid w:val="001E68D9"/>
    <w:rsid w:val="001E7C50"/>
    <w:rsid w:val="001F0D40"/>
    <w:rsid w:val="001F152C"/>
    <w:rsid w:val="001F1752"/>
    <w:rsid w:val="001F1F28"/>
    <w:rsid w:val="001F2655"/>
    <w:rsid w:val="001F32DC"/>
    <w:rsid w:val="001F3C63"/>
    <w:rsid w:val="001F542E"/>
    <w:rsid w:val="001F74A0"/>
    <w:rsid w:val="00200F85"/>
    <w:rsid w:val="0020183D"/>
    <w:rsid w:val="00201DB8"/>
    <w:rsid w:val="002022CE"/>
    <w:rsid w:val="0020289C"/>
    <w:rsid w:val="00202CBD"/>
    <w:rsid w:val="002032D9"/>
    <w:rsid w:val="002037D8"/>
    <w:rsid w:val="0020550D"/>
    <w:rsid w:val="002070FB"/>
    <w:rsid w:val="002075B1"/>
    <w:rsid w:val="0020760D"/>
    <w:rsid w:val="00211BF9"/>
    <w:rsid w:val="00212D7C"/>
    <w:rsid w:val="0021369B"/>
    <w:rsid w:val="00213729"/>
    <w:rsid w:val="0021472C"/>
    <w:rsid w:val="00215FD5"/>
    <w:rsid w:val="0021723B"/>
    <w:rsid w:val="00217F33"/>
    <w:rsid w:val="00220D90"/>
    <w:rsid w:val="00223AE7"/>
    <w:rsid w:val="002241C4"/>
    <w:rsid w:val="00225A02"/>
    <w:rsid w:val="0022676C"/>
    <w:rsid w:val="00231123"/>
    <w:rsid w:val="00231469"/>
    <w:rsid w:val="00232029"/>
    <w:rsid w:val="002333BA"/>
    <w:rsid w:val="002346E0"/>
    <w:rsid w:val="00234C47"/>
    <w:rsid w:val="00234EB3"/>
    <w:rsid w:val="00234FB9"/>
    <w:rsid w:val="002352B6"/>
    <w:rsid w:val="002354A4"/>
    <w:rsid w:val="00237360"/>
    <w:rsid w:val="002375DB"/>
    <w:rsid w:val="00237E7C"/>
    <w:rsid w:val="002406FA"/>
    <w:rsid w:val="00242164"/>
    <w:rsid w:val="00242D95"/>
    <w:rsid w:val="00242E9D"/>
    <w:rsid w:val="00242F64"/>
    <w:rsid w:val="002438FE"/>
    <w:rsid w:val="00244EA3"/>
    <w:rsid w:val="00246743"/>
    <w:rsid w:val="00250571"/>
    <w:rsid w:val="00250BF2"/>
    <w:rsid w:val="00250C34"/>
    <w:rsid w:val="00250F0A"/>
    <w:rsid w:val="002520CE"/>
    <w:rsid w:val="0025236D"/>
    <w:rsid w:val="00252463"/>
    <w:rsid w:val="00253CB7"/>
    <w:rsid w:val="00254685"/>
    <w:rsid w:val="002555FF"/>
    <w:rsid w:val="00255A89"/>
    <w:rsid w:val="00255DDD"/>
    <w:rsid w:val="002578FD"/>
    <w:rsid w:val="002601EA"/>
    <w:rsid w:val="00260289"/>
    <w:rsid w:val="002613D9"/>
    <w:rsid w:val="0026176B"/>
    <w:rsid w:val="0026321C"/>
    <w:rsid w:val="00263537"/>
    <w:rsid w:val="00266338"/>
    <w:rsid w:val="002701AD"/>
    <w:rsid w:val="0027038E"/>
    <w:rsid w:val="00270639"/>
    <w:rsid w:val="00270970"/>
    <w:rsid w:val="00270DCD"/>
    <w:rsid w:val="00273619"/>
    <w:rsid w:val="0027454E"/>
    <w:rsid w:val="00275A2C"/>
    <w:rsid w:val="00276B27"/>
    <w:rsid w:val="00277592"/>
    <w:rsid w:val="00277D8A"/>
    <w:rsid w:val="00280519"/>
    <w:rsid w:val="002813F0"/>
    <w:rsid w:val="00283BBA"/>
    <w:rsid w:val="002848AE"/>
    <w:rsid w:val="00286697"/>
    <w:rsid w:val="002915B8"/>
    <w:rsid w:val="002916A2"/>
    <w:rsid w:val="00292C12"/>
    <w:rsid w:val="0029337E"/>
    <w:rsid w:val="002944C1"/>
    <w:rsid w:val="002966B6"/>
    <w:rsid w:val="002967EF"/>
    <w:rsid w:val="0029735B"/>
    <w:rsid w:val="002A01F1"/>
    <w:rsid w:val="002A11BC"/>
    <w:rsid w:val="002A26C8"/>
    <w:rsid w:val="002A2A28"/>
    <w:rsid w:val="002A3889"/>
    <w:rsid w:val="002A4EC5"/>
    <w:rsid w:val="002A557C"/>
    <w:rsid w:val="002A73B5"/>
    <w:rsid w:val="002A75EB"/>
    <w:rsid w:val="002A7D93"/>
    <w:rsid w:val="002B2282"/>
    <w:rsid w:val="002B2A18"/>
    <w:rsid w:val="002B2E47"/>
    <w:rsid w:val="002B3140"/>
    <w:rsid w:val="002B4ECD"/>
    <w:rsid w:val="002B5ECC"/>
    <w:rsid w:val="002B6025"/>
    <w:rsid w:val="002B657A"/>
    <w:rsid w:val="002B6C3A"/>
    <w:rsid w:val="002C0452"/>
    <w:rsid w:val="002C27DF"/>
    <w:rsid w:val="002C43D1"/>
    <w:rsid w:val="002C4B71"/>
    <w:rsid w:val="002C6DC2"/>
    <w:rsid w:val="002C70CF"/>
    <w:rsid w:val="002D05DC"/>
    <w:rsid w:val="002D0BB6"/>
    <w:rsid w:val="002D294F"/>
    <w:rsid w:val="002D3748"/>
    <w:rsid w:val="002D46B0"/>
    <w:rsid w:val="002D6A82"/>
    <w:rsid w:val="002D765B"/>
    <w:rsid w:val="002D7EB0"/>
    <w:rsid w:val="002E115B"/>
    <w:rsid w:val="002E1F47"/>
    <w:rsid w:val="002E3D08"/>
    <w:rsid w:val="002E3DD8"/>
    <w:rsid w:val="002E564D"/>
    <w:rsid w:val="002E65D5"/>
    <w:rsid w:val="002E6C4C"/>
    <w:rsid w:val="002F1BD4"/>
    <w:rsid w:val="002F4226"/>
    <w:rsid w:val="002F4B61"/>
    <w:rsid w:val="002F53D3"/>
    <w:rsid w:val="002F5B06"/>
    <w:rsid w:val="002F6B67"/>
    <w:rsid w:val="002F7386"/>
    <w:rsid w:val="002F76ED"/>
    <w:rsid w:val="002F78A4"/>
    <w:rsid w:val="0030088A"/>
    <w:rsid w:val="0030168D"/>
    <w:rsid w:val="00301B55"/>
    <w:rsid w:val="00301BA7"/>
    <w:rsid w:val="003046A0"/>
    <w:rsid w:val="00304810"/>
    <w:rsid w:val="00304B6D"/>
    <w:rsid w:val="003101BF"/>
    <w:rsid w:val="0031032B"/>
    <w:rsid w:val="00310443"/>
    <w:rsid w:val="00310D3C"/>
    <w:rsid w:val="003127A4"/>
    <w:rsid w:val="00312E5D"/>
    <w:rsid w:val="003141DA"/>
    <w:rsid w:val="00314C68"/>
    <w:rsid w:val="00314DD1"/>
    <w:rsid w:val="00316DC9"/>
    <w:rsid w:val="0031718B"/>
    <w:rsid w:val="0032046E"/>
    <w:rsid w:val="00320908"/>
    <w:rsid w:val="00322D46"/>
    <w:rsid w:val="003232D8"/>
    <w:rsid w:val="0032350C"/>
    <w:rsid w:val="00323A38"/>
    <w:rsid w:val="0032557D"/>
    <w:rsid w:val="003256A0"/>
    <w:rsid w:val="003256B9"/>
    <w:rsid w:val="003301A3"/>
    <w:rsid w:val="003308CB"/>
    <w:rsid w:val="00331E49"/>
    <w:rsid w:val="00333DB6"/>
    <w:rsid w:val="003348AE"/>
    <w:rsid w:val="00335E49"/>
    <w:rsid w:val="00336DC3"/>
    <w:rsid w:val="003428FE"/>
    <w:rsid w:val="00342D1F"/>
    <w:rsid w:val="00344209"/>
    <w:rsid w:val="00344720"/>
    <w:rsid w:val="00345076"/>
    <w:rsid w:val="00351F44"/>
    <w:rsid w:val="003536E7"/>
    <w:rsid w:val="00356247"/>
    <w:rsid w:val="0035670D"/>
    <w:rsid w:val="00356ADC"/>
    <w:rsid w:val="0036025E"/>
    <w:rsid w:val="00361EB2"/>
    <w:rsid w:val="00361EDC"/>
    <w:rsid w:val="00362AC4"/>
    <w:rsid w:val="00362BDC"/>
    <w:rsid w:val="0036317E"/>
    <w:rsid w:val="00363B0F"/>
    <w:rsid w:val="003644B4"/>
    <w:rsid w:val="00364788"/>
    <w:rsid w:val="003662B7"/>
    <w:rsid w:val="00366B68"/>
    <w:rsid w:val="00366E22"/>
    <w:rsid w:val="00367730"/>
    <w:rsid w:val="0036777B"/>
    <w:rsid w:val="00367DEB"/>
    <w:rsid w:val="00367F13"/>
    <w:rsid w:val="00370124"/>
    <w:rsid w:val="0037150D"/>
    <w:rsid w:val="0037278F"/>
    <w:rsid w:val="00374605"/>
    <w:rsid w:val="00375206"/>
    <w:rsid w:val="00375BE5"/>
    <w:rsid w:val="0037602C"/>
    <w:rsid w:val="00377E2A"/>
    <w:rsid w:val="00381181"/>
    <w:rsid w:val="0038139B"/>
    <w:rsid w:val="0038282A"/>
    <w:rsid w:val="003834A3"/>
    <w:rsid w:val="00384417"/>
    <w:rsid w:val="00390AFC"/>
    <w:rsid w:val="0039136F"/>
    <w:rsid w:val="00392C8D"/>
    <w:rsid w:val="003935C5"/>
    <w:rsid w:val="00394568"/>
    <w:rsid w:val="00394743"/>
    <w:rsid w:val="00394B82"/>
    <w:rsid w:val="00395EAC"/>
    <w:rsid w:val="00396878"/>
    <w:rsid w:val="00397580"/>
    <w:rsid w:val="003A0AC1"/>
    <w:rsid w:val="003A29A4"/>
    <w:rsid w:val="003A2BE1"/>
    <w:rsid w:val="003A37D1"/>
    <w:rsid w:val="003A416E"/>
    <w:rsid w:val="003A45C8"/>
    <w:rsid w:val="003A492D"/>
    <w:rsid w:val="003A4AC2"/>
    <w:rsid w:val="003A5212"/>
    <w:rsid w:val="003A6C71"/>
    <w:rsid w:val="003A7120"/>
    <w:rsid w:val="003A75B9"/>
    <w:rsid w:val="003A7E18"/>
    <w:rsid w:val="003A7E64"/>
    <w:rsid w:val="003A7FF4"/>
    <w:rsid w:val="003B01F0"/>
    <w:rsid w:val="003B1E98"/>
    <w:rsid w:val="003B42D7"/>
    <w:rsid w:val="003B537D"/>
    <w:rsid w:val="003B6309"/>
    <w:rsid w:val="003C070D"/>
    <w:rsid w:val="003C1B66"/>
    <w:rsid w:val="003C20BD"/>
    <w:rsid w:val="003C2DCF"/>
    <w:rsid w:val="003C4315"/>
    <w:rsid w:val="003C6497"/>
    <w:rsid w:val="003C72C2"/>
    <w:rsid w:val="003C748B"/>
    <w:rsid w:val="003C7FE7"/>
    <w:rsid w:val="003D0499"/>
    <w:rsid w:val="003D1BD2"/>
    <w:rsid w:val="003D234F"/>
    <w:rsid w:val="003D2A0A"/>
    <w:rsid w:val="003D5178"/>
    <w:rsid w:val="003D5D4D"/>
    <w:rsid w:val="003D609C"/>
    <w:rsid w:val="003D61BC"/>
    <w:rsid w:val="003D6656"/>
    <w:rsid w:val="003D6FE0"/>
    <w:rsid w:val="003E318C"/>
    <w:rsid w:val="003E419B"/>
    <w:rsid w:val="003E5148"/>
    <w:rsid w:val="003E5406"/>
    <w:rsid w:val="003E57A1"/>
    <w:rsid w:val="003E6377"/>
    <w:rsid w:val="003E691C"/>
    <w:rsid w:val="003F1328"/>
    <w:rsid w:val="003F392F"/>
    <w:rsid w:val="003F4416"/>
    <w:rsid w:val="003F526A"/>
    <w:rsid w:val="003F54EB"/>
    <w:rsid w:val="003F77C9"/>
    <w:rsid w:val="004000C3"/>
    <w:rsid w:val="00400434"/>
    <w:rsid w:val="004004CF"/>
    <w:rsid w:val="0040058F"/>
    <w:rsid w:val="004008B0"/>
    <w:rsid w:val="00400C7E"/>
    <w:rsid w:val="00400FD9"/>
    <w:rsid w:val="00405244"/>
    <w:rsid w:val="00405EEE"/>
    <w:rsid w:val="004067C5"/>
    <w:rsid w:val="00406A02"/>
    <w:rsid w:val="00406A47"/>
    <w:rsid w:val="00410904"/>
    <w:rsid w:val="00411443"/>
    <w:rsid w:val="004118FF"/>
    <w:rsid w:val="004123F4"/>
    <w:rsid w:val="004124F2"/>
    <w:rsid w:val="0041272F"/>
    <w:rsid w:val="00413EEF"/>
    <w:rsid w:val="004156C9"/>
    <w:rsid w:val="00416C69"/>
    <w:rsid w:val="0042051A"/>
    <w:rsid w:val="004212D0"/>
    <w:rsid w:val="00421621"/>
    <w:rsid w:val="004235D6"/>
    <w:rsid w:val="00424E16"/>
    <w:rsid w:val="00425022"/>
    <w:rsid w:val="00425717"/>
    <w:rsid w:val="004313EC"/>
    <w:rsid w:val="00431F7E"/>
    <w:rsid w:val="004325BD"/>
    <w:rsid w:val="00432AA9"/>
    <w:rsid w:val="00433E8D"/>
    <w:rsid w:val="00434619"/>
    <w:rsid w:val="0043553A"/>
    <w:rsid w:val="00435AD7"/>
    <w:rsid w:val="00441905"/>
    <w:rsid w:val="00441CD5"/>
    <w:rsid w:val="004425AD"/>
    <w:rsid w:val="0044324D"/>
    <w:rsid w:val="004436EE"/>
    <w:rsid w:val="00444CC6"/>
    <w:rsid w:val="00445DD6"/>
    <w:rsid w:val="00446032"/>
    <w:rsid w:val="0044654D"/>
    <w:rsid w:val="004472DD"/>
    <w:rsid w:val="004476AB"/>
    <w:rsid w:val="00450C00"/>
    <w:rsid w:val="0045218D"/>
    <w:rsid w:val="004525E7"/>
    <w:rsid w:val="00453C23"/>
    <w:rsid w:val="00453E17"/>
    <w:rsid w:val="004540DF"/>
    <w:rsid w:val="0045547F"/>
    <w:rsid w:val="00455EF5"/>
    <w:rsid w:val="00457B76"/>
    <w:rsid w:val="00457C59"/>
    <w:rsid w:val="00461BF7"/>
    <w:rsid w:val="00462273"/>
    <w:rsid w:val="004623D7"/>
    <w:rsid w:val="004624EA"/>
    <w:rsid w:val="00463C44"/>
    <w:rsid w:val="00464A79"/>
    <w:rsid w:val="004677B2"/>
    <w:rsid w:val="0047018E"/>
    <w:rsid w:val="00471061"/>
    <w:rsid w:val="00471084"/>
    <w:rsid w:val="0047196F"/>
    <w:rsid w:val="004723C1"/>
    <w:rsid w:val="00473010"/>
    <w:rsid w:val="00473CDF"/>
    <w:rsid w:val="004740D3"/>
    <w:rsid w:val="0047463E"/>
    <w:rsid w:val="00474C89"/>
    <w:rsid w:val="00476BE5"/>
    <w:rsid w:val="004776BB"/>
    <w:rsid w:val="004813C6"/>
    <w:rsid w:val="00481F42"/>
    <w:rsid w:val="00482162"/>
    <w:rsid w:val="004833FC"/>
    <w:rsid w:val="00485015"/>
    <w:rsid w:val="004867E2"/>
    <w:rsid w:val="00487596"/>
    <w:rsid w:val="004904BE"/>
    <w:rsid w:val="004920AD"/>
    <w:rsid w:val="00492229"/>
    <w:rsid w:val="004939DF"/>
    <w:rsid w:val="00493DF6"/>
    <w:rsid w:val="0049658D"/>
    <w:rsid w:val="00496B80"/>
    <w:rsid w:val="00496D88"/>
    <w:rsid w:val="0049703A"/>
    <w:rsid w:val="00497628"/>
    <w:rsid w:val="004A0435"/>
    <w:rsid w:val="004A0866"/>
    <w:rsid w:val="004A12BE"/>
    <w:rsid w:val="004A25FB"/>
    <w:rsid w:val="004A27AA"/>
    <w:rsid w:val="004A2D5C"/>
    <w:rsid w:val="004A319E"/>
    <w:rsid w:val="004A3ABC"/>
    <w:rsid w:val="004A53FC"/>
    <w:rsid w:val="004A6927"/>
    <w:rsid w:val="004A71F0"/>
    <w:rsid w:val="004B1379"/>
    <w:rsid w:val="004B342B"/>
    <w:rsid w:val="004B425B"/>
    <w:rsid w:val="004B46F6"/>
    <w:rsid w:val="004B52E8"/>
    <w:rsid w:val="004B56AB"/>
    <w:rsid w:val="004B5C6C"/>
    <w:rsid w:val="004B6197"/>
    <w:rsid w:val="004B74E6"/>
    <w:rsid w:val="004B786F"/>
    <w:rsid w:val="004C0E3D"/>
    <w:rsid w:val="004C136F"/>
    <w:rsid w:val="004C1942"/>
    <w:rsid w:val="004C1BEE"/>
    <w:rsid w:val="004C24BB"/>
    <w:rsid w:val="004C4348"/>
    <w:rsid w:val="004C4CD4"/>
    <w:rsid w:val="004C59AC"/>
    <w:rsid w:val="004C5D7C"/>
    <w:rsid w:val="004C7126"/>
    <w:rsid w:val="004D0304"/>
    <w:rsid w:val="004D05B3"/>
    <w:rsid w:val="004D1023"/>
    <w:rsid w:val="004D2591"/>
    <w:rsid w:val="004D309B"/>
    <w:rsid w:val="004D370E"/>
    <w:rsid w:val="004D3746"/>
    <w:rsid w:val="004D4442"/>
    <w:rsid w:val="004D591E"/>
    <w:rsid w:val="004D79C0"/>
    <w:rsid w:val="004E05AD"/>
    <w:rsid w:val="004E29CA"/>
    <w:rsid w:val="004E3A75"/>
    <w:rsid w:val="004E3ED7"/>
    <w:rsid w:val="004E479E"/>
    <w:rsid w:val="004E6E7A"/>
    <w:rsid w:val="004E70DA"/>
    <w:rsid w:val="004E73C2"/>
    <w:rsid w:val="004F31BF"/>
    <w:rsid w:val="004F3B1C"/>
    <w:rsid w:val="004F4FF4"/>
    <w:rsid w:val="004F78E6"/>
    <w:rsid w:val="0050034B"/>
    <w:rsid w:val="0050106A"/>
    <w:rsid w:val="00501BAE"/>
    <w:rsid w:val="00502415"/>
    <w:rsid w:val="005027B1"/>
    <w:rsid w:val="00503D46"/>
    <w:rsid w:val="00504C39"/>
    <w:rsid w:val="005061C8"/>
    <w:rsid w:val="00510598"/>
    <w:rsid w:val="00512D99"/>
    <w:rsid w:val="00513223"/>
    <w:rsid w:val="00513395"/>
    <w:rsid w:val="005143B4"/>
    <w:rsid w:val="005149FC"/>
    <w:rsid w:val="00514E9A"/>
    <w:rsid w:val="00515545"/>
    <w:rsid w:val="00516CD5"/>
    <w:rsid w:val="00517A8D"/>
    <w:rsid w:val="005209B3"/>
    <w:rsid w:val="00522F94"/>
    <w:rsid w:val="00523413"/>
    <w:rsid w:val="005238F9"/>
    <w:rsid w:val="00525A04"/>
    <w:rsid w:val="00525ED6"/>
    <w:rsid w:val="00526E09"/>
    <w:rsid w:val="00527377"/>
    <w:rsid w:val="0052745C"/>
    <w:rsid w:val="005301D9"/>
    <w:rsid w:val="0053176D"/>
    <w:rsid w:val="005318C3"/>
    <w:rsid w:val="00531DBB"/>
    <w:rsid w:val="00533F34"/>
    <w:rsid w:val="0053438B"/>
    <w:rsid w:val="0053497C"/>
    <w:rsid w:val="005358A3"/>
    <w:rsid w:val="00535FC6"/>
    <w:rsid w:val="00536410"/>
    <w:rsid w:val="00536E71"/>
    <w:rsid w:val="00540470"/>
    <w:rsid w:val="005404ED"/>
    <w:rsid w:val="00542618"/>
    <w:rsid w:val="00543638"/>
    <w:rsid w:val="00543762"/>
    <w:rsid w:val="00543B1A"/>
    <w:rsid w:val="005442DB"/>
    <w:rsid w:val="00544434"/>
    <w:rsid w:val="00544F9C"/>
    <w:rsid w:val="005466DC"/>
    <w:rsid w:val="00546BA8"/>
    <w:rsid w:val="0055098B"/>
    <w:rsid w:val="00551628"/>
    <w:rsid w:val="00551CF6"/>
    <w:rsid w:val="00551E24"/>
    <w:rsid w:val="005531E8"/>
    <w:rsid w:val="0055325D"/>
    <w:rsid w:val="00553D0F"/>
    <w:rsid w:val="00553F2A"/>
    <w:rsid w:val="00556814"/>
    <w:rsid w:val="00557263"/>
    <w:rsid w:val="00561CD8"/>
    <w:rsid w:val="00563B4D"/>
    <w:rsid w:val="005651F7"/>
    <w:rsid w:val="00566EC1"/>
    <w:rsid w:val="00567B55"/>
    <w:rsid w:val="00570B38"/>
    <w:rsid w:val="00571BFD"/>
    <w:rsid w:val="0057209F"/>
    <w:rsid w:val="005721C3"/>
    <w:rsid w:val="00572906"/>
    <w:rsid w:val="00573DF4"/>
    <w:rsid w:val="005745DD"/>
    <w:rsid w:val="0057576F"/>
    <w:rsid w:val="00576345"/>
    <w:rsid w:val="005764A2"/>
    <w:rsid w:val="00577CCC"/>
    <w:rsid w:val="00581B90"/>
    <w:rsid w:val="00582807"/>
    <w:rsid w:val="00583DBC"/>
    <w:rsid w:val="005860FA"/>
    <w:rsid w:val="00586610"/>
    <w:rsid w:val="00587000"/>
    <w:rsid w:val="0059015D"/>
    <w:rsid w:val="005902CB"/>
    <w:rsid w:val="005905A7"/>
    <w:rsid w:val="005907BE"/>
    <w:rsid w:val="005919E5"/>
    <w:rsid w:val="00593132"/>
    <w:rsid w:val="005931B9"/>
    <w:rsid w:val="00593ED0"/>
    <w:rsid w:val="00594FD0"/>
    <w:rsid w:val="0059537B"/>
    <w:rsid w:val="00595642"/>
    <w:rsid w:val="00595674"/>
    <w:rsid w:val="005957FD"/>
    <w:rsid w:val="005A0BAE"/>
    <w:rsid w:val="005A1893"/>
    <w:rsid w:val="005A1BFE"/>
    <w:rsid w:val="005A2A09"/>
    <w:rsid w:val="005A2B32"/>
    <w:rsid w:val="005A2C24"/>
    <w:rsid w:val="005A2D3E"/>
    <w:rsid w:val="005A408A"/>
    <w:rsid w:val="005A4190"/>
    <w:rsid w:val="005A6799"/>
    <w:rsid w:val="005A67F8"/>
    <w:rsid w:val="005A714E"/>
    <w:rsid w:val="005B083F"/>
    <w:rsid w:val="005B0C36"/>
    <w:rsid w:val="005B0C56"/>
    <w:rsid w:val="005B1998"/>
    <w:rsid w:val="005B51F7"/>
    <w:rsid w:val="005B64A4"/>
    <w:rsid w:val="005B6AAF"/>
    <w:rsid w:val="005B70FB"/>
    <w:rsid w:val="005B748B"/>
    <w:rsid w:val="005B7CDB"/>
    <w:rsid w:val="005C0740"/>
    <w:rsid w:val="005C0C37"/>
    <w:rsid w:val="005C0C64"/>
    <w:rsid w:val="005C33B5"/>
    <w:rsid w:val="005C5430"/>
    <w:rsid w:val="005C6CDD"/>
    <w:rsid w:val="005D03B1"/>
    <w:rsid w:val="005D0D30"/>
    <w:rsid w:val="005D10CC"/>
    <w:rsid w:val="005D1D20"/>
    <w:rsid w:val="005D230A"/>
    <w:rsid w:val="005D2CBF"/>
    <w:rsid w:val="005D3DA1"/>
    <w:rsid w:val="005D4B93"/>
    <w:rsid w:val="005D5FB3"/>
    <w:rsid w:val="005D77E4"/>
    <w:rsid w:val="005E02E3"/>
    <w:rsid w:val="005E1464"/>
    <w:rsid w:val="005E2086"/>
    <w:rsid w:val="005E2BE5"/>
    <w:rsid w:val="005E3079"/>
    <w:rsid w:val="005E51FF"/>
    <w:rsid w:val="005E5560"/>
    <w:rsid w:val="005E6A8B"/>
    <w:rsid w:val="005F09E2"/>
    <w:rsid w:val="005F0C29"/>
    <w:rsid w:val="005F1122"/>
    <w:rsid w:val="005F5E9B"/>
    <w:rsid w:val="005F656F"/>
    <w:rsid w:val="005F68D7"/>
    <w:rsid w:val="005F79FB"/>
    <w:rsid w:val="005F7A4A"/>
    <w:rsid w:val="005F7FCA"/>
    <w:rsid w:val="00603B77"/>
    <w:rsid w:val="00604324"/>
    <w:rsid w:val="00604406"/>
    <w:rsid w:val="00604D75"/>
    <w:rsid w:val="00604F70"/>
    <w:rsid w:val="00605551"/>
    <w:rsid w:val="00605F4A"/>
    <w:rsid w:val="00606366"/>
    <w:rsid w:val="006063E8"/>
    <w:rsid w:val="00607822"/>
    <w:rsid w:val="00610134"/>
    <w:rsid w:val="00610384"/>
    <w:rsid w:val="006103AA"/>
    <w:rsid w:val="00610AB1"/>
    <w:rsid w:val="006112C0"/>
    <w:rsid w:val="00611894"/>
    <w:rsid w:val="00612237"/>
    <w:rsid w:val="0061276E"/>
    <w:rsid w:val="006127BC"/>
    <w:rsid w:val="00613BBF"/>
    <w:rsid w:val="0061554D"/>
    <w:rsid w:val="00615DD3"/>
    <w:rsid w:val="00616DE4"/>
    <w:rsid w:val="006223A8"/>
    <w:rsid w:val="00622B80"/>
    <w:rsid w:val="00624725"/>
    <w:rsid w:val="006251EE"/>
    <w:rsid w:val="00626DA3"/>
    <w:rsid w:val="00627853"/>
    <w:rsid w:val="00627E2E"/>
    <w:rsid w:val="006310E7"/>
    <w:rsid w:val="0063192B"/>
    <w:rsid w:val="006323B0"/>
    <w:rsid w:val="00632646"/>
    <w:rsid w:val="00633502"/>
    <w:rsid w:val="00633961"/>
    <w:rsid w:val="00634B72"/>
    <w:rsid w:val="006352F1"/>
    <w:rsid w:val="00637B90"/>
    <w:rsid w:val="00640968"/>
    <w:rsid w:val="0064111A"/>
    <w:rsid w:val="0064139A"/>
    <w:rsid w:val="0064595C"/>
    <w:rsid w:val="006479C9"/>
    <w:rsid w:val="00647A77"/>
    <w:rsid w:val="00647F70"/>
    <w:rsid w:val="0065104C"/>
    <w:rsid w:val="00651B5B"/>
    <w:rsid w:val="006522F9"/>
    <w:rsid w:val="00652734"/>
    <w:rsid w:val="006538C3"/>
    <w:rsid w:val="00654731"/>
    <w:rsid w:val="0065508A"/>
    <w:rsid w:val="00655286"/>
    <w:rsid w:val="00655368"/>
    <w:rsid w:val="006560B4"/>
    <w:rsid w:val="00656C83"/>
    <w:rsid w:val="00657035"/>
    <w:rsid w:val="00660DA4"/>
    <w:rsid w:val="0066452A"/>
    <w:rsid w:val="006651B1"/>
    <w:rsid w:val="00665ADA"/>
    <w:rsid w:val="00665C20"/>
    <w:rsid w:val="00666B6E"/>
    <w:rsid w:val="00666E38"/>
    <w:rsid w:val="006677D6"/>
    <w:rsid w:val="00667FF3"/>
    <w:rsid w:val="00670B44"/>
    <w:rsid w:val="006717E6"/>
    <w:rsid w:val="00673AA6"/>
    <w:rsid w:val="006742D9"/>
    <w:rsid w:val="00674673"/>
    <w:rsid w:val="006747C6"/>
    <w:rsid w:val="00674BE7"/>
    <w:rsid w:val="00674CFC"/>
    <w:rsid w:val="006757D0"/>
    <w:rsid w:val="00675FC2"/>
    <w:rsid w:val="00681309"/>
    <w:rsid w:val="00681B33"/>
    <w:rsid w:val="00681DF7"/>
    <w:rsid w:val="006850C4"/>
    <w:rsid w:val="00685C9D"/>
    <w:rsid w:val="006862A5"/>
    <w:rsid w:val="00687140"/>
    <w:rsid w:val="006907E8"/>
    <w:rsid w:val="00690C59"/>
    <w:rsid w:val="00691C8F"/>
    <w:rsid w:val="00692973"/>
    <w:rsid w:val="00692A48"/>
    <w:rsid w:val="006937DB"/>
    <w:rsid w:val="0069487E"/>
    <w:rsid w:val="006959E0"/>
    <w:rsid w:val="00695CA2"/>
    <w:rsid w:val="00696345"/>
    <w:rsid w:val="00696887"/>
    <w:rsid w:val="00696910"/>
    <w:rsid w:val="00696D50"/>
    <w:rsid w:val="0069743B"/>
    <w:rsid w:val="006A13B2"/>
    <w:rsid w:val="006A18D7"/>
    <w:rsid w:val="006A3FC7"/>
    <w:rsid w:val="006A4250"/>
    <w:rsid w:val="006A6742"/>
    <w:rsid w:val="006A7496"/>
    <w:rsid w:val="006B22FC"/>
    <w:rsid w:val="006B23D7"/>
    <w:rsid w:val="006B2C4D"/>
    <w:rsid w:val="006B3171"/>
    <w:rsid w:val="006B4AF0"/>
    <w:rsid w:val="006B51D3"/>
    <w:rsid w:val="006B5D48"/>
    <w:rsid w:val="006B636B"/>
    <w:rsid w:val="006C207D"/>
    <w:rsid w:val="006C25FB"/>
    <w:rsid w:val="006C391D"/>
    <w:rsid w:val="006C4619"/>
    <w:rsid w:val="006C5FF2"/>
    <w:rsid w:val="006C66DC"/>
    <w:rsid w:val="006C6762"/>
    <w:rsid w:val="006C7E64"/>
    <w:rsid w:val="006D550B"/>
    <w:rsid w:val="006D5811"/>
    <w:rsid w:val="006D5A65"/>
    <w:rsid w:val="006D5CEB"/>
    <w:rsid w:val="006D641C"/>
    <w:rsid w:val="006D75F0"/>
    <w:rsid w:val="006E024F"/>
    <w:rsid w:val="006E0FFC"/>
    <w:rsid w:val="006E1E71"/>
    <w:rsid w:val="006E2814"/>
    <w:rsid w:val="006E4B17"/>
    <w:rsid w:val="006E4E81"/>
    <w:rsid w:val="006E5045"/>
    <w:rsid w:val="006E775D"/>
    <w:rsid w:val="006E7975"/>
    <w:rsid w:val="006F081E"/>
    <w:rsid w:val="006F0935"/>
    <w:rsid w:val="006F1059"/>
    <w:rsid w:val="006F1524"/>
    <w:rsid w:val="006F1796"/>
    <w:rsid w:val="006F2EB8"/>
    <w:rsid w:val="006F4894"/>
    <w:rsid w:val="006F4AF3"/>
    <w:rsid w:val="006F520A"/>
    <w:rsid w:val="006F5571"/>
    <w:rsid w:val="006F56F2"/>
    <w:rsid w:val="007016C7"/>
    <w:rsid w:val="007020BD"/>
    <w:rsid w:val="0070411C"/>
    <w:rsid w:val="007066A1"/>
    <w:rsid w:val="00706916"/>
    <w:rsid w:val="00706A42"/>
    <w:rsid w:val="00707667"/>
    <w:rsid w:val="00707F7D"/>
    <w:rsid w:val="00710E2B"/>
    <w:rsid w:val="007121A8"/>
    <w:rsid w:val="007138AE"/>
    <w:rsid w:val="00713D18"/>
    <w:rsid w:val="00714C3D"/>
    <w:rsid w:val="007161A3"/>
    <w:rsid w:val="0071719F"/>
    <w:rsid w:val="00717EC5"/>
    <w:rsid w:val="00720F32"/>
    <w:rsid w:val="007217A6"/>
    <w:rsid w:val="0072234A"/>
    <w:rsid w:val="00722E24"/>
    <w:rsid w:val="00723055"/>
    <w:rsid w:val="00725EF8"/>
    <w:rsid w:val="0072772F"/>
    <w:rsid w:val="00727AE1"/>
    <w:rsid w:val="00730749"/>
    <w:rsid w:val="007327F1"/>
    <w:rsid w:val="007327FE"/>
    <w:rsid w:val="007329AB"/>
    <w:rsid w:val="00732C56"/>
    <w:rsid w:val="00733C3D"/>
    <w:rsid w:val="007369CA"/>
    <w:rsid w:val="0073795D"/>
    <w:rsid w:val="00737B7D"/>
    <w:rsid w:val="00740460"/>
    <w:rsid w:val="0074303D"/>
    <w:rsid w:val="00743FA6"/>
    <w:rsid w:val="007460CF"/>
    <w:rsid w:val="00746520"/>
    <w:rsid w:val="00747322"/>
    <w:rsid w:val="007478CF"/>
    <w:rsid w:val="00747BAC"/>
    <w:rsid w:val="00750567"/>
    <w:rsid w:val="00750CFA"/>
    <w:rsid w:val="007511DF"/>
    <w:rsid w:val="00751716"/>
    <w:rsid w:val="00751DC8"/>
    <w:rsid w:val="007521D0"/>
    <w:rsid w:val="0075325B"/>
    <w:rsid w:val="00753463"/>
    <w:rsid w:val="0075466E"/>
    <w:rsid w:val="0075477E"/>
    <w:rsid w:val="00754962"/>
    <w:rsid w:val="0075605B"/>
    <w:rsid w:val="007560AC"/>
    <w:rsid w:val="007561B4"/>
    <w:rsid w:val="00757242"/>
    <w:rsid w:val="007606C1"/>
    <w:rsid w:val="0076092B"/>
    <w:rsid w:val="00760B96"/>
    <w:rsid w:val="00761EE0"/>
    <w:rsid w:val="00764042"/>
    <w:rsid w:val="00765B17"/>
    <w:rsid w:val="00766072"/>
    <w:rsid w:val="007674AD"/>
    <w:rsid w:val="00767DAB"/>
    <w:rsid w:val="00767E5B"/>
    <w:rsid w:val="00770B91"/>
    <w:rsid w:val="0077113F"/>
    <w:rsid w:val="007716FC"/>
    <w:rsid w:val="0077174E"/>
    <w:rsid w:val="0077177C"/>
    <w:rsid w:val="00772D93"/>
    <w:rsid w:val="007741CE"/>
    <w:rsid w:val="00775011"/>
    <w:rsid w:val="007754D7"/>
    <w:rsid w:val="0077554B"/>
    <w:rsid w:val="007756A8"/>
    <w:rsid w:val="00775828"/>
    <w:rsid w:val="00775FAC"/>
    <w:rsid w:val="00780A8E"/>
    <w:rsid w:val="00780C1A"/>
    <w:rsid w:val="0078198F"/>
    <w:rsid w:val="007825FB"/>
    <w:rsid w:val="0078290A"/>
    <w:rsid w:val="00782D8E"/>
    <w:rsid w:val="00782EED"/>
    <w:rsid w:val="00783767"/>
    <w:rsid w:val="00785007"/>
    <w:rsid w:val="00785BE9"/>
    <w:rsid w:val="00785EC4"/>
    <w:rsid w:val="007911A5"/>
    <w:rsid w:val="0079393B"/>
    <w:rsid w:val="00793BAA"/>
    <w:rsid w:val="00793FDF"/>
    <w:rsid w:val="00796B50"/>
    <w:rsid w:val="007A06C3"/>
    <w:rsid w:val="007A0959"/>
    <w:rsid w:val="007A3705"/>
    <w:rsid w:val="007A57F2"/>
    <w:rsid w:val="007A60BE"/>
    <w:rsid w:val="007B07A4"/>
    <w:rsid w:val="007B0953"/>
    <w:rsid w:val="007B1333"/>
    <w:rsid w:val="007B2D63"/>
    <w:rsid w:val="007B5CBD"/>
    <w:rsid w:val="007B5CF7"/>
    <w:rsid w:val="007B77D2"/>
    <w:rsid w:val="007C01AF"/>
    <w:rsid w:val="007C072B"/>
    <w:rsid w:val="007C28FB"/>
    <w:rsid w:val="007C5C31"/>
    <w:rsid w:val="007C64AE"/>
    <w:rsid w:val="007D0BA4"/>
    <w:rsid w:val="007D125C"/>
    <w:rsid w:val="007D5F72"/>
    <w:rsid w:val="007D6160"/>
    <w:rsid w:val="007E0A0D"/>
    <w:rsid w:val="007E1B70"/>
    <w:rsid w:val="007E1FDA"/>
    <w:rsid w:val="007E244D"/>
    <w:rsid w:val="007E35E0"/>
    <w:rsid w:val="007E5010"/>
    <w:rsid w:val="007E7248"/>
    <w:rsid w:val="007E7C34"/>
    <w:rsid w:val="007F0647"/>
    <w:rsid w:val="007F0D7B"/>
    <w:rsid w:val="007F0E6E"/>
    <w:rsid w:val="007F227A"/>
    <w:rsid w:val="007F29FE"/>
    <w:rsid w:val="007F3EFB"/>
    <w:rsid w:val="007F4311"/>
    <w:rsid w:val="007F4AEB"/>
    <w:rsid w:val="007F5746"/>
    <w:rsid w:val="007F5BA7"/>
    <w:rsid w:val="007F669B"/>
    <w:rsid w:val="007F75B2"/>
    <w:rsid w:val="007F792C"/>
    <w:rsid w:val="007F7D78"/>
    <w:rsid w:val="00800711"/>
    <w:rsid w:val="0080342C"/>
    <w:rsid w:val="0080439B"/>
    <w:rsid w:val="008043C4"/>
    <w:rsid w:val="008067E1"/>
    <w:rsid w:val="0080686F"/>
    <w:rsid w:val="00807070"/>
    <w:rsid w:val="00807298"/>
    <w:rsid w:val="008107A0"/>
    <w:rsid w:val="008123A6"/>
    <w:rsid w:val="008126AF"/>
    <w:rsid w:val="00812819"/>
    <w:rsid w:val="00815CAB"/>
    <w:rsid w:val="00817219"/>
    <w:rsid w:val="00817AE5"/>
    <w:rsid w:val="008208BD"/>
    <w:rsid w:val="00821EF2"/>
    <w:rsid w:val="008228CE"/>
    <w:rsid w:val="0082344B"/>
    <w:rsid w:val="008244FC"/>
    <w:rsid w:val="008261CD"/>
    <w:rsid w:val="008272C1"/>
    <w:rsid w:val="008278E9"/>
    <w:rsid w:val="00831077"/>
    <w:rsid w:val="00831091"/>
    <w:rsid w:val="0083167F"/>
    <w:rsid w:val="008316C3"/>
    <w:rsid w:val="00831B1B"/>
    <w:rsid w:val="00832935"/>
    <w:rsid w:val="0083458F"/>
    <w:rsid w:val="00834B42"/>
    <w:rsid w:val="008351ED"/>
    <w:rsid w:val="00837BB8"/>
    <w:rsid w:val="00837DDD"/>
    <w:rsid w:val="00841A10"/>
    <w:rsid w:val="0084206B"/>
    <w:rsid w:val="008424AC"/>
    <w:rsid w:val="00843433"/>
    <w:rsid w:val="008446D5"/>
    <w:rsid w:val="008446ED"/>
    <w:rsid w:val="00844779"/>
    <w:rsid w:val="008451A5"/>
    <w:rsid w:val="008455AF"/>
    <w:rsid w:val="008455DC"/>
    <w:rsid w:val="00845C33"/>
    <w:rsid w:val="00845EB7"/>
    <w:rsid w:val="00846E19"/>
    <w:rsid w:val="00846EED"/>
    <w:rsid w:val="008472B6"/>
    <w:rsid w:val="00847ABE"/>
    <w:rsid w:val="00847C38"/>
    <w:rsid w:val="00850464"/>
    <w:rsid w:val="00850E38"/>
    <w:rsid w:val="00860BA3"/>
    <w:rsid w:val="00861D0E"/>
    <w:rsid w:val="00862E42"/>
    <w:rsid w:val="00863AB7"/>
    <w:rsid w:val="00863AD0"/>
    <w:rsid w:val="00865096"/>
    <w:rsid w:val="00865E7F"/>
    <w:rsid w:val="00865EF4"/>
    <w:rsid w:val="00867569"/>
    <w:rsid w:val="008676B0"/>
    <w:rsid w:val="00867A3F"/>
    <w:rsid w:val="00867F79"/>
    <w:rsid w:val="00872253"/>
    <w:rsid w:val="008724ED"/>
    <w:rsid w:val="008734D5"/>
    <w:rsid w:val="008738B6"/>
    <w:rsid w:val="008739EA"/>
    <w:rsid w:val="008741E8"/>
    <w:rsid w:val="00874352"/>
    <w:rsid w:val="00874E6D"/>
    <w:rsid w:val="0087601D"/>
    <w:rsid w:val="00876070"/>
    <w:rsid w:val="0087664D"/>
    <w:rsid w:val="00876CEF"/>
    <w:rsid w:val="00881CD8"/>
    <w:rsid w:val="00882160"/>
    <w:rsid w:val="00882F75"/>
    <w:rsid w:val="00883A16"/>
    <w:rsid w:val="00883E0F"/>
    <w:rsid w:val="00883F1A"/>
    <w:rsid w:val="00885066"/>
    <w:rsid w:val="008910EE"/>
    <w:rsid w:val="00892445"/>
    <w:rsid w:val="0089277C"/>
    <w:rsid w:val="00894B6C"/>
    <w:rsid w:val="00894D65"/>
    <w:rsid w:val="0089590F"/>
    <w:rsid w:val="00895E93"/>
    <w:rsid w:val="008A05E2"/>
    <w:rsid w:val="008A439E"/>
    <w:rsid w:val="008A557E"/>
    <w:rsid w:val="008A5645"/>
    <w:rsid w:val="008A750A"/>
    <w:rsid w:val="008B0076"/>
    <w:rsid w:val="008B15D7"/>
    <w:rsid w:val="008B2651"/>
    <w:rsid w:val="008B27DD"/>
    <w:rsid w:val="008B3FB6"/>
    <w:rsid w:val="008B4899"/>
    <w:rsid w:val="008B48FA"/>
    <w:rsid w:val="008B4A07"/>
    <w:rsid w:val="008B4BCC"/>
    <w:rsid w:val="008B5A0B"/>
    <w:rsid w:val="008B6587"/>
    <w:rsid w:val="008B7F6E"/>
    <w:rsid w:val="008C06B1"/>
    <w:rsid w:val="008C2161"/>
    <w:rsid w:val="008C384C"/>
    <w:rsid w:val="008C420A"/>
    <w:rsid w:val="008C4B4A"/>
    <w:rsid w:val="008C4C91"/>
    <w:rsid w:val="008C53E7"/>
    <w:rsid w:val="008C5F76"/>
    <w:rsid w:val="008C6EF1"/>
    <w:rsid w:val="008C75C8"/>
    <w:rsid w:val="008D0671"/>
    <w:rsid w:val="008D0DFA"/>
    <w:rsid w:val="008D0E19"/>
    <w:rsid w:val="008D0F11"/>
    <w:rsid w:val="008D2483"/>
    <w:rsid w:val="008D47D4"/>
    <w:rsid w:val="008D4AA2"/>
    <w:rsid w:val="008D4C6B"/>
    <w:rsid w:val="008D50C7"/>
    <w:rsid w:val="008D7686"/>
    <w:rsid w:val="008D7AF2"/>
    <w:rsid w:val="008E0BEC"/>
    <w:rsid w:val="008E220D"/>
    <w:rsid w:val="008E29D0"/>
    <w:rsid w:val="008E49F7"/>
    <w:rsid w:val="008E4A83"/>
    <w:rsid w:val="008E4CE2"/>
    <w:rsid w:val="008E67DA"/>
    <w:rsid w:val="008E7680"/>
    <w:rsid w:val="008F13EF"/>
    <w:rsid w:val="008F16DD"/>
    <w:rsid w:val="008F4C09"/>
    <w:rsid w:val="008F4D28"/>
    <w:rsid w:val="008F4E28"/>
    <w:rsid w:val="008F68F1"/>
    <w:rsid w:val="008F6BAB"/>
    <w:rsid w:val="008F73B4"/>
    <w:rsid w:val="008F7952"/>
    <w:rsid w:val="00903F0C"/>
    <w:rsid w:val="0090599E"/>
    <w:rsid w:val="00906FF5"/>
    <w:rsid w:val="009077A4"/>
    <w:rsid w:val="0091008D"/>
    <w:rsid w:val="00912278"/>
    <w:rsid w:val="00912825"/>
    <w:rsid w:val="00913D12"/>
    <w:rsid w:val="00922BF7"/>
    <w:rsid w:val="00922EBD"/>
    <w:rsid w:val="00923BAE"/>
    <w:rsid w:val="009240B2"/>
    <w:rsid w:val="009260FE"/>
    <w:rsid w:val="00926275"/>
    <w:rsid w:val="0092661B"/>
    <w:rsid w:val="009272F7"/>
    <w:rsid w:val="009300E0"/>
    <w:rsid w:val="00930333"/>
    <w:rsid w:val="00932184"/>
    <w:rsid w:val="00933861"/>
    <w:rsid w:val="00934995"/>
    <w:rsid w:val="009359FC"/>
    <w:rsid w:val="00935D41"/>
    <w:rsid w:val="0093705C"/>
    <w:rsid w:val="009374D1"/>
    <w:rsid w:val="00937F20"/>
    <w:rsid w:val="0094009E"/>
    <w:rsid w:val="009421A4"/>
    <w:rsid w:val="00942C98"/>
    <w:rsid w:val="00943ECD"/>
    <w:rsid w:val="009448A2"/>
    <w:rsid w:val="0094595C"/>
    <w:rsid w:val="00946A4A"/>
    <w:rsid w:val="009473BF"/>
    <w:rsid w:val="00947C5C"/>
    <w:rsid w:val="009512A8"/>
    <w:rsid w:val="00951ECE"/>
    <w:rsid w:val="00953078"/>
    <w:rsid w:val="00960FFE"/>
    <w:rsid w:val="00961155"/>
    <w:rsid w:val="0096150F"/>
    <w:rsid w:val="00961F05"/>
    <w:rsid w:val="00963EDB"/>
    <w:rsid w:val="00967B60"/>
    <w:rsid w:val="00970F09"/>
    <w:rsid w:val="009715BF"/>
    <w:rsid w:val="00973224"/>
    <w:rsid w:val="00973577"/>
    <w:rsid w:val="00975A52"/>
    <w:rsid w:val="00980AD8"/>
    <w:rsid w:val="0098293C"/>
    <w:rsid w:val="00983742"/>
    <w:rsid w:val="00986141"/>
    <w:rsid w:val="009866E6"/>
    <w:rsid w:val="00986BA2"/>
    <w:rsid w:val="00986F8D"/>
    <w:rsid w:val="0098714A"/>
    <w:rsid w:val="00991B52"/>
    <w:rsid w:val="00992676"/>
    <w:rsid w:val="00992B94"/>
    <w:rsid w:val="009933C3"/>
    <w:rsid w:val="00996FB9"/>
    <w:rsid w:val="009A03D1"/>
    <w:rsid w:val="009A09FF"/>
    <w:rsid w:val="009A13DF"/>
    <w:rsid w:val="009A3ADA"/>
    <w:rsid w:val="009A3E11"/>
    <w:rsid w:val="009A4F34"/>
    <w:rsid w:val="009A63E4"/>
    <w:rsid w:val="009A6CFE"/>
    <w:rsid w:val="009A7748"/>
    <w:rsid w:val="009B0191"/>
    <w:rsid w:val="009B24CE"/>
    <w:rsid w:val="009B27CC"/>
    <w:rsid w:val="009B3678"/>
    <w:rsid w:val="009B4269"/>
    <w:rsid w:val="009B436F"/>
    <w:rsid w:val="009B4E14"/>
    <w:rsid w:val="009B5249"/>
    <w:rsid w:val="009B55B1"/>
    <w:rsid w:val="009B6BA8"/>
    <w:rsid w:val="009B7469"/>
    <w:rsid w:val="009B7E29"/>
    <w:rsid w:val="009C0F69"/>
    <w:rsid w:val="009C18F3"/>
    <w:rsid w:val="009C3922"/>
    <w:rsid w:val="009C39DE"/>
    <w:rsid w:val="009C4703"/>
    <w:rsid w:val="009C6F66"/>
    <w:rsid w:val="009D0103"/>
    <w:rsid w:val="009D0F09"/>
    <w:rsid w:val="009D1853"/>
    <w:rsid w:val="009D35FA"/>
    <w:rsid w:val="009D4AC8"/>
    <w:rsid w:val="009D4E2F"/>
    <w:rsid w:val="009D4E77"/>
    <w:rsid w:val="009D5184"/>
    <w:rsid w:val="009D525B"/>
    <w:rsid w:val="009D63E9"/>
    <w:rsid w:val="009D6550"/>
    <w:rsid w:val="009D6CC3"/>
    <w:rsid w:val="009D76E2"/>
    <w:rsid w:val="009E2567"/>
    <w:rsid w:val="009E2AD3"/>
    <w:rsid w:val="009E3B0E"/>
    <w:rsid w:val="009E4AC5"/>
    <w:rsid w:val="009E5F80"/>
    <w:rsid w:val="009E5F99"/>
    <w:rsid w:val="009E6498"/>
    <w:rsid w:val="009E7202"/>
    <w:rsid w:val="009F1263"/>
    <w:rsid w:val="009F3706"/>
    <w:rsid w:val="009F56DA"/>
    <w:rsid w:val="00A00760"/>
    <w:rsid w:val="00A010BF"/>
    <w:rsid w:val="00A052BE"/>
    <w:rsid w:val="00A05B90"/>
    <w:rsid w:val="00A075E4"/>
    <w:rsid w:val="00A1094A"/>
    <w:rsid w:val="00A11E1F"/>
    <w:rsid w:val="00A1219E"/>
    <w:rsid w:val="00A12655"/>
    <w:rsid w:val="00A14007"/>
    <w:rsid w:val="00A140A0"/>
    <w:rsid w:val="00A175BA"/>
    <w:rsid w:val="00A20560"/>
    <w:rsid w:val="00A214A5"/>
    <w:rsid w:val="00A224A9"/>
    <w:rsid w:val="00A2320B"/>
    <w:rsid w:val="00A23E2C"/>
    <w:rsid w:val="00A25377"/>
    <w:rsid w:val="00A258CE"/>
    <w:rsid w:val="00A26E9D"/>
    <w:rsid w:val="00A27092"/>
    <w:rsid w:val="00A275C5"/>
    <w:rsid w:val="00A3024E"/>
    <w:rsid w:val="00A310F5"/>
    <w:rsid w:val="00A32556"/>
    <w:rsid w:val="00A32A34"/>
    <w:rsid w:val="00A34294"/>
    <w:rsid w:val="00A37EF6"/>
    <w:rsid w:val="00A37F75"/>
    <w:rsid w:val="00A40773"/>
    <w:rsid w:val="00A407C0"/>
    <w:rsid w:val="00A42B42"/>
    <w:rsid w:val="00A42EC8"/>
    <w:rsid w:val="00A4343D"/>
    <w:rsid w:val="00A45EFA"/>
    <w:rsid w:val="00A478E5"/>
    <w:rsid w:val="00A47C05"/>
    <w:rsid w:val="00A502F1"/>
    <w:rsid w:val="00A50C1C"/>
    <w:rsid w:val="00A5167F"/>
    <w:rsid w:val="00A519AF"/>
    <w:rsid w:val="00A51BBF"/>
    <w:rsid w:val="00A51E57"/>
    <w:rsid w:val="00A52599"/>
    <w:rsid w:val="00A531EC"/>
    <w:rsid w:val="00A55F4D"/>
    <w:rsid w:val="00A57052"/>
    <w:rsid w:val="00A57591"/>
    <w:rsid w:val="00A60BA4"/>
    <w:rsid w:val="00A60CEB"/>
    <w:rsid w:val="00A61D11"/>
    <w:rsid w:val="00A627DE"/>
    <w:rsid w:val="00A62B19"/>
    <w:rsid w:val="00A63695"/>
    <w:rsid w:val="00A6661D"/>
    <w:rsid w:val="00A66EB4"/>
    <w:rsid w:val="00A67663"/>
    <w:rsid w:val="00A67988"/>
    <w:rsid w:val="00A70554"/>
    <w:rsid w:val="00A70A83"/>
    <w:rsid w:val="00A71BEF"/>
    <w:rsid w:val="00A7204A"/>
    <w:rsid w:val="00A73FED"/>
    <w:rsid w:val="00A7481D"/>
    <w:rsid w:val="00A74DCD"/>
    <w:rsid w:val="00A77144"/>
    <w:rsid w:val="00A77832"/>
    <w:rsid w:val="00A80111"/>
    <w:rsid w:val="00A80234"/>
    <w:rsid w:val="00A811C4"/>
    <w:rsid w:val="00A81EB3"/>
    <w:rsid w:val="00A82A3F"/>
    <w:rsid w:val="00A84C25"/>
    <w:rsid w:val="00A85160"/>
    <w:rsid w:val="00A8594B"/>
    <w:rsid w:val="00A860F9"/>
    <w:rsid w:val="00A93252"/>
    <w:rsid w:val="00A954BC"/>
    <w:rsid w:val="00AA0ADF"/>
    <w:rsid w:val="00AA2B4D"/>
    <w:rsid w:val="00AA3B87"/>
    <w:rsid w:val="00AA4711"/>
    <w:rsid w:val="00AA5C68"/>
    <w:rsid w:val="00AA63BC"/>
    <w:rsid w:val="00AA68DD"/>
    <w:rsid w:val="00AA7D62"/>
    <w:rsid w:val="00AB103F"/>
    <w:rsid w:val="00AB1C8B"/>
    <w:rsid w:val="00AB1EE2"/>
    <w:rsid w:val="00AB1FE9"/>
    <w:rsid w:val="00AB2D99"/>
    <w:rsid w:val="00AB3F3A"/>
    <w:rsid w:val="00AB4E0E"/>
    <w:rsid w:val="00AB6686"/>
    <w:rsid w:val="00AB7482"/>
    <w:rsid w:val="00AB7FB2"/>
    <w:rsid w:val="00AC08B3"/>
    <w:rsid w:val="00AC2B62"/>
    <w:rsid w:val="00AC31CB"/>
    <w:rsid w:val="00AC4868"/>
    <w:rsid w:val="00AC4C06"/>
    <w:rsid w:val="00AC61E0"/>
    <w:rsid w:val="00AC6314"/>
    <w:rsid w:val="00AC7003"/>
    <w:rsid w:val="00AD0B5F"/>
    <w:rsid w:val="00AD185A"/>
    <w:rsid w:val="00AD24CB"/>
    <w:rsid w:val="00AD28A1"/>
    <w:rsid w:val="00AD5241"/>
    <w:rsid w:val="00AD5D4D"/>
    <w:rsid w:val="00AD6279"/>
    <w:rsid w:val="00AE06C2"/>
    <w:rsid w:val="00AE0F7C"/>
    <w:rsid w:val="00AE2B0E"/>
    <w:rsid w:val="00AE3357"/>
    <w:rsid w:val="00AE33FE"/>
    <w:rsid w:val="00AE3691"/>
    <w:rsid w:val="00AE3FA0"/>
    <w:rsid w:val="00AE6E48"/>
    <w:rsid w:val="00AF0D05"/>
    <w:rsid w:val="00AF157A"/>
    <w:rsid w:val="00AF1F82"/>
    <w:rsid w:val="00AF25AB"/>
    <w:rsid w:val="00AF2C9F"/>
    <w:rsid w:val="00AF2F4E"/>
    <w:rsid w:val="00AF3AC9"/>
    <w:rsid w:val="00AF6090"/>
    <w:rsid w:val="00B002D8"/>
    <w:rsid w:val="00B00346"/>
    <w:rsid w:val="00B00C1D"/>
    <w:rsid w:val="00B022D9"/>
    <w:rsid w:val="00B040CD"/>
    <w:rsid w:val="00B055A0"/>
    <w:rsid w:val="00B05C90"/>
    <w:rsid w:val="00B07855"/>
    <w:rsid w:val="00B07F6E"/>
    <w:rsid w:val="00B107EB"/>
    <w:rsid w:val="00B10EF9"/>
    <w:rsid w:val="00B11E70"/>
    <w:rsid w:val="00B124F3"/>
    <w:rsid w:val="00B12EB9"/>
    <w:rsid w:val="00B13938"/>
    <w:rsid w:val="00B14061"/>
    <w:rsid w:val="00B15FEA"/>
    <w:rsid w:val="00B20E70"/>
    <w:rsid w:val="00B214ED"/>
    <w:rsid w:val="00B21C1B"/>
    <w:rsid w:val="00B2298F"/>
    <w:rsid w:val="00B22D09"/>
    <w:rsid w:val="00B22D60"/>
    <w:rsid w:val="00B241E4"/>
    <w:rsid w:val="00B24709"/>
    <w:rsid w:val="00B25289"/>
    <w:rsid w:val="00B26C1B"/>
    <w:rsid w:val="00B273AC"/>
    <w:rsid w:val="00B27A50"/>
    <w:rsid w:val="00B27B93"/>
    <w:rsid w:val="00B31456"/>
    <w:rsid w:val="00B31C7F"/>
    <w:rsid w:val="00B32B0A"/>
    <w:rsid w:val="00B334E3"/>
    <w:rsid w:val="00B33AE0"/>
    <w:rsid w:val="00B34745"/>
    <w:rsid w:val="00B34F80"/>
    <w:rsid w:val="00B35FF5"/>
    <w:rsid w:val="00B37167"/>
    <w:rsid w:val="00B40ABC"/>
    <w:rsid w:val="00B41821"/>
    <w:rsid w:val="00B432DF"/>
    <w:rsid w:val="00B435A3"/>
    <w:rsid w:val="00B43CAD"/>
    <w:rsid w:val="00B43E86"/>
    <w:rsid w:val="00B44B69"/>
    <w:rsid w:val="00B45BA0"/>
    <w:rsid w:val="00B45BB0"/>
    <w:rsid w:val="00B4642F"/>
    <w:rsid w:val="00B46B2B"/>
    <w:rsid w:val="00B5004C"/>
    <w:rsid w:val="00B51301"/>
    <w:rsid w:val="00B526ED"/>
    <w:rsid w:val="00B575CB"/>
    <w:rsid w:val="00B6312C"/>
    <w:rsid w:val="00B6369F"/>
    <w:rsid w:val="00B648B8"/>
    <w:rsid w:val="00B64D96"/>
    <w:rsid w:val="00B655E6"/>
    <w:rsid w:val="00B65D33"/>
    <w:rsid w:val="00B67F2E"/>
    <w:rsid w:val="00B7011C"/>
    <w:rsid w:val="00B708F3"/>
    <w:rsid w:val="00B7107C"/>
    <w:rsid w:val="00B75A60"/>
    <w:rsid w:val="00B773C8"/>
    <w:rsid w:val="00B81CC0"/>
    <w:rsid w:val="00B823B7"/>
    <w:rsid w:val="00B853E5"/>
    <w:rsid w:val="00B857C5"/>
    <w:rsid w:val="00B85943"/>
    <w:rsid w:val="00B86C37"/>
    <w:rsid w:val="00B86CAD"/>
    <w:rsid w:val="00B86F22"/>
    <w:rsid w:val="00B902B0"/>
    <w:rsid w:val="00B90BAB"/>
    <w:rsid w:val="00B90C6C"/>
    <w:rsid w:val="00B91A58"/>
    <w:rsid w:val="00B9262C"/>
    <w:rsid w:val="00B92770"/>
    <w:rsid w:val="00B9457A"/>
    <w:rsid w:val="00B97263"/>
    <w:rsid w:val="00B9731F"/>
    <w:rsid w:val="00BA0519"/>
    <w:rsid w:val="00BA1929"/>
    <w:rsid w:val="00BA21DA"/>
    <w:rsid w:val="00BA2C3F"/>
    <w:rsid w:val="00BA3BE4"/>
    <w:rsid w:val="00BA439F"/>
    <w:rsid w:val="00BA6370"/>
    <w:rsid w:val="00BA7D5B"/>
    <w:rsid w:val="00BB1CCD"/>
    <w:rsid w:val="00BB32F3"/>
    <w:rsid w:val="00BB3509"/>
    <w:rsid w:val="00BB39DD"/>
    <w:rsid w:val="00BB3CB0"/>
    <w:rsid w:val="00BB4B6B"/>
    <w:rsid w:val="00BC049D"/>
    <w:rsid w:val="00BC22F5"/>
    <w:rsid w:val="00BC5D58"/>
    <w:rsid w:val="00BC634E"/>
    <w:rsid w:val="00BC7EA6"/>
    <w:rsid w:val="00BD08D1"/>
    <w:rsid w:val="00BD2817"/>
    <w:rsid w:val="00BD4199"/>
    <w:rsid w:val="00BD42A0"/>
    <w:rsid w:val="00BD4507"/>
    <w:rsid w:val="00BD67F3"/>
    <w:rsid w:val="00BD6BA7"/>
    <w:rsid w:val="00BE1216"/>
    <w:rsid w:val="00BE13BC"/>
    <w:rsid w:val="00BE2C18"/>
    <w:rsid w:val="00BE335A"/>
    <w:rsid w:val="00BE3C4A"/>
    <w:rsid w:val="00BE4405"/>
    <w:rsid w:val="00BE6434"/>
    <w:rsid w:val="00BE7AF8"/>
    <w:rsid w:val="00BF01AC"/>
    <w:rsid w:val="00BF0EFF"/>
    <w:rsid w:val="00BF1F55"/>
    <w:rsid w:val="00BF2586"/>
    <w:rsid w:val="00BF3567"/>
    <w:rsid w:val="00BF630C"/>
    <w:rsid w:val="00BF64B3"/>
    <w:rsid w:val="00C01CD9"/>
    <w:rsid w:val="00C037DE"/>
    <w:rsid w:val="00C03917"/>
    <w:rsid w:val="00C03FE4"/>
    <w:rsid w:val="00C047AC"/>
    <w:rsid w:val="00C05DB8"/>
    <w:rsid w:val="00C064E8"/>
    <w:rsid w:val="00C077A7"/>
    <w:rsid w:val="00C1267D"/>
    <w:rsid w:val="00C13A54"/>
    <w:rsid w:val="00C15206"/>
    <w:rsid w:val="00C158EA"/>
    <w:rsid w:val="00C15FCD"/>
    <w:rsid w:val="00C160F0"/>
    <w:rsid w:val="00C17719"/>
    <w:rsid w:val="00C20CA9"/>
    <w:rsid w:val="00C21824"/>
    <w:rsid w:val="00C226A2"/>
    <w:rsid w:val="00C268B2"/>
    <w:rsid w:val="00C269D4"/>
    <w:rsid w:val="00C32D6E"/>
    <w:rsid w:val="00C33554"/>
    <w:rsid w:val="00C33B03"/>
    <w:rsid w:val="00C33DCC"/>
    <w:rsid w:val="00C33E4F"/>
    <w:rsid w:val="00C349D4"/>
    <w:rsid w:val="00C34BDA"/>
    <w:rsid w:val="00C36B6A"/>
    <w:rsid w:val="00C3734B"/>
    <w:rsid w:val="00C37A7A"/>
    <w:rsid w:val="00C37DBA"/>
    <w:rsid w:val="00C403D5"/>
    <w:rsid w:val="00C4160D"/>
    <w:rsid w:val="00C41D38"/>
    <w:rsid w:val="00C42DE9"/>
    <w:rsid w:val="00C43491"/>
    <w:rsid w:val="00C43970"/>
    <w:rsid w:val="00C44997"/>
    <w:rsid w:val="00C45F7C"/>
    <w:rsid w:val="00C468FA"/>
    <w:rsid w:val="00C508B3"/>
    <w:rsid w:val="00C51530"/>
    <w:rsid w:val="00C51A35"/>
    <w:rsid w:val="00C51A6E"/>
    <w:rsid w:val="00C51AEC"/>
    <w:rsid w:val="00C5311A"/>
    <w:rsid w:val="00C532DB"/>
    <w:rsid w:val="00C53A9C"/>
    <w:rsid w:val="00C54710"/>
    <w:rsid w:val="00C54945"/>
    <w:rsid w:val="00C5645A"/>
    <w:rsid w:val="00C56F53"/>
    <w:rsid w:val="00C60509"/>
    <w:rsid w:val="00C60E30"/>
    <w:rsid w:val="00C60FA2"/>
    <w:rsid w:val="00C6112F"/>
    <w:rsid w:val="00C611D6"/>
    <w:rsid w:val="00C63A66"/>
    <w:rsid w:val="00C659CD"/>
    <w:rsid w:val="00C67C61"/>
    <w:rsid w:val="00C7059B"/>
    <w:rsid w:val="00C70AF2"/>
    <w:rsid w:val="00C71091"/>
    <w:rsid w:val="00C71EF0"/>
    <w:rsid w:val="00C72B82"/>
    <w:rsid w:val="00C72E9F"/>
    <w:rsid w:val="00C7529C"/>
    <w:rsid w:val="00C75528"/>
    <w:rsid w:val="00C75866"/>
    <w:rsid w:val="00C759FB"/>
    <w:rsid w:val="00C75C88"/>
    <w:rsid w:val="00C75D2C"/>
    <w:rsid w:val="00C776BC"/>
    <w:rsid w:val="00C77E59"/>
    <w:rsid w:val="00C813A6"/>
    <w:rsid w:val="00C81B74"/>
    <w:rsid w:val="00C81D02"/>
    <w:rsid w:val="00C82CBD"/>
    <w:rsid w:val="00C83CC6"/>
    <w:rsid w:val="00C8406E"/>
    <w:rsid w:val="00C84CCF"/>
    <w:rsid w:val="00C8563C"/>
    <w:rsid w:val="00C879C2"/>
    <w:rsid w:val="00C87B73"/>
    <w:rsid w:val="00C87E93"/>
    <w:rsid w:val="00C90647"/>
    <w:rsid w:val="00C9096F"/>
    <w:rsid w:val="00C90E0F"/>
    <w:rsid w:val="00C925CE"/>
    <w:rsid w:val="00C92827"/>
    <w:rsid w:val="00C929D7"/>
    <w:rsid w:val="00C934C0"/>
    <w:rsid w:val="00C93745"/>
    <w:rsid w:val="00C938C6"/>
    <w:rsid w:val="00C95E49"/>
    <w:rsid w:val="00C96241"/>
    <w:rsid w:val="00C96603"/>
    <w:rsid w:val="00C96744"/>
    <w:rsid w:val="00C97B13"/>
    <w:rsid w:val="00CA0AEB"/>
    <w:rsid w:val="00CA18F0"/>
    <w:rsid w:val="00CA1BFA"/>
    <w:rsid w:val="00CA1C8C"/>
    <w:rsid w:val="00CA262C"/>
    <w:rsid w:val="00CA2F41"/>
    <w:rsid w:val="00CA3033"/>
    <w:rsid w:val="00CA3DCB"/>
    <w:rsid w:val="00CA46BE"/>
    <w:rsid w:val="00CA47BE"/>
    <w:rsid w:val="00CA5843"/>
    <w:rsid w:val="00CA5EAE"/>
    <w:rsid w:val="00CA63B7"/>
    <w:rsid w:val="00CA6C71"/>
    <w:rsid w:val="00CB005B"/>
    <w:rsid w:val="00CB0F1B"/>
    <w:rsid w:val="00CB268D"/>
    <w:rsid w:val="00CB2709"/>
    <w:rsid w:val="00CB2A22"/>
    <w:rsid w:val="00CB4638"/>
    <w:rsid w:val="00CB5117"/>
    <w:rsid w:val="00CB529B"/>
    <w:rsid w:val="00CB6A5B"/>
    <w:rsid w:val="00CB6F89"/>
    <w:rsid w:val="00CB76E1"/>
    <w:rsid w:val="00CB7C21"/>
    <w:rsid w:val="00CC2798"/>
    <w:rsid w:val="00CC2C5C"/>
    <w:rsid w:val="00CC34EE"/>
    <w:rsid w:val="00CC434F"/>
    <w:rsid w:val="00CC5409"/>
    <w:rsid w:val="00CC7162"/>
    <w:rsid w:val="00CC73E9"/>
    <w:rsid w:val="00CC7435"/>
    <w:rsid w:val="00CD1DB9"/>
    <w:rsid w:val="00CD3F01"/>
    <w:rsid w:val="00CD40D2"/>
    <w:rsid w:val="00CD61BD"/>
    <w:rsid w:val="00CD6E33"/>
    <w:rsid w:val="00CE1AC2"/>
    <w:rsid w:val="00CE1E0D"/>
    <w:rsid w:val="00CE1EE1"/>
    <w:rsid w:val="00CE228C"/>
    <w:rsid w:val="00CE28A9"/>
    <w:rsid w:val="00CE2DE4"/>
    <w:rsid w:val="00CE34A7"/>
    <w:rsid w:val="00CE3AB4"/>
    <w:rsid w:val="00CE418A"/>
    <w:rsid w:val="00CE44DC"/>
    <w:rsid w:val="00CE453E"/>
    <w:rsid w:val="00CE5B5F"/>
    <w:rsid w:val="00CE5D0D"/>
    <w:rsid w:val="00CE5EAB"/>
    <w:rsid w:val="00CE7341"/>
    <w:rsid w:val="00CE7B96"/>
    <w:rsid w:val="00CF198F"/>
    <w:rsid w:val="00CF1B90"/>
    <w:rsid w:val="00CF1BB4"/>
    <w:rsid w:val="00CF31ED"/>
    <w:rsid w:val="00CF3201"/>
    <w:rsid w:val="00CF3321"/>
    <w:rsid w:val="00CF3930"/>
    <w:rsid w:val="00CF545B"/>
    <w:rsid w:val="00CF63AF"/>
    <w:rsid w:val="00CF6E5D"/>
    <w:rsid w:val="00CF7802"/>
    <w:rsid w:val="00D01D89"/>
    <w:rsid w:val="00D01F72"/>
    <w:rsid w:val="00D02952"/>
    <w:rsid w:val="00D0471B"/>
    <w:rsid w:val="00D0552A"/>
    <w:rsid w:val="00D06CA8"/>
    <w:rsid w:val="00D11977"/>
    <w:rsid w:val="00D11ACE"/>
    <w:rsid w:val="00D127E1"/>
    <w:rsid w:val="00D14970"/>
    <w:rsid w:val="00D14F12"/>
    <w:rsid w:val="00D156AB"/>
    <w:rsid w:val="00D17261"/>
    <w:rsid w:val="00D221F3"/>
    <w:rsid w:val="00D229E3"/>
    <w:rsid w:val="00D22D49"/>
    <w:rsid w:val="00D22DA8"/>
    <w:rsid w:val="00D25003"/>
    <w:rsid w:val="00D25711"/>
    <w:rsid w:val="00D26C0C"/>
    <w:rsid w:val="00D27CDA"/>
    <w:rsid w:val="00D27D69"/>
    <w:rsid w:val="00D27D9E"/>
    <w:rsid w:val="00D30E23"/>
    <w:rsid w:val="00D317F7"/>
    <w:rsid w:val="00D31ED8"/>
    <w:rsid w:val="00D32572"/>
    <w:rsid w:val="00D3268A"/>
    <w:rsid w:val="00D33087"/>
    <w:rsid w:val="00D35826"/>
    <w:rsid w:val="00D35F08"/>
    <w:rsid w:val="00D36629"/>
    <w:rsid w:val="00D37FC5"/>
    <w:rsid w:val="00D37FFA"/>
    <w:rsid w:val="00D401AE"/>
    <w:rsid w:val="00D4052B"/>
    <w:rsid w:val="00D40734"/>
    <w:rsid w:val="00D40B07"/>
    <w:rsid w:val="00D41AAA"/>
    <w:rsid w:val="00D448C2"/>
    <w:rsid w:val="00D44FF1"/>
    <w:rsid w:val="00D45271"/>
    <w:rsid w:val="00D52302"/>
    <w:rsid w:val="00D52372"/>
    <w:rsid w:val="00D54449"/>
    <w:rsid w:val="00D54773"/>
    <w:rsid w:val="00D5516F"/>
    <w:rsid w:val="00D55193"/>
    <w:rsid w:val="00D55459"/>
    <w:rsid w:val="00D607B8"/>
    <w:rsid w:val="00D60A39"/>
    <w:rsid w:val="00D6102E"/>
    <w:rsid w:val="00D61A39"/>
    <w:rsid w:val="00D6496E"/>
    <w:rsid w:val="00D64FE7"/>
    <w:rsid w:val="00D659A3"/>
    <w:rsid w:val="00D66108"/>
    <w:rsid w:val="00D666C3"/>
    <w:rsid w:val="00D71CFB"/>
    <w:rsid w:val="00D71E6A"/>
    <w:rsid w:val="00D72C42"/>
    <w:rsid w:val="00D74E85"/>
    <w:rsid w:val="00D759C2"/>
    <w:rsid w:val="00D808B2"/>
    <w:rsid w:val="00D8200E"/>
    <w:rsid w:val="00D8248E"/>
    <w:rsid w:val="00D829B7"/>
    <w:rsid w:val="00D83A1A"/>
    <w:rsid w:val="00D84547"/>
    <w:rsid w:val="00D84758"/>
    <w:rsid w:val="00D860AE"/>
    <w:rsid w:val="00D90415"/>
    <w:rsid w:val="00D9188E"/>
    <w:rsid w:val="00D923B5"/>
    <w:rsid w:val="00D92B73"/>
    <w:rsid w:val="00D93330"/>
    <w:rsid w:val="00D9368D"/>
    <w:rsid w:val="00D93B3D"/>
    <w:rsid w:val="00DA0B3E"/>
    <w:rsid w:val="00DA0D7A"/>
    <w:rsid w:val="00DA1462"/>
    <w:rsid w:val="00DA1AFD"/>
    <w:rsid w:val="00DA2E57"/>
    <w:rsid w:val="00DA3D28"/>
    <w:rsid w:val="00DA4922"/>
    <w:rsid w:val="00DB19DD"/>
    <w:rsid w:val="00DB258D"/>
    <w:rsid w:val="00DB3F15"/>
    <w:rsid w:val="00DB5D0F"/>
    <w:rsid w:val="00DB6687"/>
    <w:rsid w:val="00DB7DB7"/>
    <w:rsid w:val="00DC0011"/>
    <w:rsid w:val="00DC07C3"/>
    <w:rsid w:val="00DC1BD4"/>
    <w:rsid w:val="00DC29F3"/>
    <w:rsid w:val="00DC60F4"/>
    <w:rsid w:val="00DC6818"/>
    <w:rsid w:val="00DC7261"/>
    <w:rsid w:val="00DC7FB2"/>
    <w:rsid w:val="00DD0ADF"/>
    <w:rsid w:val="00DD176A"/>
    <w:rsid w:val="00DD1E3B"/>
    <w:rsid w:val="00DD210E"/>
    <w:rsid w:val="00DD2429"/>
    <w:rsid w:val="00DD264B"/>
    <w:rsid w:val="00DD3E1E"/>
    <w:rsid w:val="00DD473A"/>
    <w:rsid w:val="00DD47AF"/>
    <w:rsid w:val="00DD5A7B"/>
    <w:rsid w:val="00DD6792"/>
    <w:rsid w:val="00DD7958"/>
    <w:rsid w:val="00DE075C"/>
    <w:rsid w:val="00DE0FC5"/>
    <w:rsid w:val="00DE1174"/>
    <w:rsid w:val="00DE207F"/>
    <w:rsid w:val="00DE2739"/>
    <w:rsid w:val="00DE3386"/>
    <w:rsid w:val="00DE54DA"/>
    <w:rsid w:val="00DE5DD9"/>
    <w:rsid w:val="00DE5EE6"/>
    <w:rsid w:val="00DE6AE9"/>
    <w:rsid w:val="00DE6F41"/>
    <w:rsid w:val="00DE74FE"/>
    <w:rsid w:val="00DE7F79"/>
    <w:rsid w:val="00DF0AB3"/>
    <w:rsid w:val="00DF0E6C"/>
    <w:rsid w:val="00DF1910"/>
    <w:rsid w:val="00DF2494"/>
    <w:rsid w:val="00DF26E2"/>
    <w:rsid w:val="00DF47FE"/>
    <w:rsid w:val="00DF6482"/>
    <w:rsid w:val="00DF650C"/>
    <w:rsid w:val="00DF6B12"/>
    <w:rsid w:val="00DF7100"/>
    <w:rsid w:val="00E00D28"/>
    <w:rsid w:val="00E00FED"/>
    <w:rsid w:val="00E04086"/>
    <w:rsid w:val="00E04535"/>
    <w:rsid w:val="00E0568B"/>
    <w:rsid w:val="00E05781"/>
    <w:rsid w:val="00E063D2"/>
    <w:rsid w:val="00E06678"/>
    <w:rsid w:val="00E06800"/>
    <w:rsid w:val="00E0734B"/>
    <w:rsid w:val="00E1060F"/>
    <w:rsid w:val="00E11D8A"/>
    <w:rsid w:val="00E12046"/>
    <w:rsid w:val="00E126E0"/>
    <w:rsid w:val="00E12FFB"/>
    <w:rsid w:val="00E13A42"/>
    <w:rsid w:val="00E14396"/>
    <w:rsid w:val="00E150C2"/>
    <w:rsid w:val="00E16930"/>
    <w:rsid w:val="00E16D26"/>
    <w:rsid w:val="00E201B6"/>
    <w:rsid w:val="00E228B5"/>
    <w:rsid w:val="00E25160"/>
    <w:rsid w:val="00E266DF"/>
    <w:rsid w:val="00E26704"/>
    <w:rsid w:val="00E269D5"/>
    <w:rsid w:val="00E273C8"/>
    <w:rsid w:val="00E27A06"/>
    <w:rsid w:val="00E31700"/>
    <w:rsid w:val="00E31980"/>
    <w:rsid w:val="00E3217A"/>
    <w:rsid w:val="00E32856"/>
    <w:rsid w:val="00E3573B"/>
    <w:rsid w:val="00E35D8F"/>
    <w:rsid w:val="00E3780E"/>
    <w:rsid w:val="00E417F4"/>
    <w:rsid w:val="00E41D3B"/>
    <w:rsid w:val="00E42A30"/>
    <w:rsid w:val="00E43AE5"/>
    <w:rsid w:val="00E43FBE"/>
    <w:rsid w:val="00E44E9F"/>
    <w:rsid w:val="00E452D1"/>
    <w:rsid w:val="00E4588E"/>
    <w:rsid w:val="00E45ADE"/>
    <w:rsid w:val="00E46499"/>
    <w:rsid w:val="00E46610"/>
    <w:rsid w:val="00E4668A"/>
    <w:rsid w:val="00E4682B"/>
    <w:rsid w:val="00E50455"/>
    <w:rsid w:val="00E50836"/>
    <w:rsid w:val="00E50BDE"/>
    <w:rsid w:val="00E51568"/>
    <w:rsid w:val="00E525A2"/>
    <w:rsid w:val="00E53E37"/>
    <w:rsid w:val="00E549CE"/>
    <w:rsid w:val="00E54CDE"/>
    <w:rsid w:val="00E55261"/>
    <w:rsid w:val="00E55F28"/>
    <w:rsid w:val="00E56089"/>
    <w:rsid w:val="00E6423C"/>
    <w:rsid w:val="00E644BF"/>
    <w:rsid w:val="00E65A90"/>
    <w:rsid w:val="00E6686B"/>
    <w:rsid w:val="00E66FC7"/>
    <w:rsid w:val="00E67DF9"/>
    <w:rsid w:val="00E70D33"/>
    <w:rsid w:val="00E72366"/>
    <w:rsid w:val="00E738A6"/>
    <w:rsid w:val="00E74091"/>
    <w:rsid w:val="00E74AA0"/>
    <w:rsid w:val="00E75631"/>
    <w:rsid w:val="00E757DB"/>
    <w:rsid w:val="00E75F73"/>
    <w:rsid w:val="00E76BAC"/>
    <w:rsid w:val="00E773F5"/>
    <w:rsid w:val="00E82D61"/>
    <w:rsid w:val="00E8530C"/>
    <w:rsid w:val="00E87771"/>
    <w:rsid w:val="00E90802"/>
    <w:rsid w:val="00E9129A"/>
    <w:rsid w:val="00E93830"/>
    <w:rsid w:val="00E93E0E"/>
    <w:rsid w:val="00E94F67"/>
    <w:rsid w:val="00E95B27"/>
    <w:rsid w:val="00E95BC5"/>
    <w:rsid w:val="00E97FDB"/>
    <w:rsid w:val="00EA010C"/>
    <w:rsid w:val="00EA09BB"/>
    <w:rsid w:val="00EA17C7"/>
    <w:rsid w:val="00EA3753"/>
    <w:rsid w:val="00EA3CF9"/>
    <w:rsid w:val="00EA4918"/>
    <w:rsid w:val="00EA562C"/>
    <w:rsid w:val="00EA6C4C"/>
    <w:rsid w:val="00EA6EA5"/>
    <w:rsid w:val="00EA75E5"/>
    <w:rsid w:val="00EB1ED3"/>
    <w:rsid w:val="00EB32A9"/>
    <w:rsid w:val="00EB424B"/>
    <w:rsid w:val="00EB5EAC"/>
    <w:rsid w:val="00EB61AB"/>
    <w:rsid w:val="00EB6FBA"/>
    <w:rsid w:val="00EC0589"/>
    <w:rsid w:val="00EC07F5"/>
    <w:rsid w:val="00EC0978"/>
    <w:rsid w:val="00EC18E2"/>
    <w:rsid w:val="00EC3C4E"/>
    <w:rsid w:val="00EC7AEA"/>
    <w:rsid w:val="00ED01DB"/>
    <w:rsid w:val="00ED07CD"/>
    <w:rsid w:val="00ED100E"/>
    <w:rsid w:val="00ED26E2"/>
    <w:rsid w:val="00ED2BDE"/>
    <w:rsid w:val="00ED2CF8"/>
    <w:rsid w:val="00ED41B2"/>
    <w:rsid w:val="00ED4206"/>
    <w:rsid w:val="00ED5820"/>
    <w:rsid w:val="00ED620D"/>
    <w:rsid w:val="00EE0D06"/>
    <w:rsid w:val="00EE11DC"/>
    <w:rsid w:val="00EE1C28"/>
    <w:rsid w:val="00EE1EFA"/>
    <w:rsid w:val="00EE25AE"/>
    <w:rsid w:val="00EE2868"/>
    <w:rsid w:val="00EE37E1"/>
    <w:rsid w:val="00EE5532"/>
    <w:rsid w:val="00EE5A28"/>
    <w:rsid w:val="00EE6736"/>
    <w:rsid w:val="00EE6C46"/>
    <w:rsid w:val="00EE7B5B"/>
    <w:rsid w:val="00EE7F3B"/>
    <w:rsid w:val="00EF146C"/>
    <w:rsid w:val="00EF2188"/>
    <w:rsid w:val="00EF26E7"/>
    <w:rsid w:val="00EF374E"/>
    <w:rsid w:val="00EF45C0"/>
    <w:rsid w:val="00EF4D4E"/>
    <w:rsid w:val="00EF595E"/>
    <w:rsid w:val="00EF721F"/>
    <w:rsid w:val="00EF7357"/>
    <w:rsid w:val="00EF773E"/>
    <w:rsid w:val="00EF7E60"/>
    <w:rsid w:val="00F02E11"/>
    <w:rsid w:val="00F03B79"/>
    <w:rsid w:val="00F03DB7"/>
    <w:rsid w:val="00F04801"/>
    <w:rsid w:val="00F05F51"/>
    <w:rsid w:val="00F0766B"/>
    <w:rsid w:val="00F077A9"/>
    <w:rsid w:val="00F0794D"/>
    <w:rsid w:val="00F1067C"/>
    <w:rsid w:val="00F122FE"/>
    <w:rsid w:val="00F1330D"/>
    <w:rsid w:val="00F13F48"/>
    <w:rsid w:val="00F14E80"/>
    <w:rsid w:val="00F15813"/>
    <w:rsid w:val="00F1610C"/>
    <w:rsid w:val="00F200CC"/>
    <w:rsid w:val="00F2072E"/>
    <w:rsid w:val="00F20CD5"/>
    <w:rsid w:val="00F21070"/>
    <w:rsid w:val="00F22CDE"/>
    <w:rsid w:val="00F23B22"/>
    <w:rsid w:val="00F24B38"/>
    <w:rsid w:val="00F2672F"/>
    <w:rsid w:val="00F26A67"/>
    <w:rsid w:val="00F26AC5"/>
    <w:rsid w:val="00F273CB"/>
    <w:rsid w:val="00F27547"/>
    <w:rsid w:val="00F30388"/>
    <w:rsid w:val="00F31297"/>
    <w:rsid w:val="00F3203A"/>
    <w:rsid w:val="00F339C8"/>
    <w:rsid w:val="00F34A0F"/>
    <w:rsid w:val="00F34B4F"/>
    <w:rsid w:val="00F35AB0"/>
    <w:rsid w:val="00F36FF4"/>
    <w:rsid w:val="00F370B0"/>
    <w:rsid w:val="00F37632"/>
    <w:rsid w:val="00F37B54"/>
    <w:rsid w:val="00F43481"/>
    <w:rsid w:val="00F46400"/>
    <w:rsid w:val="00F506A3"/>
    <w:rsid w:val="00F50C03"/>
    <w:rsid w:val="00F50FDA"/>
    <w:rsid w:val="00F51A76"/>
    <w:rsid w:val="00F5206E"/>
    <w:rsid w:val="00F523F0"/>
    <w:rsid w:val="00F545DF"/>
    <w:rsid w:val="00F548D0"/>
    <w:rsid w:val="00F55A3C"/>
    <w:rsid w:val="00F55B4B"/>
    <w:rsid w:val="00F55EB6"/>
    <w:rsid w:val="00F56808"/>
    <w:rsid w:val="00F60638"/>
    <w:rsid w:val="00F639A1"/>
    <w:rsid w:val="00F63BBE"/>
    <w:rsid w:val="00F63F05"/>
    <w:rsid w:val="00F64302"/>
    <w:rsid w:val="00F659A4"/>
    <w:rsid w:val="00F65EDC"/>
    <w:rsid w:val="00F6782E"/>
    <w:rsid w:val="00F70333"/>
    <w:rsid w:val="00F717DC"/>
    <w:rsid w:val="00F731C3"/>
    <w:rsid w:val="00F7320E"/>
    <w:rsid w:val="00F768A0"/>
    <w:rsid w:val="00F76C65"/>
    <w:rsid w:val="00F8072F"/>
    <w:rsid w:val="00F80895"/>
    <w:rsid w:val="00F80C5C"/>
    <w:rsid w:val="00F82E2A"/>
    <w:rsid w:val="00F85151"/>
    <w:rsid w:val="00F8596D"/>
    <w:rsid w:val="00F87546"/>
    <w:rsid w:val="00F87E5E"/>
    <w:rsid w:val="00F9032A"/>
    <w:rsid w:val="00F91025"/>
    <w:rsid w:val="00F91731"/>
    <w:rsid w:val="00F91D3D"/>
    <w:rsid w:val="00F930AA"/>
    <w:rsid w:val="00F94649"/>
    <w:rsid w:val="00F96359"/>
    <w:rsid w:val="00F97995"/>
    <w:rsid w:val="00FA2D3A"/>
    <w:rsid w:val="00FA2DA4"/>
    <w:rsid w:val="00FA3A01"/>
    <w:rsid w:val="00FA4B26"/>
    <w:rsid w:val="00FA718A"/>
    <w:rsid w:val="00FA7A14"/>
    <w:rsid w:val="00FB0601"/>
    <w:rsid w:val="00FB0FEB"/>
    <w:rsid w:val="00FB2370"/>
    <w:rsid w:val="00FB282A"/>
    <w:rsid w:val="00FB41F2"/>
    <w:rsid w:val="00FB4A36"/>
    <w:rsid w:val="00FB4C5C"/>
    <w:rsid w:val="00FB4EBA"/>
    <w:rsid w:val="00FB55C9"/>
    <w:rsid w:val="00FB5B69"/>
    <w:rsid w:val="00FB6317"/>
    <w:rsid w:val="00FB687C"/>
    <w:rsid w:val="00FB75D5"/>
    <w:rsid w:val="00FB785D"/>
    <w:rsid w:val="00FB7B17"/>
    <w:rsid w:val="00FC095B"/>
    <w:rsid w:val="00FC2862"/>
    <w:rsid w:val="00FC2B8E"/>
    <w:rsid w:val="00FC343C"/>
    <w:rsid w:val="00FC36AD"/>
    <w:rsid w:val="00FC37E8"/>
    <w:rsid w:val="00FC3DA5"/>
    <w:rsid w:val="00FC7FFA"/>
    <w:rsid w:val="00FD167D"/>
    <w:rsid w:val="00FD2506"/>
    <w:rsid w:val="00FD2DF6"/>
    <w:rsid w:val="00FD57DC"/>
    <w:rsid w:val="00FD60B7"/>
    <w:rsid w:val="00FD63EC"/>
    <w:rsid w:val="00FD6DBD"/>
    <w:rsid w:val="00FD7DE0"/>
    <w:rsid w:val="00FE0D08"/>
    <w:rsid w:val="00FE10E4"/>
    <w:rsid w:val="00FE123C"/>
    <w:rsid w:val="00FE1C06"/>
    <w:rsid w:val="00FE319A"/>
    <w:rsid w:val="00FE34E8"/>
    <w:rsid w:val="00FE49BF"/>
    <w:rsid w:val="00FE5CC9"/>
    <w:rsid w:val="00FE6952"/>
    <w:rsid w:val="00FE7223"/>
    <w:rsid w:val="00FE7893"/>
    <w:rsid w:val="00FE79C0"/>
    <w:rsid w:val="00FF167F"/>
    <w:rsid w:val="00FF17D9"/>
    <w:rsid w:val="00FF1EBA"/>
    <w:rsid w:val="00FF2152"/>
    <w:rsid w:val="00FF2AC7"/>
    <w:rsid w:val="00FF3782"/>
    <w:rsid w:val="00FF4A01"/>
    <w:rsid w:val="00FF4CEC"/>
    <w:rsid w:val="00FF4E47"/>
    <w:rsid w:val="00FF59C7"/>
    <w:rsid w:val="00FF7455"/>
    <w:rsid w:val="00FF79E3"/>
    <w:rsid w:val="00FF7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67EFE7D"/>
  <w15:docId w15:val="{0D07C48C-2BDC-4B9F-ABE0-FBBB3D2A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A67988"/>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odsazen3">
    <w:name w:val="Body Text Indent 3"/>
    <w:basedOn w:val="Normln"/>
    <w:link w:val="Zkladntextodsazen3Char"/>
    <w:semiHidden/>
    <w:rsid w:val="00A67988"/>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basedOn w:val="Standardnpsmoodstavce"/>
    <w:link w:val="Zkladntextodsazen3"/>
    <w:semiHidden/>
    <w:rsid w:val="00A67988"/>
    <w:rPr>
      <w:rFonts w:ascii="Arial" w:eastAsia="Times New Roman" w:hAnsi="Arial"/>
      <w:szCs w:val="24"/>
      <w:lang w:eastAsia="en-US"/>
    </w:rPr>
  </w:style>
  <w:style w:type="paragraph" w:styleId="Textpoznpodarou">
    <w:name w:val="footnote text"/>
    <w:basedOn w:val="Normln"/>
    <w:link w:val="TextpoznpodarouChar"/>
    <w:uiPriority w:val="99"/>
    <w:semiHidden/>
    <w:unhideWhenUsed/>
    <w:rsid w:val="00D01D89"/>
    <w:pPr>
      <w:spacing w:line="240" w:lineRule="auto"/>
    </w:pPr>
    <w:rPr>
      <w:szCs w:val="20"/>
    </w:rPr>
  </w:style>
  <w:style w:type="character" w:customStyle="1" w:styleId="TextpoznpodarouChar">
    <w:name w:val="Text pozn. pod čarou Char"/>
    <w:basedOn w:val="Standardnpsmoodstavce"/>
    <w:link w:val="Textpoznpodarou"/>
    <w:uiPriority w:val="99"/>
    <w:semiHidden/>
    <w:rsid w:val="00D01D89"/>
    <w:rPr>
      <w:rFonts w:ascii="Arial" w:hAnsi="Arial"/>
      <w:lang w:eastAsia="en-US"/>
    </w:rPr>
  </w:style>
  <w:style w:type="character" w:styleId="Znakapoznpodarou">
    <w:name w:val="footnote reference"/>
    <w:basedOn w:val="Standardnpsmoodstavce"/>
    <w:uiPriority w:val="99"/>
    <w:semiHidden/>
    <w:unhideWhenUsed/>
    <w:rsid w:val="00D01D89"/>
    <w:rPr>
      <w:vertAlign w:val="superscript"/>
    </w:rPr>
  </w:style>
  <w:style w:type="character" w:styleId="Odkaznakoment">
    <w:name w:val="annotation reference"/>
    <w:basedOn w:val="Standardnpsmoodstavce"/>
    <w:uiPriority w:val="99"/>
    <w:semiHidden/>
    <w:unhideWhenUsed/>
    <w:rsid w:val="00626DA3"/>
    <w:rPr>
      <w:sz w:val="16"/>
      <w:szCs w:val="16"/>
    </w:rPr>
  </w:style>
  <w:style w:type="paragraph" w:styleId="Textkomente">
    <w:name w:val="annotation text"/>
    <w:basedOn w:val="Normln"/>
    <w:link w:val="TextkomenteChar"/>
    <w:uiPriority w:val="99"/>
    <w:semiHidden/>
    <w:unhideWhenUsed/>
    <w:rsid w:val="00626DA3"/>
    <w:pPr>
      <w:spacing w:line="240" w:lineRule="auto"/>
    </w:pPr>
    <w:rPr>
      <w:szCs w:val="20"/>
    </w:rPr>
  </w:style>
  <w:style w:type="character" w:customStyle="1" w:styleId="TextkomenteChar">
    <w:name w:val="Text komentáře Char"/>
    <w:basedOn w:val="Standardnpsmoodstavce"/>
    <w:link w:val="Textkomente"/>
    <w:uiPriority w:val="99"/>
    <w:semiHidden/>
    <w:rsid w:val="00626DA3"/>
    <w:rPr>
      <w:rFonts w:ascii="Arial" w:hAnsi="Arial"/>
      <w:lang w:eastAsia="en-US"/>
    </w:rPr>
  </w:style>
  <w:style w:type="paragraph" w:styleId="Pedmtkomente">
    <w:name w:val="annotation subject"/>
    <w:basedOn w:val="Textkomente"/>
    <w:next w:val="Textkomente"/>
    <w:link w:val="PedmtkomenteChar"/>
    <w:uiPriority w:val="99"/>
    <w:semiHidden/>
    <w:unhideWhenUsed/>
    <w:rsid w:val="00626DA3"/>
    <w:rPr>
      <w:b/>
      <w:bCs/>
    </w:rPr>
  </w:style>
  <w:style w:type="character" w:customStyle="1" w:styleId="PedmtkomenteChar">
    <w:name w:val="Předmět komentáře Char"/>
    <w:basedOn w:val="TextkomenteChar"/>
    <w:link w:val="Pedmtkomente"/>
    <w:uiPriority w:val="99"/>
    <w:semiHidden/>
    <w:rsid w:val="00626DA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2370299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Anal&#253;za%20ENG.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tousova9707\Desktop\Graf1_AJ_MM_rozpracov&#225;n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65034087720167"/>
          <c:y val="3.8596491228070177E-2"/>
          <c:w val="0.49096601132405621"/>
          <c:h val="0.88000607818759502"/>
        </c:manualLayout>
      </c:layout>
      <c:lineChart>
        <c:grouping val="standard"/>
        <c:varyColors val="0"/>
        <c:ser>
          <c:idx val="9"/>
          <c:order val="0"/>
          <c:tx>
            <c:strRef>
              <c:f>List1!$B$14</c:f>
              <c:strCache>
                <c:ptCount val="1"/>
                <c:pt idx="0">
                  <c:v>Information and communication</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List1!$C$3:$G$3</c:f>
              <c:numCache>
                <c:formatCode>General</c:formatCode>
                <c:ptCount val="5"/>
                <c:pt idx="0">
                  <c:v>2018</c:v>
                </c:pt>
                <c:pt idx="1">
                  <c:v>2019</c:v>
                </c:pt>
                <c:pt idx="2">
                  <c:v>2020</c:v>
                </c:pt>
                <c:pt idx="3">
                  <c:v>2021</c:v>
                </c:pt>
                <c:pt idx="4">
                  <c:v>2022</c:v>
                </c:pt>
              </c:numCache>
            </c:numRef>
          </c:cat>
          <c:val>
            <c:numRef>
              <c:f>List1!$C$14:$G$14</c:f>
              <c:numCache>
                <c:formatCode>#,##0</c:formatCode>
                <c:ptCount val="5"/>
                <c:pt idx="0">
                  <c:v>56724</c:v>
                </c:pt>
                <c:pt idx="1">
                  <c:v>59207</c:v>
                </c:pt>
                <c:pt idx="2">
                  <c:v>62317</c:v>
                </c:pt>
                <c:pt idx="3">
                  <c:v>65351</c:v>
                </c:pt>
                <c:pt idx="4">
                  <c:v>71359</c:v>
                </c:pt>
              </c:numCache>
            </c:numRef>
          </c:val>
          <c:smooth val="0"/>
          <c:extLst>
            <c:ext xmlns:c16="http://schemas.microsoft.com/office/drawing/2014/chart" uri="{C3380CC4-5D6E-409C-BE32-E72D297353CC}">
              <c16:uniqueId val="{00000000-E5E0-40BB-9469-2DD0C2CF2D8B}"/>
            </c:ext>
          </c:extLst>
        </c:ser>
        <c:ser>
          <c:idx val="10"/>
          <c:order val="1"/>
          <c:tx>
            <c:strRef>
              <c:f>List1!$B$15</c:f>
              <c:strCache>
                <c:ptCount val="1"/>
                <c:pt idx="0">
                  <c:v>Financial and insurance activities</c:v>
                </c:pt>
              </c:strCache>
            </c:strRef>
          </c:tx>
          <c:spPr>
            <a:ln w="28575" cap="rnd">
              <a:solidFill>
                <a:schemeClr val="accent5">
                  <a:lumMod val="60000"/>
                </a:schemeClr>
              </a:solidFill>
              <a:prstDash val="dash"/>
              <a:round/>
            </a:ln>
            <a:effectLst/>
          </c:spPr>
          <c:marker>
            <c:symbol val="circle"/>
            <c:size val="5"/>
            <c:spPr>
              <a:solidFill>
                <a:schemeClr val="accent5">
                  <a:lumMod val="60000"/>
                </a:schemeClr>
              </a:solidFill>
              <a:ln w="9525">
                <a:solidFill>
                  <a:schemeClr val="accent5">
                    <a:lumMod val="60000"/>
                  </a:schemeClr>
                </a:solidFill>
              </a:ln>
              <a:effectLst/>
            </c:spPr>
          </c:marker>
          <c:cat>
            <c:numRef>
              <c:f>List1!$C$3:$G$3</c:f>
              <c:numCache>
                <c:formatCode>General</c:formatCode>
                <c:ptCount val="5"/>
                <c:pt idx="0">
                  <c:v>2018</c:v>
                </c:pt>
                <c:pt idx="1">
                  <c:v>2019</c:v>
                </c:pt>
                <c:pt idx="2">
                  <c:v>2020</c:v>
                </c:pt>
                <c:pt idx="3">
                  <c:v>2021</c:v>
                </c:pt>
                <c:pt idx="4">
                  <c:v>2022</c:v>
                </c:pt>
              </c:numCache>
            </c:numRef>
          </c:cat>
          <c:val>
            <c:numRef>
              <c:f>List1!$C$15:$G$15</c:f>
              <c:numCache>
                <c:formatCode>#,##0</c:formatCode>
                <c:ptCount val="5"/>
                <c:pt idx="0">
                  <c:v>54882</c:v>
                </c:pt>
                <c:pt idx="1">
                  <c:v>59181</c:v>
                </c:pt>
                <c:pt idx="2">
                  <c:v>59578</c:v>
                </c:pt>
                <c:pt idx="3">
                  <c:v>61469</c:v>
                </c:pt>
                <c:pt idx="4">
                  <c:v>68030</c:v>
                </c:pt>
              </c:numCache>
            </c:numRef>
          </c:val>
          <c:smooth val="0"/>
          <c:extLst>
            <c:ext xmlns:c16="http://schemas.microsoft.com/office/drawing/2014/chart" uri="{C3380CC4-5D6E-409C-BE32-E72D297353CC}">
              <c16:uniqueId val="{00000001-E5E0-40BB-9469-2DD0C2CF2D8B}"/>
            </c:ext>
          </c:extLst>
        </c:ser>
        <c:ser>
          <c:idx val="3"/>
          <c:order val="2"/>
          <c:tx>
            <c:strRef>
              <c:f>List1!$B$8</c:f>
              <c:strCache>
                <c:ptCount val="1"/>
                <c:pt idx="0">
                  <c:v>Electricity, gas, steam and…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List1!$C$3:$G$3</c:f>
              <c:numCache>
                <c:formatCode>General</c:formatCode>
                <c:ptCount val="5"/>
                <c:pt idx="0">
                  <c:v>2018</c:v>
                </c:pt>
                <c:pt idx="1">
                  <c:v>2019</c:v>
                </c:pt>
                <c:pt idx="2">
                  <c:v>2020</c:v>
                </c:pt>
                <c:pt idx="3">
                  <c:v>2021</c:v>
                </c:pt>
                <c:pt idx="4">
                  <c:v>2022</c:v>
                </c:pt>
              </c:numCache>
            </c:numRef>
          </c:cat>
          <c:val>
            <c:numRef>
              <c:f>List1!$C$8:$G$8</c:f>
              <c:numCache>
                <c:formatCode>#,##0</c:formatCode>
                <c:ptCount val="5"/>
                <c:pt idx="0">
                  <c:v>46375</c:v>
                </c:pt>
                <c:pt idx="1">
                  <c:v>49480</c:v>
                </c:pt>
                <c:pt idx="2">
                  <c:v>52509</c:v>
                </c:pt>
                <c:pt idx="3">
                  <c:v>54763</c:v>
                </c:pt>
                <c:pt idx="4">
                  <c:v>59707</c:v>
                </c:pt>
              </c:numCache>
            </c:numRef>
          </c:val>
          <c:smooth val="0"/>
          <c:extLst>
            <c:ext xmlns:c16="http://schemas.microsoft.com/office/drawing/2014/chart" uri="{C3380CC4-5D6E-409C-BE32-E72D297353CC}">
              <c16:uniqueId val="{00000002-E5E0-40BB-9469-2DD0C2CF2D8B}"/>
            </c:ext>
          </c:extLst>
        </c:ser>
        <c:ser>
          <c:idx val="16"/>
          <c:order val="3"/>
          <c:tx>
            <c:strRef>
              <c:f>List1!$B$21</c:f>
              <c:strCache>
                <c:ptCount val="1"/>
                <c:pt idx="0">
                  <c:v>Human health and social work activities</c:v>
                </c:pt>
              </c:strCache>
            </c:strRef>
          </c:tx>
          <c:spPr>
            <a:ln w="25400" cap="rnd">
              <a:solidFill>
                <a:srgbClr val="0070C0"/>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numRef>
              <c:f>List1!$C$3:$G$3</c:f>
              <c:numCache>
                <c:formatCode>General</c:formatCode>
                <c:ptCount val="5"/>
                <c:pt idx="0">
                  <c:v>2018</c:v>
                </c:pt>
                <c:pt idx="1">
                  <c:v>2019</c:v>
                </c:pt>
                <c:pt idx="2">
                  <c:v>2020</c:v>
                </c:pt>
                <c:pt idx="3">
                  <c:v>2021</c:v>
                </c:pt>
                <c:pt idx="4">
                  <c:v>2022</c:v>
                </c:pt>
              </c:numCache>
            </c:numRef>
          </c:cat>
          <c:val>
            <c:numRef>
              <c:f>List1!$C$21:$G$21</c:f>
              <c:numCache>
                <c:formatCode>#,##0</c:formatCode>
                <c:ptCount val="5"/>
                <c:pt idx="0">
                  <c:v>33871</c:v>
                </c:pt>
                <c:pt idx="1">
                  <c:v>37331</c:v>
                </c:pt>
                <c:pt idx="2">
                  <c:v>41751</c:v>
                </c:pt>
                <c:pt idx="3">
                  <c:v>46392</c:v>
                </c:pt>
                <c:pt idx="4">
                  <c:v>44417</c:v>
                </c:pt>
              </c:numCache>
            </c:numRef>
          </c:val>
          <c:smooth val="0"/>
          <c:extLst>
            <c:ext xmlns:c16="http://schemas.microsoft.com/office/drawing/2014/chart" uri="{C3380CC4-5D6E-409C-BE32-E72D297353CC}">
              <c16:uniqueId val="{00000003-E5E0-40BB-9469-2DD0C2CF2D8B}"/>
            </c:ext>
          </c:extLst>
        </c:ser>
        <c:ser>
          <c:idx val="14"/>
          <c:order val="4"/>
          <c:tx>
            <c:strRef>
              <c:f>List1!$B$19</c:f>
              <c:strCache>
                <c:ptCount val="1"/>
                <c:pt idx="0">
                  <c:v>Public administration and defence</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f>List1!$C$3:$G$3</c:f>
              <c:numCache>
                <c:formatCode>General</c:formatCode>
                <c:ptCount val="5"/>
                <c:pt idx="0">
                  <c:v>2018</c:v>
                </c:pt>
                <c:pt idx="1">
                  <c:v>2019</c:v>
                </c:pt>
                <c:pt idx="2">
                  <c:v>2020</c:v>
                </c:pt>
                <c:pt idx="3">
                  <c:v>2021</c:v>
                </c:pt>
                <c:pt idx="4">
                  <c:v>2022</c:v>
                </c:pt>
              </c:numCache>
            </c:numRef>
          </c:cat>
          <c:val>
            <c:numRef>
              <c:f>List1!$C$19:$G$19</c:f>
              <c:numCache>
                <c:formatCode>#,##0</c:formatCode>
                <c:ptCount val="5"/>
                <c:pt idx="0">
                  <c:v>36323</c:v>
                </c:pt>
                <c:pt idx="1">
                  <c:v>38695</c:v>
                </c:pt>
                <c:pt idx="2">
                  <c:v>40787</c:v>
                </c:pt>
                <c:pt idx="3">
                  <c:v>41181</c:v>
                </c:pt>
                <c:pt idx="4">
                  <c:v>42725</c:v>
                </c:pt>
              </c:numCache>
            </c:numRef>
          </c:val>
          <c:smooth val="0"/>
          <c:extLst>
            <c:ext xmlns:c16="http://schemas.microsoft.com/office/drawing/2014/chart" uri="{C3380CC4-5D6E-409C-BE32-E72D297353CC}">
              <c16:uniqueId val="{00000004-E5E0-40BB-9469-2DD0C2CF2D8B}"/>
            </c:ext>
          </c:extLst>
        </c:ser>
        <c:ser>
          <c:idx val="15"/>
          <c:order val="5"/>
          <c:tx>
            <c:strRef>
              <c:f>List1!$B$20</c:f>
              <c:strCache>
                <c:ptCount val="1"/>
                <c:pt idx="0">
                  <c:v>Education</c:v>
                </c:pt>
              </c:strCache>
            </c:strRef>
          </c:tx>
          <c:spPr>
            <a:ln w="22225" cap="rnd">
              <a:solidFill>
                <a:srgbClr val="FF0000"/>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numRef>
              <c:f>List1!$C$3:$G$3</c:f>
              <c:numCache>
                <c:formatCode>General</c:formatCode>
                <c:ptCount val="5"/>
                <c:pt idx="0">
                  <c:v>2018</c:v>
                </c:pt>
                <c:pt idx="1">
                  <c:v>2019</c:v>
                </c:pt>
                <c:pt idx="2">
                  <c:v>2020</c:v>
                </c:pt>
                <c:pt idx="3">
                  <c:v>2021</c:v>
                </c:pt>
                <c:pt idx="4">
                  <c:v>2022</c:v>
                </c:pt>
              </c:numCache>
            </c:numRef>
          </c:cat>
          <c:val>
            <c:numRef>
              <c:f>List1!$C$20:$G$20</c:f>
              <c:numCache>
                <c:formatCode>#,##0</c:formatCode>
                <c:ptCount val="5"/>
                <c:pt idx="0">
                  <c:v>31464</c:v>
                </c:pt>
                <c:pt idx="1">
                  <c:v>35409</c:v>
                </c:pt>
                <c:pt idx="2">
                  <c:v>38503</c:v>
                </c:pt>
                <c:pt idx="3">
                  <c:v>40747</c:v>
                </c:pt>
                <c:pt idx="4">
                  <c:v>41485</c:v>
                </c:pt>
              </c:numCache>
            </c:numRef>
          </c:val>
          <c:smooth val="0"/>
          <c:extLst>
            <c:ext xmlns:c16="http://schemas.microsoft.com/office/drawing/2014/chart" uri="{C3380CC4-5D6E-409C-BE32-E72D297353CC}">
              <c16:uniqueId val="{00000005-E5E0-40BB-9469-2DD0C2CF2D8B}"/>
            </c:ext>
          </c:extLst>
        </c:ser>
        <c:ser>
          <c:idx val="2"/>
          <c:order val="6"/>
          <c:tx>
            <c:strRef>
              <c:f>List1!$B$7</c:f>
              <c:strCache>
                <c:ptCount val="1"/>
                <c:pt idx="0">
                  <c:v>Manufacturing</c:v>
                </c:pt>
              </c:strCache>
            </c:strRef>
          </c:tx>
          <c:spPr>
            <a:ln w="19050" cap="rnd">
              <a:solidFill>
                <a:schemeClr val="tx1"/>
              </a:solidFill>
              <a:round/>
            </a:ln>
            <a:effectLst/>
          </c:spPr>
          <c:marker>
            <c:symbol val="circle"/>
            <c:size val="5"/>
            <c:spPr>
              <a:solidFill>
                <a:schemeClr val="accent3"/>
              </a:solidFill>
              <a:ln w="9525">
                <a:solidFill>
                  <a:schemeClr val="accent3"/>
                </a:solidFill>
              </a:ln>
              <a:effectLst/>
            </c:spPr>
          </c:marker>
          <c:cat>
            <c:numRef>
              <c:f>List1!$C$3:$G$3</c:f>
              <c:numCache>
                <c:formatCode>General</c:formatCode>
                <c:ptCount val="5"/>
                <c:pt idx="0">
                  <c:v>2018</c:v>
                </c:pt>
                <c:pt idx="1">
                  <c:v>2019</c:v>
                </c:pt>
                <c:pt idx="2">
                  <c:v>2020</c:v>
                </c:pt>
                <c:pt idx="3">
                  <c:v>2021</c:v>
                </c:pt>
                <c:pt idx="4">
                  <c:v>2022</c:v>
                </c:pt>
              </c:numCache>
            </c:numRef>
          </c:cat>
          <c:val>
            <c:numRef>
              <c:f>List1!$C$7:$G$7</c:f>
              <c:numCache>
                <c:formatCode>#,##0</c:formatCode>
                <c:ptCount val="5"/>
                <c:pt idx="0">
                  <c:v>31893</c:v>
                </c:pt>
                <c:pt idx="1">
                  <c:v>34008</c:v>
                </c:pt>
                <c:pt idx="2">
                  <c:v>34597</c:v>
                </c:pt>
                <c:pt idx="3">
                  <c:v>36018</c:v>
                </c:pt>
                <c:pt idx="4">
                  <c:v>38899</c:v>
                </c:pt>
              </c:numCache>
            </c:numRef>
          </c:val>
          <c:smooth val="0"/>
          <c:extLst>
            <c:ext xmlns:c16="http://schemas.microsoft.com/office/drawing/2014/chart" uri="{C3380CC4-5D6E-409C-BE32-E72D297353CC}">
              <c16:uniqueId val="{00000006-E5E0-40BB-9469-2DD0C2CF2D8B}"/>
            </c:ext>
          </c:extLst>
        </c:ser>
        <c:ser>
          <c:idx val="6"/>
          <c:order val="7"/>
          <c:tx>
            <c:strRef>
              <c:f>List1!$B$11</c:f>
              <c:strCache>
                <c:ptCount val="1"/>
                <c:pt idx="0">
                  <c:v>Wholesale and retail trade…</c:v>
                </c:pt>
              </c:strCache>
            </c:strRef>
          </c:tx>
          <c:spPr>
            <a:ln w="31750" cap="rnd">
              <a:solidFill>
                <a:schemeClr val="accent6">
                  <a:lumMod val="75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List1!$C$3:$G$3</c:f>
              <c:numCache>
                <c:formatCode>General</c:formatCode>
                <c:ptCount val="5"/>
                <c:pt idx="0">
                  <c:v>2018</c:v>
                </c:pt>
                <c:pt idx="1">
                  <c:v>2019</c:v>
                </c:pt>
                <c:pt idx="2">
                  <c:v>2020</c:v>
                </c:pt>
                <c:pt idx="3">
                  <c:v>2021</c:v>
                </c:pt>
                <c:pt idx="4">
                  <c:v>2022</c:v>
                </c:pt>
              </c:numCache>
            </c:numRef>
          </c:cat>
          <c:val>
            <c:numRef>
              <c:f>List1!$C$11:$G$11</c:f>
              <c:numCache>
                <c:formatCode>#,##0</c:formatCode>
                <c:ptCount val="5"/>
                <c:pt idx="0">
                  <c:v>29986</c:v>
                </c:pt>
                <c:pt idx="1">
                  <c:v>32321</c:v>
                </c:pt>
                <c:pt idx="2">
                  <c:v>33482</c:v>
                </c:pt>
                <c:pt idx="3">
                  <c:v>34661</c:v>
                </c:pt>
                <c:pt idx="4">
                  <c:v>37575</c:v>
                </c:pt>
              </c:numCache>
            </c:numRef>
          </c:val>
          <c:smooth val="0"/>
          <c:extLst>
            <c:ext xmlns:c16="http://schemas.microsoft.com/office/drawing/2014/chart" uri="{C3380CC4-5D6E-409C-BE32-E72D297353CC}">
              <c16:uniqueId val="{00000007-E5E0-40BB-9469-2DD0C2CF2D8B}"/>
            </c:ext>
          </c:extLst>
        </c:ser>
        <c:ser>
          <c:idx val="11"/>
          <c:order val="8"/>
          <c:tx>
            <c:strRef>
              <c:f>List1!$B$16</c:f>
              <c:strCache>
                <c:ptCount val="1"/>
                <c:pt idx="0">
                  <c:v>Real estate activities</c:v>
                </c:pt>
              </c:strCache>
            </c:strRef>
          </c:tx>
          <c:spPr>
            <a:ln w="28575" cap="rnd">
              <a:solidFill>
                <a:schemeClr val="accent6">
                  <a:lumMod val="60000"/>
                </a:schemeClr>
              </a:solidFill>
              <a:prstDash val="sysDash"/>
              <a:round/>
            </a:ln>
            <a:effectLst/>
          </c:spPr>
          <c:marker>
            <c:symbol val="circle"/>
            <c:size val="5"/>
            <c:spPr>
              <a:solidFill>
                <a:schemeClr val="accent6">
                  <a:lumMod val="60000"/>
                </a:schemeClr>
              </a:solidFill>
              <a:ln w="9525">
                <a:solidFill>
                  <a:schemeClr val="accent6">
                    <a:lumMod val="60000"/>
                  </a:schemeClr>
                </a:solidFill>
              </a:ln>
              <a:effectLst/>
            </c:spPr>
          </c:marker>
          <c:cat>
            <c:numRef>
              <c:f>List1!$C$3:$G$3</c:f>
              <c:numCache>
                <c:formatCode>General</c:formatCode>
                <c:ptCount val="5"/>
                <c:pt idx="0">
                  <c:v>2018</c:v>
                </c:pt>
                <c:pt idx="1">
                  <c:v>2019</c:v>
                </c:pt>
                <c:pt idx="2">
                  <c:v>2020</c:v>
                </c:pt>
                <c:pt idx="3">
                  <c:v>2021</c:v>
                </c:pt>
                <c:pt idx="4">
                  <c:v>2022</c:v>
                </c:pt>
              </c:numCache>
            </c:numRef>
          </c:cat>
          <c:val>
            <c:numRef>
              <c:f>List1!$C$16:$G$16</c:f>
              <c:numCache>
                <c:formatCode>#,##0</c:formatCode>
                <c:ptCount val="5"/>
                <c:pt idx="0">
                  <c:v>28116</c:v>
                </c:pt>
                <c:pt idx="1">
                  <c:v>31480</c:v>
                </c:pt>
                <c:pt idx="2">
                  <c:v>29873</c:v>
                </c:pt>
                <c:pt idx="3">
                  <c:v>33312</c:v>
                </c:pt>
                <c:pt idx="4">
                  <c:v>36388</c:v>
                </c:pt>
              </c:numCache>
            </c:numRef>
          </c:val>
          <c:smooth val="0"/>
          <c:extLst>
            <c:ext xmlns:c16="http://schemas.microsoft.com/office/drawing/2014/chart" uri="{C3380CC4-5D6E-409C-BE32-E72D297353CC}">
              <c16:uniqueId val="{00000008-E5E0-40BB-9469-2DD0C2CF2D8B}"/>
            </c:ext>
          </c:extLst>
        </c:ser>
        <c:ser>
          <c:idx val="8"/>
          <c:order val="9"/>
          <c:tx>
            <c:strRef>
              <c:f>List1!$B$13</c:f>
              <c:strCache>
                <c:ptCount val="1"/>
                <c:pt idx="0">
                  <c:v>Accommodation, food service activities</c:v>
                </c:pt>
              </c:strCache>
            </c:strRef>
          </c:tx>
          <c:spPr>
            <a:ln w="28575" cap="rnd">
              <a:solidFill>
                <a:srgbClr val="C00000"/>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List1!$C$3:$G$3</c:f>
              <c:numCache>
                <c:formatCode>General</c:formatCode>
                <c:ptCount val="5"/>
                <c:pt idx="0">
                  <c:v>2018</c:v>
                </c:pt>
                <c:pt idx="1">
                  <c:v>2019</c:v>
                </c:pt>
                <c:pt idx="2">
                  <c:v>2020</c:v>
                </c:pt>
                <c:pt idx="3">
                  <c:v>2021</c:v>
                </c:pt>
                <c:pt idx="4">
                  <c:v>2022</c:v>
                </c:pt>
              </c:numCache>
            </c:numRef>
          </c:cat>
          <c:val>
            <c:numRef>
              <c:f>List1!$C$13:$G$13</c:f>
              <c:numCache>
                <c:formatCode>#,##0</c:formatCode>
                <c:ptCount val="5"/>
                <c:pt idx="0">
                  <c:v>19272</c:v>
                </c:pt>
                <c:pt idx="1">
                  <c:v>20934</c:v>
                </c:pt>
                <c:pt idx="2">
                  <c:v>20296</c:v>
                </c:pt>
                <c:pt idx="3">
                  <c:v>21640</c:v>
                </c:pt>
                <c:pt idx="4">
                  <c:v>23708</c:v>
                </c:pt>
              </c:numCache>
            </c:numRef>
          </c:val>
          <c:smooth val="0"/>
          <c:extLst>
            <c:ext xmlns:c16="http://schemas.microsoft.com/office/drawing/2014/chart" uri="{C3380CC4-5D6E-409C-BE32-E72D297353CC}">
              <c16:uniqueId val="{00000009-E5E0-40BB-9469-2DD0C2CF2D8B}"/>
            </c:ext>
          </c:extLst>
        </c:ser>
        <c:dLbls>
          <c:showLegendKey val="0"/>
          <c:showVal val="0"/>
          <c:showCatName val="0"/>
          <c:showSerName val="0"/>
          <c:showPercent val="0"/>
          <c:showBubbleSize val="0"/>
        </c:dLbls>
        <c:hiLowLines>
          <c:spPr>
            <a:ln w="6350" cap="flat" cmpd="sng" algn="ctr">
              <a:solidFill>
                <a:schemeClr val="bg1">
                  <a:lumMod val="85000"/>
                </a:schemeClr>
              </a:solidFill>
              <a:round/>
            </a:ln>
            <a:effectLst/>
          </c:spPr>
        </c:hiLowLines>
        <c:marker val="1"/>
        <c:smooth val="0"/>
        <c:axId val="1429061792"/>
        <c:axId val="1429057216"/>
      </c:lineChart>
      <c:catAx>
        <c:axId val="1429061792"/>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29057216"/>
        <c:crosses val="autoZero"/>
        <c:auto val="1"/>
        <c:lblAlgn val="ctr"/>
        <c:lblOffset val="100"/>
        <c:noMultiLvlLbl val="0"/>
      </c:catAx>
      <c:valAx>
        <c:axId val="1429057216"/>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CZK</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29061792"/>
        <c:crosses val="autoZero"/>
        <c:crossBetween val="between"/>
        <c:majorUnit val="5000"/>
      </c:valAx>
      <c:spPr>
        <a:noFill/>
        <a:ln>
          <a:solidFill>
            <a:schemeClr val="bg1">
              <a:lumMod val="65000"/>
            </a:schemeClr>
          </a:solidFill>
        </a:ln>
        <a:effectLst/>
      </c:spPr>
    </c:plotArea>
    <c:legend>
      <c:legendPos val="r"/>
      <c:layout>
        <c:manualLayout>
          <c:xMode val="edge"/>
          <c:yMode val="edge"/>
          <c:x val="0.64425980458690613"/>
          <c:y val="3.2993831451589753E-2"/>
          <c:w val="0.32679531243241527"/>
          <c:h val="0.936610706095160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7576-7746-4A56-8F47-96312361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804</TotalTime>
  <Pages>1</Pages>
  <Words>3751</Words>
  <Characters>22132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25832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Matoušová Milada</cp:lastModifiedBy>
  <cp:revision>376</cp:revision>
  <cp:lastPrinted>2020-09-07T12:48:00Z</cp:lastPrinted>
  <dcterms:created xsi:type="dcterms:W3CDTF">2023-02-24T11:35:00Z</dcterms:created>
  <dcterms:modified xsi:type="dcterms:W3CDTF">2023-03-08T12:43:00Z</dcterms:modified>
</cp:coreProperties>
</file>