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87FE" w14:textId="77777777" w:rsidR="000B50A7" w:rsidRPr="00C65F5E" w:rsidRDefault="00D10306" w:rsidP="000B50A7">
      <w:pPr>
        <w:pStyle w:val="Datum"/>
        <w:rPr>
          <w:lang w:val="cs-CZ"/>
        </w:rPr>
      </w:pPr>
      <w:r w:rsidRPr="00C65F5E">
        <w:t>7 June </w:t>
      </w:r>
      <w:r w:rsidR="000B50A7" w:rsidRPr="00C65F5E">
        <w:t>2022</w:t>
      </w:r>
    </w:p>
    <w:p w14:paraId="405BD891" w14:textId="77777777" w:rsidR="000B50A7" w:rsidRPr="00C65F5E" w:rsidRDefault="00D10306" w:rsidP="000B50A7">
      <w:pPr>
        <w:pStyle w:val="Nzev"/>
        <w:rPr>
          <w:lang w:val="cs-CZ"/>
        </w:rPr>
      </w:pPr>
      <w:r w:rsidRPr="00C65F5E">
        <w:rPr>
          <w:color w:val="C00000"/>
        </w:rPr>
        <w:t>Development of the Czech labour market in the Q1 </w:t>
      </w:r>
      <w:r w:rsidR="000B50A7" w:rsidRPr="00C65F5E">
        <w:rPr>
          <w:lang w:val="cs-CZ"/>
        </w:rPr>
        <w:t>2022</w:t>
      </w:r>
    </w:p>
    <w:p w14:paraId="1E8FFC7C" w14:textId="77777777" w:rsidR="00C42A4A" w:rsidRPr="00C65F5E" w:rsidRDefault="00D10306" w:rsidP="00D10306">
      <w:pPr>
        <w:rPr>
          <w:rFonts w:cs="Arial"/>
          <w:b/>
          <w:szCs w:val="18"/>
        </w:rPr>
      </w:pPr>
      <w:r w:rsidRPr="00C65F5E">
        <w:rPr>
          <w:rFonts w:cs="Arial"/>
          <w:b/>
          <w:szCs w:val="18"/>
        </w:rPr>
        <w:t xml:space="preserve">In the first quarter of 2022, </w:t>
      </w:r>
      <w:r w:rsidR="00284FFC" w:rsidRPr="00C65F5E">
        <w:rPr>
          <w:rFonts w:cs="Arial"/>
          <w:b/>
          <w:szCs w:val="18"/>
        </w:rPr>
        <w:t>inflation started to become the main decisive force on the labour market. The average wage nominally increased by 7.2%, year-on-year (y-o-y); however, after reflecting the price growth, earnings decreased in real terms by 3.6%.</w:t>
      </w:r>
      <w:r w:rsidR="00C42A4A" w:rsidRPr="00C65F5E">
        <w:rPr>
          <w:rFonts w:cs="Arial"/>
          <w:b/>
          <w:szCs w:val="18"/>
        </w:rPr>
        <w:t xml:space="preserve"> The economic activity remained high, t</w:t>
      </w:r>
      <w:r w:rsidRPr="00C65F5E">
        <w:rPr>
          <w:rFonts w:cs="Arial"/>
          <w:b/>
          <w:szCs w:val="18"/>
        </w:rPr>
        <w:t>he employment</w:t>
      </w:r>
      <w:r w:rsidR="00C42A4A" w:rsidRPr="00C65F5E">
        <w:rPr>
          <w:rFonts w:cs="Arial"/>
          <w:b/>
          <w:szCs w:val="18"/>
        </w:rPr>
        <w:t xml:space="preserve"> rate increased by 1.4 percentage point (p. p.), the unemployment rate decreased by 0.9 p. p., y-o-y.  </w:t>
      </w:r>
    </w:p>
    <w:p w14:paraId="14D5D14E" w14:textId="77777777" w:rsidR="00D10306" w:rsidRPr="00C65F5E" w:rsidRDefault="00D10306" w:rsidP="00D10306">
      <w:pPr>
        <w:rPr>
          <w:lang w:val="cs-CZ"/>
        </w:rPr>
      </w:pPr>
    </w:p>
    <w:p w14:paraId="69CB4FE9" w14:textId="77777777" w:rsidR="00BE2C2F" w:rsidRPr="00C65F5E" w:rsidRDefault="00BE2C2F" w:rsidP="00BE2C2F">
      <w:r w:rsidRPr="00C65F5E">
        <w:rPr>
          <w:b/>
        </w:rPr>
        <w:t>Employment, unemployment, and economic inactivity</w:t>
      </w:r>
    </w:p>
    <w:p w14:paraId="37C58EC9" w14:textId="77777777" w:rsidR="000B50A7" w:rsidRPr="00C65F5E" w:rsidRDefault="00BE2C2F" w:rsidP="000B50A7">
      <w:r w:rsidRPr="00C65F5E">
        <w:t xml:space="preserve">Results of the Labour Force Sample Survey (LFSS) </w:t>
      </w:r>
      <w:r w:rsidR="00625F15" w:rsidRPr="00C65F5E">
        <w:t>brought for the Q1 2022 a year-on-year increase in the employment rate (in the age group of 15–64 years) by 1.4 p. p. to 75.0%. Females were moderately closing the gap; the male employment rate increased by</w:t>
      </w:r>
      <w:r w:rsidR="00C62FBD" w:rsidRPr="00C65F5E">
        <w:t xml:space="preserve"> 1.</w:t>
      </w:r>
      <w:r w:rsidR="000B50A7" w:rsidRPr="00C65F5E">
        <w:t>3 p. </w:t>
      </w:r>
      <w:r w:rsidR="00C62FBD" w:rsidRPr="00C65F5E">
        <w:t>p</w:t>
      </w:r>
      <w:r w:rsidR="000B50A7" w:rsidRPr="00C65F5E">
        <w:t xml:space="preserve">. </w:t>
      </w:r>
      <w:r w:rsidR="00C62FBD" w:rsidRPr="00C65F5E">
        <w:t>to 81.9</w:t>
      </w:r>
      <w:r w:rsidR="000B50A7" w:rsidRPr="00C65F5E">
        <w:t xml:space="preserve">%, </w:t>
      </w:r>
      <w:r w:rsidR="00C62FBD" w:rsidRPr="00C65F5E">
        <w:t>the female one by 1.5 p. p. to 67.8</w:t>
      </w:r>
      <w:r w:rsidR="000B50A7" w:rsidRPr="00C65F5E">
        <w:t>%.</w:t>
      </w:r>
    </w:p>
    <w:p w14:paraId="31039980" w14:textId="77777777" w:rsidR="000B50A7" w:rsidRPr="00C65F5E" w:rsidRDefault="000B50A7" w:rsidP="000B50A7">
      <w:pPr>
        <w:rPr>
          <w:lang w:val="cs-CZ"/>
        </w:rPr>
      </w:pPr>
    </w:p>
    <w:p w14:paraId="72248D3A" w14:textId="77777777" w:rsidR="000B50A7" w:rsidRPr="00C65F5E" w:rsidRDefault="00D05B0F" w:rsidP="000B50A7">
      <w:pPr>
        <w:rPr>
          <w:b/>
        </w:rPr>
      </w:pPr>
      <w:r w:rsidRPr="00C65F5E">
        <w:rPr>
          <w:b/>
        </w:rPr>
        <w:t>Structure of the population aged</w:t>
      </w:r>
      <w:r w:rsidR="000B50A7" w:rsidRPr="00C65F5E">
        <w:rPr>
          <w:b/>
        </w:rPr>
        <w:t xml:space="preserve"> 15</w:t>
      </w:r>
      <w:r w:rsidRPr="00C65F5E">
        <w:rPr>
          <w:b/>
        </w:rPr>
        <w:t>+ years by</w:t>
      </w:r>
      <w:r w:rsidR="000B50A7" w:rsidRPr="00C65F5E">
        <w:rPr>
          <w:b/>
        </w:rPr>
        <w:t xml:space="preserve"> e</w:t>
      </w:r>
      <w:r w:rsidRPr="00C65F5E">
        <w:rPr>
          <w:b/>
        </w:rPr>
        <w:t>conomic</w:t>
      </w:r>
      <w:r w:rsidR="000B50A7" w:rsidRPr="00C65F5E">
        <w:rPr>
          <w:b/>
        </w:rPr>
        <w:t xml:space="preserve"> a</w:t>
      </w:r>
      <w:r w:rsidRPr="00C65F5E">
        <w:rPr>
          <w:b/>
        </w:rPr>
        <w:t>c</w:t>
      </w:r>
      <w:r w:rsidR="000B50A7" w:rsidRPr="00C65F5E">
        <w:rPr>
          <w:b/>
        </w:rPr>
        <w:t>tivity a</w:t>
      </w:r>
      <w:r w:rsidRPr="00C65F5E">
        <w:rPr>
          <w:b/>
        </w:rPr>
        <w:t>nd status in employment</w:t>
      </w:r>
      <w:r w:rsidR="000B50A7" w:rsidRPr="00C65F5E">
        <w:rPr>
          <w:b/>
        </w:rPr>
        <w:t xml:space="preserve"> </w:t>
      </w:r>
    </w:p>
    <w:p w14:paraId="768362C3" w14:textId="53592DE7" w:rsidR="00C35B18" w:rsidRPr="00C65F5E" w:rsidRDefault="007662B5" w:rsidP="000B50A7">
      <w:r>
        <w:rPr>
          <w:noProof/>
          <w:lang w:val="cs-CZ" w:eastAsia="cs-CZ"/>
        </w:rPr>
        <w:drawing>
          <wp:inline distT="0" distB="0" distL="0" distR="0" wp14:anchorId="1F42D2A2" wp14:editId="22A91AC9">
            <wp:extent cx="5398936" cy="3133725"/>
            <wp:effectExtent l="0" t="0" r="11430" b="9525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A2EBA1" w14:textId="4E3EE0BB" w:rsidR="00353585" w:rsidRDefault="00C35B18" w:rsidP="000B50A7">
      <w:r w:rsidRPr="00C65F5E">
        <w:t>As a consequence of application of new demographic weights after the 2021 Population and Housing Census, the population of the Czech Republic</w:t>
      </w:r>
      <w:r w:rsidR="00F6478F" w:rsidRPr="00C65F5E">
        <w:t xml:space="preserve"> statistically decreased, which </w:t>
      </w:r>
      <w:r w:rsidR="00125739" w:rsidRPr="00C65F5E">
        <w:t>had an impact on</w:t>
      </w:r>
      <w:r w:rsidR="00F6478F" w:rsidRPr="00C65F5E">
        <w:t xml:space="preserve"> all the subordinated indicators of the LFSS expressed in absolute numbe</w:t>
      </w:r>
      <w:r w:rsidR="00516311">
        <w:t xml:space="preserve">rs. </w:t>
      </w:r>
      <w:r w:rsidR="00353585" w:rsidRPr="00C65F5E">
        <w:t xml:space="preserve">The number of the employed decreased by 24.9 thousand, y-o-y (by 0.5%), </w:t>
      </w:r>
      <w:r w:rsidR="00FC4051" w:rsidRPr="00C65F5E">
        <w:t>the number of the unemployed dropped by 49.0 thousand, y-o-y, and the number of the economically inactive aged 15+ years decreased by 84.9 thousand.</w:t>
      </w:r>
    </w:p>
    <w:p w14:paraId="5D40476A" w14:textId="77777777" w:rsidR="0005579F" w:rsidRPr="00C65F5E" w:rsidRDefault="0005579F" w:rsidP="000B50A7">
      <w:bookmarkStart w:id="0" w:name="_GoBack"/>
      <w:bookmarkEnd w:id="0"/>
    </w:p>
    <w:p w14:paraId="3D3645FF" w14:textId="3E41797C" w:rsidR="00FC4051" w:rsidRDefault="00AE5318" w:rsidP="000B50A7">
      <w:r w:rsidRPr="00C65F5E">
        <w:lastRenderedPageBreak/>
        <w:t>These numbers encompass both the change in the weighting scheme of the sample survey and the real change in the economy.</w:t>
      </w:r>
      <w:r w:rsidR="003235AE" w:rsidRPr="00C65F5E">
        <w:t xml:space="preserve"> Therefore, in order to better understand the development on the labour market, data for the year 2021 have also been recalculated using this year’s weights</w:t>
      </w:r>
      <w:r w:rsidR="00645B86" w:rsidRPr="00C65F5E">
        <w:t xml:space="preserve">, i.e. to the corresponding size/structure of the population. In total, the number of the employed increased by 115.7 thousand, the number of the unemployed dropped by 43.7 thousand, and the number of </w:t>
      </w:r>
      <w:r w:rsidR="00C025D8">
        <w:t xml:space="preserve">the </w:t>
      </w:r>
      <w:r w:rsidR="00645B86" w:rsidRPr="00C65F5E">
        <w:t>economically inactive aged 15+ years decreased by 72.0 thousand persons, year-on-year.</w:t>
      </w:r>
      <w:r w:rsidR="00645B86">
        <w:t xml:space="preserve">   </w:t>
      </w:r>
    </w:p>
    <w:p w14:paraId="66281E8D" w14:textId="77777777" w:rsidR="00353585" w:rsidRDefault="00353585" w:rsidP="000B50A7">
      <w:pPr>
        <w:rPr>
          <w:lang w:val="cs-CZ"/>
        </w:rPr>
      </w:pPr>
    </w:p>
    <w:p w14:paraId="2C28FC0A" w14:textId="77777777" w:rsidR="00F92318" w:rsidRPr="00F92318" w:rsidRDefault="00F92318" w:rsidP="000B50A7">
      <w:r w:rsidRPr="00D9403D">
        <w:t>A considerable change in the economy was a decrease in the number of</w:t>
      </w:r>
      <w:r w:rsidR="00F7064C" w:rsidRPr="00D9403D">
        <w:t xml:space="preserve"> </w:t>
      </w:r>
      <w:r w:rsidR="00F7064C" w:rsidRPr="00FE0767">
        <w:t>entrepreneurs</w:t>
      </w:r>
      <w:r w:rsidRPr="00FE0767">
        <w:t xml:space="preserve"> </w:t>
      </w:r>
      <w:r w:rsidR="00F7064C" w:rsidRPr="00FE0767">
        <w:t>(the self-employed</w:t>
      </w:r>
      <w:r w:rsidRPr="00FE0767">
        <w:t xml:space="preserve">) by 23.2 thousand, which was </w:t>
      </w:r>
      <w:r w:rsidR="00606611" w:rsidRPr="00FE0767">
        <w:t>due to</w:t>
      </w:r>
      <w:r w:rsidR="00F7064C" w:rsidRPr="00FE0767">
        <w:t xml:space="preserve"> a decrease in the number of the self-e</w:t>
      </w:r>
      <w:r w:rsidR="00F7064C" w:rsidRPr="00D9403D">
        <w:t>mployed with employees (i.e. employers). The number of the self-employed without employees (own-account workers) as well as the number of contributing family members remained almost unchanged.</w:t>
      </w:r>
      <w:r w:rsidR="00F7064C">
        <w:t xml:space="preserve"> </w:t>
      </w:r>
      <w:r w:rsidRPr="00F92318">
        <w:t xml:space="preserve"> </w:t>
      </w:r>
    </w:p>
    <w:p w14:paraId="3B59C5ED" w14:textId="77777777" w:rsidR="00B3547C" w:rsidRDefault="00B3547C" w:rsidP="000B50A7">
      <w:pPr>
        <w:rPr>
          <w:lang w:val="cs-CZ"/>
        </w:rPr>
      </w:pPr>
    </w:p>
    <w:p w14:paraId="7E0AFB12" w14:textId="77777777" w:rsidR="00F435D2" w:rsidRPr="006E0F4D" w:rsidRDefault="00F435D2" w:rsidP="00F435D2">
      <w:r w:rsidRPr="006E0F4D">
        <w:t>In the breakdown by economic activity (sections of the CZ-NACE classification), the employment decreased in</w:t>
      </w:r>
      <w:r w:rsidR="00B3547C" w:rsidRPr="006E0F4D">
        <w:t xml:space="preserve"> </w:t>
      </w:r>
      <w:r w:rsidRPr="006E0F4D">
        <w:t>the secondary sector of industry and construction by 40.8 thousand.</w:t>
      </w:r>
      <w:r w:rsidR="003851CA" w:rsidRPr="006E0F4D">
        <w:t xml:space="preserve"> </w:t>
      </w:r>
      <w:r w:rsidR="003851CA" w:rsidRPr="006E0F4D">
        <w:rPr>
          <w:szCs w:val="20"/>
          <w:lang w:eastAsia="cs-CZ"/>
        </w:rPr>
        <w:t xml:space="preserve">Conversely, in the tertiary sector of services, the total employment increased by 21.7 thousand. </w:t>
      </w:r>
    </w:p>
    <w:p w14:paraId="1C70599A" w14:textId="7247EE39" w:rsidR="000B50A7" w:rsidRPr="006E0F4D" w:rsidRDefault="000B50A7" w:rsidP="000B50A7">
      <w:pPr>
        <w:pStyle w:val="Nadpis1"/>
        <w:rPr>
          <w:lang w:val="cs-CZ"/>
        </w:rPr>
      </w:pPr>
    </w:p>
    <w:p w14:paraId="1D2A2723" w14:textId="77777777" w:rsidR="00AB2D64" w:rsidRPr="006E0F4D" w:rsidRDefault="00AB2D64" w:rsidP="00AB2D64">
      <w:pPr>
        <w:rPr>
          <w:lang w:val="cs-CZ"/>
        </w:rPr>
      </w:pPr>
      <w:r w:rsidRPr="006E0F4D">
        <w:rPr>
          <w:b/>
        </w:rPr>
        <w:t>Registered number of employees expressed as full-time equivalent employees</w:t>
      </w:r>
    </w:p>
    <w:p w14:paraId="752C3A69" w14:textId="77777777" w:rsidR="000B50A7" w:rsidRPr="006E0F4D" w:rsidRDefault="00BA7435" w:rsidP="007C6D8E">
      <w:r w:rsidRPr="006E0F4D">
        <w:t>Preliminary data of the</w:t>
      </w:r>
      <w:r w:rsidR="00335C7D" w:rsidRPr="006E0F4D">
        <w:t xml:space="preserve"> Czech Statistical Office's</w:t>
      </w:r>
      <w:r w:rsidRPr="006E0F4D">
        <w:t xml:space="preserve"> </w:t>
      </w:r>
      <w:r w:rsidR="00335C7D" w:rsidRPr="006E0F4D">
        <w:t>(</w:t>
      </w:r>
      <w:r w:rsidRPr="006E0F4D">
        <w:t>CZSO's</w:t>
      </w:r>
      <w:r w:rsidR="00335C7D" w:rsidRPr="006E0F4D">
        <w:t>)</w:t>
      </w:r>
      <w:r w:rsidRPr="006E0F4D">
        <w:t xml:space="preserve"> business statistics</w:t>
      </w:r>
      <w:r w:rsidR="00421A10" w:rsidRPr="006E0F4D">
        <w:t xml:space="preserve"> confirmed that even the last wave of the coronavirus infection did not prevent the labour market from the ongoing re</w:t>
      </w:r>
      <w:r w:rsidR="00335C7D" w:rsidRPr="006E0F4D">
        <w:t>covery</w:t>
      </w:r>
      <w:r w:rsidR="00421A10" w:rsidRPr="006E0F4D">
        <w:t>.</w:t>
      </w:r>
      <w:r w:rsidR="004D4C20" w:rsidRPr="006E0F4D">
        <w:t xml:space="preserve"> It is apparent from its results that there was an increase </w:t>
      </w:r>
      <w:r w:rsidRPr="006E0F4D">
        <w:t xml:space="preserve">in the registered number of employees. </w:t>
      </w:r>
      <w:r w:rsidR="004D4C20" w:rsidRPr="006E0F4D">
        <w:t>In the Q1 2022</w:t>
      </w:r>
      <w:r w:rsidRPr="006E0F4D">
        <w:t xml:space="preserve">, </w:t>
      </w:r>
      <w:r w:rsidR="004D4C20" w:rsidRPr="006E0F4D">
        <w:t>compared to the</w:t>
      </w:r>
      <w:r w:rsidRPr="006E0F4D">
        <w:t xml:space="preserve"> corresponding period of the previous year, there were</w:t>
      </w:r>
      <w:r w:rsidR="00BF4B92" w:rsidRPr="006E0F4D">
        <w:t xml:space="preserve"> by 44.7 </w:t>
      </w:r>
      <w:r w:rsidRPr="006E0F4D">
        <w:t xml:space="preserve">thousand employees </w:t>
      </w:r>
      <w:r w:rsidR="00BF4B92" w:rsidRPr="006E0F4D">
        <w:t>more</w:t>
      </w:r>
      <w:r w:rsidRPr="006E0F4D">
        <w:t xml:space="preserve"> in full-time equivalent</w:t>
      </w:r>
      <w:r w:rsidR="00BF4B92" w:rsidRPr="006E0F4D">
        <w:t xml:space="preserve"> (FTE), which is a relative in</w:t>
      </w:r>
      <w:r w:rsidRPr="006E0F4D">
        <w:t>crease by 1.</w:t>
      </w:r>
      <w:r w:rsidR="00BF4B92" w:rsidRPr="006E0F4D">
        <w:t>1%. T</w:t>
      </w:r>
      <w:r w:rsidRPr="006E0F4D">
        <w:t>he registered number of employees remained</w:t>
      </w:r>
      <w:r w:rsidR="00BF4B92" w:rsidRPr="006E0F4D">
        <w:t xml:space="preserve"> closely</w:t>
      </w:r>
      <w:r w:rsidRPr="006E0F4D">
        <w:t xml:space="preserve"> below the level of 4 million </w:t>
      </w:r>
      <w:r w:rsidR="00BF4B92" w:rsidRPr="006E0F4D">
        <w:t>(3 994</w:t>
      </w:r>
      <w:r w:rsidRPr="006E0F4D">
        <w:t>.</w:t>
      </w:r>
      <w:r w:rsidR="00BF4B92" w:rsidRPr="006E0F4D">
        <w:t>4</w:t>
      </w:r>
      <w:r w:rsidRPr="006E0F4D">
        <w:t xml:space="preserve"> thousand)</w:t>
      </w:r>
      <w:r w:rsidR="00BF4B92" w:rsidRPr="006E0F4D">
        <w:t>; it used to be</w:t>
      </w:r>
      <w:r w:rsidRPr="006E0F4D">
        <w:t xml:space="preserve"> above that level</w:t>
      </w:r>
      <w:r w:rsidR="00BF4B92" w:rsidRPr="006E0F4D">
        <w:t xml:space="preserve"> before the coronavirus crisis </w:t>
      </w:r>
      <w:r w:rsidRPr="006E0F4D">
        <w:t>f</w:t>
      </w:r>
      <w:r w:rsidR="007C6D8E" w:rsidRPr="006E0F4D">
        <w:t>rom the Q2 2017 to the Q1 2020.</w:t>
      </w:r>
    </w:p>
    <w:p w14:paraId="3CC9C009" w14:textId="77777777" w:rsidR="00BA7435" w:rsidRPr="006E0F4D" w:rsidRDefault="00BA7435" w:rsidP="00BA7435">
      <w:pPr>
        <w:rPr>
          <w:lang w:val="cs-CZ"/>
        </w:rPr>
      </w:pPr>
    </w:p>
    <w:p w14:paraId="22D8F6B5" w14:textId="56F33852" w:rsidR="006560ED" w:rsidRPr="006E0F4D" w:rsidRDefault="006560ED" w:rsidP="00BA7435">
      <w:r w:rsidRPr="006E0F4D">
        <w:t>However, a</w:t>
      </w:r>
      <w:r w:rsidR="00BA7435" w:rsidRPr="006E0F4D">
        <w:t xml:space="preserve">s for individual industries (economic activities), the situation was </w:t>
      </w:r>
      <w:r w:rsidR="008738EE" w:rsidRPr="006E0F4D">
        <w:t>heterogeneous</w:t>
      </w:r>
      <w:r w:rsidRPr="006E0F4D">
        <w:t>.</w:t>
      </w:r>
      <w:r w:rsidR="007C6D8E" w:rsidRPr="006E0F4D">
        <w:t xml:space="preserve"> In seven economic activities (sections of the CZ-NACE classification) the number of employees dropped, they decreased in number by 13.9 thousand. In the remaining twelve sections, </w:t>
      </w:r>
      <w:r w:rsidR="001B2CB7">
        <w:t xml:space="preserve">the number of </w:t>
      </w:r>
      <w:proofErr w:type="spellStart"/>
      <w:r w:rsidR="001B2CB7">
        <w:t>emplyoees</w:t>
      </w:r>
      <w:proofErr w:type="spellEnd"/>
      <w:r w:rsidR="007C6D8E" w:rsidRPr="006E0F4D">
        <w:t xml:space="preserve"> increased by 58.4 thousand. Relative increments or decrements in individual </w:t>
      </w:r>
      <w:r w:rsidR="008146C6" w:rsidRPr="006E0F4D">
        <w:t>sections of the CZ-NACE</w:t>
      </w:r>
      <w:r w:rsidR="007C6D8E" w:rsidRPr="006E0F4D">
        <w:t xml:space="preserve"> ranged from </w:t>
      </w:r>
      <w:r w:rsidR="007C6D8E" w:rsidRPr="006E0F4D">
        <w:rPr>
          <w:lang w:val="cs-CZ"/>
        </w:rPr>
        <w:t>-10.4% to 4.5%.</w:t>
      </w:r>
      <w:r w:rsidR="007C6D8E" w:rsidRPr="006E0F4D">
        <w:t xml:space="preserve">     </w:t>
      </w:r>
      <w:r w:rsidRPr="006E0F4D">
        <w:t xml:space="preserve"> </w:t>
      </w:r>
    </w:p>
    <w:p w14:paraId="787D44A2" w14:textId="77777777" w:rsidR="000E429B" w:rsidRPr="006E0F4D" w:rsidRDefault="000E429B" w:rsidP="00423384"/>
    <w:p w14:paraId="78BEF49B" w14:textId="734B92FA" w:rsidR="00E344F5" w:rsidRPr="006E0F4D" w:rsidRDefault="000E429B" w:rsidP="00403EBD">
      <w:r w:rsidRPr="006E0F4D">
        <w:t xml:space="preserve">Relatively </w:t>
      </w:r>
      <w:r w:rsidR="00147AA0">
        <w:t xml:space="preserve">the </w:t>
      </w:r>
      <w:r w:rsidRPr="006E0F4D">
        <w:t xml:space="preserve">most important increase (by 4.5%) can be found in </w:t>
      </w:r>
      <w:r w:rsidRPr="006E0F4D">
        <w:rPr>
          <w:szCs w:val="20"/>
          <w:lang w:eastAsia="cs-CZ"/>
        </w:rPr>
        <w:t>‘</w:t>
      </w:r>
      <w:r w:rsidRPr="006E0F4D">
        <w:rPr>
          <w:lang w:eastAsia="cs-CZ"/>
        </w:rPr>
        <w:t xml:space="preserve">information and communication,’ in which there was an increase by 5.7 thousand jobs. It was followed by </w:t>
      </w:r>
      <w:r w:rsidRPr="006E0F4D">
        <w:t>‘accommodation and food service activities,’ in which the number of employees</w:t>
      </w:r>
      <w:r w:rsidR="00C53202" w:rsidRPr="006E0F4D">
        <w:t>,</w:t>
      </w:r>
      <w:r w:rsidRPr="006E0F4D">
        <w:t xml:space="preserve"> after </w:t>
      </w:r>
      <w:r w:rsidR="00C53202" w:rsidRPr="006E0F4D">
        <w:t>slumps</w:t>
      </w:r>
      <w:r w:rsidRPr="006E0F4D">
        <w:t xml:space="preserve"> in pre</w:t>
      </w:r>
      <w:r w:rsidR="00C53202" w:rsidRPr="006E0F4D">
        <w:t>ceding</w:t>
      </w:r>
      <w:r w:rsidRPr="006E0F4D">
        <w:t xml:space="preserve"> years</w:t>
      </w:r>
      <w:r w:rsidR="00C53202" w:rsidRPr="006E0F4D">
        <w:t>,</w:t>
      </w:r>
      <w:r w:rsidRPr="006E0F4D">
        <w:t xml:space="preserve"> i</w:t>
      </w:r>
      <w:r w:rsidR="00B84F91">
        <w:t>ncreased by 3.8% (3.8 thousand)</w:t>
      </w:r>
      <w:r w:rsidRPr="006E0F4D">
        <w:t xml:space="preserve"> and</w:t>
      </w:r>
      <w:r w:rsidR="00C53202" w:rsidRPr="006E0F4D">
        <w:t xml:space="preserve"> by ‘real estate activities’ (3.7%; 1.6 thousand). In absolute numbers, the biggest increase in the number of employees was in ‘wholesale and retail trade; repair of</w:t>
      </w:r>
      <w:r w:rsidR="00382A70" w:rsidRPr="006E0F4D">
        <w:t xml:space="preserve"> motor vehicles and motorcycles</w:t>
      </w:r>
      <w:r w:rsidR="00C53202" w:rsidRPr="006E0F4D">
        <w:rPr>
          <w:lang w:eastAsia="cs-CZ"/>
        </w:rPr>
        <w:t>’</w:t>
      </w:r>
      <w:r w:rsidR="00382A70" w:rsidRPr="006E0F4D">
        <w:rPr>
          <w:lang w:eastAsia="cs-CZ"/>
        </w:rPr>
        <w:t xml:space="preserve"> (by 11.6 thousand), which was an increase by 2.3%. </w:t>
      </w:r>
      <w:r w:rsidR="005950AB" w:rsidRPr="006E0F4D">
        <w:rPr>
          <w:lang w:eastAsia="cs-CZ"/>
        </w:rPr>
        <w:t xml:space="preserve">A significant growth was also in </w:t>
      </w:r>
      <w:r w:rsidR="005950AB" w:rsidRPr="006E0F4D">
        <w:rPr>
          <w:szCs w:val="20"/>
          <w:lang w:eastAsia="cs-CZ"/>
        </w:rPr>
        <w:t>‘human health and social work activities’</w:t>
      </w:r>
      <w:r w:rsidR="00E37F4F" w:rsidRPr="006E0F4D">
        <w:rPr>
          <w:szCs w:val="20"/>
          <w:lang w:eastAsia="cs-CZ"/>
        </w:rPr>
        <w:t xml:space="preserve"> by 8.7 thousand (2.8%) and in </w:t>
      </w:r>
      <w:r w:rsidR="00E37F4F" w:rsidRPr="006E0F4D">
        <w:t xml:space="preserve">‘education’ by 8.2 thousand (2.6%).  </w:t>
      </w:r>
      <w:r w:rsidR="00E37F4F" w:rsidRPr="006E0F4D">
        <w:rPr>
          <w:szCs w:val="20"/>
          <w:lang w:eastAsia="cs-CZ"/>
        </w:rPr>
        <w:t xml:space="preserve"> </w:t>
      </w:r>
      <w:r w:rsidR="005950AB" w:rsidRPr="006E0F4D">
        <w:rPr>
          <w:szCs w:val="20"/>
          <w:lang w:eastAsia="cs-CZ"/>
        </w:rPr>
        <w:t xml:space="preserve"> </w:t>
      </w:r>
      <w:r w:rsidR="00C53202" w:rsidRPr="006E0F4D">
        <w:t xml:space="preserve">  </w:t>
      </w:r>
      <w:r w:rsidRPr="006E0F4D">
        <w:t xml:space="preserve"> </w:t>
      </w:r>
      <w:r w:rsidRPr="006E0F4D">
        <w:rPr>
          <w:lang w:eastAsia="cs-CZ"/>
        </w:rPr>
        <w:t xml:space="preserve">  </w:t>
      </w:r>
    </w:p>
    <w:p w14:paraId="50BAE4F4" w14:textId="77777777" w:rsidR="00403EBD" w:rsidRPr="006E0F4D" w:rsidRDefault="00403EBD" w:rsidP="009B76A1">
      <w:pPr>
        <w:shd w:val="clear" w:color="auto" w:fill="FFFFFF"/>
        <w:spacing w:line="240" w:lineRule="auto"/>
      </w:pPr>
    </w:p>
    <w:p w14:paraId="7B8C477C" w14:textId="6D085B3F" w:rsidR="000B50A7" w:rsidRPr="00D9403D" w:rsidRDefault="00E344F5" w:rsidP="00112896">
      <w:r w:rsidRPr="006E0F4D">
        <w:t>In the opposite direction, there was a huge relative decrease in ‘mining and quarrying’ (by 10.4%), which</w:t>
      </w:r>
      <w:r w:rsidR="00F25DC6" w:rsidRPr="006E0F4D">
        <w:t>, when expressed in absolute numbers,</w:t>
      </w:r>
      <w:r w:rsidRPr="006E0F4D">
        <w:t xml:space="preserve"> means a </w:t>
      </w:r>
      <w:r w:rsidR="00210AFB" w:rsidRPr="006E0F4D">
        <w:t>couple of</w:t>
      </w:r>
      <w:r w:rsidRPr="006E0F4D">
        <w:t xml:space="preserve"> thousand</w:t>
      </w:r>
      <w:r w:rsidR="00210AFB" w:rsidRPr="006E0F4D">
        <w:t>s</w:t>
      </w:r>
      <w:r w:rsidRPr="006E0F4D">
        <w:t xml:space="preserve"> of jobs </w:t>
      </w:r>
      <w:r w:rsidR="00210AFB" w:rsidRPr="00D9403D">
        <w:lastRenderedPageBreak/>
        <w:t xml:space="preserve">(2.1 thousand). </w:t>
      </w:r>
      <w:r w:rsidR="003A4007" w:rsidRPr="00D9403D">
        <w:t xml:space="preserve">This economic activity has been undergoing a phase-out for a </w:t>
      </w:r>
      <w:r w:rsidR="003A4007" w:rsidRPr="002F29BF">
        <w:t>long-term, only a fraction of employees are still remaining there (18.</w:t>
      </w:r>
      <w:r w:rsidR="000B50A7" w:rsidRPr="002F29BF">
        <w:t>2</w:t>
      </w:r>
      <w:r w:rsidR="003A4007" w:rsidRPr="002F29BF">
        <w:t> thousand</w:t>
      </w:r>
      <w:r w:rsidR="000B50A7" w:rsidRPr="002F29BF">
        <w:t xml:space="preserve">), </w:t>
      </w:r>
      <w:r w:rsidR="003A4007" w:rsidRPr="002F29BF">
        <w:t xml:space="preserve">and those are often </w:t>
      </w:r>
      <w:r w:rsidR="008A2C53" w:rsidRPr="002F29BF">
        <w:t>changing over to work for o</w:t>
      </w:r>
      <w:r w:rsidR="003A4007" w:rsidRPr="002F29BF">
        <w:t>ther businesses (entities) classified to another economic activit</w:t>
      </w:r>
      <w:r w:rsidR="003A4007" w:rsidRPr="00D9403D">
        <w:t xml:space="preserve">y. </w:t>
      </w:r>
      <w:r w:rsidR="00BF6164" w:rsidRPr="00D9403D">
        <w:t xml:space="preserve">In </w:t>
      </w:r>
      <w:r w:rsidR="00BF6164" w:rsidRPr="00D9403D">
        <w:rPr>
          <w:lang w:eastAsia="cs-CZ"/>
        </w:rPr>
        <w:t>‘administrative and support service activities,</w:t>
      </w:r>
      <w:r w:rsidR="00BF6164" w:rsidRPr="00D9403D">
        <w:rPr>
          <w:szCs w:val="20"/>
          <w:lang w:eastAsia="cs-CZ"/>
        </w:rPr>
        <w:t>’</w:t>
      </w:r>
      <w:r w:rsidR="000B50A7" w:rsidRPr="00D9403D">
        <w:t xml:space="preserve"> </w:t>
      </w:r>
      <w:r w:rsidR="005C1E51" w:rsidRPr="00D9403D">
        <w:rPr>
          <w:lang w:eastAsia="cs-CZ"/>
        </w:rPr>
        <w:t>the number of FTE employees decreased by</w:t>
      </w:r>
      <w:r w:rsidR="005C1E51" w:rsidRPr="00D9403D">
        <w:t xml:space="preserve"> </w:t>
      </w:r>
      <w:r w:rsidR="000B50A7" w:rsidRPr="00D9403D">
        <w:t>8</w:t>
      </w:r>
      <w:r w:rsidR="005C1E51" w:rsidRPr="00D9403D">
        <w:t>.</w:t>
      </w:r>
      <w:r w:rsidR="000B50A7" w:rsidRPr="00D9403D">
        <w:t>4</w:t>
      </w:r>
      <w:r w:rsidR="005C1E51" w:rsidRPr="00D9403D">
        <w:t> thousand, i.e. by 4.7</w:t>
      </w:r>
      <w:r w:rsidR="000B50A7" w:rsidRPr="00D9403D">
        <w:t>%,</w:t>
      </w:r>
      <w:r w:rsidR="005C1E51" w:rsidRPr="00D9403D">
        <w:t xml:space="preserve"> to the amount of </w:t>
      </w:r>
      <w:r w:rsidR="000B50A7" w:rsidRPr="00D9403D">
        <w:t>170</w:t>
      </w:r>
      <w:r w:rsidR="005C1E51" w:rsidRPr="00D9403D">
        <w:t>.</w:t>
      </w:r>
      <w:r w:rsidR="000B50A7" w:rsidRPr="00D9403D">
        <w:t>3</w:t>
      </w:r>
      <w:r w:rsidR="005C1E51" w:rsidRPr="00D9403D">
        <w:t> thousand.</w:t>
      </w:r>
      <w:r w:rsidR="000B50A7" w:rsidRPr="00D9403D">
        <w:t xml:space="preserve"> </w:t>
      </w:r>
      <w:r w:rsidR="005C1E51" w:rsidRPr="00D9403D">
        <w:t>A</w:t>
      </w:r>
      <w:r w:rsidR="005C1E51" w:rsidRPr="00D9403D">
        <w:rPr>
          <w:szCs w:val="20"/>
          <w:lang w:eastAsia="cs-CZ"/>
        </w:rPr>
        <w:t xml:space="preserve">gency workers belong there, too </w:t>
      </w:r>
      <w:r w:rsidR="005C1E51" w:rsidRPr="00D9403D">
        <w:rPr>
          <w:rFonts w:cs="Arial"/>
          <w:color w:val="000000" w:themeColor="text1"/>
          <w:szCs w:val="20"/>
        </w:rPr>
        <w:t>–</w:t>
      </w:r>
      <w:r w:rsidR="000B50A7" w:rsidRPr="00D9403D">
        <w:t xml:space="preserve"> </w:t>
      </w:r>
      <w:r w:rsidR="009B76A1" w:rsidRPr="00D9403D">
        <w:t>this group responds the most markedly to economic fluctuations and therefore it is a good barometer of changes on the labour market</w:t>
      </w:r>
      <w:r w:rsidR="000B50A7" w:rsidRPr="00D9403D">
        <w:t>.</w:t>
      </w:r>
      <w:r w:rsidR="003A4007" w:rsidRPr="00D9403D">
        <w:t xml:space="preserve"> The third decrease, which was the biggest as for the number, occurred in</w:t>
      </w:r>
      <w:r w:rsidR="003A4007" w:rsidRPr="00D9403D">
        <w:rPr>
          <w:szCs w:val="20"/>
          <w:lang w:eastAsia="cs-CZ"/>
        </w:rPr>
        <w:t xml:space="preserve"> </w:t>
      </w:r>
      <w:r w:rsidR="003A4007" w:rsidRPr="00D9403D">
        <w:t>‘public administration and defence; compulsory social security,’ in which</w:t>
      </w:r>
      <w:r w:rsidR="00505F8F" w:rsidRPr="00D9403D">
        <w:t xml:space="preserve"> </w:t>
      </w:r>
      <w:r w:rsidR="00505F8F" w:rsidRPr="00D9403D">
        <w:rPr>
          <w:lang w:eastAsia="cs-CZ"/>
        </w:rPr>
        <w:t>the number of FTE employees</w:t>
      </w:r>
      <w:r w:rsidR="00505F8F">
        <w:rPr>
          <w:lang w:eastAsia="cs-CZ"/>
        </w:rPr>
        <w:t xml:space="preserve"> </w:t>
      </w:r>
      <w:r w:rsidR="00505F8F" w:rsidRPr="00123A76">
        <w:rPr>
          <w:lang w:eastAsia="cs-CZ"/>
        </w:rPr>
        <w:t xml:space="preserve">decreased by </w:t>
      </w:r>
      <w:r w:rsidR="00505F8F" w:rsidRPr="00123A76">
        <w:t xml:space="preserve">1.6 thousand, year-on-year, which </w:t>
      </w:r>
      <w:r w:rsidR="00505F8F" w:rsidRPr="00CD3FB6">
        <w:t xml:space="preserve">is a decrease by 0.6%. Other decreases, </w:t>
      </w:r>
      <w:r w:rsidR="00505F8F" w:rsidRPr="006F0DE5">
        <w:t>which are lower when expressed as an absolute number</w:t>
      </w:r>
      <w:r w:rsidR="00CD3FB6" w:rsidRPr="006F0DE5">
        <w:t>,</w:t>
      </w:r>
      <w:r w:rsidR="00505F8F" w:rsidRPr="006F0DE5">
        <w:t xml:space="preserve"> yet higher </w:t>
      </w:r>
      <w:r w:rsidR="00CD3FB6" w:rsidRPr="006F0DE5">
        <w:t>when expressed relatively</w:t>
      </w:r>
      <w:r w:rsidR="00505F8F" w:rsidRPr="006F0DE5">
        <w:t>, c</w:t>
      </w:r>
      <w:r w:rsidR="00505F8F" w:rsidRPr="00123A76">
        <w:t xml:space="preserve">an </w:t>
      </w:r>
      <w:r w:rsidR="00505F8F" w:rsidRPr="00D9403D">
        <w:t>be found in ‘arts, entertainment and recreation’</w:t>
      </w:r>
      <w:r w:rsidR="00112896" w:rsidRPr="00D9403D">
        <w:t xml:space="preserve"> (0.</w:t>
      </w:r>
      <w:r w:rsidR="000B50A7" w:rsidRPr="00D9403D">
        <w:t>9</w:t>
      </w:r>
      <w:r w:rsidR="00112896" w:rsidRPr="00D9403D">
        <w:t> thousand; 1.</w:t>
      </w:r>
      <w:r w:rsidR="000B50A7" w:rsidRPr="00D9403D">
        <w:t>7%) a</w:t>
      </w:r>
      <w:r w:rsidR="00112896" w:rsidRPr="00D9403D">
        <w:t>nd in ‘</w:t>
      </w:r>
      <w:r w:rsidR="00CE15BA" w:rsidRPr="00D9403D">
        <w:t>electricity, gas, steam and air conditioning supply’ (0.</w:t>
      </w:r>
      <w:r w:rsidR="000B50A7" w:rsidRPr="00D9403D">
        <w:t>4</w:t>
      </w:r>
      <w:r w:rsidR="00CE15BA" w:rsidRPr="00D9403D">
        <w:t> thousand; 1.1</w:t>
      </w:r>
      <w:r w:rsidR="000B50A7" w:rsidRPr="00D9403D">
        <w:t>%).</w:t>
      </w:r>
      <w:r w:rsidR="00CE15BA" w:rsidRPr="00D9403D">
        <w:t xml:space="preserve"> </w:t>
      </w:r>
      <w:r w:rsidR="001919DC" w:rsidRPr="00D9403D">
        <w:t>Small decreases also occurred in ‘agriculture, forestry and fishing,</w:t>
      </w:r>
      <w:r w:rsidR="001919DC" w:rsidRPr="00D9403D">
        <w:rPr>
          <w:szCs w:val="20"/>
          <w:lang w:eastAsia="cs-CZ"/>
        </w:rPr>
        <w:t>’</w:t>
      </w:r>
      <w:r w:rsidR="001919DC" w:rsidRPr="00D9403D">
        <w:t xml:space="preserve"> (0.</w:t>
      </w:r>
      <w:r w:rsidR="000B50A7" w:rsidRPr="00D9403D">
        <w:t>4</w:t>
      </w:r>
      <w:r w:rsidR="001919DC" w:rsidRPr="00D9403D">
        <w:t> thousand; 0.</w:t>
      </w:r>
      <w:r w:rsidR="000B50A7" w:rsidRPr="00D9403D">
        <w:t>4%) a</w:t>
      </w:r>
      <w:r w:rsidR="001919DC" w:rsidRPr="00D9403D">
        <w:t>nd in ‘fin</w:t>
      </w:r>
      <w:r w:rsidR="00926DFB">
        <w:t>ancial and insurance activities</w:t>
      </w:r>
      <w:r w:rsidR="001919DC" w:rsidRPr="00D9403D">
        <w:t>’ (0.</w:t>
      </w:r>
      <w:r w:rsidR="000B50A7" w:rsidRPr="00D9403D">
        <w:t>1</w:t>
      </w:r>
      <w:r w:rsidR="001919DC" w:rsidRPr="00D9403D">
        <w:t> thousand; 0.</w:t>
      </w:r>
      <w:r w:rsidR="000B50A7" w:rsidRPr="00D9403D">
        <w:t>1%).</w:t>
      </w:r>
    </w:p>
    <w:p w14:paraId="5BD11F23" w14:textId="2D420C49" w:rsidR="00CD520C" w:rsidRDefault="00CD520C" w:rsidP="00CD520C">
      <w:pPr>
        <w:rPr>
          <w:lang w:val="cs-CZ"/>
        </w:rPr>
      </w:pPr>
    </w:p>
    <w:p w14:paraId="597DEE43" w14:textId="7D06DC64" w:rsidR="0049762C" w:rsidRPr="007751D5" w:rsidRDefault="00CD520C" w:rsidP="00D72972">
      <w:r w:rsidRPr="007751D5">
        <w:t>‘</w:t>
      </w:r>
      <w:r w:rsidR="007D1AB6" w:rsidRPr="007751D5">
        <w:t>M</w:t>
      </w:r>
      <w:r w:rsidR="006F0DE5">
        <w:t>anufacturing</w:t>
      </w:r>
      <w:r w:rsidRPr="007751D5">
        <w:t>’</w:t>
      </w:r>
      <w:r w:rsidR="007D1AB6" w:rsidRPr="007751D5">
        <w:t xml:space="preserve"> still was the biggest </w:t>
      </w:r>
      <w:r w:rsidRPr="007751D5">
        <w:t>section</w:t>
      </w:r>
      <w:r w:rsidR="00EA5FA1" w:rsidRPr="007751D5">
        <w:t xml:space="preserve"> while employing</w:t>
      </w:r>
      <w:r w:rsidR="007D1AB6" w:rsidRPr="007751D5">
        <w:t xml:space="preserve"> 1 095.3 thousand employees</w:t>
      </w:r>
      <w:r w:rsidR="00EA5FA1" w:rsidRPr="007751D5">
        <w:t xml:space="preserve">; year-on-year, their number increased by 7.1 thousand (by 0.7% in relative terms). </w:t>
      </w:r>
      <w:r w:rsidRPr="007751D5">
        <w:t xml:space="preserve">Table 1 from the News Release on average wages </w:t>
      </w:r>
      <w:r w:rsidR="0049762C" w:rsidRPr="007751D5">
        <w:t xml:space="preserve">also includes </w:t>
      </w:r>
      <w:r w:rsidRPr="007751D5">
        <w:t>CZ-NACE divisions of this section</w:t>
      </w:r>
      <w:r w:rsidR="00225392" w:rsidRPr="007751D5">
        <w:t>, which are the biggest as for the number of employees. In those divisions, we can find a decrease in the number of employees mainly in</w:t>
      </w:r>
      <w:r w:rsidR="00A839AB" w:rsidRPr="007751D5">
        <w:t xml:space="preserve"> ‘manufacture of motor vehicles, trailers and semi-trailers’</w:t>
      </w:r>
      <w:r w:rsidR="00EC5849" w:rsidRPr="007751D5">
        <w:t xml:space="preserve"> (3.9 thousand; 2.3%). On the other hand,</w:t>
      </w:r>
      <w:r w:rsidR="00B90E3D" w:rsidRPr="007751D5">
        <w:t xml:space="preserve"> </w:t>
      </w:r>
      <w:r w:rsidR="00252495" w:rsidRPr="007751D5">
        <w:t>‘</w:t>
      </w:r>
      <w:r w:rsidR="00B90E3D" w:rsidRPr="007751D5">
        <w:t xml:space="preserve">manufacture of electrical equipment’ significantly strengthened (2.8 thousand; 3.0%). </w:t>
      </w:r>
      <w:r w:rsidR="00EC5849" w:rsidRPr="007751D5">
        <w:t xml:space="preserve"> </w:t>
      </w:r>
      <w:r w:rsidR="00A839AB" w:rsidRPr="007751D5">
        <w:t xml:space="preserve"> </w:t>
      </w:r>
      <w:r w:rsidR="00225392" w:rsidRPr="007751D5">
        <w:t xml:space="preserve">  </w:t>
      </w:r>
      <w:r w:rsidRPr="007751D5">
        <w:t xml:space="preserve"> </w:t>
      </w:r>
    </w:p>
    <w:p w14:paraId="1A7CB2BF" w14:textId="77777777" w:rsidR="0049762C" w:rsidRPr="007751D5" w:rsidRDefault="0049762C" w:rsidP="00CD520C"/>
    <w:p w14:paraId="77DC590D" w14:textId="77777777" w:rsidR="000B50A7" w:rsidRPr="007751D5" w:rsidRDefault="006F1DBD" w:rsidP="000B50A7">
      <w:pPr>
        <w:pStyle w:val="Nadpis1"/>
      </w:pPr>
      <w:r w:rsidRPr="007751D5">
        <w:t>Average gross monthly wages</w:t>
      </w:r>
    </w:p>
    <w:p w14:paraId="5B513F4F" w14:textId="77777777" w:rsidR="00C06C0C" w:rsidRPr="007751D5" w:rsidRDefault="007D03FD" w:rsidP="000B50A7">
      <w:pPr>
        <w:rPr>
          <w:szCs w:val="20"/>
        </w:rPr>
      </w:pPr>
      <w:r w:rsidRPr="007751D5">
        <w:t xml:space="preserve">The average wage </w:t>
      </w:r>
      <w:r w:rsidRPr="007751D5">
        <w:rPr>
          <w:szCs w:val="20"/>
          <w:lang w:eastAsia="cs-CZ"/>
        </w:rPr>
        <w:t>(CZK </w:t>
      </w:r>
      <w:r w:rsidRPr="007751D5">
        <w:rPr>
          <w:noProof/>
          <w:szCs w:val="20"/>
          <w:lang w:eastAsia="cs-CZ"/>
        </w:rPr>
        <w:t>37 929</w:t>
      </w:r>
      <w:r w:rsidRPr="007751D5">
        <w:rPr>
          <w:szCs w:val="20"/>
          <w:lang w:eastAsia="cs-CZ"/>
        </w:rPr>
        <w:t xml:space="preserve">) increased nominally </w:t>
      </w:r>
      <w:r w:rsidRPr="007751D5">
        <w:rPr>
          <w:szCs w:val="20"/>
        </w:rPr>
        <w:t xml:space="preserve">by CZK 2 533 </w:t>
      </w:r>
      <w:r w:rsidRPr="007751D5">
        <w:rPr>
          <w:szCs w:val="20"/>
          <w:lang w:eastAsia="cs-CZ"/>
        </w:rPr>
        <w:t>in the Q1</w:t>
      </w:r>
      <w:r w:rsidRPr="007751D5">
        <w:rPr>
          <w:szCs w:val="20"/>
        </w:rPr>
        <w:t> 2022, compared to the corresponding period of 2021, i.e. by 7.2%. It is an average of a very diverse development on the level of individual economic activities, enterprises, or organisations.</w:t>
      </w:r>
    </w:p>
    <w:p w14:paraId="56F68FA4" w14:textId="77777777" w:rsidR="007D03FD" w:rsidRPr="007751D5" w:rsidRDefault="007D03FD" w:rsidP="000B50A7">
      <w:pPr>
        <w:rPr>
          <w:noProof/>
          <w:lang w:eastAsia="cs-CZ"/>
        </w:rPr>
      </w:pPr>
    </w:p>
    <w:p w14:paraId="4BF16D87" w14:textId="1208A087" w:rsidR="008D0C77" w:rsidRPr="007751D5" w:rsidRDefault="00C944DE" w:rsidP="00C944DE">
      <w:pPr>
        <w:rPr>
          <w:noProof/>
          <w:lang w:eastAsia="cs-CZ"/>
        </w:rPr>
      </w:pPr>
      <w:r w:rsidRPr="007751D5">
        <w:rPr>
          <w:lang w:eastAsia="cs-CZ"/>
        </w:rPr>
        <w:t xml:space="preserve">Expressed in real terms, however, it was a wage decrease by 3.6%; therefore, employees could buy for the average wage less goods or services than a year before. </w:t>
      </w:r>
      <w:r w:rsidRPr="007751D5">
        <w:rPr>
          <w:noProof/>
          <w:lang w:eastAsia="cs-CZ"/>
        </w:rPr>
        <w:t>Real wage growth depends on</w:t>
      </w:r>
      <w:r w:rsidR="009C61E4">
        <w:rPr>
          <w:noProof/>
          <w:lang w:eastAsia="cs-CZ"/>
        </w:rPr>
        <w:t xml:space="preserve"> the</w:t>
      </w:r>
      <w:r w:rsidRPr="007751D5">
        <w:rPr>
          <w:noProof/>
          <w:lang w:eastAsia="cs-CZ"/>
        </w:rPr>
        <w:t xml:space="preserve"> inflation, i.e. on the growth of consumer prices. That </w:t>
      </w:r>
      <w:r w:rsidR="008D0C77" w:rsidRPr="007751D5">
        <w:rPr>
          <w:noProof/>
          <w:lang w:eastAsia="cs-CZ"/>
        </w:rPr>
        <w:t>substantially increased in the Q1 2022 to 11</w:t>
      </w:r>
      <w:r w:rsidRPr="007751D5">
        <w:rPr>
          <w:noProof/>
          <w:lang w:eastAsia="cs-CZ"/>
        </w:rPr>
        <w:t>.2%</w:t>
      </w:r>
      <w:r w:rsidR="008D0C77" w:rsidRPr="007751D5">
        <w:rPr>
          <w:noProof/>
          <w:lang w:eastAsia="cs-CZ"/>
        </w:rPr>
        <w:t>.</w:t>
      </w:r>
      <w:r w:rsidR="00E31C7E" w:rsidRPr="007751D5">
        <w:rPr>
          <w:noProof/>
          <w:lang w:eastAsia="cs-CZ"/>
        </w:rPr>
        <w:t xml:space="preserve"> For the sake of completeness, to summarise it, in the 2021, the average wage increased in real terms by 1.0% and in 2020 by 1.4%; at that time, the inflation was between 3 to 4 percent.  </w:t>
      </w:r>
      <w:r w:rsidR="008D0C77" w:rsidRPr="007751D5">
        <w:rPr>
          <w:noProof/>
          <w:lang w:eastAsia="cs-CZ"/>
        </w:rPr>
        <w:t xml:space="preserve"> </w:t>
      </w:r>
    </w:p>
    <w:p w14:paraId="0803C3EA" w14:textId="77777777" w:rsidR="00A73335" w:rsidRPr="007751D5" w:rsidRDefault="00A73335" w:rsidP="007D03FD"/>
    <w:p w14:paraId="137FA2C1" w14:textId="77777777" w:rsidR="00A73335" w:rsidRPr="007751D5" w:rsidRDefault="00A73335" w:rsidP="007D03FD">
      <w:r w:rsidRPr="007751D5">
        <w:t xml:space="preserve">The total development of both nominal and real wages is shown in the chart, which captures the period since 2012. </w:t>
      </w:r>
      <w:r w:rsidR="0088136E" w:rsidRPr="007751D5">
        <w:t xml:space="preserve">The </w:t>
      </w:r>
      <w:r w:rsidR="0088136E" w:rsidRPr="007751D5">
        <w:rPr>
          <w:lang w:eastAsia="cs-CZ"/>
        </w:rPr>
        <w:t>gap between the two lines in the chart below</w:t>
      </w:r>
      <w:r w:rsidRPr="007751D5">
        <w:t xml:space="preserve"> </w:t>
      </w:r>
      <w:r w:rsidR="0088136E" w:rsidRPr="007751D5">
        <w:rPr>
          <w:lang w:eastAsia="cs-CZ"/>
        </w:rPr>
        <w:t xml:space="preserve">demonstrates namely the inflation. </w:t>
      </w:r>
      <w:r w:rsidR="004875CF" w:rsidRPr="007751D5">
        <w:rPr>
          <w:lang w:eastAsia="cs-CZ"/>
        </w:rPr>
        <w:t>We can see that the coronavirus period was very turbulent, especially due to temporary lockdowns of the economy</w:t>
      </w:r>
      <w:r w:rsidR="002B228A" w:rsidRPr="007751D5">
        <w:rPr>
          <w:lang w:eastAsia="cs-CZ"/>
        </w:rPr>
        <w:t>,</w:t>
      </w:r>
      <w:r w:rsidR="004875CF" w:rsidRPr="007751D5">
        <w:rPr>
          <w:lang w:eastAsia="cs-CZ"/>
        </w:rPr>
        <w:t xml:space="preserve"> and recently</w:t>
      </w:r>
      <w:r w:rsidR="002B228A" w:rsidRPr="007751D5">
        <w:rPr>
          <w:lang w:eastAsia="cs-CZ"/>
        </w:rPr>
        <w:t xml:space="preserve"> there is a </w:t>
      </w:r>
      <w:r w:rsidR="002B228A" w:rsidRPr="007751D5">
        <w:rPr>
          <w:rFonts w:cs="Arial"/>
          <w:szCs w:val="20"/>
        </w:rPr>
        <w:t xml:space="preserve">‘scissor’ effect between the nominal development and the real one. </w:t>
      </w:r>
      <w:r w:rsidR="004875CF" w:rsidRPr="007751D5">
        <w:rPr>
          <w:lang w:eastAsia="cs-CZ"/>
        </w:rPr>
        <w:t xml:space="preserve">  </w:t>
      </w:r>
      <w:r w:rsidR="0088136E" w:rsidRPr="007751D5">
        <w:rPr>
          <w:lang w:eastAsia="cs-CZ"/>
        </w:rPr>
        <w:t xml:space="preserve"> </w:t>
      </w:r>
    </w:p>
    <w:p w14:paraId="2293892D" w14:textId="77777777" w:rsidR="000B50A7" w:rsidRPr="007751D5" w:rsidRDefault="000B50A7" w:rsidP="000B50A7">
      <w:pPr>
        <w:rPr>
          <w:noProof/>
          <w:lang w:eastAsia="cs-CZ"/>
        </w:rPr>
      </w:pPr>
    </w:p>
    <w:p w14:paraId="11024CA1" w14:textId="1677A2F2" w:rsidR="006D2305" w:rsidRPr="006D2305" w:rsidRDefault="006D2305" w:rsidP="006D2305">
      <w:pPr>
        <w:rPr>
          <w:b/>
        </w:rPr>
      </w:pPr>
      <w:r w:rsidRPr="007751D5">
        <w:rPr>
          <w:b/>
        </w:rPr>
        <w:t xml:space="preserve">Development of nominal and real average wage, </w:t>
      </w:r>
      <w:r w:rsidR="00CE6DDF">
        <w:rPr>
          <w:b/>
        </w:rPr>
        <w:t xml:space="preserve">the </w:t>
      </w:r>
      <w:r w:rsidRPr="007751D5">
        <w:rPr>
          <w:b/>
        </w:rPr>
        <w:t>index to the corresponding period of the previous year</w:t>
      </w:r>
    </w:p>
    <w:p w14:paraId="204288B1" w14:textId="77777777" w:rsidR="006D2305" w:rsidRPr="006D2305" w:rsidRDefault="006D2305" w:rsidP="006D2305"/>
    <w:p w14:paraId="696E7436" w14:textId="0ED754CA" w:rsidR="00203931" w:rsidRPr="00203931" w:rsidRDefault="00D5458D" w:rsidP="00203931">
      <w:pPr>
        <w:pStyle w:val="TabulkaGraf"/>
        <w:rPr>
          <w:color w:val="632423" w:themeColor="accent2" w:themeShade="80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4AB7B0D" wp14:editId="519C7305">
            <wp:extent cx="5400040" cy="3348355"/>
            <wp:effectExtent l="0" t="0" r="10160" b="4445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7C7E2A" w14:textId="3FC1D006" w:rsidR="00377248" w:rsidRDefault="00377248" w:rsidP="000B50A7">
      <w:pPr>
        <w:rPr>
          <w:lang w:val="cs-CZ"/>
        </w:rPr>
      </w:pPr>
    </w:p>
    <w:p w14:paraId="1777B122" w14:textId="2BCA4D31" w:rsidR="00536FD0" w:rsidRDefault="00377248" w:rsidP="000B50A7">
      <w:r w:rsidRPr="002906AA">
        <w:t>The wage development was highly differentiated by economic activity, the nominal increase of average wages ranged from 1.9% to 15.9%. Only in two CZ-NACE sections the growth exceeded the value of the consumer price increase (11.2%)</w:t>
      </w:r>
      <w:r w:rsidR="002E6281" w:rsidRPr="002906AA">
        <w:t xml:space="preserve"> and therefore wages</w:t>
      </w:r>
      <w:r w:rsidR="009A530D">
        <w:t xml:space="preserve"> in those sections</w:t>
      </w:r>
      <w:r w:rsidR="002E6281" w:rsidRPr="002906AA">
        <w:t xml:space="preserve"> increased in real terms</w:t>
      </w:r>
      <w:r w:rsidR="00AB2E43">
        <w:t>, too</w:t>
      </w:r>
      <w:r w:rsidR="002E6281" w:rsidRPr="002906AA">
        <w:t xml:space="preserve">. </w:t>
      </w:r>
    </w:p>
    <w:p w14:paraId="0B0025A0" w14:textId="77777777" w:rsidR="0005579F" w:rsidRDefault="0005579F" w:rsidP="000B50A7"/>
    <w:p w14:paraId="48605517" w14:textId="151B7C1B" w:rsidR="00377248" w:rsidRDefault="00077ECA" w:rsidP="000B50A7">
      <w:r w:rsidRPr="002906AA">
        <w:t>The weakest nominal increase can be found in ‘public administration and defence; compulsory social security,’ in which the average wage only increased by</w:t>
      </w:r>
      <w:r w:rsidR="00397435" w:rsidRPr="002906AA">
        <w:t xml:space="preserve"> CZK 723, which is 1.9%.</w:t>
      </w:r>
      <w:r w:rsidR="002D6852" w:rsidRPr="002906AA">
        <w:t xml:space="preserve"> In real terms, it thus decrease</w:t>
      </w:r>
      <w:r w:rsidR="00AB2E43">
        <w:t>d</w:t>
      </w:r>
      <w:r w:rsidR="002D6852" w:rsidRPr="002906AA">
        <w:t xml:space="preserve"> almost by a tenth. It was followed by </w:t>
      </w:r>
      <w:r w:rsidR="002D6852" w:rsidRPr="002906AA">
        <w:rPr>
          <w:szCs w:val="20"/>
          <w:lang w:eastAsia="cs-CZ"/>
        </w:rPr>
        <w:t>‘human health and social work activities’ with an increase by 2.7% and by</w:t>
      </w:r>
      <w:r w:rsidR="00D91222" w:rsidRPr="002906AA">
        <w:rPr>
          <w:szCs w:val="20"/>
          <w:lang w:eastAsia="cs-CZ"/>
        </w:rPr>
        <w:t xml:space="preserve"> </w:t>
      </w:r>
      <w:r w:rsidR="00D91222" w:rsidRPr="002906AA">
        <w:t>‘education’ with 3.4%.</w:t>
      </w:r>
      <w:r w:rsidR="00A635CC" w:rsidRPr="002906AA">
        <w:t xml:space="preserve"> What those three economic activities have in common is that </w:t>
      </w:r>
      <w:r w:rsidR="00965DF6" w:rsidRPr="002906AA">
        <w:t xml:space="preserve">the amount of </w:t>
      </w:r>
      <w:r w:rsidR="00965DF6" w:rsidRPr="00366BED">
        <w:t>earnings</w:t>
      </w:r>
      <w:r w:rsidR="008462F5" w:rsidRPr="00366BED">
        <w:t xml:space="preserve"> dominantly</w:t>
      </w:r>
      <w:r w:rsidR="00965DF6" w:rsidRPr="00366BED">
        <w:t xml:space="preserve"> depends</w:t>
      </w:r>
      <w:r w:rsidR="00965DF6" w:rsidRPr="00E74288">
        <w:t xml:space="preserve"> on decision</w:t>
      </w:r>
      <w:r w:rsidR="00E948BF" w:rsidRPr="00E74288">
        <w:t xml:space="preserve"> making</w:t>
      </w:r>
      <w:r w:rsidR="00965DF6" w:rsidRPr="00E74288">
        <w:t xml:space="preserve"> of the state, which determines the </w:t>
      </w:r>
      <w:r w:rsidR="00BB437E" w:rsidRPr="00E74288">
        <w:t>salary tables</w:t>
      </w:r>
      <w:r w:rsidR="00965DF6" w:rsidRPr="00E74288">
        <w:t>.</w:t>
      </w:r>
      <w:r w:rsidR="00E948BF" w:rsidRPr="00E74288">
        <w:t xml:space="preserve"> For the year 2022, </w:t>
      </w:r>
      <w:r w:rsidR="00111A58" w:rsidRPr="00E74288">
        <w:t>a large part of employees of the state had basic salaries frozen (i.e. no increase took place).</w:t>
      </w:r>
      <w:r w:rsidR="00111A58">
        <w:t xml:space="preserve"> </w:t>
      </w:r>
      <w:r w:rsidR="00E948BF">
        <w:t xml:space="preserve"> </w:t>
      </w:r>
      <w:r w:rsidR="00965DF6">
        <w:t xml:space="preserve"> </w:t>
      </w:r>
      <w:r w:rsidR="00A635CC">
        <w:t xml:space="preserve"> </w:t>
      </w:r>
      <w:r w:rsidR="00D91222">
        <w:t xml:space="preserve"> </w:t>
      </w:r>
      <w:r w:rsidR="002D6852">
        <w:rPr>
          <w:szCs w:val="20"/>
          <w:lang w:eastAsia="cs-CZ"/>
        </w:rPr>
        <w:t xml:space="preserve"> </w:t>
      </w:r>
      <w:r w:rsidR="002D6852">
        <w:t xml:space="preserve">   </w:t>
      </w:r>
      <w:r w:rsidR="00397435">
        <w:t xml:space="preserve">  </w:t>
      </w:r>
      <w:r>
        <w:t xml:space="preserve">  </w:t>
      </w:r>
    </w:p>
    <w:p w14:paraId="576B0447" w14:textId="2BDD6FEA" w:rsidR="00B30D59" w:rsidRDefault="00B30D59" w:rsidP="000B50A7">
      <w:pPr>
        <w:rPr>
          <w:lang w:val="cs-CZ"/>
        </w:rPr>
      </w:pPr>
    </w:p>
    <w:p w14:paraId="7B9873F9" w14:textId="6ADEF10C" w:rsidR="000D6AC8" w:rsidRPr="002906AA" w:rsidRDefault="00B30D59" w:rsidP="000B50A7">
      <w:pPr>
        <w:rPr>
          <w:lang w:val="cs-CZ"/>
        </w:rPr>
      </w:pPr>
      <w:r w:rsidRPr="002906AA">
        <w:t xml:space="preserve">The highest increase of average wages can be found in </w:t>
      </w:r>
      <w:r w:rsidR="000D6AC8" w:rsidRPr="002906AA">
        <w:t>‘financial and insurance activities,’</w:t>
      </w:r>
      <w:r w:rsidRPr="002906AA">
        <w:t xml:space="preserve"> in which they increased by CZK 9 873, i.e. by 15.9%. It was mainly thanks to payment of bonuses. A small economic activity of </w:t>
      </w:r>
      <w:r w:rsidR="000D6AC8" w:rsidRPr="002906AA">
        <w:t>‘real estate activities’</w:t>
      </w:r>
      <w:r w:rsidRPr="002906AA">
        <w:t xml:space="preserve"> ranked second with an increase by 13.9%. </w:t>
      </w:r>
    </w:p>
    <w:p w14:paraId="7A92813C" w14:textId="0628A319" w:rsidR="00DB2EE1" w:rsidRPr="002906AA" w:rsidRDefault="00DB2EE1" w:rsidP="000B50A7"/>
    <w:p w14:paraId="264FF5ED" w14:textId="7FF0C86E" w:rsidR="00DB2EE1" w:rsidRPr="002906AA" w:rsidRDefault="003F48A2" w:rsidP="000B50A7">
      <w:pPr>
        <w:rPr>
          <w:lang w:eastAsia="cs-CZ"/>
        </w:rPr>
      </w:pPr>
      <w:r w:rsidRPr="002906AA">
        <w:t xml:space="preserve">The highest average wage </w:t>
      </w:r>
      <w:r w:rsidR="00DB2EE1" w:rsidRPr="002906AA">
        <w:t xml:space="preserve">can be found in </w:t>
      </w:r>
      <w:r w:rsidR="00DB2EE1" w:rsidRPr="002906AA">
        <w:rPr>
          <w:szCs w:val="20"/>
          <w:lang w:eastAsia="cs-CZ"/>
        </w:rPr>
        <w:t>‘</w:t>
      </w:r>
      <w:r w:rsidRPr="002906AA">
        <w:rPr>
          <w:lang w:eastAsia="cs-CZ"/>
        </w:rPr>
        <w:t>information and communication</w:t>
      </w:r>
      <w:r w:rsidR="00DB2EE1" w:rsidRPr="002906AA">
        <w:rPr>
          <w:lang w:eastAsia="cs-CZ"/>
        </w:rPr>
        <w:t>’</w:t>
      </w:r>
      <w:r w:rsidRPr="002906AA">
        <w:rPr>
          <w:lang w:eastAsia="cs-CZ"/>
        </w:rPr>
        <w:t xml:space="preserve"> on the level of CZK 71 996; it increased by 8.7%, year-on-year. The already mentioned </w:t>
      </w:r>
      <w:r w:rsidR="00DB2EE1" w:rsidRPr="002906AA">
        <w:t>‘financial and insurance acti</w:t>
      </w:r>
      <w:r w:rsidRPr="002906AA">
        <w:t>vities</w:t>
      </w:r>
      <w:r w:rsidR="00DB2EE1" w:rsidRPr="002906AA">
        <w:t>’</w:t>
      </w:r>
      <w:r w:rsidRPr="002906AA">
        <w:t xml:space="preserve"> ranked second with the average wage of CZK 71 847. </w:t>
      </w:r>
      <w:r w:rsidR="00DB2EE1" w:rsidRPr="002906AA">
        <w:t>‘</w:t>
      </w:r>
      <w:r w:rsidRPr="002906AA">
        <w:t>E</w:t>
      </w:r>
      <w:r w:rsidR="00DB2EE1" w:rsidRPr="002906AA">
        <w:t>lectricity, gas, steam and air conditioning supply’</w:t>
      </w:r>
      <w:r w:rsidRPr="002906AA">
        <w:t xml:space="preserve"> ranked third, with a gap, with CZK 64 308. </w:t>
      </w:r>
    </w:p>
    <w:p w14:paraId="1A2B40E2" w14:textId="25E9F7F0" w:rsidR="006F42BF" w:rsidRPr="002906AA" w:rsidRDefault="006F42BF" w:rsidP="000B50A7">
      <w:pPr>
        <w:rPr>
          <w:lang w:val="cs-CZ"/>
        </w:rPr>
      </w:pPr>
    </w:p>
    <w:p w14:paraId="1615BCED" w14:textId="0980E29F" w:rsidR="006F42BF" w:rsidRPr="002906AA" w:rsidRDefault="0073296E" w:rsidP="000B50A7">
      <w:pPr>
        <w:rPr>
          <w:lang w:val="cs-CZ"/>
        </w:rPr>
      </w:pPr>
      <w:r w:rsidRPr="002906AA">
        <w:lastRenderedPageBreak/>
        <w:t xml:space="preserve">On the other hand, the lowest wage level persisted in </w:t>
      </w:r>
      <w:r w:rsidR="006F42BF" w:rsidRPr="002906AA">
        <w:t>‘accommodat</w:t>
      </w:r>
      <w:r w:rsidRPr="002906AA">
        <w:t>ion and food service activities</w:t>
      </w:r>
      <w:r w:rsidR="006F42BF" w:rsidRPr="002906AA">
        <w:t>’</w:t>
      </w:r>
      <w:r w:rsidRPr="002906AA">
        <w:t xml:space="preserve"> (CZK 22 222) despite its increase by 11.2%, year-on-year. The second lowest average wage was in </w:t>
      </w:r>
      <w:r w:rsidR="006F42BF" w:rsidRPr="002906AA">
        <w:rPr>
          <w:lang w:eastAsia="cs-CZ"/>
        </w:rPr>
        <w:t>‘administrative and support service activities,</w:t>
      </w:r>
      <w:r w:rsidR="006F42BF" w:rsidRPr="002906AA">
        <w:rPr>
          <w:szCs w:val="20"/>
          <w:lang w:eastAsia="cs-CZ"/>
        </w:rPr>
        <w:t>’</w:t>
      </w:r>
      <w:r w:rsidRPr="002906AA">
        <w:rPr>
          <w:szCs w:val="20"/>
          <w:lang w:eastAsia="cs-CZ"/>
        </w:rPr>
        <w:t xml:space="preserve"> in which it increased by 10.7% to CZK 27 553. </w:t>
      </w:r>
    </w:p>
    <w:p w14:paraId="32831840" w14:textId="77777777" w:rsidR="006F42BF" w:rsidRPr="002906AA" w:rsidRDefault="006F42BF" w:rsidP="000B50A7">
      <w:pPr>
        <w:rPr>
          <w:color w:val="632423" w:themeColor="accent2" w:themeShade="80"/>
          <w:lang w:val="cs-CZ"/>
        </w:rPr>
      </w:pPr>
    </w:p>
    <w:p w14:paraId="3F01E3A8" w14:textId="3CBE89C2" w:rsidR="00D42CB0" w:rsidRPr="002906AA" w:rsidRDefault="00D42CB0" w:rsidP="000B50A7">
      <w:r w:rsidRPr="002906AA">
        <w:rPr>
          <w:lang w:val="cs-CZ"/>
        </w:rPr>
        <w:t xml:space="preserve">In </w:t>
      </w:r>
      <w:r w:rsidRPr="002906AA">
        <w:t>‘wholesale and retail trade; repair of motor vehicles and motorcycles,</w:t>
      </w:r>
      <w:r w:rsidRPr="002906AA">
        <w:rPr>
          <w:lang w:eastAsia="cs-CZ"/>
        </w:rPr>
        <w:t>’ the average wage increased by 9.4% to CZK 36 118. In economic activities of industry, the wage growth was weaker in total (6.8%), in the dominant</w:t>
      </w:r>
      <w:r w:rsidRPr="002906AA">
        <w:t xml:space="preserve"> ‘manufacturing’ it was the same by 6.8%, which thus reached CZK 36 266. In ‘mining and quarrying,’</w:t>
      </w:r>
      <w:r w:rsidR="00B6010B" w:rsidRPr="002906AA">
        <w:t xml:space="preserve"> wages jumped by 8.9% to CZK 39 567, which was presumably highly influenced by a decrease in the number of employees. In</w:t>
      </w:r>
      <w:r w:rsidR="00B6010B" w:rsidRPr="002906AA">
        <w:rPr>
          <w:lang w:val="cs-CZ"/>
        </w:rPr>
        <w:t xml:space="preserve"> </w:t>
      </w:r>
      <w:r w:rsidR="00B6010B" w:rsidRPr="002906AA">
        <w:t xml:space="preserve">‘transportation and storage,’ wages increased by 8.2% to CZK 33 982. </w:t>
      </w:r>
    </w:p>
    <w:p w14:paraId="191DB68A" w14:textId="175E84FC" w:rsidR="003F3C8E" w:rsidRDefault="003F3C8E" w:rsidP="000B50A7">
      <w:pPr>
        <w:rPr>
          <w:noProof/>
          <w:lang w:val="cs-CZ" w:eastAsia="cs-CZ"/>
        </w:rPr>
      </w:pPr>
    </w:p>
    <w:p w14:paraId="74B338BD" w14:textId="78F2937A" w:rsidR="003F3C8E" w:rsidRPr="00FC75AA" w:rsidRDefault="003F3C8E" w:rsidP="000B50A7">
      <w:pPr>
        <w:rPr>
          <w:noProof/>
          <w:lang w:val="cs-CZ" w:eastAsia="cs-CZ"/>
        </w:rPr>
      </w:pPr>
      <w:r w:rsidRPr="00E74288">
        <w:rPr>
          <w:noProof/>
          <w:lang w:val="cs-CZ" w:eastAsia="cs-CZ"/>
        </w:rPr>
        <w:t xml:space="preserve">As for </w:t>
      </w:r>
      <w:r w:rsidRPr="00682018">
        <w:rPr>
          <w:noProof/>
          <w:lang w:val="cs-CZ" w:eastAsia="cs-CZ"/>
        </w:rPr>
        <w:t>the working hours statistics, the</w:t>
      </w:r>
      <w:r w:rsidRPr="00E74288">
        <w:rPr>
          <w:noProof/>
          <w:lang w:val="cs-CZ" w:eastAsia="cs-CZ"/>
        </w:rPr>
        <w:t xml:space="preserve"> Q1 </w:t>
      </w:r>
      <w:r w:rsidRPr="00AD7BB3">
        <w:rPr>
          <w:noProof/>
          <w:lang w:val="cs-CZ" w:eastAsia="cs-CZ"/>
        </w:rPr>
        <w:t>2022 was characteristic for its higher</w:t>
      </w:r>
      <w:r w:rsidRPr="00E74288">
        <w:rPr>
          <w:noProof/>
          <w:lang w:val="cs-CZ" w:eastAsia="cs-CZ"/>
        </w:rPr>
        <w:t xml:space="preserve"> number of hours worked in compari</w:t>
      </w:r>
      <w:r w:rsidR="00E61E58" w:rsidRPr="00E74288">
        <w:rPr>
          <w:noProof/>
          <w:lang w:val="cs-CZ" w:eastAsia="cs-CZ"/>
        </w:rPr>
        <w:t>s</w:t>
      </w:r>
      <w:r w:rsidRPr="00E74288">
        <w:rPr>
          <w:noProof/>
          <w:lang w:val="cs-CZ" w:eastAsia="cs-CZ"/>
        </w:rPr>
        <w:t>on with the corresponding period of the previous year.</w:t>
      </w:r>
      <w:r>
        <w:rPr>
          <w:noProof/>
          <w:lang w:val="cs-CZ" w:eastAsia="cs-CZ"/>
        </w:rPr>
        <w:t xml:space="preserve"> </w:t>
      </w:r>
    </w:p>
    <w:p w14:paraId="68DFF467" w14:textId="77777777" w:rsidR="000B50A7" w:rsidRPr="00FC75AA" w:rsidRDefault="000B50A7" w:rsidP="000B50A7">
      <w:pPr>
        <w:rPr>
          <w:color w:val="632423" w:themeColor="accent2" w:themeShade="80"/>
          <w:lang w:val="cs-CZ"/>
        </w:rPr>
      </w:pPr>
    </w:p>
    <w:p w14:paraId="72B014F7" w14:textId="77777777" w:rsidR="000B50A7" w:rsidRPr="002906AA" w:rsidRDefault="0025570E" w:rsidP="000B5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2906AA">
        <w:rPr>
          <w:b/>
        </w:rPr>
        <w:t>Development in Regions</w:t>
      </w:r>
    </w:p>
    <w:p w14:paraId="68214A1B" w14:textId="77777777" w:rsidR="0074403B" w:rsidRPr="002906AA" w:rsidRDefault="00F45EFE" w:rsidP="000B5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2906AA">
        <w:rPr>
          <w:rFonts w:cs="Arial"/>
          <w:szCs w:val="20"/>
        </w:rPr>
        <w:t xml:space="preserve">Regional results also </w:t>
      </w:r>
      <w:r w:rsidR="0074403B" w:rsidRPr="002906AA">
        <w:rPr>
          <w:rFonts w:cs="Arial"/>
          <w:szCs w:val="20"/>
        </w:rPr>
        <w:t>show an ambiguous development.</w:t>
      </w:r>
      <w:r w:rsidR="00207AFF" w:rsidRPr="002906AA">
        <w:rPr>
          <w:rFonts w:cs="Arial"/>
          <w:szCs w:val="20"/>
        </w:rPr>
        <w:t xml:space="preserve"> As for the number of employees, there was a year-on-year decrease in two Regions in the Q1 2022: by 0.3% in the </w:t>
      </w:r>
      <w:proofErr w:type="spellStart"/>
      <w:r w:rsidR="00207AFF" w:rsidRPr="002906AA">
        <w:rPr>
          <w:rFonts w:cs="Arial"/>
          <w:i/>
          <w:szCs w:val="20"/>
        </w:rPr>
        <w:t>Ústecký</w:t>
      </w:r>
      <w:proofErr w:type="spellEnd"/>
      <w:r w:rsidR="00207AFF" w:rsidRPr="002906AA">
        <w:rPr>
          <w:rFonts w:cs="Arial"/>
          <w:i/>
          <w:szCs w:val="20"/>
        </w:rPr>
        <w:t xml:space="preserve"> </w:t>
      </w:r>
      <w:r w:rsidR="00207AFF" w:rsidRPr="002906AA">
        <w:rPr>
          <w:rFonts w:cs="Arial"/>
          <w:szCs w:val="20"/>
        </w:rPr>
        <w:t xml:space="preserve">Region and by 0.2% in the </w:t>
      </w:r>
      <w:proofErr w:type="spellStart"/>
      <w:r w:rsidR="00207AFF" w:rsidRPr="002906AA">
        <w:rPr>
          <w:rFonts w:cs="Arial"/>
          <w:i/>
          <w:szCs w:val="20"/>
        </w:rPr>
        <w:t>Moravskoslezský</w:t>
      </w:r>
      <w:proofErr w:type="spellEnd"/>
      <w:r w:rsidR="00207AFF" w:rsidRPr="002906AA">
        <w:rPr>
          <w:rFonts w:cs="Arial"/>
          <w:i/>
          <w:szCs w:val="20"/>
        </w:rPr>
        <w:t xml:space="preserve"> </w:t>
      </w:r>
      <w:r w:rsidR="00207AFF" w:rsidRPr="002906AA">
        <w:rPr>
          <w:rFonts w:cs="Arial"/>
          <w:szCs w:val="20"/>
        </w:rPr>
        <w:t>Region.</w:t>
      </w:r>
      <w:r w:rsidR="00315642" w:rsidRPr="002906AA">
        <w:rPr>
          <w:rFonts w:cs="Arial"/>
          <w:szCs w:val="20"/>
        </w:rPr>
        <w:t xml:space="preserve"> On the other hand, the number of employees</w:t>
      </w:r>
      <w:r w:rsidR="0011358E" w:rsidRPr="002906AA">
        <w:rPr>
          <w:rFonts w:cs="Arial"/>
          <w:szCs w:val="20"/>
        </w:rPr>
        <w:t xml:space="preserve"> considerably increased in Prague (3.0%), high increases were also in the </w:t>
      </w:r>
      <w:proofErr w:type="spellStart"/>
      <w:r w:rsidR="0011358E" w:rsidRPr="002906AA">
        <w:rPr>
          <w:i/>
        </w:rPr>
        <w:t>Středočeský</w:t>
      </w:r>
      <w:proofErr w:type="spellEnd"/>
      <w:r w:rsidR="0011358E" w:rsidRPr="002906AA">
        <w:rPr>
          <w:i/>
        </w:rPr>
        <w:t xml:space="preserve"> </w:t>
      </w:r>
      <w:r w:rsidR="0011358E" w:rsidRPr="002906AA">
        <w:t xml:space="preserve">Region (1.6%), in the </w:t>
      </w:r>
      <w:proofErr w:type="spellStart"/>
      <w:r w:rsidR="0011358E" w:rsidRPr="002906AA">
        <w:rPr>
          <w:rFonts w:cs="Arial"/>
          <w:i/>
          <w:szCs w:val="20"/>
        </w:rPr>
        <w:t>Jihomoravský</w:t>
      </w:r>
      <w:proofErr w:type="spellEnd"/>
      <w:r w:rsidR="0011358E" w:rsidRPr="002906AA">
        <w:rPr>
          <w:rFonts w:cs="Arial"/>
          <w:i/>
          <w:szCs w:val="20"/>
        </w:rPr>
        <w:t xml:space="preserve"> </w:t>
      </w:r>
      <w:r w:rsidR="0011358E" w:rsidRPr="002906AA">
        <w:rPr>
          <w:rFonts w:cs="Arial"/>
          <w:szCs w:val="20"/>
        </w:rPr>
        <w:t xml:space="preserve">Region (1.4%), and in the </w:t>
      </w:r>
      <w:proofErr w:type="spellStart"/>
      <w:r w:rsidR="0011358E" w:rsidRPr="002906AA">
        <w:rPr>
          <w:rFonts w:cs="Arial"/>
          <w:i/>
          <w:szCs w:val="20"/>
        </w:rPr>
        <w:t>Pardubický</w:t>
      </w:r>
      <w:proofErr w:type="spellEnd"/>
      <w:r w:rsidR="0011358E" w:rsidRPr="002906AA">
        <w:rPr>
          <w:rFonts w:cs="Arial"/>
          <w:szCs w:val="20"/>
        </w:rPr>
        <w:t xml:space="preserve"> Region (1.2%). In other Regions, the numbers were increasing by up to one percent. </w:t>
      </w:r>
      <w:r w:rsidR="0011358E" w:rsidRPr="002906AA">
        <w:rPr>
          <w:rFonts w:cs="Arial"/>
          <w:i/>
          <w:szCs w:val="20"/>
        </w:rPr>
        <w:t xml:space="preserve"> </w:t>
      </w:r>
      <w:r w:rsidR="0011358E" w:rsidRPr="002906AA">
        <w:t xml:space="preserve"> </w:t>
      </w:r>
      <w:r w:rsidR="0011358E" w:rsidRPr="002906AA">
        <w:rPr>
          <w:rFonts w:cs="Arial"/>
          <w:szCs w:val="20"/>
        </w:rPr>
        <w:t xml:space="preserve"> </w:t>
      </w:r>
      <w:r w:rsidR="00315642" w:rsidRPr="002906AA">
        <w:rPr>
          <w:rFonts w:cs="Arial"/>
          <w:szCs w:val="20"/>
        </w:rPr>
        <w:t xml:space="preserve"> </w:t>
      </w:r>
      <w:r w:rsidR="00207AFF" w:rsidRPr="002906AA">
        <w:rPr>
          <w:rFonts w:cs="Arial"/>
          <w:szCs w:val="20"/>
        </w:rPr>
        <w:t xml:space="preserve">   </w:t>
      </w:r>
      <w:r w:rsidR="0074403B" w:rsidRPr="002906AA">
        <w:rPr>
          <w:rFonts w:cs="Arial"/>
          <w:szCs w:val="20"/>
        </w:rPr>
        <w:t xml:space="preserve"> </w:t>
      </w:r>
    </w:p>
    <w:p w14:paraId="6024C9BE" w14:textId="77777777" w:rsidR="00F45EFE" w:rsidRPr="002906AA" w:rsidRDefault="00F45EFE" w:rsidP="000B5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  <w:lang w:val="cs-CZ"/>
        </w:rPr>
      </w:pPr>
    </w:p>
    <w:p w14:paraId="7E5C795A" w14:textId="77777777" w:rsidR="004D3194" w:rsidRPr="002906AA" w:rsidRDefault="004D3194" w:rsidP="000B5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2906AA">
        <w:rPr>
          <w:rFonts w:cs="Arial"/>
          <w:szCs w:val="20"/>
        </w:rPr>
        <w:t xml:space="preserve">Concerning the development of average wages, the span is substantially smaller compared to the breakdown by economic activity; increases were from 5.7% in the </w:t>
      </w:r>
      <w:proofErr w:type="spellStart"/>
      <w:r w:rsidRPr="002906AA">
        <w:rPr>
          <w:rFonts w:cs="Arial"/>
          <w:i/>
          <w:szCs w:val="20"/>
        </w:rPr>
        <w:t>Ústecký</w:t>
      </w:r>
      <w:proofErr w:type="spellEnd"/>
      <w:r w:rsidRPr="002906AA">
        <w:rPr>
          <w:rFonts w:cs="Arial"/>
          <w:szCs w:val="20"/>
        </w:rPr>
        <w:t xml:space="preserve"> Region up to 8.2% in the </w:t>
      </w:r>
      <w:proofErr w:type="spellStart"/>
      <w:r w:rsidRPr="002906AA">
        <w:rPr>
          <w:rFonts w:cs="Arial"/>
          <w:i/>
          <w:szCs w:val="20"/>
        </w:rPr>
        <w:t>Karlovarský</w:t>
      </w:r>
      <w:proofErr w:type="spellEnd"/>
      <w:r w:rsidRPr="002906AA">
        <w:rPr>
          <w:rFonts w:cs="Arial"/>
          <w:i/>
          <w:szCs w:val="20"/>
        </w:rPr>
        <w:t xml:space="preserve"> </w:t>
      </w:r>
      <w:r w:rsidRPr="002906AA">
        <w:rPr>
          <w:rFonts w:cs="Arial"/>
          <w:szCs w:val="20"/>
        </w:rPr>
        <w:t>Region.</w:t>
      </w:r>
      <w:r w:rsidR="00ED402B" w:rsidRPr="002906AA">
        <w:rPr>
          <w:rFonts w:cs="Arial"/>
          <w:szCs w:val="20"/>
        </w:rPr>
        <w:t xml:space="preserve"> The Capital City of Prague recorded a high increase by 8.1%. </w:t>
      </w:r>
      <w:r w:rsidRPr="002906AA">
        <w:rPr>
          <w:rFonts w:cs="Arial"/>
          <w:szCs w:val="20"/>
        </w:rPr>
        <w:t xml:space="preserve">   </w:t>
      </w:r>
    </w:p>
    <w:p w14:paraId="3CA87126" w14:textId="77777777" w:rsidR="00F45EFE" w:rsidRPr="002906AA" w:rsidRDefault="00F45EFE" w:rsidP="000B5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632423" w:themeColor="accent2" w:themeShade="80"/>
          <w:szCs w:val="20"/>
          <w:lang w:val="cs-CZ"/>
        </w:rPr>
      </w:pPr>
    </w:p>
    <w:p w14:paraId="25099799" w14:textId="77777777" w:rsidR="004E09B8" w:rsidRPr="002906AA" w:rsidRDefault="00F45EFE" w:rsidP="000B5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2906AA">
        <w:rPr>
          <w:rFonts w:cs="Arial"/>
          <w:szCs w:val="20"/>
        </w:rPr>
        <w:t>According to the total level of earnings, the Capital City of Prague still remains to be the richest among the Regions of the Czech Republic. The average wage in Prague</w:t>
      </w:r>
      <w:r w:rsidR="006A6359" w:rsidRPr="002906AA">
        <w:rPr>
          <w:rFonts w:cs="Arial"/>
          <w:szCs w:val="20"/>
        </w:rPr>
        <w:t xml:space="preserve"> was</w:t>
      </w:r>
      <w:r w:rsidR="004E09B8" w:rsidRPr="002906AA">
        <w:rPr>
          <w:rFonts w:cs="Arial"/>
          <w:szCs w:val="20"/>
        </w:rPr>
        <w:t xml:space="preserve"> CZK 48 498. </w:t>
      </w:r>
      <w:r w:rsidRPr="002906AA">
        <w:rPr>
          <w:rFonts w:cs="Arial"/>
          <w:szCs w:val="20"/>
        </w:rPr>
        <w:t xml:space="preserve">The </w:t>
      </w:r>
      <w:proofErr w:type="spellStart"/>
      <w:r w:rsidRPr="002906AA">
        <w:rPr>
          <w:rFonts w:cs="Arial"/>
          <w:i/>
          <w:szCs w:val="20"/>
        </w:rPr>
        <w:t>Středočeský</w:t>
      </w:r>
      <w:proofErr w:type="spellEnd"/>
      <w:r w:rsidRPr="002906AA">
        <w:rPr>
          <w:rFonts w:cs="Arial"/>
          <w:szCs w:val="20"/>
        </w:rPr>
        <w:t xml:space="preserve"> Region maintains its second position</w:t>
      </w:r>
      <w:r w:rsidR="004E09B8" w:rsidRPr="002906AA">
        <w:rPr>
          <w:rFonts w:cs="Arial"/>
          <w:szCs w:val="20"/>
        </w:rPr>
        <w:t xml:space="preserve"> with CZK 37 582, whereas </w:t>
      </w:r>
      <w:r w:rsidRPr="002906AA">
        <w:rPr>
          <w:rFonts w:cs="Arial"/>
          <w:szCs w:val="20"/>
        </w:rPr>
        <w:t xml:space="preserve">the </w:t>
      </w:r>
      <w:proofErr w:type="spellStart"/>
      <w:r w:rsidRPr="002906AA">
        <w:rPr>
          <w:rFonts w:cs="Arial"/>
          <w:i/>
          <w:szCs w:val="20"/>
        </w:rPr>
        <w:t>Karlovarský</w:t>
      </w:r>
      <w:proofErr w:type="spellEnd"/>
      <w:r w:rsidRPr="002906AA">
        <w:rPr>
          <w:rFonts w:cs="Arial"/>
          <w:i/>
          <w:szCs w:val="20"/>
        </w:rPr>
        <w:t xml:space="preserve"> </w:t>
      </w:r>
      <w:r w:rsidRPr="002906AA">
        <w:rPr>
          <w:rFonts w:cs="Arial"/>
          <w:szCs w:val="20"/>
        </w:rPr>
        <w:t xml:space="preserve">Region remains to be the Region with the lowest wage level (CZK </w:t>
      </w:r>
      <w:r w:rsidR="004E09B8" w:rsidRPr="002906AA">
        <w:rPr>
          <w:rFonts w:cs="Arial"/>
          <w:szCs w:val="20"/>
        </w:rPr>
        <w:t>32 605</w:t>
      </w:r>
      <w:r w:rsidRPr="002906AA">
        <w:rPr>
          <w:rFonts w:cs="Arial"/>
          <w:szCs w:val="20"/>
        </w:rPr>
        <w:t>), followed by the</w:t>
      </w:r>
      <w:r w:rsidR="004E09B8" w:rsidRPr="002906AA">
        <w:rPr>
          <w:rFonts w:cs="Arial"/>
          <w:szCs w:val="20"/>
        </w:rPr>
        <w:t xml:space="preserve"> </w:t>
      </w:r>
      <w:proofErr w:type="spellStart"/>
      <w:r w:rsidR="004E09B8" w:rsidRPr="002906AA">
        <w:rPr>
          <w:rFonts w:cs="Arial"/>
          <w:i/>
          <w:szCs w:val="20"/>
        </w:rPr>
        <w:t>Pardubický</w:t>
      </w:r>
      <w:proofErr w:type="spellEnd"/>
      <w:r w:rsidR="004E09B8" w:rsidRPr="002906AA">
        <w:rPr>
          <w:rFonts w:cs="Arial"/>
          <w:i/>
          <w:szCs w:val="20"/>
        </w:rPr>
        <w:t xml:space="preserve"> </w:t>
      </w:r>
      <w:r w:rsidR="004E09B8" w:rsidRPr="002906AA">
        <w:rPr>
          <w:rFonts w:cs="Arial"/>
          <w:szCs w:val="20"/>
        </w:rPr>
        <w:t xml:space="preserve">Region with a small gap (CZK 33 300) and by the </w:t>
      </w:r>
      <w:proofErr w:type="spellStart"/>
      <w:r w:rsidRPr="002906AA">
        <w:rPr>
          <w:rFonts w:cs="Arial"/>
          <w:i/>
          <w:szCs w:val="20"/>
        </w:rPr>
        <w:t>Zlínský</w:t>
      </w:r>
      <w:proofErr w:type="spellEnd"/>
      <w:r w:rsidRPr="002906AA">
        <w:rPr>
          <w:rFonts w:cs="Arial"/>
          <w:i/>
          <w:szCs w:val="20"/>
        </w:rPr>
        <w:t xml:space="preserve"> </w:t>
      </w:r>
      <w:r w:rsidRPr="002906AA">
        <w:rPr>
          <w:rFonts w:cs="Arial"/>
          <w:szCs w:val="20"/>
        </w:rPr>
        <w:t>Region</w:t>
      </w:r>
      <w:r w:rsidR="004E09B8" w:rsidRPr="002906AA">
        <w:rPr>
          <w:rFonts w:cs="Arial"/>
          <w:szCs w:val="20"/>
        </w:rPr>
        <w:t xml:space="preserve">, in which the average wage reached </w:t>
      </w:r>
      <w:r w:rsidRPr="002906AA">
        <w:rPr>
          <w:rFonts w:cs="Arial"/>
          <w:szCs w:val="20"/>
        </w:rPr>
        <w:t xml:space="preserve">CZK </w:t>
      </w:r>
      <w:r w:rsidR="004E09B8" w:rsidRPr="002906AA">
        <w:rPr>
          <w:rFonts w:cs="Arial"/>
          <w:szCs w:val="20"/>
        </w:rPr>
        <w:t xml:space="preserve">33 302. As for other most populated Regions, in the </w:t>
      </w:r>
      <w:proofErr w:type="spellStart"/>
      <w:r w:rsidRPr="002906AA">
        <w:rPr>
          <w:rFonts w:cs="Arial"/>
          <w:i/>
          <w:szCs w:val="20"/>
        </w:rPr>
        <w:t>Moravskoslezský</w:t>
      </w:r>
      <w:proofErr w:type="spellEnd"/>
      <w:r w:rsidRPr="002906AA">
        <w:rPr>
          <w:rFonts w:cs="Arial"/>
          <w:szCs w:val="20"/>
        </w:rPr>
        <w:t xml:space="preserve"> Region</w:t>
      </w:r>
      <w:r w:rsidR="00993607" w:rsidRPr="002906AA">
        <w:rPr>
          <w:rFonts w:cs="Arial"/>
          <w:szCs w:val="20"/>
        </w:rPr>
        <w:t>,</w:t>
      </w:r>
      <w:r w:rsidRPr="002906AA">
        <w:rPr>
          <w:rFonts w:cs="Arial"/>
          <w:szCs w:val="20"/>
        </w:rPr>
        <w:t xml:space="preserve"> wages increased by </w:t>
      </w:r>
      <w:r w:rsidR="004E09B8" w:rsidRPr="002906AA">
        <w:rPr>
          <w:rFonts w:cs="Arial"/>
          <w:szCs w:val="20"/>
        </w:rPr>
        <w:t>6.5</w:t>
      </w:r>
      <w:r w:rsidRPr="002906AA">
        <w:rPr>
          <w:rFonts w:cs="Arial"/>
          <w:szCs w:val="20"/>
        </w:rPr>
        <w:t>% to CZK 3</w:t>
      </w:r>
      <w:r w:rsidR="004E09B8" w:rsidRPr="002906AA">
        <w:rPr>
          <w:rFonts w:cs="Arial"/>
          <w:szCs w:val="20"/>
        </w:rPr>
        <w:t xml:space="preserve">3 981 and in the </w:t>
      </w:r>
      <w:proofErr w:type="spellStart"/>
      <w:r w:rsidR="004E09B8" w:rsidRPr="002906AA">
        <w:rPr>
          <w:rFonts w:cs="Arial"/>
          <w:i/>
          <w:szCs w:val="20"/>
        </w:rPr>
        <w:t>Jihomoravský</w:t>
      </w:r>
      <w:proofErr w:type="spellEnd"/>
      <w:r w:rsidR="004E09B8" w:rsidRPr="002906AA">
        <w:rPr>
          <w:rFonts w:cs="Arial"/>
          <w:i/>
          <w:szCs w:val="20"/>
        </w:rPr>
        <w:t xml:space="preserve"> </w:t>
      </w:r>
      <w:proofErr w:type="spellStart"/>
      <w:r w:rsidR="00993607" w:rsidRPr="002906AA">
        <w:rPr>
          <w:rFonts w:cs="Arial"/>
          <w:szCs w:val="20"/>
        </w:rPr>
        <w:t>Regio</w:t>
      </w:r>
      <w:proofErr w:type="spellEnd"/>
      <w:r w:rsidR="00993607" w:rsidRPr="002906AA">
        <w:rPr>
          <w:rFonts w:cs="Arial"/>
          <w:szCs w:val="20"/>
        </w:rPr>
        <w:t xml:space="preserve"> by 7.0% to CZK 37 171.</w:t>
      </w:r>
      <w:r w:rsidR="004E09B8" w:rsidRPr="002906AA">
        <w:rPr>
          <w:rFonts w:cs="Arial"/>
          <w:szCs w:val="20"/>
        </w:rPr>
        <w:t xml:space="preserve"> </w:t>
      </w:r>
    </w:p>
    <w:p w14:paraId="7C09856C" w14:textId="77777777" w:rsidR="000B50A7" w:rsidRPr="002906AA" w:rsidRDefault="000B50A7" w:rsidP="000B5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632423" w:themeColor="accent2" w:themeShade="80"/>
          <w:szCs w:val="20"/>
          <w:lang w:val="cs-CZ"/>
        </w:rPr>
      </w:pPr>
    </w:p>
    <w:p w14:paraId="14506CF5" w14:textId="53A93D45" w:rsidR="00A8175A" w:rsidRPr="002906AA" w:rsidRDefault="00A8175A" w:rsidP="00A8175A">
      <w:pPr>
        <w:rPr>
          <w:b/>
        </w:rPr>
      </w:pPr>
      <w:r w:rsidRPr="002906AA">
        <w:rPr>
          <w:b/>
        </w:rPr>
        <w:t>Median wage</w:t>
      </w:r>
      <w:r w:rsidR="008C42E5">
        <w:rPr>
          <w:b/>
        </w:rPr>
        <w:t>s and decile intervals of wages</w:t>
      </w:r>
      <w:r w:rsidR="005A6B4A" w:rsidRPr="002906AA">
        <w:rPr>
          <w:b/>
        </w:rPr>
        <w:t xml:space="preserve"> by sex</w:t>
      </w:r>
    </w:p>
    <w:p w14:paraId="6C70BC0E" w14:textId="77777777" w:rsidR="00A8175A" w:rsidRPr="002906AA" w:rsidRDefault="003F034E" w:rsidP="000B50A7">
      <w:pPr>
        <w:pStyle w:val="Zkladntextodsazen3"/>
        <w:spacing w:after="0" w:line="276" w:lineRule="auto"/>
        <w:ind w:firstLine="0"/>
        <w:rPr>
          <w:rFonts w:cs="Arial"/>
          <w:bCs/>
          <w:szCs w:val="20"/>
          <w:lang w:val="en-GB"/>
        </w:rPr>
      </w:pPr>
      <w:r w:rsidRPr="002906AA">
        <w:rPr>
          <w:rFonts w:cs="Arial"/>
          <w:lang w:val="en-GB"/>
        </w:rPr>
        <w:t>The News Release of the CZSO for the Q1 2022 also contains a piece of data on the median wage, which is calculated from a mathematical model of the earnings distribution. The model shows the wage of a middle employee, i.e. a common wage level. Extreme deciles were calculated concurrently, too. In the Q1 2022, the median wage increased to CZK 31 923, which is by CZK 1 974</w:t>
      </w:r>
      <w:r w:rsidRPr="002906AA">
        <w:rPr>
          <w:rFonts w:cs="Arial"/>
          <w:bCs/>
          <w:szCs w:val="20"/>
          <w:lang w:val="en-GB"/>
        </w:rPr>
        <w:t xml:space="preserve"> (i.e. by 6.6%) more than in the corresponding period of the previous year.</w:t>
      </w:r>
    </w:p>
    <w:p w14:paraId="3BEB691C" w14:textId="77777777" w:rsidR="003F034E" w:rsidRPr="002906AA" w:rsidRDefault="003F034E" w:rsidP="000B50A7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  <w:lang w:val="en-GB"/>
        </w:rPr>
      </w:pPr>
    </w:p>
    <w:p w14:paraId="512C331C" w14:textId="77777777" w:rsidR="007B68E2" w:rsidRPr="00540F1D" w:rsidRDefault="007B68E2" w:rsidP="000B50A7">
      <w:pPr>
        <w:pStyle w:val="Zkladntextodsazen3"/>
        <w:spacing w:after="0" w:line="276" w:lineRule="auto"/>
        <w:ind w:firstLine="0"/>
        <w:rPr>
          <w:rFonts w:cs="Arial"/>
          <w:lang w:val="en-GB"/>
        </w:rPr>
      </w:pPr>
      <w:r w:rsidRPr="002906AA">
        <w:rPr>
          <w:rFonts w:cs="Arial"/>
          <w:lang w:val="en-GB"/>
        </w:rPr>
        <w:t xml:space="preserve">The wage </w:t>
      </w:r>
      <w:r w:rsidR="00540F1D" w:rsidRPr="002906AA">
        <w:rPr>
          <w:rFonts w:cs="Arial"/>
          <w:lang w:val="en-GB"/>
        </w:rPr>
        <w:t xml:space="preserve">distribution did not change much in the Q1 2022 in comparison with the previous year. </w:t>
      </w:r>
      <w:r w:rsidRPr="002906AA">
        <w:rPr>
          <w:rFonts w:cs="Arial"/>
          <w:lang w:val="en-GB"/>
        </w:rPr>
        <w:t>Ten percent of employees with the lowest wages were receiving a gross wage below CZK </w:t>
      </w:r>
      <w:r w:rsidR="00652147" w:rsidRPr="002906AA">
        <w:rPr>
          <w:rFonts w:cs="Arial"/>
          <w:bCs/>
          <w:szCs w:val="20"/>
          <w:lang w:val="en-GB"/>
        </w:rPr>
        <w:t>16 733</w:t>
      </w:r>
      <w:r w:rsidRPr="002906AA">
        <w:rPr>
          <w:rFonts w:cs="Arial"/>
          <w:lang w:val="en-GB"/>
        </w:rPr>
        <w:t xml:space="preserve"> </w:t>
      </w:r>
      <w:r w:rsidR="00652147" w:rsidRPr="002906AA">
        <w:rPr>
          <w:rFonts w:cs="Arial"/>
          <w:lang w:val="en-GB"/>
        </w:rPr>
        <w:t>(the bottom decile in</w:t>
      </w:r>
      <w:r w:rsidRPr="002906AA">
        <w:rPr>
          <w:rFonts w:cs="Arial"/>
          <w:lang w:val="en-GB"/>
        </w:rPr>
        <w:t xml:space="preserve">creased by </w:t>
      </w:r>
      <w:r w:rsidR="00652147" w:rsidRPr="002906AA">
        <w:rPr>
          <w:rFonts w:cs="Arial"/>
          <w:lang w:val="en-GB"/>
        </w:rPr>
        <w:t>7.8</w:t>
      </w:r>
      <w:r w:rsidRPr="002906AA">
        <w:rPr>
          <w:rFonts w:cs="Arial"/>
          <w:lang w:val="en-GB"/>
        </w:rPr>
        <w:t xml:space="preserve">%, y-o-y), whereas the opposite tenth having highest wages </w:t>
      </w:r>
      <w:r w:rsidRPr="002906AA">
        <w:rPr>
          <w:rFonts w:cs="Arial"/>
          <w:lang w:val="en-GB"/>
        </w:rPr>
        <w:lastRenderedPageBreak/>
        <w:t>earned over CZK </w:t>
      </w:r>
      <w:r w:rsidRPr="002906AA">
        <w:rPr>
          <w:rFonts w:cs="Arial"/>
          <w:bCs/>
          <w:szCs w:val="20"/>
          <w:lang w:val="en-GB"/>
        </w:rPr>
        <w:t>6</w:t>
      </w:r>
      <w:r w:rsidR="00652147" w:rsidRPr="002906AA">
        <w:rPr>
          <w:rFonts w:cs="Arial"/>
          <w:bCs/>
          <w:szCs w:val="20"/>
          <w:lang w:val="en-GB"/>
        </w:rPr>
        <w:t>0 467</w:t>
      </w:r>
      <w:r w:rsidRPr="002906AA">
        <w:rPr>
          <w:rFonts w:cs="Arial"/>
          <w:lang w:val="en-GB"/>
        </w:rPr>
        <w:t xml:space="preserve"> (the top decile increased by </w:t>
      </w:r>
      <w:r w:rsidR="00652147" w:rsidRPr="002906AA">
        <w:rPr>
          <w:rFonts w:cs="Arial"/>
          <w:lang w:val="en-GB"/>
        </w:rPr>
        <w:t>6</w:t>
      </w:r>
      <w:r w:rsidRPr="002906AA">
        <w:rPr>
          <w:rFonts w:cs="Arial"/>
          <w:lang w:val="en-GB"/>
        </w:rPr>
        <w:t>.</w:t>
      </w:r>
      <w:r w:rsidR="00652147" w:rsidRPr="002906AA">
        <w:rPr>
          <w:rFonts w:cs="Arial"/>
          <w:lang w:val="en-GB"/>
        </w:rPr>
        <w:t>5</w:t>
      </w:r>
      <w:r w:rsidRPr="002906AA">
        <w:rPr>
          <w:rFonts w:cs="Arial"/>
          <w:lang w:val="en-GB"/>
        </w:rPr>
        <w:t>%). The de</w:t>
      </w:r>
      <w:r w:rsidR="00652147" w:rsidRPr="002906AA">
        <w:rPr>
          <w:rFonts w:cs="Arial"/>
          <w:lang w:val="en-GB"/>
        </w:rPr>
        <w:t>cile ratio thus decreased by 0.04</w:t>
      </w:r>
      <w:r w:rsidRPr="002906AA">
        <w:rPr>
          <w:rFonts w:cs="Arial"/>
          <w:lang w:val="en-GB"/>
        </w:rPr>
        <w:t xml:space="preserve"> point, year-on-year.</w:t>
      </w:r>
    </w:p>
    <w:p w14:paraId="27B18E24" w14:textId="77777777" w:rsidR="007B68E2" w:rsidRDefault="007B68E2" w:rsidP="000B50A7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14:paraId="61A6D42B" w14:textId="0B13DFBF" w:rsidR="0060639C" w:rsidRPr="002906AA" w:rsidRDefault="0060639C" w:rsidP="0060639C">
      <w:pPr>
        <w:pStyle w:val="Zkladntextodsazen3"/>
        <w:spacing w:after="0" w:line="276" w:lineRule="auto"/>
        <w:ind w:firstLine="0"/>
        <w:rPr>
          <w:rFonts w:cs="Arial"/>
          <w:bCs/>
          <w:szCs w:val="20"/>
          <w:lang w:val="en-GB"/>
        </w:rPr>
      </w:pPr>
      <w:r w:rsidRPr="002906AA">
        <w:rPr>
          <w:rFonts w:cs="Arial"/>
          <w:bCs/>
          <w:szCs w:val="20"/>
          <w:lang w:val="en-GB"/>
        </w:rPr>
        <w:t xml:space="preserve">Male median wages were still higher than female </w:t>
      </w:r>
      <w:r w:rsidR="007B68E2" w:rsidRPr="002906AA">
        <w:rPr>
          <w:rFonts w:cs="Arial"/>
          <w:bCs/>
          <w:szCs w:val="20"/>
          <w:lang w:val="en-GB"/>
        </w:rPr>
        <w:t>median wages</w:t>
      </w:r>
      <w:r w:rsidRPr="002906AA">
        <w:rPr>
          <w:rFonts w:cs="Arial"/>
          <w:bCs/>
          <w:szCs w:val="20"/>
          <w:lang w:val="en-GB"/>
        </w:rPr>
        <w:t>; in the Q1 2021, the female median wag</w:t>
      </w:r>
      <w:r w:rsidR="007C7420">
        <w:rPr>
          <w:rFonts w:cs="Arial"/>
          <w:bCs/>
          <w:szCs w:val="20"/>
          <w:lang w:val="en-GB"/>
        </w:rPr>
        <w:t>e was CZK 29 262, whereas</w:t>
      </w:r>
      <w:r w:rsidRPr="002906AA">
        <w:rPr>
          <w:rFonts w:cs="Arial"/>
          <w:bCs/>
          <w:szCs w:val="20"/>
          <w:lang w:val="en-GB"/>
        </w:rPr>
        <w:t xml:space="preserve"> the male median wage was CZK 34 362; the gap between median earnings thus was 14.8%. </w:t>
      </w:r>
    </w:p>
    <w:p w14:paraId="58264E56" w14:textId="77777777" w:rsidR="0060639C" w:rsidRPr="002906AA" w:rsidRDefault="0060639C" w:rsidP="000B50A7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14:paraId="5098157A" w14:textId="77777777" w:rsidR="007B68E2" w:rsidRPr="002906AA" w:rsidRDefault="007B68E2" w:rsidP="000B50A7">
      <w:pPr>
        <w:pStyle w:val="Zkladntextodsazen3"/>
        <w:spacing w:after="0" w:line="276" w:lineRule="auto"/>
        <w:ind w:firstLine="0"/>
        <w:rPr>
          <w:rFonts w:cs="Arial"/>
          <w:lang w:val="en-GB"/>
        </w:rPr>
      </w:pPr>
      <w:r w:rsidRPr="002906AA">
        <w:rPr>
          <w:rFonts w:cs="Arial"/>
          <w:bCs/>
          <w:szCs w:val="20"/>
          <w:lang w:val="en-GB"/>
        </w:rPr>
        <w:t xml:space="preserve">Concurrently, wages of males </w:t>
      </w:r>
      <w:r w:rsidRPr="002906AA">
        <w:rPr>
          <w:rFonts w:cs="Arial"/>
          <w:lang w:val="en-GB"/>
        </w:rPr>
        <w:t>were distributed over a substantially wider interval, especially the area of high earnings is considerably higher for males than for females</w:t>
      </w:r>
      <w:r w:rsidR="0018027C" w:rsidRPr="002906AA">
        <w:rPr>
          <w:rFonts w:cs="Arial"/>
          <w:lang w:val="en-GB"/>
        </w:rPr>
        <w:t xml:space="preserve">. </w:t>
      </w:r>
      <w:r w:rsidRPr="002906AA">
        <w:rPr>
          <w:rFonts w:cs="Arial"/>
          <w:lang w:val="en-GB"/>
        </w:rPr>
        <w:t>The top decile for females was CZK </w:t>
      </w:r>
      <w:r w:rsidR="00C64561" w:rsidRPr="002906AA">
        <w:rPr>
          <w:rFonts w:cs="Arial"/>
          <w:lang w:val="en-GB"/>
        </w:rPr>
        <w:t>53 037 and</w:t>
      </w:r>
      <w:r w:rsidRPr="002906AA">
        <w:rPr>
          <w:rFonts w:cs="Arial"/>
          <w:lang w:val="en-GB"/>
        </w:rPr>
        <w:t xml:space="preserve"> for males it was CZK </w:t>
      </w:r>
      <w:r w:rsidRPr="002906AA">
        <w:rPr>
          <w:rFonts w:cs="Arial"/>
          <w:bCs/>
          <w:szCs w:val="20"/>
          <w:lang w:val="en-GB"/>
        </w:rPr>
        <w:t>6</w:t>
      </w:r>
      <w:r w:rsidR="00C64561" w:rsidRPr="002906AA">
        <w:rPr>
          <w:rFonts w:cs="Arial"/>
          <w:bCs/>
          <w:szCs w:val="20"/>
          <w:lang w:val="en-GB"/>
        </w:rPr>
        <w:t>7 469</w:t>
      </w:r>
      <w:r w:rsidRPr="002906AA">
        <w:rPr>
          <w:rFonts w:cs="Arial"/>
          <w:bCs/>
          <w:szCs w:val="20"/>
          <w:lang w:val="en-GB"/>
        </w:rPr>
        <w:t>, by which</w:t>
      </w:r>
      <w:r w:rsidR="00C64561" w:rsidRPr="002906AA">
        <w:rPr>
          <w:rFonts w:cs="Arial"/>
          <w:bCs/>
          <w:szCs w:val="20"/>
          <w:lang w:val="en-GB"/>
        </w:rPr>
        <w:t xml:space="preserve"> the gap for high earnings was 21.4%. </w:t>
      </w:r>
      <w:r w:rsidR="00FB13BC" w:rsidRPr="002906AA">
        <w:rPr>
          <w:rFonts w:cs="Arial"/>
          <w:bCs/>
          <w:szCs w:val="20"/>
          <w:lang w:val="en-GB"/>
        </w:rPr>
        <w:t>Contrarily, a</w:t>
      </w:r>
      <w:r w:rsidRPr="002906AA">
        <w:rPr>
          <w:rFonts w:cs="Arial"/>
          <w:lang w:val="en-GB"/>
        </w:rPr>
        <w:t xml:space="preserve">s for low earnings, the difference was </w:t>
      </w:r>
      <w:r w:rsidR="00FB13BC" w:rsidRPr="002906AA">
        <w:rPr>
          <w:rFonts w:cs="Arial"/>
          <w:lang w:val="en-GB"/>
        </w:rPr>
        <w:t xml:space="preserve">smaller: </w:t>
      </w:r>
      <w:r w:rsidRPr="002906AA">
        <w:rPr>
          <w:rFonts w:cs="Arial"/>
          <w:lang w:val="en-GB"/>
        </w:rPr>
        <w:t>the bottom decile for females was</w:t>
      </w:r>
      <w:r w:rsidRPr="002906AA">
        <w:rPr>
          <w:rFonts w:cs="Arial"/>
          <w:bCs/>
          <w:szCs w:val="20"/>
          <w:lang w:val="en-GB"/>
        </w:rPr>
        <w:t xml:space="preserve"> CZK </w:t>
      </w:r>
      <w:r w:rsidR="00037FA5" w:rsidRPr="002906AA">
        <w:rPr>
          <w:rFonts w:cs="Arial"/>
          <w:bCs/>
          <w:szCs w:val="20"/>
          <w:lang w:val="en-GB"/>
        </w:rPr>
        <w:t>15</w:t>
      </w:r>
      <w:r w:rsidRPr="002906AA">
        <w:rPr>
          <w:rFonts w:cs="Arial"/>
          <w:bCs/>
          <w:szCs w:val="20"/>
          <w:lang w:val="en-GB"/>
        </w:rPr>
        <w:t> </w:t>
      </w:r>
      <w:r w:rsidR="00037FA5" w:rsidRPr="002906AA">
        <w:rPr>
          <w:rFonts w:cs="Arial"/>
          <w:bCs/>
          <w:szCs w:val="20"/>
          <w:lang w:val="en-GB"/>
        </w:rPr>
        <w:t>802</w:t>
      </w:r>
      <w:r w:rsidRPr="002906AA">
        <w:rPr>
          <w:rFonts w:cs="Arial"/>
          <w:bCs/>
          <w:szCs w:val="20"/>
          <w:lang w:val="en-GB"/>
        </w:rPr>
        <w:t> and for</w:t>
      </w:r>
      <w:r w:rsidRPr="002906AA">
        <w:rPr>
          <w:rFonts w:cs="Arial"/>
          <w:lang w:val="en-GB"/>
        </w:rPr>
        <w:t xml:space="preserve"> males it was CZK </w:t>
      </w:r>
      <w:r w:rsidR="00037FA5" w:rsidRPr="002906AA">
        <w:rPr>
          <w:rFonts w:cs="Arial"/>
          <w:bCs/>
          <w:szCs w:val="20"/>
          <w:lang w:val="en-GB"/>
        </w:rPr>
        <w:t>17 803</w:t>
      </w:r>
      <w:r w:rsidRPr="002906AA">
        <w:rPr>
          <w:rFonts w:cs="Arial"/>
          <w:bCs/>
          <w:szCs w:val="20"/>
          <w:lang w:val="en-GB"/>
        </w:rPr>
        <w:t xml:space="preserve">, </w:t>
      </w:r>
      <w:r w:rsidR="00037FA5" w:rsidRPr="002906AA">
        <w:rPr>
          <w:rFonts w:cs="Arial"/>
          <w:bCs/>
          <w:szCs w:val="20"/>
          <w:lang w:val="en-GB"/>
        </w:rPr>
        <w:t>which is a gap of</w:t>
      </w:r>
      <w:r w:rsidRPr="002906AA">
        <w:rPr>
          <w:rFonts w:cs="Arial"/>
          <w:bCs/>
          <w:szCs w:val="20"/>
          <w:lang w:val="en-GB"/>
        </w:rPr>
        <w:t xml:space="preserve"> </w:t>
      </w:r>
      <w:r w:rsidR="00037FA5" w:rsidRPr="002906AA">
        <w:rPr>
          <w:rFonts w:cs="Arial"/>
          <w:bCs/>
          <w:szCs w:val="20"/>
          <w:lang w:val="en-GB"/>
        </w:rPr>
        <w:t>11.2</w:t>
      </w:r>
      <w:r w:rsidRPr="002906AA">
        <w:rPr>
          <w:rFonts w:cs="Arial"/>
          <w:bCs/>
          <w:szCs w:val="20"/>
          <w:lang w:val="en-GB"/>
        </w:rPr>
        <w:t>%.</w:t>
      </w:r>
    </w:p>
    <w:p w14:paraId="757CDA29" w14:textId="77777777" w:rsidR="000B50A7" w:rsidRPr="002906AA" w:rsidRDefault="000B50A7" w:rsidP="000B50A7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14:paraId="51CA45DD" w14:textId="77777777" w:rsidR="000B50A7" w:rsidRPr="002906AA" w:rsidRDefault="000B50A7" w:rsidP="000B50A7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14:paraId="57E70993" w14:textId="77777777" w:rsidR="00480B34" w:rsidRPr="002906AA" w:rsidRDefault="00480B34" w:rsidP="00480B34">
      <w:pPr>
        <w:rPr>
          <w:b/>
        </w:rPr>
      </w:pPr>
      <w:r w:rsidRPr="002906AA">
        <w:rPr>
          <w:b/>
        </w:rPr>
        <w:t>Elaborated by: Dalibor Holý</w:t>
      </w:r>
    </w:p>
    <w:p w14:paraId="55672185" w14:textId="77777777" w:rsidR="00480B34" w:rsidRPr="002906AA" w:rsidRDefault="00480B34" w:rsidP="00480B34">
      <w:r w:rsidRPr="002906AA">
        <w:t>Labour Market and Equal Opportunities Statistics Department of the CZSO</w:t>
      </w:r>
    </w:p>
    <w:p w14:paraId="707DD257" w14:textId="77777777" w:rsidR="00480B34" w:rsidRPr="002906AA" w:rsidRDefault="00480B34" w:rsidP="00480B34">
      <w:r w:rsidRPr="002906AA">
        <w:t>Phone number: (+420) 274 052 694</w:t>
      </w:r>
    </w:p>
    <w:p w14:paraId="25FB4A72" w14:textId="77777777" w:rsidR="00480B34" w:rsidRPr="00CF2D87" w:rsidRDefault="00480B34" w:rsidP="00480B34">
      <w:r w:rsidRPr="002906AA">
        <w:t xml:space="preserve">E-mail: </w:t>
      </w:r>
      <w:hyperlink r:id="rId9" w:history="1">
        <w:r w:rsidRPr="002906AA">
          <w:rPr>
            <w:rStyle w:val="Hypertextovodkaz"/>
          </w:rPr>
          <w:t>dalibor.holy@czso.cz</w:t>
        </w:r>
      </w:hyperlink>
    </w:p>
    <w:p w14:paraId="3463AE30" w14:textId="77777777" w:rsidR="007F5746" w:rsidRPr="00C35B18" w:rsidRDefault="007F5746" w:rsidP="000B50A7"/>
    <w:sectPr w:rsidR="007F5746" w:rsidRPr="00C35B1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DEAD9" w14:textId="77777777" w:rsidR="008E0C88" w:rsidRDefault="008E0C88" w:rsidP="00BA6370">
      <w:r>
        <w:separator/>
      </w:r>
    </w:p>
  </w:endnote>
  <w:endnote w:type="continuationSeparator" w:id="0">
    <w:p w14:paraId="520C4ED9" w14:textId="77777777" w:rsidR="008E0C88" w:rsidRDefault="008E0C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3A1D" w14:textId="77777777" w:rsidR="00256535" w:rsidRPr="00324724" w:rsidRDefault="00256535" w:rsidP="0032472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D3ECF1" wp14:editId="173585B0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7394F" w14:textId="77777777" w:rsidR="00256535" w:rsidRPr="009D654C" w:rsidRDefault="00256535" w:rsidP="00324724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00E8C6E" w14:textId="77777777" w:rsidR="00256535" w:rsidRDefault="00256535" w:rsidP="00324724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92E0DD5" w14:textId="77777777" w:rsidR="00256535" w:rsidRPr="00D52A09" w:rsidRDefault="00256535" w:rsidP="00324724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6D59539" w14:textId="694A30EF" w:rsidR="00256535" w:rsidRPr="00350673" w:rsidRDefault="00256535" w:rsidP="00324724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5067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5067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5067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5067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5579F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6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3ECF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7167394F" w14:textId="77777777" w:rsidR="00256535" w:rsidRPr="009D654C" w:rsidRDefault="00256535" w:rsidP="00324724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00E8C6E" w14:textId="77777777" w:rsidR="00256535" w:rsidRDefault="00256535" w:rsidP="00324724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92E0DD5" w14:textId="77777777" w:rsidR="00256535" w:rsidRPr="00D52A09" w:rsidRDefault="00256535" w:rsidP="00324724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6D59539" w14:textId="694A30EF" w:rsidR="00256535" w:rsidRPr="00350673" w:rsidRDefault="00256535" w:rsidP="00324724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5067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5067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5067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5067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5579F">
                      <w:rPr>
                        <w:rFonts w:cs="Arial"/>
                        <w:noProof/>
                        <w:szCs w:val="15"/>
                        <w:lang w:val="fr-FR"/>
                      </w:rPr>
                      <w:t>6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B5663E3" wp14:editId="3C43001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C8B0E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83C34" w14:textId="77777777" w:rsidR="008E0C88" w:rsidRDefault="008E0C88" w:rsidP="00BA6370">
      <w:r>
        <w:separator/>
      </w:r>
    </w:p>
  </w:footnote>
  <w:footnote w:type="continuationSeparator" w:id="0">
    <w:p w14:paraId="1C295627" w14:textId="77777777" w:rsidR="008E0C88" w:rsidRDefault="008E0C8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5C211" w14:textId="77777777" w:rsidR="00256535" w:rsidRPr="00324724" w:rsidRDefault="0025653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0DA6E3" wp14:editId="13C83633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3175" t="5715" r="635" b="635"/>
              <wp:wrapNone/>
              <wp:docPr id="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15D81" id="Group 42" o:spid="_x0000_s1026" style="position:absolute;margin-left:-69.5pt;margin-top:7.95pt;width:496.95pt;height:80.5pt;z-index:251656704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1thoYAABG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JIwgAAANoAAAAPAAAAZHJzL2Rvd25yZXYueG1sRI9Bi8Iw&#10;FITvgv8hPMGLaLqyiF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BIHGJIwgAAANoAAAAPAAAA&#10;AAAAAAAAAAAAAAcCAABkcnMvZG93bnJldi54bWxQSwUGAAAAAAMAAwC3AAAA9gIAAAAA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B4"/>
    <w:rsid w:val="00037FA5"/>
    <w:rsid w:val="00043BF4"/>
    <w:rsid w:val="00055401"/>
    <w:rsid w:val="0005579F"/>
    <w:rsid w:val="00077ECA"/>
    <w:rsid w:val="000843A5"/>
    <w:rsid w:val="000A23BA"/>
    <w:rsid w:val="000B50A7"/>
    <w:rsid w:val="000B5F23"/>
    <w:rsid w:val="000B6F63"/>
    <w:rsid w:val="000D6AC8"/>
    <w:rsid w:val="000E429B"/>
    <w:rsid w:val="000F469A"/>
    <w:rsid w:val="00107D66"/>
    <w:rsid w:val="00111A58"/>
    <w:rsid w:val="00112896"/>
    <w:rsid w:val="0011358E"/>
    <w:rsid w:val="00123A76"/>
    <w:rsid w:val="00125739"/>
    <w:rsid w:val="001404AB"/>
    <w:rsid w:val="001404E9"/>
    <w:rsid w:val="00147AA0"/>
    <w:rsid w:val="0017231D"/>
    <w:rsid w:val="0018027C"/>
    <w:rsid w:val="001810DC"/>
    <w:rsid w:val="001919DC"/>
    <w:rsid w:val="001A430C"/>
    <w:rsid w:val="001B2CB7"/>
    <w:rsid w:val="001B607F"/>
    <w:rsid w:val="001D369A"/>
    <w:rsid w:val="00200F85"/>
    <w:rsid w:val="00203931"/>
    <w:rsid w:val="002070FB"/>
    <w:rsid w:val="00207AFF"/>
    <w:rsid w:val="00210AFB"/>
    <w:rsid w:val="00213729"/>
    <w:rsid w:val="00225392"/>
    <w:rsid w:val="00233E41"/>
    <w:rsid w:val="002406FA"/>
    <w:rsid w:val="00252495"/>
    <w:rsid w:val="0025570E"/>
    <w:rsid w:val="00256535"/>
    <w:rsid w:val="0026176B"/>
    <w:rsid w:val="0027240A"/>
    <w:rsid w:val="00284FFC"/>
    <w:rsid w:val="002906AA"/>
    <w:rsid w:val="002B228A"/>
    <w:rsid w:val="002B2E47"/>
    <w:rsid w:val="002B7268"/>
    <w:rsid w:val="002D6852"/>
    <w:rsid w:val="002E0180"/>
    <w:rsid w:val="002E6281"/>
    <w:rsid w:val="002F1BD4"/>
    <w:rsid w:val="002F29BF"/>
    <w:rsid w:val="00300594"/>
    <w:rsid w:val="00315642"/>
    <w:rsid w:val="003235AE"/>
    <w:rsid w:val="00324724"/>
    <w:rsid w:val="003301A3"/>
    <w:rsid w:val="00335C7D"/>
    <w:rsid w:val="00350673"/>
    <w:rsid w:val="00353585"/>
    <w:rsid w:val="00366BED"/>
    <w:rsid w:val="0036777B"/>
    <w:rsid w:val="0037278F"/>
    <w:rsid w:val="00377248"/>
    <w:rsid w:val="0038282A"/>
    <w:rsid w:val="00382A70"/>
    <w:rsid w:val="003851CA"/>
    <w:rsid w:val="0038798C"/>
    <w:rsid w:val="00397435"/>
    <w:rsid w:val="00397580"/>
    <w:rsid w:val="003A4007"/>
    <w:rsid w:val="003A45C8"/>
    <w:rsid w:val="003A5212"/>
    <w:rsid w:val="003B6AAB"/>
    <w:rsid w:val="003C2DCF"/>
    <w:rsid w:val="003C7FE7"/>
    <w:rsid w:val="003D0499"/>
    <w:rsid w:val="003F034E"/>
    <w:rsid w:val="003F3C8E"/>
    <w:rsid w:val="003F48A2"/>
    <w:rsid w:val="003F526A"/>
    <w:rsid w:val="004036AD"/>
    <w:rsid w:val="00403EBD"/>
    <w:rsid w:val="00405244"/>
    <w:rsid w:val="00421A10"/>
    <w:rsid w:val="00423384"/>
    <w:rsid w:val="004248DF"/>
    <w:rsid w:val="004436EE"/>
    <w:rsid w:val="0045547F"/>
    <w:rsid w:val="00480B34"/>
    <w:rsid w:val="004875CF"/>
    <w:rsid w:val="004920AD"/>
    <w:rsid w:val="0049762C"/>
    <w:rsid w:val="004A6927"/>
    <w:rsid w:val="004D05B3"/>
    <w:rsid w:val="004D3194"/>
    <w:rsid w:val="004D4C20"/>
    <w:rsid w:val="004E0463"/>
    <w:rsid w:val="004E09B8"/>
    <w:rsid w:val="004E479E"/>
    <w:rsid w:val="004F78E6"/>
    <w:rsid w:val="005027B1"/>
    <w:rsid w:val="00505F8F"/>
    <w:rsid w:val="005061C8"/>
    <w:rsid w:val="00512D99"/>
    <w:rsid w:val="00516311"/>
    <w:rsid w:val="00521F0C"/>
    <w:rsid w:val="00531DBB"/>
    <w:rsid w:val="00536FD0"/>
    <w:rsid w:val="00540F1D"/>
    <w:rsid w:val="00543B1A"/>
    <w:rsid w:val="0056214A"/>
    <w:rsid w:val="00564EB5"/>
    <w:rsid w:val="00592F60"/>
    <w:rsid w:val="005950AB"/>
    <w:rsid w:val="005A6B4A"/>
    <w:rsid w:val="005B4AE2"/>
    <w:rsid w:val="005B65B8"/>
    <w:rsid w:val="005C1E51"/>
    <w:rsid w:val="005D10CC"/>
    <w:rsid w:val="005F79FB"/>
    <w:rsid w:val="00604406"/>
    <w:rsid w:val="00605F4A"/>
    <w:rsid w:val="0060639C"/>
    <w:rsid w:val="00606611"/>
    <w:rsid w:val="00607822"/>
    <w:rsid w:val="006103AA"/>
    <w:rsid w:val="00613BBF"/>
    <w:rsid w:val="00622B80"/>
    <w:rsid w:val="00625F15"/>
    <w:rsid w:val="0063575A"/>
    <w:rsid w:val="006405D3"/>
    <w:rsid w:val="00640968"/>
    <w:rsid w:val="0064139A"/>
    <w:rsid w:val="00645B86"/>
    <w:rsid w:val="00652147"/>
    <w:rsid w:val="006528B4"/>
    <w:rsid w:val="006560ED"/>
    <w:rsid w:val="00670B44"/>
    <w:rsid w:val="00682018"/>
    <w:rsid w:val="006A6359"/>
    <w:rsid w:val="006B2088"/>
    <w:rsid w:val="006D2305"/>
    <w:rsid w:val="006D75F0"/>
    <w:rsid w:val="006E024F"/>
    <w:rsid w:val="006E0F4D"/>
    <w:rsid w:val="006E4E81"/>
    <w:rsid w:val="006F0DE5"/>
    <w:rsid w:val="006F1DBD"/>
    <w:rsid w:val="006F42BF"/>
    <w:rsid w:val="00707F7D"/>
    <w:rsid w:val="00717EC5"/>
    <w:rsid w:val="00725A34"/>
    <w:rsid w:val="0073296E"/>
    <w:rsid w:val="007345AE"/>
    <w:rsid w:val="0074403B"/>
    <w:rsid w:val="00745134"/>
    <w:rsid w:val="00751BA9"/>
    <w:rsid w:val="007662B5"/>
    <w:rsid w:val="007751D5"/>
    <w:rsid w:val="007756A8"/>
    <w:rsid w:val="007A351B"/>
    <w:rsid w:val="007A57F2"/>
    <w:rsid w:val="007B1333"/>
    <w:rsid w:val="007B68E2"/>
    <w:rsid w:val="007C6D8E"/>
    <w:rsid w:val="007C7420"/>
    <w:rsid w:val="007D03FD"/>
    <w:rsid w:val="007D1AB6"/>
    <w:rsid w:val="007F4AEB"/>
    <w:rsid w:val="007F5746"/>
    <w:rsid w:val="007F75B2"/>
    <w:rsid w:val="008043C4"/>
    <w:rsid w:val="008146C6"/>
    <w:rsid w:val="008208BD"/>
    <w:rsid w:val="0083167F"/>
    <w:rsid w:val="00831B1B"/>
    <w:rsid w:val="00834B42"/>
    <w:rsid w:val="008462F5"/>
    <w:rsid w:val="00847C38"/>
    <w:rsid w:val="0085113C"/>
    <w:rsid w:val="00861D0E"/>
    <w:rsid w:val="00867569"/>
    <w:rsid w:val="008738EE"/>
    <w:rsid w:val="008741E8"/>
    <w:rsid w:val="00874E6D"/>
    <w:rsid w:val="0088136E"/>
    <w:rsid w:val="00881C66"/>
    <w:rsid w:val="008A290A"/>
    <w:rsid w:val="008A2C53"/>
    <w:rsid w:val="008A656B"/>
    <w:rsid w:val="008A750A"/>
    <w:rsid w:val="008C384C"/>
    <w:rsid w:val="008C42E5"/>
    <w:rsid w:val="008D0C77"/>
    <w:rsid w:val="008D0F11"/>
    <w:rsid w:val="008D7AF2"/>
    <w:rsid w:val="008E0C88"/>
    <w:rsid w:val="008F0E17"/>
    <w:rsid w:val="008F16DD"/>
    <w:rsid w:val="008F73B4"/>
    <w:rsid w:val="00926DFB"/>
    <w:rsid w:val="00946F68"/>
    <w:rsid w:val="00957E1C"/>
    <w:rsid w:val="00965DF6"/>
    <w:rsid w:val="009729C9"/>
    <w:rsid w:val="00976D2E"/>
    <w:rsid w:val="00993607"/>
    <w:rsid w:val="009A120D"/>
    <w:rsid w:val="009A13DF"/>
    <w:rsid w:val="009A1E1B"/>
    <w:rsid w:val="009A530D"/>
    <w:rsid w:val="009A638B"/>
    <w:rsid w:val="009B55B1"/>
    <w:rsid w:val="009B76A1"/>
    <w:rsid w:val="009C61E4"/>
    <w:rsid w:val="009D654C"/>
    <w:rsid w:val="009E6A81"/>
    <w:rsid w:val="009F49D4"/>
    <w:rsid w:val="00A4343D"/>
    <w:rsid w:val="00A468EE"/>
    <w:rsid w:val="00A502F1"/>
    <w:rsid w:val="00A635CC"/>
    <w:rsid w:val="00A70A83"/>
    <w:rsid w:val="00A73335"/>
    <w:rsid w:val="00A8175A"/>
    <w:rsid w:val="00A81EB3"/>
    <w:rsid w:val="00A839AB"/>
    <w:rsid w:val="00A94CC8"/>
    <w:rsid w:val="00A976AD"/>
    <w:rsid w:val="00AA29C7"/>
    <w:rsid w:val="00AB2D64"/>
    <w:rsid w:val="00AB2E43"/>
    <w:rsid w:val="00AC4868"/>
    <w:rsid w:val="00AC5C15"/>
    <w:rsid w:val="00AD7BB3"/>
    <w:rsid w:val="00AE5318"/>
    <w:rsid w:val="00B00C1D"/>
    <w:rsid w:val="00B14061"/>
    <w:rsid w:val="00B14680"/>
    <w:rsid w:val="00B24693"/>
    <w:rsid w:val="00B30D59"/>
    <w:rsid w:val="00B3547C"/>
    <w:rsid w:val="00B435A3"/>
    <w:rsid w:val="00B6010B"/>
    <w:rsid w:val="00B82F4D"/>
    <w:rsid w:val="00B84F91"/>
    <w:rsid w:val="00B90E3D"/>
    <w:rsid w:val="00BA439F"/>
    <w:rsid w:val="00BA6370"/>
    <w:rsid w:val="00BA7435"/>
    <w:rsid w:val="00BB437E"/>
    <w:rsid w:val="00BE287A"/>
    <w:rsid w:val="00BE2C2F"/>
    <w:rsid w:val="00BF413B"/>
    <w:rsid w:val="00BF4B92"/>
    <w:rsid w:val="00BF6164"/>
    <w:rsid w:val="00C01583"/>
    <w:rsid w:val="00C025D8"/>
    <w:rsid w:val="00C03B5B"/>
    <w:rsid w:val="00C047AC"/>
    <w:rsid w:val="00C06C0C"/>
    <w:rsid w:val="00C269D4"/>
    <w:rsid w:val="00C3170F"/>
    <w:rsid w:val="00C35B18"/>
    <w:rsid w:val="00C4160D"/>
    <w:rsid w:val="00C42A4A"/>
    <w:rsid w:val="00C53202"/>
    <w:rsid w:val="00C62FBD"/>
    <w:rsid w:val="00C64561"/>
    <w:rsid w:val="00C65F5E"/>
    <w:rsid w:val="00C72B82"/>
    <w:rsid w:val="00C802D4"/>
    <w:rsid w:val="00C8406E"/>
    <w:rsid w:val="00C944DE"/>
    <w:rsid w:val="00CA6C71"/>
    <w:rsid w:val="00CB1E66"/>
    <w:rsid w:val="00CB2709"/>
    <w:rsid w:val="00CB453C"/>
    <w:rsid w:val="00CB6A5B"/>
    <w:rsid w:val="00CB6F89"/>
    <w:rsid w:val="00CD3FB6"/>
    <w:rsid w:val="00CD520C"/>
    <w:rsid w:val="00CE15BA"/>
    <w:rsid w:val="00CE228C"/>
    <w:rsid w:val="00CE65CE"/>
    <w:rsid w:val="00CE6DDF"/>
    <w:rsid w:val="00CF545B"/>
    <w:rsid w:val="00CF7E57"/>
    <w:rsid w:val="00D02952"/>
    <w:rsid w:val="00D05B0F"/>
    <w:rsid w:val="00D10306"/>
    <w:rsid w:val="00D27D69"/>
    <w:rsid w:val="00D42CB0"/>
    <w:rsid w:val="00D43A56"/>
    <w:rsid w:val="00D448C2"/>
    <w:rsid w:val="00D5458D"/>
    <w:rsid w:val="00D6496E"/>
    <w:rsid w:val="00D666C3"/>
    <w:rsid w:val="00D72972"/>
    <w:rsid w:val="00D82C0F"/>
    <w:rsid w:val="00D91222"/>
    <w:rsid w:val="00D9403D"/>
    <w:rsid w:val="00DA19E4"/>
    <w:rsid w:val="00DB2EE1"/>
    <w:rsid w:val="00DC7261"/>
    <w:rsid w:val="00DF47FE"/>
    <w:rsid w:val="00E13523"/>
    <w:rsid w:val="00E26704"/>
    <w:rsid w:val="00E269D5"/>
    <w:rsid w:val="00E31980"/>
    <w:rsid w:val="00E31C7E"/>
    <w:rsid w:val="00E344F5"/>
    <w:rsid w:val="00E37F4F"/>
    <w:rsid w:val="00E61E58"/>
    <w:rsid w:val="00E6423C"/>
    <w:rsid w:val="00E74288"/>
    <w:rsid w:val="00E77419"/>
    <w:rsid w:val="00E93830"/>
    <w:rsid w:val="00E93E0E"/>
    <w:rsid w:val="00E948BF"/>
    <w:rsid w:val="00EA5FA1"/>
    <w:rsid w:val="00EB1ED3"/>
    <w:rsid w:val="00EC5849"/>
    <w:rsid w:val="00ED09C7"/>
    <w:rsid w:val="00ED402B"/>
    <w:rsid w:val="00EE11DC"/>
    <w:rsid w:val="00F004FD"/>
    <w:rsid w:val="00F077A9"/>
    <w:rsid w:val="00F25DC6"/>
    <w:rsid w:val="00F435D2"/>
    <w:rsid w:val="00F45EFE"/>
    <w:rsid w:val="00F6478F"/>
    <w:rsid w:val="00F7064C"/>
    <w:rsid w:val="00F92318"/>
    <w:rsid w:val="00FA0421"/>
    <w:rsid w:val="00FB13BC"/>
    <w:rsid w:val="00FB4612"/>
    <w:rsid w:val="00FB687C"/>
    <w:rsid w:val="00FC4051"/>
    <w:rsid w:val="00FC4C25"/>
    <w:rsid w:val="00FC75AA"/>
    <w:rsid w:val="00FE0767"/>
    <w:rsid w:val="00FE323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7A0E0E3"/>
  <w15:docId w15:val="{07CA0D9B-CFC5-4F25-8312-7E4D47C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3">
    <w:name w:val="Body Text Indent 3"/>
    <w:basedOn w:val="Normln"/>
    <w:link w:val="Zkladntextodsazen3Char"/>
    <w:semiHidden/>
    <w:unhideWhenUsed/>
    <w:rsid w:val="000B50A7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50A7"/>
    <w:rPr>
      <w:rFonts w:ascii="Arial" w:eastAsia="Times New Roman" w:hAnsi="Arial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9B76A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256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53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535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5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535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libor.holy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Anal&#253;za%20ENG_2022-02-08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ousova9707\Desktop\Anal&#253;za%20k%20RI%20PMZ_rozpracov&#225;no\GRAF_1_struktura%20populace_MP_AJ_MM_02_06_2022_des_teck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ousova9707\Desktop\GRAF2_nom-re&#225;l-mzda_AJ_MM_02_06_202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1255013648951"/>
          <c:y val="8.359679723578857E-2"/>
          <c:w val="0.48654597774777536"/>
          <c:h val="0.8201481776803217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4A-49DB-BE0E-2AED8D39EC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4A-49DB-BE0E-2AED8D39EC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4A-49DB-BE0E-2AED8D39EC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4A-49DB-BE0E-2AED8D39EC7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84A-49DB-BE0E-2AED8D39EC7A}"/>
              </c:ext>
            </c:extLst>
          </c:dPt>
          <c:dPt>
            <c:idx val="5"/>
            <c:bubble3D val="0"/>
            <c:explosion val="1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84A-49DB-BE0E-2AED8D39EC7A}"/>
              </c:ext>
            </c:extLst>
          </c:dPt>
          <c:dLbls>
            <c:dLbl>
              <c:idx val="4"/>
              <c:layout>
                <c:manualLayout>
                  <c:x val="-2.8495089799168361E-2"/>
                  <c:y val="-1.561204748294228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84A-49DB-BE0E-2AED8D39EC7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List1!$A$4:$A$9</c:f>
              <c:strCache>
                <c:ptCount val="6"/>
                <c:pt idx="0">
                  <c:v>employees (incl. members of producers´ cooperatives)</c:v>
                </c:pt>
                <c:pt idx="1">
                  <c:v>the self-employed without employees (own-account workers)</c:v>
                </c:pt>
                <c:pt idx="2">
                  <c:v>the self-employed with employees (employers)</c:v>
                </c:pt>
                <c:pt idx="3">
                  <c:v>contributing family workers</c:v>
                </c:pt>
                <c:pt idx="4">
                  <c:v>the unemployed</c:v>
                </c:pt>
                <c:pt idx="5">
                  <c:v>the inactive</c:v>
                </c:pt>
              </c:strCache>
            </c:strRef>
          </c:cat>
          <c:val>
            <c:numRef>
              <c:f>List1!$B$4:$B$9</c:f>
              <c:numCache>
                <c:formatCode>General</c:formatCode>
                <c:ptCount val="6"/>
                <c:pt idx="0">
                  <c:v>4329.7</c:v>
                </c:pt>
                <c:pt idx="1">
                  <c:v>657.4</c:v>
                </c:pt>
                <c:pt idx="2">
                  <c:v>128.69999999999999</c:v>
                </c:pt>
                <c:pt idx="3">
                  <c:v>24.9</c:v>
                </c:pt>
                <c:pt idx="4">
                  <c:v>130.30000000000001</c:v>
                </c:pt>
                <c:pt idx="5">
                  <c:v>3552.3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84A-49DB-BE0E-2AED8D39E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171562878795351"/>
          <c:y val="0.17386757035117445"/>
          <c:w val="0.35326559774521299"/>
          <c:h val="0.821041230605667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97051087947067"/>
          <c:y val="6.011628831301407E-2"/>
          <c:w val="0.85084330800331809"/>
          <c:h val="0.80667460191282669"/>
        </c:manualLayout>
      </c:layout>
      <c:lineChart>
        <c:grouping val="standard"/>
        <c:varyColors val="0"/>
        <c:ser>
          <c:idx val="0"/>
          <c:order val="0"/>
          <c:tx>
            <c:strRef>
              <c:f>graf!$C$1</c:f>
              <c:strCache>
                <c:ptCount val="1"/>
                <c:pt idx="0">
                  <c:v>nominal wage index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graf!$B$22:$B$62</c:f>
              <c:numCache>
                <c:formatCode>General</c:formatCode>
                <c:ptCount val="41"/>
                <c:pt idx="0">
                  <c:v>2012</c:v>
                </c:pt>
                <c:pt idx="4">
                  <c:v>2013</c:v>
                </c:pt>
                <c:pt idx="8">
                  <c:v>2014</c:v>
                </c:pt>
                <c:pt idx="12">
                  <c:v>2015</c:v>
                </c:pt>
                <c:pt idx="16">
                  <c:v>2016</c:v>
                </c:pt>
                <c:pt idx="20">
                  <c:v>2017</c:v>
                </c:pt>
                <c:pt idx="24">
                  <c:v>2018</c:v>
                </c:pt>
                <c:pt idx="28">
                  <c:v>2019</c:v>
                </c:pt>
                <c:pt idx="32">
                  <c:v>2020</c:v>
                </c:pt>
                <c:pt idx="36">
                  <c:v>2021</c:v>
                </c:pt>
                <c:pt idx="40">
                  <c:v>2022</c:v>
                </c:pt>
              </c:numCache>
            </c:numRef>
          </c:cat>
          <c:val>
            <c:numRef>
              <c:f>graf!$C$22:$C$62</c:f>
              <c:numCache>
                <c:formatCode>0</c:formatCode>
                <c:ptCount val="41"/>
                <c:pt idx="0">
                  <c:v>103.2</c:v>
                </c:pt>
                <c:pt idx="1">
                  <c:v>102.1</c:v>
                </c:pt>
                <c:pt idx="2">
                  <c:v>101.4</c:v>
                </c:pt>
                <c:pt idx="3">
                  <c:v>103.2</c:v>
                </c:pt>
                <c:pt idx="4">
                  <c:v>99.4</c:v>
                </c:pt>
                <c:pt idx="5">
                  <c:v>101</c:v>
                </c:pt>
                <c:pt idx="6">
                  <c:v>101.2</c:v>
                </c:pt>
                <c:pt idx="7">
                  <c:v>98</c:v>
                </c:pt>
                <c:pt idx="8">
                  <c:v>103.9</c:v>
                </c:pt>
                <c:pt idx="9">
                  <c:v>102.8</c:v>
                </c:pt>
                <c:pt idx="10">
                  <c:v>102.2</c:v>
                </c:pt>
                <c:pt idx="11">
                  <c:v>102.8</c:v>
                </c:pt>
                <c:pt idx="12">
                  <c:v>102.3</c:v>
                </c:pt>
                <c:pt idx="13">
                  <c:v>103.3</c:v>
                </c:pt>
                <c:pt idx="14">
                  <c:v>103.5</c:v>
                </c:pt>
                <c:pt idx="15">
                  <c:v>103.7</c:v>
                </c:pt>
                <c:pt idx="16">
                  <c:v>104.7</c:v>
                </c:pt>
                <c:pt idx="17">
                  <c:v>104</c:v>
                </c:pt>
                <c:pt idx="18">
                  <c:v>104.7</c:v>
                </c:pt>
                <c:pt idx="19">
                  <c:v>104.4</c:v>
                </c:pt>
                <c:pt idx="20">
                  <c:v>105.1</c:v>
                </c:pt>
                <c:pt idx="21">
                  <c:v>107.2</c:v>
                </c:pt>
                <c:pt idx="22">
                  <c:v>106.7</c:v>
                </c:pt>
                <c:pt idx="23">
                  <c:v>107.8</c:v>
                </c:pt>
                <c:pt idx="24">
                  <c:v>108.5</c:v>
                </c:pt>
                <c:pt idx="25">
                  <c:v>108.7</c:v>
                </c:pt>
                <c:pt idx="26">
                  <c:v>108.4</c:v>
                </c:pt>
                <c:pt idx="27">
                  <c:v>107.1</c:v>
                </c:pt>
                <c:pt idx="28">
                  <c:v>108.3</c:v>
                </c:pt>
                <c:pt idx="29">
                  <c:v>108</c:v>
                </c:pt>
                <c:pt idx="30">
                  <c:v>107.7</c:v>
                </c:pt>
                <c:pt idx="31">
                  <c:v>107.6</c:v>
                </c:pt>
                <c:pt idx="32">
                  <c:v>105.5</c:v>
                </c:pt>
                <c:pt idx="33">
                  <c:v>100.9</c:v>
                </c:pt>
                <c:pt idx="34">
                  <c:v>105.4</c:v>
                </c:pt>
                <c:pt idx="35">
                  <c:v>106.7</c:v>
                </c:pt>
                <c:pt idx="36">
                  <c:v>101.8</c:v>
                </c:pt>
                <c:pt idx="37">
                  <c:v>110.1</c:v>
                </c:pt>
                <c:pt idx="38">
                  <c:v>104.4</c:v>
                </c:pt>
                <c:pt idx="39">
                  <c:v>102.9</c:v>
                </c:pt>
                <c:pt idx="40">
                  <c:v>107.2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55-4136-8C9F-B5B45E135046}"/>
            </c:ext>
          </c:extLst>
        </c:ser>
        <c:ser>
          <c:idx val="1"/>
          <c:order val="1"/>
          <c:tx>
            <c:strRef>
              <c:f>graf!$D$1</c:f>
              <c:strCache>
                <c:ptCount val="1"/>
                <c:pt idx="0">
                  <c:v>real wage index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graf!$B$22:$B$62</c:f>
              <c:numCache>
                <c:formatCode>General</c:formatCode>
                <c:ptCount val="41"/>
                <c:pt idx="0">
                  <c:v>2012</c:v>
                </c:pt>
                <c:pt idx="4">
                  <c:v>2013</c:v>
                </c:pt>
                <c:pt idx="8">
                  <c:v>2014</c:v>
                </c:pt>
                <c:pt idx="12">
                  <c:v>2015</c:v>
                </c:pt>
                <c:pt idx="16">
                  <c:v>2016</c:v>
                </c:pt>
                <c:pt idx="20">
                  <c:v>2017</c:v>
                </c:pt>
                <c:pt idx="24">
                  <c:v>2018</c:v>
                </c:pt>
                <c:pt idx="28">
                  <c:v>2019</c:v>
                </c:pt>
                <c:pt idx="32">
                  <c:v>2020</c:v>
                </c:pt>
                <c:pt idx="36">
                  <c:v>2021</c:v>
                </c:pt>
                <c:pt idx="40">
                  <c:v>2022</c:v>
                </c:pt>
              </c:numCache>
            </c:numRef>
          </c:cat>
          <c:val>
            <c:numRef>
              <c:f>graf!$D$22:$D$62</c:f>
              <c:numCache>
                <c:formatCode>0</c:formatCode>
                <c:ptCount val="41"/>
                <c:pt idx="0">
                  <c:v>99.5</c:v>
                </c:pt>
                <c:pt idx="1">
                  <c:v>98.7</c:v>
                </c:pt>
                <c:pt idx="2">
                  <c:v>98.2</c:v>
                </c:pt>
                <c:pt idx="3">
                  <c:v>100.4</c:v>
                </c:pt>
                <c:pt idx="4">
                  <c:v>97.6</c:v>
                </c:pt>
                <c:pt idx="5">
                  <c:v>99.5</c:v>
                </c:pt>
                <c:pt idx="6">
                  <c:v>100</c:v>
                </c:pt>
                <c:pt idx="7">
                  <c:v>96.9</c:v>
                </c:pt>
                <c:pt idx="8">
                  <c:v>103.7</c:v>
                </c:pt>
                <c:pt idx="9">
                  <c:v>102.6</c:v>
                </c:pt>
                <c:pt idx="10">
                  <c:v>101.6</c:v>
                </c:pt>
                <c:pt idx="11">
                  <c:v>102.3</c:v>
                </c:pt>
                <c:pt idx="12">
                  <c:v>102.2</c:v>
                </c:pt>
                <c:pt idx="13">
                  <c:v>102.6</c:v>
                </c:pt>
                <c:pt idx="14">
                  <c:v>103.1</c:v>
                </c:pt>
                <c:pt idx="15">
                  <c:v>103.6</c:v>
                </c:pt>
                <c:pt idx="16">
                  <c:v>104.2</c:v>
                </c:pt>
                <c:pt idx="17">
                  <c:v>103.8</c:v>
                </c:pt>
                <c:pt idx="18">
                  <c:v>104.2</c:v>
                </c:pt>
                <c:pt idx="19">
                  <c:v>103</c:v>
                </c:pt>
                <c:pt idx="20">
                  <c:v>102.6</c:v>
                </c:pt>
                <c:pt idx="21">
                  <c:v>104.9</c:v>
                </c:pt>
                <c:pt idx="22">
                  <c:v>104.1</c:v>
                </c:pt>
                <c:pt idx="23">
                  <c:v>105.1</c:v>
                </c:pt>
                <c:pt idx="24">
                  <c:v>106.5</c:v>
                </c:pt>
                <c:pt idx="25">
                  <c:v>106.3</c:v>
                </c:pt>
                <c:pt idx="26">
                  <c:v>105.9</c:v>
                </c:pt>
                <c:pt idx="27">
                  <c:v>104.9</c:v>
                </c:pt>
                <c:pt idx="28">
                  <c:v>105.5</c:v>
                </c:pt>
                <c:pt idx="29">
                  <c:v>105.1</c:v>
                </c:pt>
                <c:pt idx="30">
                  <c:v>104.8</c:v>
                </c:pt>
                <c:pt idx="31">
                  <c:v>104.5</c:v>
                </c:pt>
                <c:pt idx="32">
                  <c:v>101.8</c:v>
                </c:pt>
                <c:pt idx="33">
                  <c:v>97.9</c:v>
                </c:pt>
                <c:pt idx="34">
                  <c:v>102</c:v>
                </c:pt>
                <c:pt idx="35">
                  <c:v>104</c:v>
                </c:pt>
                <c:pt idx="36">
                  <c:v>99.6</c:v>
                </c:pt>
                <c:pt idx="37">
                  <c:v>107</c:v>
                </c:pt>
                <c:pt idx="38">
                  <c:v>100.3</c:v>
                </c:pt>
                <c:pt idx="39">
                  <c:v>97</c:v>
                </c:pt>
                <c:pt idx="40">
                  <c:v>96.4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55-4136-8C9F-B5B45E135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237696"/>
        <c:axId val="327938464"/>
      </c:lineChart>
      <c:catAx>
        <c:axId val="29723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27938464"/>
        <c:crosses val="autoZero"/>
        <c:auto val="1"/>
        <c:lblAlgn val="ctr"/>
        <c:lblOffset val="100"/>
        <c:noMultiLvlLbl val="0"/>
      </c:catAx>
      <c:valAx>
        <c:axId val="327938464"/>
        <c:scaling>
          <c:orientation val="minMax"/>
          <c:max val="112"/>
          <c:min val="9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index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97237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029945872388187"/>
          <c:y val="0.68493115581253294"/>
          <c:w val="0.37126124853686848"/>
          <c:h val="0.1490248642361663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0.79474</cdr:x>
      <cdr:y>0.02743</cdr:y>
    </cdr:from>
    <cdr:to>
      <cdr:x>0.97755</cdr:x>
      <cdr:y>0.10698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032250" y="82550"/>
          <a:ext cx="927521" cy="239443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0.12899</cdr:x>
      <cdr:y>0.08126</cdr:y>
    </cdr:from>
    <cdr:to>
      <cdr:x>0.27938</cdr:x>
      <cdr:y>0.14509</cdr:y>
    </cdr:to>
    <cdr:pic>
      <cdr:nvPicPr>
        <cdr:cNvPr id="3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95511" y="310752"/>
          <a:ext cx="927521" cy="244104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44DD-1417-4D80-A98A-67EDCB5A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ENG_2022-02-08.dotx</Template>
  <TotalTime>405</TotalTime>
  <Pages>6</Pages>
  <Words>2206</Words>
  <Characters>11338</Characters>
  <Application>Microsoft Office Word</Application>
  <DocSecurity>0</DocSecurity>
  <Lines>198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13574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208</cp:revision>
  <dcterms:created xsi:type="dcterms:W3CDTF">2022-06-02T13:51:00Z</dcterms:created>
  <dcterms:modified xsi:type="dcterms:W3CDTF">2022-06-06T06:18:00Z</dcterms:modified>
</cp:coreProperties>
</file>