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8" w:rsidRDefault="00591CC8" w:rsidP="00591CC8">
      <w:pPr>
        <w:pStyle w:val="Datum"/>
      </w:pPr>
      <w:r>
        <w:t>10. 2. 2023</w:t>
      </w:r>
    </w:p>
    <w:p w:rsidR="00591CC8" w:rsidRPr="00A56C80" w:rsidRDefault="00591CC8" w:rsidP="00591CC8">
      <w:pPr>
        <w:pStyle w:val="Nzev"/>
      </w:pPr>
      <w:r>
        <w:t>Vývoj indexů cen vývozu a dovozu zboží ve 4. čtvrtletí 2022 a v roce 2022</w:t>
      </w:r>
    </w:p>
    <w:p w:rsidR="00591CC8" w:rsidRPr="0027281C" w:rsidRDefault="00591CC8" w:rsidP="00591CC8">
      <w:pPr>
        <w:pStyle w:val="Perex"/>
        <w:spacing w:after="0"/>
        <w:rPr>
          <w:szCs w:val="20"/>
        </w:rPr>
      </w:pPr>
      <w:r>
        <w:t>Vývozní ceny se</w:t>
      </w:r>
      <w:r w:rsidR="00341ACE">
        <w:t> </w:t>
      </w:r>
      <w:r>
        <w:t>ve 4.</w:t>
      </w:r>
      <w:r w:rsidR="00341ACE">
        <w:t> </w:t>
      </w:r>
      <w:r>
        <w:t>čtvrtletí 2022 proti 3.</w:t>
      </w:r>
      <w:r w:rsidR="00341ACE">
        <w:t> </w:t>
      </w:r>
      <w:r>
        <w:t xml:space="preserve">čtvrtletí 2022 snížily </w:t>
      </w:r>
      <w:r w:rsidRPr="0027281C">
        <w:rPr>
          <w:szCs w:val="20"/>
        </w:rPr>
        <w:t>o</w:t>
      </w:r>
      <w:r>
        <w:rPr>
          <w:szCs w:val="20"/>
        </w:rPr>
        <w:t> 1</w:t>
      </w:r>
      <w:r w:rsidRPr="0027281C">
        <w:rPr>
          <w:szCs w:val="20"/>
        </w:rPr>
        <w:t>,</w:t>
      </w:r>
      <w:r>
        <w:rPr>
          <w:szCs w:val="20"/>
        </w:rPr>
        <w:t>6</w:t>
      </w:r>
      <w:r w:rsidRPr="0027281C">
        <w:rPr>
          <w:szCs w:val="20"/>
        </w:rPr>
        <w:t> %</w:t>
      </w:r>
      <w:r>
        <w:rPr>
          <w:szCs w:val="20"/>
        </w:rPr>
        <w:t>, m</w:t>
      </w:r>
      <w:r w:rsidRPr="0027281C">
        <w:rPr>
          <w:szCs w:val="20"/>
        </w:rPr>
        <w:t xml:space="preserve">eziročně </w:t>
      </w:r>
      <w:r w:rsidR="0041341E">
        <w:rPr>
          <w:szCs w:val="20"/>
        </w:rPr>
        <w:t>se</w:t>
      </w:r>
      <w:r w:rsidR="00D97438">
        <w:rPr>
          <w:szCs w:val="20"/>
        </w:rPr>
        <w:t> </w:t>
      </w:r>
      <w:r>
        <w:rPr>
          <w:szCs w:val="20"/>
        </w:rPr>
        <w:t>ve 4. čtvrtletí</w:t>
      </w:r>
      <w:r w:rsidRPr="0027281C">
        <w:rPr>
          <w:szCs w:val="20"/>
        </w:rPr>
        <w:t xml:space="preserve"> </w:t>
      </w:r>
      <w:r w:rsidR="0041341E">
        <w:rPr>
          <w:szCs w:val="20"/>
        </w:rPr>
        <w:t xml:space="preserve">2022 </w:t>
      </w:r>
      <w:r>
        <w:rPr>
          <w:szCs w:val="20"/>
        </w:rPr>
        <w:t xml:space="preserve">zvýšily </w:t>
      </w:r>
      <w:r w:rsidRPr="0027281C">
        <w:rPr>
          <w:szCs w:val="20"/>
        </w:rPr>
        <w:t>o </w:t>
      </w:r>
      <w:r>
        <w:rPr>
          <w:szCs w:val="20"/>
        </w:rPr>
        <w:t>9,8</w:t>
      </w:r>
      <w:r w:rsidRPr="0027281C">
        <w:rPr>
          <w:szCs w:val="20"/>
        </w:rPr>
        <w:t> %</w:t>
      </w:r>
      <w:r>
        <w:rPr>
          <w:szCs w:val="20"/>
        </w:rPr>
        <w:t>. Dovozní ceny</w:t>
      </w:r>
      <w:r>
        <w:t xml:space="preserve"> ve 4. čtvrtletí 2022 proti 3.</w:t>
      </w:r>
      <w:r w:rsidR="00341ACE">
        <w:t> </w:t>
      </w:r>
      <w:r>
        <w:t xml:space="preserve">čtvrtletí 2022 poklesly </w:t>
      </w:r>
      <w:r>
        <w:rPr>
          <w:szCs w:val="20"/>
        </w:rPr>
        <w:t>o 4,1 %, m</w:t>
      </w:r>
      <w:r w:rsidRPr="0027281C">
        <w:rPr>
          <w:szCs w:val="20"/>
        </w:rPr>
        <w:t xml:space="preserve">eziročně </w:t>
      </w:r>
      <w:r>
        <w:rPr>
          <w:szCs w:val="20"/>
        </w:rPr>
        <w:t>ve 4.</w:t>
      </w:r>
      <w:r w:rsidR="00341ACE">
        <w:rPr>
          <w:szCs w:val="20"/>
        </w:rPr>
        <w:t> </w:t>
      </w:r>
      <w:r>
        <w:rPr>
          <w:szCs w:val="20"/>
        </w:rPr>
        <w:t>čtvrtletí</w:t>
      </w:r>
      <w:r w:rsidRPr="0027281C">
        <w:rPr>
          <w:szCs w:val="20"/>
        </w:rPr>
        <w:t xml:space="preserve"> </w:t>
      </w:r>
      <w:r>
        <w:rPr>
          <w:szCs w:val="20"/>
        </w:rPr>
        <w:t xml:space="preserve">2022 vzrostly </w:t>
      </w:r>
      <w:r w:rsidRPr="0027281C">
        <w:rPr>
          <w:szCs w:val="20"/>
        </w:rPr>
        <w:t>o</w:t>
      </w:r>
      <w:r>
        <w:rPr>
          <w:szCs w:val="20"/>
        </w:rPr>
        <w:t> 11,8 %. S</w:t>
      </w:r>
      <w:r w:rsidRPr="0027281C">
        <w:rPr>
          <w:szCs w:val="20"/>
        </w:rPr>
        <w:t xml:space="preserve">měnné relace dosáhly </w:t>
      </w:r>
      <w:r>
        <w:t>ve 4.</w:t>
      </w:r>
      <w:r w:rsidR="00341ACE">
        <w:t> </w:t>
      </w:r>
      <w:r>
        <w:t>čtvrtletí 2022 proti 3.</w:t>
      </w:r>
      <w:r w:rsidR="00341ACE">
        <w:t> </w:t>
      </w:r>
      <w:r>
        <w:t xml:space="preserve">čtvrtletí 2022 </w:t>
      </w:r>
      <w:r w:rsidRPr="0027281C">
        <w:rPr>
          <w:szCs w:val="20"/>
        </w:rPr>
        <w:t xml:space="preserve">hodnoty </w:t>
      </w:r>
      <w:r w:rsidR="002D3C0A">
        <w:rPr>
          <w:szCs w:val="20"/>
        </w:rPr>
        <w:t>102,6</w:t>
      </w:r>
      <w:r w:rsidR="00341ACE">
        <w:rPr>
          <w:szCs w:val="20"/>
        </w:rPr>
        <w:t> </w:t>
      </w:r>
      <w:r>
        <w:rPr>
          <w:szCs w:val="20"/>
        </w:rPr>
        <w:t>%, meziro</w:t>
      </w:r>
      <w:r w:rsidR="002D3C0A">
        <w:rPr>
          <w:szCs w:val="20"/>
        </w:rPr>
        <w:t>čně ve 4</w:t>
      </w:r>
      <w:r>
        <w:rPr>
          <w:szCs w:val="20"/>
        </w:rPr>
        <w:t>.</w:t>
      </w:r>
      <w:r w:rsidR="00341ACE">
        <w:rPr>
          <w:szCs w:val="20"/>
        </w:rPr>
        <w:t> </w:t>
      </w:r>
      <w:r>
        <w:rPr>
          <w:szCs w:val="20"/>
        </w:rPr>
        <w:t>čtvrtletí</w:t>
      </w:r>
      <w:r w:rsidRPr="0027281C">
        <w:rPr>
          <w:szCs w:val="20"/>
        </w:rPr>
        <w:t xml:space="preserve"> </w:t>
      </w:r>
      <w:r>
        <w:rPr>
          <w:szCs w:val="20"/>
        </w:rPr>
        <w:t xml:space="preserve">2022 hodnoty </w:t>
      </w:r>
      <w:r w:rsidR="002D3C0A">
        <w:rPr>
          <w:szCs w:val="20"/>
        </w:rPr>
        <w:t>98,2</w:t>
      </w:r>
      <w:r w:rsidR="00341ACE">
        <w:rPr>
          <w:szCs w:val="20"/>
        </w:rPr>
        <w:t> </w:t>
      </w:r>
      <w:r>
        <w:rPr>
          <w:szCs w:val="20"/>
        </w:rPr>
        <w:t>%.</w:t>
      </w:r>
      <w:r w:rsidR="00165461">
        <w:rPr>
          <w:szCs w:val="20"/>
        </w:rPr>
        <w:t xml:space="preserve"> </w:t>
      </w:r>
      <w:r>
        <w:rPr>
          <w:szCs w:val="20"/>
        </w:rPr>
        <w:t>V</w:t>
      </w:r>
      <w:r w:rsidR="00D97438">
        <w:rPr>
          <w:szCs w:val="20"/>
        </w:rPr>
        <w:t> </w:t>
      </w:r>
      <w:r>
        <w:rPr>
          <w:szCs w:val="20"/>
        </w:rPr>
        <w:t>průměru za</w:t>
      </w:r>
      <w:r w:rsidR="00341ACE">
        <w:rPr>
          <w:szCs w:val="20"/>
        </w:rPr>
        <w:t> </w:t>
      </w:r>
      <w:r>
        <w:rPr>
          <w:szCs w:val="20"/>
        </w:rPr>
        <w:t>celý rok 2022 v</w:t>
      </w:r>
      <w:r w:rsidR="00341ACE">
        <w:rPr>
          <w:szCs w:val="20"/>
        </w:rPr>
        <w:t> </w:t>
      </w:r>
      <w:r>
        <w:rPr>
          <w:szCs w:val="20"/>
        </w:rPr>
        <w:t>porovnání s</w:t>
      </w:r>
      <w:r w:rsidR="00341ACE">
        <w:rPr>
          <w:szCs w:val="20"/>
        </w:rPr>
        <w:t> </w:t>
      </w:r>
      <w:r>
        <w:rPr>
          <w:szCs w:val="20"/>
        </w:rPr>
        <w:t>rokem 2021 se</w:t>
      </w:r>
      <w:r w:rsidR="00341ACE">
        <w:rPr>
          <w:szCs w:val="20"/>
        </w:rPr>
        <w:t> </w:t>
      </w:r>
      <w:r>
        <w:rPr>
          <w:szCs w:val="20"/>
        </w:rPr>
        <w:t>ceny vývozu zvýšily o</w:t>
      </w:r>
      <w:r w:rsidR="00341ACE">
        <w:rPr>
          <w:szCs w:val="20"/>
        </w:rPr>
        <w:t> </w:t>
      </w:r>
      <w:r>
        <w:rPr>
          <w:szCs w:val="20"/>
        </w:rPr>
        <w:t>12,7</w:t>
      </w:r>
      <w:r w:rsidR="00341ACE">
        <w:rPr>
          <w:szCs w:val="20"/>
        </w:rPr>
        <w:t> </w:t>
      </w:r>
      <w:r w:rsidRPr="00914CBB">
        <w:rPr>
          <w:szCs w:val="20"/>
        </w:rPr>
        <w:t xml:space="preserve">%, ceny </w:t>
      </w:r>
      <w:r>
        <w:rPr>
          <w:szCs w:val="20"/>
        </w:rPr>
        <w:t>dovozu</w:t>
      </w:r>
      <w:r w:rsidRPr="00914CBB">
        <w:rPr>
          <w:szCs w:val="20"/>
        </w:rPr>
        <w:t xml:space="preserve"> </w:t>
      </w:r>
      <w:r>
        <w:rPr>
          <w:szCs w:val="20"/>
        </w:rPr>
        <w:t>o</w:t>
      </w:r>
      <w:r w:rsidR="00341ACE">
        <w:rPr>
          <w:szCs w:val="20"/>
        </w:rPr>
        <w:t> </w:t>
      </w:r>
      <w:r>
        <w:rPr>
          <w:szCs w:val="20"/>
        </w:rPr>
        <w:t>17,2</w:t>
      </w:r>
      <w:r w:rsidR="00341ACE">
        <w:rPr>
          <w:szCs w:val="20"/>
        </w:rPr>
        <w:t> </w:t>
      </w:r>
      <w:r>
        <w:rPr>
          <w:szCs w:val="20"/>
        </w:rPr>
        <w:t>% a</w:t>
      </w:r>
      <w:r w:rsidR="00341ACE">
        <w:rPr>
          <w:szCs w:val="20"/>
        </w:rPr>
        <w:t> </w:t>
      </w:r>
      <w:r>
        <w:rPr>
          <w:szCs w:val="20"/>
        </w:rPr>
        <w:t>směnné relace činily 96,2</w:t>
      </w:r>
      <w:r w:rsidR="00341ACE">
        <w:rPr>
          <w:szCs w:val="20"/>
        </w:rPr>
        <w:t> </w:t>
      </w:r>
      <w:r w:rsidRPr="00914CBB">
        <w:rPr>
          <w:szCs w:val="20"/>
        </w:rPr>
        <w:t>%.</w:t>
      </w:r>
    </w:p>
    <w:p w:rsidR="00591CC8" w:rsidRPr="00EF2738" w:rsidRDefault="00591CC8" w:rsidP="00591CC8"/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:rsidR="00591CC8" w:rsidRDefault="00591CC8" w:rsidP="00591CC8">
      <w:pPr>
        <w:rPr>
          <w:szCs w:val="20"/>
        </w:rPr>
      </w:pPr>
      <w:r>
        <w:rPr>
          <w:b/>
        </w:rPr>
        <w:t xml:space="preserve">Mezičtvrtletně </w:t>
      </w:r>
      <w:r>
        <w:t>(4. čtvrtletí</w:t>
      </w:r>
      <w:r w:rsidRPr="00106E61">
        <w:t xml:space="preserve"> 2022</w:t>
      </w:r>
      <w:r w:rsidRPr="00795A17">
        <w:t xml:space="preserve"> proti </w:t>
      </w:r>
      <w:r>
        <w:t>3. čtvrtletí 2022)</w:t>
      </w:r>
      <w:r w:rsidRPr="00795A17">
        <w:t xml:space="preserve"> </w:t>
      </w:r>
      <w:r>
        <w:t>se snížily o 1,6 %. Nejvíce se snížily ceny minerálních paliv o 9,1 % (elektřiny, ropných výrobků a uhlí), ostatních surovin</w:t>
      </w:r>
      <w:r>
        <w:rPr>
          <w:rStyle w:val="Znakapoznpodarou"/>
        </w:rPr>
        <w:footnoteReference w:id="1"/>
      </w:r>
      <w:r w:rsidR="00AA1159">
        <w:t xml:space="preserve"> o 7,3 % (především dřeva a</w:t>
      </w:r>
      <w:r>
        <w:t xml:space="preserve"> sběrového papíru) a chemikálií o 4,0 % (zvláště organických chemikálií</w:t>
      </w:r>
      <w:r w:rsidR="00AA1159">
        <w:t xml:space="preserve"> a plastů</w:t>
      </w:r>
      <w:r>
        <w:t>). Rostly pouze ceny nápojů o 4,3 % a potravin o 2,0 %</w:t>
      </w:r>
      <w:r w:rsidR="00AA1159">
        <w:t xml:space="preserve"> (zejména cukru). Ceny strojů a </w:t>
      </w:r>
      <w:r>
        <w:t xml:space="preserve">dopravních prostředků zůstaly beze změny. </w:t>
      </w:r>
    </w:p>
    <w:p w:rsidR="00591CC8" w:rsidRDefault="00591CC8" w:rsidP="00EC45BB">
      <w:pPr>
        <w:rPr>
          <w:szCs w:val="20"/>
        </w:rPr>
      </w:pPr>
      <w:r w:rsidRPr="002522EC">
        <w:rPr>
          <w:b/>
        </w:rPr>
        <w:t xml:space="preserve">Meziročně </w:t>
      </w:r>
      <w:r>
        <w:t xml:space="preserve">ve 4. čtvrtletí 2022 rostly o 9,8 % (ve 3. čtvrtletí 2022 o 14,9 %). Nejvíce se zvýšily </w:t>
      </w:r>
      <w:r w:rsidR="00AA1159">
        <w:t xml:space="preserve">ceny minerálních paliv o 64,3 % </w:t>
      </w:r>
      <w:r>
        <w:t>(elektřiny, plynu, ropných výrobků</w:t>
      </w:r>
      <w:r w:rsidRPr="00EB5DB3">
        <w:t xml:space="preserve"> </w:t>
      </w:r>
      <w:r>
        <w:t>a uhlí), potravin o 20,8 % (zvláště obilovin</w:t>
      </w:r>
      <w:r w:rsidR="00AA1159">
        <w:t>, mléčných výrobků a vajec</w:t>
      </w:r>
      <w:r>
        <w:t>) a polotovarů</w:t>
      </w:r>
      <w:r>
        <w:rPr>
          <w:rStyle w:val="Znakapoznpodarou"/>
        </w:rPr>
        <w:footnoteReference w:id="2"/>
      </w:r>
      <w:r>
        <w:t xml:space="preserve"> o 14,0 % (především kovových výrobků</w:t>
      </w:r>
      <w:r w:rsidR="00AA1159">
        <w:t>, železa a oceli</w:t>
      </w:r>
      <w:r>
        <w:t>). Klesly pouze ceny ostatních surovin o 1,6 % (zejména kovového odpadu a dřeva).</w:t>
      </w:r>
    </w:p>
    <w:p w:rsidR="00EC45BB" w:rsidRDefault="0041341E" w:rsidP="00EC45BB">
      <w:pPr>
        <w:rPr>
          <w:szCs w:val="20"/>
        </w:rPr>
      </w:pPr>
      <w:r w:rsidRPr="0065202B">
        <w:rPr>
          <w:b/>
          <w:szCs w:val="20"/>
        </w:rPr>
        <w:t>V</w:t>
      </w:r>
      <w:r>
        <w:rPr>
          <w:b/>
          <w:szCs w:val="20"/>
        </w:rPr>
        <w:t> </w:t>
      </w:r>
      <w:r w:rsidRPr="0065202B">
        <w:rPr>
          <w:b/>
          <w:szCs w:val="20"/>
        </w:rPr>
        <w:t>průměru za</w:t>
      </w:r>
      <w:r>
        <w:rPr>
          <w:b/>
          <w:szCs w:val="20"/>
        </w:rPr>
        <w:t> </w:t>
      </w:r>
      <w:r w:rsidRPr="0065202B">
        <w:rPr>
          <w:b/>
          <w:szCs w:val="20"/>
        </w:rPr>
        <w:t>celý rok 2022</w:t>
      </w:r>
      <w:r w:rsidRPr="0065202B">
        <w:rPr>
          <w:szCs w:val="20"/>
        </w:rPr>
        <w:t xml:space="preserve"> v</w:t>
      </w:r>
      <w:r>
        <w:rPr>
          <w:szCs w:val="20"/>
        </w:rPr>
        <w:t> </w:t>
      </w:r>
      <w:r w:rsidRPr="0065202B">
        <w:rPr>
          <w:szCs w:val="20"/>
        </w:rPr>
        <w:t>porovnání s</w:t>
      </w:r>
      <w:r>
        <w:rPr>
          <w:szCs w:val="20"/>
        </w:rPr>
        <w:t> </w:t>
      </w:r>
      <w:r w:rsidRPr="0065202B">
        <w:rPr>
          <w:szCs w:val="20"/>
        </w:rPr>
        <w:t>rokem 2021 se</w:t>
      </w:r>
      <w:r>
        <w:rPr>
          <w:szCs w:val="20"/>
        </w:rPr>
        <w:t> </w:t>
      </w:r>
      <w:r w:rsidRPr="0065202B">
        <w:rPr>
          <w:szCs w:val="20"/>
        </w:rPr>
        <w:t>zvýšily o</w:t>
      </w:r>
      <w:r>
        <w:rPr>
          <w:szCs w:val="20"/>
        </w:rPr>
        <w:t> </w:t>
      </w:r>
      <w:r w:rsidRPr="0065202B">
        <w:rPr>
          <w:szCs w:val="20"/>
        </w:rPr>
        <w:t>12,7</w:t>
      </w:r>
      <w:r>
        <w:rPr>
          <w:szCs w:val="20"/>
        </w:rPr>
        <w:t> </w:t>
      </w:r>
      <w:r w:rsidRPr="0065202B">
        <w:rPr>
          <w:szCs w:val="20"/>
        </w:rPr>
        <w:t>% (za</w:t>
      </w:r>
      <w:r>
        <w:rPr>
          <w:szCs w:val="20"/>
        </w:rPr>
        <w:t> </w:t>
      </w:r>
      <w:r w:rsidRPr="0065202B">
        <w:rPr>
          <w:szCs w:val="20"/>
        </w:rPr>
        <w:t>rok 2021 o</w:t>
      </w:r>
      <w:r>
        <w:rPr>
          <w:szCs w:val="20"/>
        </w:rPr>
        <w:t> </w:t>
      </w:r>
      <w:r w:rsidRPr="0065202B">
        <w:rPr>
          <w:szCs w:val="20"/>
        </w:rPr>
        <w:t>5,8</w:t>
      </w:r>
      <w:r>
        <w:rPr>
          <w:szCs w:val="20"/>
        </w:rPr>
        <w:t> </w:t>
      </w:r>
      <w:r w:rsidRPr="0065202B">
        <w:rPr>
          <w:szCs w:val="20"/>
        </w:rPr>
        <w:t>%)</w:t>
      </w:r>
      <w:r>
        <w:rPr>
          <w:szCs w:val="20"/>
        </w:rPr>
        <w:t>, nejvíce rostl</w:t>
      </w:r>
      <w:r w:rsidRPr="00F73F46">
        <w:rPr>
          <w:szCs w:val="20"/>
        </w:rPr>
        <w:t>y ceny minerálních paliv o</w:t>
      </w:r>
      <w:r>
        <w:rPr>
          <w:szCs w:val="20"/>
        </w:rPr>
        <w:t> </w:t>
      </w:r>
      <w:r w:rsidRPr="00F73F46">
        <w:rPr>
          <w:szCs w:val="20"/>
        </w:rPr>
        <w:t>120,1</w:t>
      </w:r>
      <w:r>
        <w:rPr>
          <w:szCs w:val="20"/>
        </w:rPr>
        <w:t> </w:t>
      </w:r>
      <w:r w:rsidRPr="00F73F46">
        <w:rPr>
          <w:szCs w:val="20"/>
        </w:rPr>
        <w:t>% (elektřiny, uhlí, ropných výrobků a</w:t>
      </w:r>
      <w:r>
        <w:rPr>
          <w:szCs w:val="20"/>
        </w:rPr>
        <w:t> </w:t>
      </w:r>
      <w:r w:rsidRPr="00F73F46">
        <w:rPr>
          <w:szCs w:val="20"/>
        </w:rPr>
        <w:t>plynu), potravin o</w:t>
      </w:r>
      <w:r>
        <w:rPr>
          <w:szCs w:val="20"/>
        </w:rPr>
        <w:t> </w:t>
      </w:r>
      <w:r w:rsidRPr="00F73F46">
        <w:rPr>
          <w:szCs w:val="20"/>
        </w:rPr>
        <w:t>21,3</w:t>
      </w:r>
      <w:r>
        <w:rPr>
          <w:szCs w:val="20"/>
        </w:rPr>
        <w:t> </w:t>
      </w:r>
      <w:r w:rsidRPr="00F73F46">
        <w:rPr>
          <w:szCs w:val="20"/>
        </w:rPr>
        <w:t>% (zejména obilovin) a</w:t>
      </w:r>
      <w:r>
        <w:rPr>
          <w:szCs w:val="20"/>
        </w:rPr>
        <w:t> </w:t>
      </w:r>
      <w:r w:rsidRPr="00F73F46">
        <w:rPr>
          <w:szCs w:val="20"/>
        </w:rPr>
        <w:t>polotovarů o</w:t>
      </w:r>
      <w:r>
        <w:rPr>
          <w:szCs w:val="20"/>
        </w:rPr>
        <w:t> </w:t>
      </w:r>
      <w:r w:rsidRPr="00F73F46">
        <w:rPr>
          <w:szCs w:val="20"/>
        </w:rPr>
        <w:t>18,9</w:t>
      </w:r>
      <w:r>
        <w:rPr>
          <w:szCs w:val="20"/>
        </w:rPr>
        <w:t> </w:t>
      </w:r>
      <w:r w:rsidRPr="00F73F46">
        <w:rPr>
          <w:szCs w:val="20"/>
        </w:rPr>
        <w:t>% (především kovových výrobků). Ceny neklesly v</w:t>
      </w:r>
      <w:r>
        <w:rPr>
          <w:szCs w:val="20"/>
        </w:rPr>
        <w:t> </w:t>
      </w:r>
      <w:r w:rsidRPr="00F73F46">
        <w:rPr>
          <w:szCs w:val="20"/>
        </w:rPr>
        <w:t>žádné ze</w:t>
      </w:r>
      <w:r>
        <w:rPr>
          <w:szCs w:val="20"/>
        </w:rPr>
        <w:t> </w:t>
      </w:r>
      <w:r w:rsidRPr="00F73F46">
        <w:rPr>
          <w:szCs w:val="20"/>
        </w:rPr>
        <w:t>sledovaných skupin SITC</w:t>
      </w:r>
      <w:r>
        <w:rPr>
          <w:szCs w:val="20"/>
        </w:rPr>
        <w:t> </w:t>
      </w:r>
      <w:r w:rsidRPr="00F73F46">
        <w:rPr>
          <w:szCs w:val="20"/>
        </w:rPr>
        <w:t>1.</w:t>
      </w:r>
    </w:p>
    <w:p w:rsidR="0041341E" w:rsidRDefault="0041341E" w:rsidP="00EC45BB">
      <w:pPr>
        <w:rPr>
          <w:szCs w:val="20"/>
        </w:rPr>
      </w:pPr>
    </w:p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:rsidR="00591CC8" w:rsidRDefault="00591CC8" w:rsidP="00591CC8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>
        <w:t>(4. čtvrtletí</w:t>
      </w:r>
      <w:r w:rsidRPr="00106E61">
        <w:t xml:space="preserve"> 2022</w:t>
      </w:r>
      <w:r w:rsidRPr="00795A17">
        <w:t xml:space="preserve"> proti </w:t>
      </w:r>
      <w:r>
        <w:t>3. čtvrtletí 2022)</w:t>
      </w:r>
      <w:r w:rsidRPr="00795A17">
        <w:t xml:space="preserve"> </w:t>
      </w:r>
      <w:r>
        <w:t>se snížily o 4,1 %</w:t>
      </w:r>
      <w:r w:rsidRPr="00945CA2">
        <w:t>.</w:t>
      </w:r>
      <w:r>
        <w:t xml:space="preserve"> Ceny minerálních paliv klesly o 20,0 % (ropy, ro</w:t>
      </w:r>
      <w:r w:rsidR="0049361E">
        <w:t>pných výrobků, plynu, elektřiny</w:t>
      </w:r>
      <w:r>
        <w:t xml:space="preserve"> a uhlí), ostatních surovin o 7,7 % (zejména rud kovů</w:t>
      </w:r>
      <w:r w:rsidR="00EC45BB">
        <w:t xml:space="preserve"> a</w:t>
      </w:r>
      <w:r w:rsidR="00C42393">
        <w:t xml:space="preserve"> kovového odpadu</w:t>
      </w:r>
      <w:r>
        <w:t xml:space="preserve"> a dřeva) a chemikálií o 3,1 % (zvláště plastů). </w:t>
      </w:r>
      <w:r w:rsidR="00AA1159">
        <w:t>Zvýšily</w:t>
      </w:r>
      <w:r w:rsidR="00BD6E59">
        <w:t xml:space="preserve"> </w:t>
      </w:r>
      <w:r w:rsidR="00AA1159">
        <w:t>se c</w:t>
      </w:r>
      <w:r w:rsidRPr="00BD0447">
        <w:t>eny</w:t>
      </w:r>
      <w:r w:rsidR="00BD6E59">
        <w:t xml:space="preserve"> nápojů a tabáku </w:t>
      </w:r>
      <w:r>
        <w:t>o 4,7 %, průmyslového spotřebního zboží o 2,4 % a potravin o 1,8 %</w:t>
      </w:r>
      <w:r w:rsidR="00641E91">
        <w:t>.</w:t>
      </w:r>
    </w:p>
    <w:p w:rsidR="00591CC8" w:rsidRDefault="00591CC8" w:rsidP="00591CC8">
      <w:pPr>
        <w:rPr>
          <w:szCs w:val="20"/>
        </w:rPr>
      </w:pPr>
      <w:r w:rsidRPr="002522EC">
        <w:rPr>
          <w:b/>
        </w:rPr>
        <w:t xml:space="preserve">Meziročně </w:t>
      </w:r>
      <w:r>
        <w:t>ve 4. čtvrtlet</w:t>
      </w:r>
      <w:r w:rsidR="00C42393">
        <w:t xml:space="preserve">í 2022 </w:t>
      </w:r>
      <w:r w:rsidR="0041341E">
        <w:t>rostl</w:t>
      </w:r>
      <w:r w:rsidR="00C42393">
        <w:t>y o 11,8 % (ve 3</w:t>
      </w:r>
      <w:r>
        <w:t>. čtvrtletí 2022 o 21,8 %</w:t>
      </w:r>
      <w:r w:rsidRPr="00336AD0">
        <w:t>).</w:t>
      </w:r>
      <w:r>
        <w:t xml:space="preserve"> Nejvíce se zv</w:t>
      </w:r>
      <w:r w:rsidR="00C42393">
        <w:t>ýšily ceny minerálních paliv o </w:t>
      </w:r>
      <w:r>
        <w:t>4</w:t>
      </w:r>
      <w:r w:rsidR="00C42393">
        <w:t>6</w:t>
      </w:r>
      <w:r>
        <w:t>,</w:t>
      </w:r>
      <w:r w:rsidR="00C42393">
        <w:t>8</w:t>
      </w:r>
      <w:r>
        <w:t> % (plynu, ropy, ropnýc</w:t>
      </w:r>
      <w:r w:rsidR="00F15755">
        <w:t xml:space="preserve">h výrobků, elektřiny </w:t>
      </w:r>
      <w:r w:rsidR="00C42393">
        <w:t>a uhlí), potravin o 21</w:t>
      </w:r>
      <w:r>
        <w:t>,</w:t>
      </w:r>
      <w:r w:rsidR="00C42393">
        <w:t>5</w:t>
      </w:r>
      <w:r>
        <w:t> % (především masa</w:t>
      </w:r>
      <w:r w:rsidR="00F15755">
        <w:t xml:space="preserve"> a</w:t>
      </w:r>
      <w:r>
        <w:t xml:space="preserve"> masných výrobk</w:t>
      </w:r>
      <w:r w:rsidR="00C42393">
        <w:t>ů), nápojů a tabáku o 20</w:t>
      </w:r>
      <w:r>
        <w:t>,</w:t>
      </w:r>
      <w:r w:rsidR="00C42393">
        <w:t>6</w:t>
      </w:r>
      <w:r w:rsidR="00641E91">
        <w:t xml:space="preserve"> % a průmy</w:t>
      </w:r>
      <w:r w:rsidR="00795558">
        <w:t>slového spotřebního zboží o 11,6</w:t>
      </w:r>
      <w:r w:rsidR="00641E91">
        <w:t xml:space="preserve"> %</w:t>
      </w:r>
      <w:r>
        <w:t>. Ceny neklesly v žádné ze sledovaných skupin</w:t>
      </w:r>
      <w:r w:rsidR="00305F51">
        <w:t xml:space="preserve"> SITC1</w:t>
      </w:r>
      <w:r w:rsidRPr="00566438">
        <w:rPr>
          <w:szCs w:val="20"/>
        </w:rPr>
        <w:t>.</w:t>
      </w:r>
      <w:r w:rsidRPr="00933633">
        <w:rPr>
          <w:szCs w:val="20"/>
        </w:rPr>
        <w:t xml:space="preserve"> </w:t>
      </w:r>
    </w:p>
    <w:p w:rsidR="0041341E" w:rsidRDefault="0041341E" w:rsidP="0041341E">
      <w:pPr>
        <w:rPr>
          <w:szCs w:val="20"/>
        </w:rPr>
      </w:pPr>
      <w:r w:rsidRPr="0065202B">
        <w:rPr>
          <w:b/>
          <w:szCs w:val="20"/>
        </w:rPr>
        <w:t>V</w:t>
      </w:r>
      <w:r>
        <w:rPr>
          <w:b/>
          <w:szCs w:val="20"/>
        </w:rPr>
        <w:t> </w:t>
      </w:r>
      <w:r w:rsidRPr="0065202B">
        <w:rPr>
          <w:b/>
          <w:szCs w:val="20"/>
        </w:rPr>
        <w:t>průměru za</w:t>
      </w:r>
      <w:r>
        <w:rPr>
          <w:b/>
          <w:szCs w:val="20"/>
        </w:rPr>
        <w:t> </w:t>
      </w:r>
      <w:r w:rsidRPr="0065202B">
        <w:rPr>
          <w:b/>
          <w:szCs w:val="20"/>
        </w:rPr>
        <w:t>celý rok 2022</w:t>
      </w:r>
      <w:r w:rsidRPr="0065202B">
        <w:rPr>
          <w:szCs w:val="20"/>
        </w:rPr>
        <w:t xml:space="preserve"> v</w:t>
      </w:r>
      <w:r>
        <w:rPr>
          <w:szCs w:val="20"/>
        </w:rPr>
        <w:t> </w:t>
      </w:r>
      <w:r w:rsidRPr="0065202B">
        <w:rPr>
          <w:szCs w:val="20"/>
        </w:rPr>
        <w:t>porovnání s</w:t>
      </w:r>
      <w:r w:rsidR="00050862">
        <w:rPr>
          <w:szCs w:val="20"/>
        </w:rPr>
        <w:t xml:space="preserve"> rokem 2021 </w:t>
      </w:r>
      <w:r>
        <w:rPr>
          <w:szCs w:val="20"/>
        </w:rPr>
        <w:t xml:space="preserve">se zvýšily </w:t>
      </w:r>
      <w:r w:rsidRPr="00F73F46">
        <w:rPr>
          <w:szCs w:val="20"/>
        </w:rPr>
        <w:t>o</w:t>
      </w:r>
      <w:r>
        <w:rPr>
          <w:szCs w:val="20"/>
        </w:rPr>
        <w:t> </w:t>
      </w:r>
      <w:r w:rsidRPr="00F73F46">
        <w:rPr>
          <w:szCs w:val="20"/>
        </w:rPr>
        <w:t>17,2</w:t>
      </w:r>
      <w:r>
        <w:rPr>
          <w:szCs w:val="20"/>
        </w:rPr>
        <w:t> </w:t>
      </w:r>
      <w:r w:rsidRPr="00F73F46">
        <w:rPr>
          <w:szCs w:val="20"/>
        </w:rPr>
        <w:t>% (za</w:t>
      </w:r>
      <w:r>
        <w:rPr>
          <w:szCs w:val="20"/>
        </w:rPr>
        <w:t> </w:t>
      </w:r>
      <w:r w:rsidRPr="00F73F46">
        <w:rPr>
          <w:szCs w:val="20"/>
        </w:rPr>
        <w:t>rok 2021 o</w:t>
      </w:r>
      <w:r>
        <w:rPr>
          <w:szCs w:val="20"/>
        </w:rPr>
        <w:t> </w:t>
      </w:r>
      <w:r w:rsidRPr="00F73F46">
        <w:rPr>
          <w:szCs w:val="20"/>
        </w:rPr>
        <w:t>6,1</w:t>
      </w:r>
      <w:r>
        <w:rPr>
          <w:szCs w:val="20"/>
        </w:rPr>
        <w:t> </w:t>
      </w:r>
      <w:r w:rsidRPr="00F73F46">
        <w:rPr>
          <w:szCs w:val="20"/>
        </w:rPr>
        <w:t>%)</w:t>
      </w:r>
      <w:r>
        <w:rPr>
          <w:szCs w:val="20"/>
        </w:rPr>
        <w:t xml:space="preserve">, nejvíce rostly </w:t>
      </w:r>
      <w:r w:rsidRPr="00F73F46">
        <w:rPr>
          <w:szCs w:val="20"/>
        </w:rPr>
        <w:t>ceny minerálních paliv o</w:t>
      </w:r>
      <w:r>
        <w:rPr>
          <w:szCs w:val="20"/>
        </w:rPr>
        <w:t> </w:t>
      </w:r>
      <w:r w:rsidRPr="00F73F46">
        <w:rPr>
          <w:szCs w:val="20"/>
        </w:rPr>
        <w:t>104,4</w:t>
      </w:r>
      <w:r>
        <w:rPr>
          <w:szCs w:val="20"/>
        </w:rPr>
        <w:t> </w:t>
      </w:r>
      <w:r w:rsidRPr="00F73F46">
        <w:rPr>
          <w:szCs w:val="20"/>
        </w:rPr>
        <w:t>% (ropy, ropných výrobků, elektřiny, plynu a</w:t>
      </w:r>
      <w:r>
        <w:rPr>
          <w:szCs w:val="20"/>
        </w:rPr>
        <w:t> </w:t>
      </w:r>
      <w:r w:rsidRPr="00F73F46">
        <w:rPr>
          <w:szCs w:val="20"/>
        </w:rPr>
        <w:t>uhlí), polotovarů (především železa</w:t>
      </w:r>
      <w:r w:rsidR="00274046">
        <w:rPr>
          <w:szCs w:val="20"/>
        </w:rPr>
        <w:t xml:space="preserve"> a</w:t>
      </w:r>
      <w:r w:rsidRPr="00F73F46">
        <w:rPr>
          <w:szCs w:val="20"/>
        </w:rPr>
        <w:t xml:space="preserve"> oceli a</w:t>
      </w:r>
      <w:r>
        <w:rPr>
          <w:szCs w:val="20"/>
        </w:rPr>
        <w:t> </w:t>
      </w:r>
      <w:r w:rsidRPr="00F73F46">
        <w:rPr>
          <w:szCs w:val="20"/>
        </w:rPr>
        <w:t>kovových výrobků) a</w:t>
      </w:r>
      <w:r>
        <w:rPr>
          <w:szCs w:val="20"/>
        </w:rPr>
        <w:t> </w:t>
      </w:r>
      <w:r w:rsidRPr="00F73F46">
        <w:rPr>
          <w:szCs w:val="20"/>
        </w:rPr>
        <w:t>nápojů a</w:t>
      </w:r>
      <w:r>
        <w:rPr>
          <w:szCs w:val="20"/>
        </w:rPr>
        <w:t> </w:t>
      </w:r>
      <w:r w:rsidRPr="00F73F46">
        <w:rPr>
          <w:szCs w:val="20"/>
        </w:rPr>
        <w:t xml:space="preserve">tabáku shodně </w:t>
      </w:r>
      <w:r w:rsidRPr="00F73F46">
        <w:rPr>
          <w:szCs w:val="20"/>
        </w:rPr>
        <w:lastRenderedPageBreak/>
        <w:t>o</w:t>
      </w:r>
      <w:r>
        <w:rPr>
          <w:szCs w:val="20"/>
        </w:rPr>
        <w:t> </w:t>
      </w:r>
      <w:r w:rsidRPr="00F73F46">
        <w:rPr>
          <w:szCs w:val="20"/>
        </w:rPr>
        <w:t>16,6</w:t>
      </w:r>
      <w:r>
        <w:rPr>
          <w:szCs w:val="20"/>
        </w:rPr>
        <w:t> </w:t>
      </w:r>
      <w:r w:rsidRPr="00F73F46">
        <w:rPr>
          <w:szCs w:val="20"/>
        </w:rPr>
        <w:t>% a</w:t>
      </w:r>
      <w:r>
        <w:rPr>
          <w:szCs w:val="20"/>
        </w:rPr>
        <w:t> </w:t>
      </w:r>
      <w:r w:rsidRPr="00F73F46">
        <w:rPr>
          <w:szCs w:val="20"/>
        </w:rPr>
        <w:t>potravin o</w:t>
      </w:r>
      <w:r>
        <w:rPr>
          <w:szCs w:val="20"/>
        </w:rPr>
        <w:t> </w:t>
      </w:r>
      <w:r w:rsidRPr="00F73F46">
        <w:rPr>
          <w:szCs w:val="20"/>
        </w:rPr>
        <w:t>14,7</w:t>
      </w:r>
      <w:r>
        <w:rPr>
          <w:szCs w:val="20"/>
        </w:rPr>
        <w:t> </w:t>
      </w:r>
      <w:r w:rsidRPr="00F73F46">
        <w:rPr>
          <w:szCs w:val="20"/>
        </w:rPr>
        <w:t>% (zejména masa a</w:t>
      </w:r>
      <w:r>
        <w:rPr>
          <w:szCs w:val="20"/>
        </w:rPr>
        <w:t> </w:t>
      </w:r>
      <w:r w:rsidRPr="00F73F46">
        <w:rPr>
          <w:szCs w:val="20"/>
        </w:rPr>
        <w:t>masných výrobků). Ceny neklesly v</w:t>
      </w:r>
      <w:r>
        <w:rPr>
          <w:szCs w:val="20"/>
        </w:rPr>
        <w:t> </w:t>
      </w:r>
      <w:r w:rsidRPr="00F73F46">
        <w:rPr>
          <w:szCs w:val="20"/>
        </w:rPr>
        <w:t>žádné ze</w:t>
      </w:r>
      <w:r>
        <w:rPr>
          <w:szCs w:val="20"/>
        </w:rPr>
        <w:t> </w:t>
      </w:r>
      <w:r w:rsidRPr="00F73F46">
        <w:rPr>
          <w:szCs w:val="20"/>
        </w:rPr>
        <w:t>sledovaných skupin SITC</w:t>
      </w:r>
      <w:r>
        <w:rPr>
          <w:szCs w:val="20"/>
        </w:rPr>
        <w:t> </w:t>
      </w:r>
      <w:r w:rsidRPr="00F73F46">
        <w:rPr>
          <w:szCs w:val="20"/>
        </w:rPr>
        <w:t>1.</w:t>
      </w:r>
    </w:p>
    <w:p w:rsidR="00591CC8" w:rsidRDefault="00591CC8" w:rsidP="00591CC8">
      <w:pPr>
        <w:rPr>
          <w:szCs w:val="20"/>
        </w:rPr>
      </w:pPr>
    </w:p>
    <w:p w:rsidR="00591CC8" w:rsidRDefault="00591CC8" w:rsidP="00591CC8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:rsidR="00591CC8" w:rsidRDefault="00591CC8" w:rsidP="00591CC8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>
        <w:t>(4. čtvrtletí</w:t>
      </w:r>
      <w:r w:rsidRPr="00106E61">
        <w:t xml:space="preserve"> 2022</w:t>
      </w:r>
      <w:r w:rsidRPr="00795A17">
        <w:t xml:space="preserve"> proti </w:t>
      </w:r>
      <w:r>
        <w:t>3. čtvrtletí 2022)</w:t>
      </w:r>
      <w:r w:rsidRPr="00795A17">
        <w:t xml:space="preserve"> </w:t>
      </w:r>
      <w:r>
        <w:t>se zvýšily na hodnotu 102,6 %. Nejvyšší pozitivní hodno</w:t>
      </w:r>
      <w:r w:rsidR="008B0CF5">
        <w:t>ty</w:t>
      </w:r>
      <w:r w:rsidR="002614BE">
        <w:t xml:space="preserve"> dosáhla minerální paliva (113</w:t>
      </w:r>
      <w:r>
        <w:t>,</w:t>
      </w:r>
      <w:r w:rsidR="002614BE">
        <w:t>6</w:t>
      </w:r>
      <w:r>
        <w:t> %), nejnižší negativní hodnotu</w:t>
      </w:r>
      <w:r w:rsidRPr="001B0744">
        <w:t xml:space="preserve"> </w:t>
      </w:r>
      <w:r>
        <w:t>zaz</w:t>
      </w:r>
      <w:r w:rsidR="002614BE">
        <w:t>namenalo průmyslové spotřební zboží (96</w:t>
      </w:r>
      <w:r>
        <w:t>,</w:t>
      </w:r>
      <w:r w:rsidR="002614BE">
        <w:t>3</w:t>
      </w:r>
      <w:r>
        <w:t> %)</w:t>
      </w:r>
      <w:r w:rsidRPr="00872A97">
        <w:rPr>
          <w:szCs w:val="20"/>
        </w:rPr>
        <w:t>.</w:t>
      </w:r>
    </w:p>
    <w:p w:rsidR="00591CC8" w:rsidRDefault="00591CC8" w:rsidP="00591CC8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>
        <w:t>ve 4. čtvrtletí 2022 se zvýšily</w:t>
      </w:r>
      <w:r w:rsidRPr="00726159">
        <w:t xml:space="preserve"> na hodnotu</w:t>
      </w:r>
      <w:r>
        <w:t xml:space="preserve"> 98</w:t>
      </w:r>
      <w:r w:rsidRPr="00726159">
        <w:t>,</w:t>
      </w:r>
      <w:r>
        <w:t>2</w:t>
      </w:r>
      <w:r w:rsidRPr="00726159">
        <w:t> % (v</w:t>
      </w:r>
      <w:r>
        <w:t>e</w:t>
      </w:r>
      <w:r w:rsidRPr="00726159">
        <w:t xml:space="preserve"> </w:t>
      </w:r>
      <w:r>
        <w:t>3. čtvrtletí 2022 hodnota 94</w:t>
      </w:r>
      <w:r w:rsidRPr="00726159">
        <w:t>,</w:t>
      </w:r>
      <w:r>
        <w:t>3</w:t>
      </w:r>
      <w:r w:rsidRPr="00726159">
        <w:t> </w:t>
      </w:r>
      <w:r>
        <w:t>%) a sedmé čtvrtletí zůstaly v negativních hodnotách – viz graf 2.</w:t>
      </w:r>
      <w:r w:rsidRPr="002E53F7">
        <w:t xml:space="preserve"> </w:t>
      </w:r>
      <w:r>
        <w:t>Nejnižší negativní</w:t>
      </w:r>
      <w:r w:rsidRPr="002E53F7">
        <w:t xml:space="preserve"> </w:t>
      </w:r>
      <w:r>
        <w:t xml:space="preserve">hodnoty směnných relací dosáhly </w:t>
      </w:r>
      <w:r w:rsidR="00A30B39">
        <w:t xml:space="preserve">shodně </w:t>
      </w:r>
      <w:r>
        <w:t xml:space="preserve">nápoje a tabák </w:t>
      </w:r>
      <w:r w:rsidR="00A30B39">
        <w:t xml:space="preserve">a ostatní suroviny </w:t>
      </w:r>
      <w:r>
        <w:t>(92,3 %), nejvyšší p</w:t>
      </w:r>
      <w:r w:rsidRPr="002E53F7">
        <w:t>ozitivní</w:t>
      </w:r>
      <w:r>
        <w:t xml:space="preserve"> </w:t>
      </w:r>
      <w:r w:rsidRPr="002E53F7">
        <w:t>hodnot</w:t>
      </w:r>
      <w:r>
        <w:t>u</w:t>
      </w:r>
      <w:r w:rsidRPr="002E53F7">
        <w:t xml:space="preserve"> směnných relací </w:t>
      </w:r>
      <w:r>
        <w:t>zaznamenala minerální paliva (111,9 %).</w:t>
      </w:r>
    </w:p>
    <w:p w:rsidR="0041341E" w:rsidRDefault="0041341E" w:rsidP="0041341E">
      <w:pPr>
        <w:rPr>
          <w:szCs w:val="20"/>
        </w:rPr>
      </w:pPr>
      <w:r w:rsidRPr="0065202B">
        <w:rPr>
          <w:b/>
          <w:szCs w:val="20"/>
        </w:rPr>
        <w:t>V</w:t>
      </w:r>
      <w:r>
        <w:rPr>
          <w:b/>
          <w:szCs w:val="20"/>
        </w:rPr>
        <w:t> </w:t>
      </w:r>
      <w:r w:rsidRPr="0065202B">
        <w:rPr>
          <w:b/>
          <w:szCs w:val="20"/>
        </w:rPr>
        <w:t>průměru za</w:t>
      </w:r>
      <w:r>
        <w:rPr>
          <w:b/>
          <w:szCs w:val="20"/>
        </w:rPr>
        <w:t> </w:t>
      </w:r>
      <w:r w:rsidRPr="0065202B">
        <w:rPr>
          <w:b/>
          <w:szCs w:val="20"/>
        </w:rPr>
        <w:t>celý rok 2022</w:t>
      </w:r>
      <w:r w:rsidRPr="0065202B">
        <w:rPr>
          <w:szCs w:val="20"/>
        </w:rPr>
        <w:t xml:space="preserve"> v</w:t>
      </w:r>
      <w:r>
        <w:rPr>
          <w:szCs w:val="20"/>
        </w:rPr>
        <w:t> </w:t>
      </w:r>
      <w:r w:rsidRPr="0065202B">
        <w:rPr>
          <w:szCs w:val="20"/>
        </w:rPr>
        <w:t>porovnání s</w:t>
      </w:r>
      <w:r>
        <w:rPr>
          <w:szCs w:val="20"/>
        </w:rPr>
        <w:t> </w:t>
      </w:r>
      <w:r w:rsidRPr="0065202B">
        <w:rPr>
          <w:szCs w:val="20"/>
        </w:rPr>
        <w:t>rokem 2021</w:t>
      </w:r>
      <w:r>
        <w:rPr>
          <w:szCs w:val="20"/>
        </w:rPr>
        <w:t xml:space="preserve"> dosáhly </w:t>
      </w:r>
      <w:r w:rsidRPr="00D70837">
        <w:rPr>
          <w:szCs w:val="20"/>
        </w:rPr>
        <w:t>hodnoty 96,2</w:t>
      </w:r>
      <w:r>
        <w:rPr>
          <w:szCs w:val="20"/>
        </w:rPr>
        <w:t> </w:t>
      </w:r>
      <w:r w:rsidRPr="00D70837">
        <w:rPr>
          <w:szCs w:val="20"/>
        </w:rPr>
        <w:t>% (v</w:t>
      </w:r>
      <w:r>
        <w:rPr>
          <w:szCs w:val="20"/>
        </w:rPr>
        <w:t> </w:t>
      </w:r>
      <w:r w:rsidRPr="00D70837">
        <w:rPr>
          <w:szCs w:val="20"/>
        </w:rPr>
        <w:t>roce 2021 činily 99,</w:t>
      </w:r>
      <w:r w:rsidRPr="00D75E77">
        <w:rPr>
          <w:szCs w:val="20"/>
        </w:rPr>
        <w:t>7 </w:t>
      </w:r>
      <w:r w:rsidR="00D75E77" w:rsidRPr="00D75E77">
        <w:rPr>
          <w:szCs w:val="20"/>
        </w:rPr>
        <w:t>%), což byla nejnižší hodnota od roku 2000.</w:t>
      </w:r>
    </w:p>
    <w:p w:rsidR="00274046" w:rsidRDefault="00274046" w:rsidP="0041341E">
      <w:pPr>
        <w:rPr>
          <w:szCs w:val="20"/>
        </w:rPr>
      </w:pPr>
    </w:p>
    <w:p w:rsidR="00591CC8" w:rsidRDefault="00591CC8" w:rsidP="00591CC8"/>
    <w:p w:rsidR="00591CC8" w:rsidRDefault="001974FF" w:rsidP="00591CC8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36D01E79">
            <wp:extent cx="5465366" cy="3393831"/>
            <wp:effectExtent l="0" t="0" r="254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19" cy="3405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2704F8" w:rsidRDefault="002704F8" w:rsidP="00AF4D27">
      <w:pPr>
        <w:rPr>
          <w:szCs w:val="20"/>
        </w:rPr>
      </w:pPr>
    </w:p>
    <w:p w:rsidR="002704F8" w:rsidRDefault="00876117" w:rsidP="00AF4D27">
      <w:pPr>
        <w:rPr>
          <w:szCs w:val="20"/>
        </w:rPr>
      </w:pPr>
      <w:r>
        <w:rPr>
          <w:noProof/>
          <w:szCs w:val="20"/>
          <w:lang w:eastAsia="cs-CZ"/>
        </w:rPr>
        <w:lastRenderedPageBreak/>
        <w:drawing>
          <wp:inline distT="0" distB="0" distL="0" distR="0" wp14:anchorId="78AC1570">
            <wp:extent cx="5451231" cy="3385053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86" cy="33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117" w:rsidRDefault="00876117" w:rsidP="00AF4D27">
      <w:pPr>
        <w:rPr>
          <w:szCs w:val="20"/>
        </w:rPr>
      </w:pPr>
    </w:p>
    <w:p w:rsidR="001A3F18" w:rsidRDefault="001A3F18" w:rsidP="00AF4D27">
      <w:pPr>
        <w:rPr>
          <w:szCs w:val="20"/>
        </w:rPr>
      </w:pPr>
    </w:p>
    <w:p w:rsidR="00EE5AE0" w:rsidRDefault="00EE5AE0" w:rsidP="00EE5AE0">
      <w:pPr>
        <w:rPr>
          <w:noProof/>
          <w:lang w:eastAsia="cs-CZ"/>
        </w:rPr>
      </w:pPr>
      <w:r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:rsidR="00EE5AE0" w:rsidRDefault="001974FF" w:rsidP="00EE5AE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C14C672">
            <wp:extent cx="5468815" cy="3395973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25" cy="340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11" w:rsidRDefault="00B43F11" w:rsidP="00EE5AE0">
      <w:pPr>
        <w:rPr>
          <w:noProof/>
          <w:lang w:eastAsia="cs-CZ"/>
        </w:rPr>
      </w:pPr>
    </w:p>
    <w:p w:rsidR="00EE5AE0" w:rsidRDefault="001974FF" w:rsidP="00EE5AE0">
      <w:r>
        <w:rPr>
          <w:noProof/>
          <w:lang w:eastAsia="cs-CZ"/>
        </w:rPr>
        <w:drawing>
          <wp:inline distT="0" distB="0" distL="0" distR="0" wp14:anchorId="628C9026">
            <wp:extent cx="5424805" cy="3368644"/>
            <wp:effectExtent l="0" t="0" r="4445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24" cy="337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EE5AE0">
      <w:r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:rsidR="00172EC2" w:rsidRPr="004B7530" w:rsidRDefault="00172EC2" w:rsidP="00172EC2">
      <w:pPr>
        <w:pStyle w:val="Nadpis1"/>
      </w:pPr>
      <w:r w:rsidRPr="004B7530">
        <w:lastRenderedPageBreak/>
        <w:t>Meziroční kurzově očištěné indexy cen zahraničního obchodu</w:t>
      </w:r>
      <w:r>
        <w:t xml:space="preserve"> se zbožím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Pr="00B41F41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AE2185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9DA48A2">
            <wp:extent cx="5452126" cy="3387969"/>
            <wp:effectExtent l="0" t="0" r="0" b="31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09" cy="3397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lastRenderedPageBreak/>
        <w:t>Z následujících grafů 6 a 7 je patrné, jak významně kurzový vliv působil na výši indexů cen vývozu a dovozu.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E02476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232BCBC5">
            <wp:extent cx="5454650" cy="3384438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44" cy="339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C0F" w:rsidRDefault="00107C0F" w:rsidP="00172EC2">
      <w:pPr>
        <w:rPr>
          <w:rFonts w:cs="Arial"/>
          <w:szCs w:val="20"/>
        </w:rPr>
      </w:pPr>
    </w:p>
    <w:p w:rsidR="00172EC2" w:rsidRPr="009827B3" w:rsidRDefault="00E02476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18725E79">
            <wp:extent cx="5462954" cy="3389591"/>
            <wp:effectExtent l="0" t="0" r="444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80" cy="339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172EC2" w:rsidRDefault="00172EC2" w:rsidP="00172EC2">
      <w:pPr>
        <w:rPr>
          <w:rFonts w:cs="Arial"/>
        </w:rPr>
      </w:pPr>
    </w:p>
    <w:p w:rsidR="00172EC2" w:rsidRDefault="00E02476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1292714E">
            <wp:extent cx="5375003" cy="333502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09" cy="3342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11" w:rsidRPr="009827B3" w:rsidRDefault="00B43F11" w:rsidP="00172EC2">
      <w:pPr>
        <w:rPr>
          <w:rFonts w:cs="Arial"/>
          <w:szCs w:val="20"/>
        </w:rPr>
      </w:pPr>
    </w:p>
    <w:p w:rsidR="00172EC2" w:rsidRDefault="00E02476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587C679">
            <wp:extent cx="5380892" cy="3489551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18" cy="350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782" w:rsidRDefault="0083678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C542C0">
        <w:rPr>
          <w:rFonts w:cs="Arial"/>
        </w:rPr>
        <w:lastRenderedPageBreak/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3. </w:t>
      </w:r>
      <w:r w:rsidRPr="00C542C0">
        <w:rPr>
          <w:rFonts w:cs="Arial"/>
        </w:rPr>
        <w:t xml:space="preserve">čtvrtletí 2019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>
        <w:rPr>
          <w:rFonts w:cs="Arial"/>
        </w:rPr>
        <w:t xml:space="preserve">šovala, ale v 1. čtvrtletí 2021 došlo k obratu a minerální paliva hodnotu směnných relací začala snižovat.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:rsidR="00172EC2" w:rsidRDefault="00172EC2" w:rsidP="00172EC2">
      <w:pPr>
        <w:rPr>
          <w:rFonts w:cs="Arial"/>
        </w:rPr>
      </w:pPr>
    </w:p>
    <w:p w:rsidR="00172EC2" w:rsidRDefault="00172EC2" w:rsidP="00172EC2">
      <w:pPr>
        <w:pStyle w:val="Nadpis1"/>
      </w:pPr>
      <w:r>
        <w:t>Závěrečné shrnutí</w:t>
      </w:r>
    </w:p>
    <w:p w:rsidR="00172EC2" w:rsidRDefault="00172EC2" w:rsidP="00172EC2">
      <w:pPr>
        <w:rPr>
          <w:rFonts w:cs="Arial"/>
        </w:rPr>
      </w:pPr>
      <w:r w:rsidRPr="00767DA3">
        <w:rPr>
          <w:rFonts w:cs="Arial"/>
        </w:rPr>
        <w:t>Kurzový vliv meziročně v</w:t>
      </w:r>
      <w:r w:rsidR="005B6006">
        <w:rPr>
          <w:rFonts w:cs="Arial"/>
        </w:rPr>
        <w:t>e</w:t>
      </w:r>
      <w:r w:rsidR="008B69A0" w:rsidRPr="00767DA3">
        <w:rPr>
          <w:rFonts w:cs="Arial"/>
        </w:rPr>
        <w:t xml:space="preserve"> </w:t>
      </w:r>
      <w:r w:rsidR="00B43F11">
        <w:rPr>
          <w:rFonts w:cs="Arial"/>
        </w:rPr>
        <w:t>4</w:t>
      </w:r>
      <w:r w:rsidR="00DE46FA">
        <w:rPr>
          <w:rFonts w:cs="Arial"/>
        </w:rPr>
        <w:t>. čtvrtletí</w:t>
      </w:r>
      <w:r w:rsidR="008B69A0" w:rsidRPr="00767DA3">
        <w:rPr>
          <w:rFonts w:cs="Arial"/>
        </w:rPr>
        <w:t xml:space="preserve"> 2022</w:t>
      </w:r>
      <w:r w:rsidRPr="00767DA3">
        <w:rPr>
          <w:rFonts w:cs="Arial"/>
        </w:rPr>
        <w:t xml:space="preserve"> snížil index vývozních i dovozních cen. Dovozní ceny rostly rychleji než vývozní ceny, proto směnné rel</w:t>
      </w:r>
      <w:r w:rsidR="00E403EB">
        <w:rPr>
          <w:rFonts w:cs="Arial"/>
        </w:rPr>
        <w:t xml:space="preserve">ace dosáhly negativních hodnot. Směnné relace </w:t>
      </w:r>
      <w:r w:rsidR="00D75E77">
        <w:rPr>
          <w:rFonts w:cs="Arial"/>
        </w:rPr>
        <w:t>ve 4</w:t>
      </w:r>
      <w:r w:rsidR="00E403EB">
        <w:rPr>
          <w:rFonts w:cs="Arial"/>
        </w:rPr>
        <w:t>.</w:t>
      </w:r>
      <w:r w:rsidR="00731838">
        <w:rPr>
          <w:rFonts w:cs="Arial"/>
        </w:rPr>
        <w:t xml:space="preserve"> </w:t>
      </w:r>
      <w:bookmarkStart w:id="0" w:name="_GoBack"/>
      <w:bookmarkEnd w:id="0"/>
      <w:r w:rsidR="00D75E77">
        <w:rPr>
          <w:rFonts w:cs="Arial"/>
        </w:rPr>
        <w:t xml:space="preserve">čtvrtletí vzrostly na 98,2 % (ve 3. čtvrtletí 2022 se snížily na 94,3 %, což byla nejnižší hodnota </w:t>
      </w:r>
      <w:r w:rsidR="00E403EB">
        <w:rPr>
          <w:rFonts w:cs="Arial"/>
        </w:rPr>
        <w:t>od </w:t>
      </w:r>
      <w:r w:rsidR="00D75E77">
        <w:rPr>
          <w:rFonts w:cs="Arial"/>
        </w:rPr>
        <w:t>2</w:t>
      </w:r>
      <w:r w:rsidR="00E403EB">
        <w:rPr>
          <w:rFonts w:cs="Arial"/>
        </w:rPr>
        <w:t>. </w:t>
      </w:r>
      <w:r w:rsidR="00D75E77">
        <w:rPr>
          <w:rFonts w:cs="Arial"/>
        </w:rPr>
        <w:t xml:space="preserve">čtvrtletí 2000). </w:t>
      </w:r>
      <w:r w:rsidRPr="00767DA3">
        <w:rPr>
          <w:rFonts w:cs="Arial"/>
        </w:rPr>
        <w:t>Směnné relace s vyloučením kurzového vlivu byly vyšší než směnné relace publikované, přesto zůst</w:t>
      </w:r>
      <w:r w:rsidR="00470090" w:rsidRPr="00767DA3">
        <w:rPr>
          <w:rFonts w:cs="Arial"/>
        </w:rPr>
        <w:t>aly v </w:t>
      </w:r>
      <w:r w:rsidRPr="00767DA3">
        <w:rPr>
          <w:rFonts w:cs="Arial"/>
        </w:rPr>
        <w:t xml:space="preserve">negativních hodnotách. Hodnoty bez kurzového vlivu odpovídají kurzově očištěným indexům </w:t>
      </w:r>
      <w:r w:rsidRPr="00767DA3">
        <w:t>– viz</w:t>
      </w:r>
      <w:r w:rsidRPr="00767DA3">
        <w:rPr>
          <w:rFonts w:cs="Arial"/>
        </w:rPr>
        <w:t> grafy 6, 7 a 8.</w:t>
      </w:r>
    </w:p>
    <w:p w:rsidR="00A56C80" w:rsidRPr="00A56C80" w:rsidRDefault="00A56C80" w:rsidP="00A56C80"/>
    <w:p w:rsidR="008B69A0" w:rsidRDefault="004C4DE5" w:rsidP="008B69A0">
      <w:pPr>
        <w:rPr>
          <w:rFonts w:cs="Arial"/>
        </w:rPr>
      </w:pPr>
      <w:r w:rsidRPr="004C4DE5">
        <w:rPr>
          <w:noProof/>
          <w:lang w:eastAsia="cs-CZ"/>
        </w:rPr>
        <w:lastRenderedPageBreak/>
        <w:drawing>
          <wp:inline distT="0" distB="0" distL="0" distR="0">
            <wp:extent cx="5492562" cy="6967220"/>
            <wp:effectExtent l="0" t="0" r="0" b="508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25" cy="697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7447E4" w:rsidP="00106DBE">
      <w:pPr>
        <w:spacing w:line="240" w:lineRule="auto"/>
        <w:jc w:val="left"/>
      </w:pPr>
      <w:r>
        <w:rPr>
          <w:rFonts w:cs="Arial"/>
        </w:rPr>
        <w:br w:type="page"/>
      </w:r>
      <w:r w:rsidR="008B69A0">
        <w:rPr>
          <w:rFonts w:cs="Arial"/>
        </w:rPr>
        <w:lastRenderedPageBreak/>
        <w:t xml:space="preserve">Závěrečná tabulka uvádí publikované </w:t>
      </w:r>
      <w:r w:rsidR="008B69A0">
        <w:rPr>
          <w:rFonts w:cs="Arial"/>
          <w:b/>
          <w:bCs/>
        </w:rPr>
        <w:t>neočištěné</w:t>
      </w:r>
      <w:r w:rsidR="008B69A0">
        <w:rPr>
          <w:rFonts w:cs="Arial"/>
        </w:rPr>
        <w:t xml:space="preserve"> indexy cen vývozu a dovozu zboží.</w:t>
      </w:r>
    </w:p>
    <w:p w:rsidR="008B69A0" w:rsidRDefault="00DB6785" w:rsidP="00E42E00">
      <w:r w:rsidRPr="00DB6785">
        <w:rPr>
          <w:noProof/>
          <w:lang w:eastAsia="cs-CZ"/>
        </w:rPr>
        <w:drawing>
          <wp:inline distT="0" distB="0" distL="0" distR="0">
            <wp:extent cx="5386990" cy="7099300"/>
            <wp:effectExtent l="0" t="0" r="4445" b="63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73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CB" w:rsidRPr="00633F79" w:rsidRDefault="007B1333" w:rsidP="000725CB">
      <w:pPr>
        <w:rPr>
          <w:sz w:val="18"/>
          <w:szCs w:val="18"/>
        </w:rPr>
      </w:pPr>
      <w:r w:rsidRPr="00633F79">
        <w:rPr>
          <w:b/>
          <w:sz w:val="18"/>
          <w:szCs w:val="18"/>
        </w:rPr>
        <w:t>Zpracoval</w:t>
      </w:r>
      <w:r w:rsidR="000725CB" w:rsidRPr="00633F79">
        <w:rPr>
          <w:b/>
          <w:sz w:val="18"/>
          <w:szCs w:val="18"/>
        </w:rPr>
        <w:t xml:space="preserve">a: </w:t>
      </w:r>
      <w:r w:rsidR="000725CB" w:rsidRPr="00633F79">
        <w:rPr>
          <w:sz w:val="18"/>
          <w:szCs w:val="18"/>
        </w:rPr>
        <w:t>Ing. Hana Lapáčková, odbor statistiky cen</w:t>
      </w:r>
    </w:p>
    <w:p w:rsidR="000725CB" w:rsidRPr="00633F79" w:rsidRDefault="000725CB" w:rsidP="000725CB">
      <w:pPr>
        <w:rPr>
          <w:sz w:val="18"/>
          <w:szCs w:val="18"/>
        </w:rPr>
      </w:pPr>
      <w:r w:rsidRPr="00633F79">
        <w:rPr>
          <w:sz w:val="18"/>
          <w:szCs w:val="18"/>
        </w:rPr>
        <w:t>tel. 274 052 709, e-mail: hana.lapackova@czso.cz</w:t>
      </w:r>
    </w:p>
    <w:sectPr w:rsidR="000725CB" w:rsidRPr="00633F79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BE" w:rsidRDefault="00E63CBE" w:rsidP="00BA6370">
      <w:r>
        <w:separator/>
      </w:r>
    </w:p>
  </w:endnote>
  <w:endnote w:type="continuationSeparator" w:id="0">
    <w:p w:rsidR="00E63CBE" w:rsidRDefault="00E63C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1838">
                            <w:rPr>
                              <w:rFonts w:cs="Arial"/>
                              <w:noProof/>
                              <w:szCs w:val="15"/>
                            </w:rPr>
                            <w:t>10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1838">
                      <w:rPr>
                        <w:rFonts w:cs="Arial"/>
                        <w:noProof/>
                        <w:szCs w:val="15"/>
                      </w:rPr>
                      <w:t>10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BE" w:rsidRDefault="00E63CBE" w:rsidP="00BA6370">
      <w:r>
        <w:separator/>
      </w:r>
    </w:p>
  </w:footnote>
  <w:footnote w:type="continuationSeparator" w:id="0">
    <w:p w:rsidR="00E63CBE" w:rsidRDefault="00E63CBE" w:rsidP="00BA6370">
      <w:r>
        <w:continuationSeparator/>
      </w:r>
    </w:p>
  </w:footnote>
  <w:footnote w:id="1">
    <w:p w:rsidR="00591CC8" w:rsidRPr="008D127C" w:rsidRDefault="00591CC8" w:rsidP="00591CC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:rsidR="00591CC8" w:rsidRPr="008D127C" w:rsidRDefault="00591CC8" w:rsidP="00591CC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r w:rsidRPr="00726159">
        <w:rPr>
          <w:sz w:val="18"/>
          <w:szCs w:val="18"/>
        </w:rPr>
        <w:t xml:space="preserve">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2587B"/>
    <w:rsid w:val="00043BF4"/>
    <w:rsid w:val="00050862"/>
    <w:rsid w:val="000725CB"/>
    <w:rsid w:val="000843A5"/>
    <w:rsid w:val="000878A9"/>
    <w:rsid w:val="00096FC5"/>
    <w:rsid w:val="000B6F63"/>
    <w:rsid w:val="000D425E"/>
    <w:rsid w:val="000D5271"/>
    <w:rsid w:val="000E6C24"/>
    <w:rsid w:val="000F5B28"/>
    <w:rsid w:val="000F6E91"/>
    <w:rsid w:val="00106DBE"/>
    <w:rsid w:val="00106E61"/>
    <w:rsid w:val="00107C0F"/>
    <w:rsid w:val="001167F7"/>
    <w:rsid w:val="00127216"/>
    <w:rsid w:val="00134D3E"/>
    <w:rsid w:val="001404AB"/>
    <w:rsid w:val="00165461"/>
    <w:rsid w:val="001658A9"/>
    <w:rsid w:val="00167099"/>
    <w:rsid w:val="0017231D"/>
    <w:rsid w:val="00172EC2"/>
    <w:rsid w:val="00175ABA"/>
    <w:rsid w:val="00176E70"/>
    <w:rsid w:val="001810DC"/>
    <w:rsid w:val="001974FF"/>
    <w:rsid w:val="001A17A1"/>
    <w:rsid w:val="001A3363"/>
    <w:rsid w:val="001A3F18"/>
    <w:rsid w:val="001A3F1B"/>
    <w:rsid w:val="001A59BF"/>
    <w:rsid w:val="001B607F"/>
    <w:rsid w:val="001B7048"/>
    <w:rsid w:val="001D2496"/>
    <w:rsid w:val="001D369A"/>
    <w:rsid w:val="001D5D27"/>
    <w:rsid w:val="001F50CB"/>
    <w:rsid w:val="001F6C45"/>
    <w:rsid w:val="002070FB"/>
    <w:rsid w:val="00213729"/>
    <w:rsid w:val="00226135"/>
    <w:rsid w:val="00236E6A"/>
    <w:rsid w:val="002406FA"/>
    <w:rsid w:val="00245D19"/>
    <w:rsid w:val="00251F18"/>
    <w:rsid w:val="002522EC"/>
    <w:rsid w:val="00253DDC"/>
    <w:rsid w:val="00256E3E"/>
    <w:rsid w:val="002614BE"/>
    <w:rsid w:val="002704F8"/>
    <w:rsid w:val="00274046"/>
    <w:rsid w:val="00282936"/>
    <w:rsid w:val="00283AC0"/>
    <w:rsid w:val="002857ED"/>
    <w:rsid w:val="00292861"/>
    <w:rsid w:val="002A4473"/>
    <w:rsid w:val="002B2E47"/>
    <w:rsid w:val="002D23B5"/>
    <w:rsid w:val="002D3C0A"/>
    <w:rsid w:val="002D6A6C"/>
    <w:rsid w:val="002E24D9"/>
    <w:rsid w:val="002F067E"/>
    <w:rsid w:val="00305F51"/>
    <w:rsid w:val="003301A3"/>
    <w:rsid w:val="00341ACE"/>
    <w:rsid w:val="00344E00"/>
    <w:rsid w:val="00346EF0"/>
    <w:rsid w:val="00352C12"/>
    <w:rsid w:val="0036777B"/>
    <w:rsid w:val="00375D69"/>
    <w:rsid w:val="0038282A"/>
    <w:rsid w:val="00384867"/>
    <w:rsid w:val="00397580"/>
    <w:rsid w:val="003A1794"/>
    <w:rsid w:val="003A45C8"/>
    <w:rsid w:val="003C2DCF"/>
    <w:rsid w:val="003C77F1"/>
    <w:rsid w:val="003C7FE7"/>
    <w:rsid w:val="003D0499"/>
    <w:rsid w:val="003D5E64"/>
    <w:rsid w:val="003E1B42"/>
    <w:rsid w:val="003F49DA"/>
    <w:rsid w:val="003F526A"/>
    <w:rsid w:val="00405244"/>
    <w:rsid w:val="0041238E"/>
    <w:rsid w:val="0041341E"/>
    <w:rsid w:val="004436EE"/>
    <w:rsid w:val="00443BCD"/>
    <w:rsid w:val="004522ED"/>
    <w:rsid w:val="0045547F"/>
    <w:rsid w:val="004554C3"/>
    <w:rsid w:val="00456D03"/>
    <w:rsid w:val="00461AA0"/>
    <w:rsid w:val="00466A7E"/>
    <w:rsid w:val="00470090"/>
    <w:rsid w:val="0048008A"/>
    <w:rsid w:val="004920AD"/>
    <w:rsid w:val="0049361E"/>
    <w:rsid w:val="004B1EAE"/>
    <w:rsid w:val="004C4DE5"/>
    <w:rsid w:val="004D05B3"/>
    <w:rsid w:val="004E479E"/>
    <w:rsid w:val="004F2F8D"/>
    <w:rsid w:val="004F78E6"/>
    <w:rsid w:val="00512D99"/>
    <w:rsid w:val="00531A2B"/>
    <w:rsid w:val="00531DBB"/>
    <w:rsid w:val="005320B3"/>
    <w:rsid w:val="00532A77"/>
    <w:rsid w:val="00544B6D"/>
    <w:rsid w:val="00553DAA"/>
    <w:rsid w:val="005646B3"/>
    <w:rsid w:val="00566438"/>
    <w:rsid w:val="00576430"/>
    <w:rsid w:val="00591CC8"/>
    <w:rsid w:val="005B45BF"/>
    <w:rsid w:val="005B6006"/>
    <w:rsid w:val="005E5229"/>
    <w:rsid w:val="005F51E6"/>
    <w:rsid w:val="005F699D"/>
    <w:rsid w:val="005F720A"/>
    <w:rsid w:val="005F79FB"/>
    <w:rsid w:val="00604406"/>
    <w:rsid w:val="00605F4A"/>
    <w:rsid w:val="00607822"/>
    <w:rsid w:val="006103AA"/>
    <w:rsid w:val="00613BBF"/>
    <w:rsid w:val="00622B80"/>
    <w:rsid w:val="00633F79"/>
    <w:rsid w:val="00634280"/>
    <w:rsid w:val="0063687B"/>
    <w:rsid w:val="0064139A"/>
    <w:rsid w:val="00641E91"/>
    <w:rsid w:val="00666883"/>
    <w:rsid w:val="006A1FA8"/>
    <w:rsid w:val="006B1642"/>
    <w:rsid w:val="006B4277"/>
    <w:rsid w:val="006C0872"/>
    <w:rsid w:val="006C09DD"/>
    <w:rsid w:val="006E024F"/>
    <w:rsid w:val="006E203A"/>
    <w:rsid w:val="006E4E81"/>
    <w:rsid w:val="0070060F"/>
    <w:rsid w:val="00707F7D"/>
    <w:rsid w:val="00712CEE"/>
    <w:rsid w:val="007146C4"/>
    <w:rsid w:val="00717EC5"/>
    <w:rsid w:val="00731838"/>
    <w:rsid w:val="00737B80"/>
    <w:rsid w:val="00742371"/>
    <w:rsid w:val="007447E4"/>
    <w:rsid w:val="00745617"/>
    <w:rsid w:val="007519AB"/>
    <w:rsid w:val="00767DA3"/>
    <w:rsid w:val="00772918"/>
    <w:rsid w:val="00775307"/>
    <w:rsid w:val="00787849"/>
    <w:rsid w:val="00795558"/>
    <w:rsid w:val="00797EE1"/>
    <w:rsid w:val="007A57F2"/>
    <w:rsid w:val="007A6D0F"/>
    <w:rsid w:val="007B1333"/>
    <w:rsid w:val="007C7F9A"/>
    <w:rsid w:val="007E23A3"/>
    <w:rsid w:val="007E7AF0"/>
    <w:rsid w:val="007F4AEB"/>
    <w:rsid w:val="007F75B2"/>
    <w:rsid w:val="008043C4"/>
    <w:rsid w:val="00804A4F"/>
    <w:rsid w:val="00805CB3"/>
    <w:rsid w:val="00806F21"/>
    <w:rsid w:val="0081264B"/>
    <w:rsid w:val="0081354D"/>
    <w:rsid w:val="00815588"/>
    <w:rsid w:val="00830309"/>
    <w:rsid w:val="00831B1B"/>
    <w:rsid w:val="00836782"/>
    <w:rsid w:val="008425C7"/>
    <w:rsid w:val="00854025"/>
    <w:rsid w:val="00860AE4"/>
    <w:rsid w:val="00860D62"/>
    <w:rsid w:val="00861D0E"/>
    <w:rsid w:val="00867569"/>
    <w:rsid w:val="00876117"/>
    <w:rsid w:val="008802D3"/>
    <w:rsid w:val="008A18A9"/>
    <w:rsid w:val="008A750A"/>
    <w:rsid w:val="008B0CF5"/>
    <w:rsid w:val="008B5943"/>
    <w:rsid w:val="008B69A0"/>
    <w:rsid w:val="008C384C"/>
    <w:rsid w:val="008D0F11"/>
    <w:rsid w:val="008D4D66"/>
    <w:rsid w:val="008F5335"/>
    <w:rsid w:val="008F73B4"/>
    <w:rsid w:val="0090741A"/>
    <w:rsid w:val="00931A52"/>
    <w:rsid w:val="009334AD"/>
    <w:rsid w:val="00934C1F"/>
    <w:rsid w:val="0095644C"/>
    <w:rsid w:val="0095701A"/>
    <w:rsid w:val="00965E09"/>
    <w:rsid w:val="00987753"/>
    <w:rsid w:val="009B12E1"/>
    <w:rsid w:val="009B55B1"/>
    <w:rsid w:val="009C52BA"/>
    <w:rsid w:val="009C7016"/>
    <w:rsid w:val="009F75D8"/>
    <w:rsid w:val="00A017B6"/>
    <w:rsid w:val="00A04644"/>
    <w:rsid w:val="00A04FD1"/>
    <w:rsid w:val="00A1767F"/>
    <w:rsid w:val="00A303F5"/>
    <w:rsid w:val="00A30B39"/>
    <w:rsid w:val="00A4343D"/>
    <w:rsid w:val="00A502F1"/>
    <w:rsid w:val="00A56C80"/>
    <w:rsid w:val="00A6511F"/>
    <w:rsid w:val="00A65E04"/>
    <w:rsid w:val="00A70A83"/>
    <w:rsid w:val="00A81EB3"/>
    <w:rsid w:val="00AA1159"/>
    <w:rsid w:val="00AE2185"/>
    <w:rsid w:val="00AF0D02"/>
    <w:rsid w:val="00AF2BE9"/>
    <w:rsid w:val="00AF4D27"/>
    <w:rsid w:val="00B00C1D"/>
    <w:rsid w:val="00B12FB9"/>
    <w:rsid w:val="00B21FBD"/>
    <w:rsid w:val="00B228F7"/>
    <w:rsid w:val="00B33194"/>
    <w:rsid w:val="00B33A49"/>
    <w:rsid w:val="00B43F11"/>
    <w:rsid w:val="00B659E3"/>
    <w:rsid w:val="00B67975"/>
    <w:rsid w:val="00B77282"/>
    <w:rsid w:val="00B90BB9"/>
    <w:rsid w:val="00B91D7D"/>
    <w:rsid w:val="00B92775"/>
    <w:rsid w:val="00B95F90"/>
    <w:rsid w:val="00BA439F"/>
    <w:rsid w:val="00BA6370"/>
    <w:rsid w:val="00BB33DD"/>
    <w:rsid w:val="00BC1D9B"/>
    <w:rsid w:val="00BC748B"/>
    <w:rsid w:val="00BD013E"/>
    <w:rsid w:val="00BD0447"/>
    <w:rsid w:val="00BD400F"/>
    <w:rsid w:val="00BD6E59"/>
    <w:rsid w:val="00BE6AA9"/>
    <w:rsid w:val="00BF7D3A"/>
    <w:rsid w:val="00C07073"/>
    <w:rsid w:val="00C14875"/>
    <w:rsid w:val="00C17D7F"/>
    <w:rsid w:val="00C269D4"/>
    <w:rsid w:val="00C26F77"/>
    <w:rsid w:val="00C2715F"/>
    <w:rsid w:val="00C36674"/>
    <w:rsid w:val="00C4160D"/>
    <w:rsid w:val="00C42393"/>
    <w:rsid w:val="00C600BD"/>
    <w:rsid w:val="00C61674"/>
    <w:rsid w:val="00C741BA"/>
    <w:rsid w:val="00C82FB7"/>
    <w:rsid w:val="00C8406E"/>
    <w:rsid w:val="00CA5D74"/>
    <w:rsid w:val="00CB2709"/>
    <w:rsid w:val="00CB6F89"/>
    <w:rsid w:val="00CC7C25"/>
    <w:rsid w:val="00CE1A2B"/>
    <w:rsid w:val="00CE228C"/>
    <w:rsid w:val="00CF133F"/>
    <w:rsid w:val="00CF545B"/>
    <w:rsid w:val="00D03CF0"/>
    <w:rsid w:val="00D27D69"/>
    <w:rsid w:val="00D44521"/>
    <w:rsid w:val="00D448C2"/>
    <w:rsid w:val="00D57DB6"/>
    <w:rsid w:val="00D666C3"/>
    <w:rsid w:val="00D679AE"/>
    <w:rsid w:val="00D74855"/>
    <w:rsid w:val="00D75E77"/>
    <w:rsid w:val="00D824A2"/>
    <w:rsid w:val="00D94700"/>
    <w:rsid w:val="00D97438"/>
    <w:rsid w:val="00DB6785"/>
    <w:rsid w:val="00DD1EAE"/>
    <w:rsid w:val="00DD5653"/>
    <w:rsid w:val="00DE46FA"/>
    <w:rsid w:val="00DE5C37"/>
    <w:rsid w:val="00DE7814"/>
    <w:rsid w:val="00DF1257"/>
    <w:rsid w:val="00DF47FE"/>
    <w:rsid w:val="00E02476"/>
    <w:rsid w:val="00E20B47"/>
    <w:rsid w:val="00E21CD9"/>
    <w:rsid w:val="00E26704"/>
    <w:rsid w:val="00E31980"/>
    <w:rsid w:val="00E403EB"/>
    <w:rsid w:val="00E42E00"/>
    <w:rsid w:val="00E530A9"/>
    <w:rsid w:val="00E53F7A"/>
    <w:rsid w:val="00E60C2D"/>
    <w:rsid w:val="00E63CBE"/>
    <w:rsid w:val="00E6423C"/>
    <w:rsid w:val="00E677E7"/>
    <w:rsid w:val="00E7201C"/>
    <w:rsid w:val="00E91DAA"/>
    <w:rsid w:val="00E923BE"/>
    <w:rsid w:val="00E93830"/>
    <w:rsid w:val="00E93E0E"/>
    <w:rsid w:val="00EA7B94"/>
    <w:rsid w:val="00EB1ED3"/>
    <w:rsid w:val="00EB4B5C"/>
    <w:rsid w:val="00EB5DB3"/>
    <w:rsid w:val="00EC2D51"/>
    <w:rsid w:val="00EC32CA"/>
    <w:rsid w:val="00EC45BB"/>
    <w:rsid w:val="00EC4848"/>
    <w:rsid w:val="00ED7B69"/>
    <w:rsid w:val="00EE5AE0"/>
    <w:rsid w:val="00EF2A59"/>
    <w:rsid w:val="00F0239F"/>
    <w:rsid w:val="00F04FF4"/>
    <w:rsid w:val="00F13564"/>
    <w:rsid w:val="00F15755"/>
    <w:rsid w:val="00F15D72"/>
    <w:rsid w:val="00F26395"/>
    <w:rsid w:val="00F32DA4"/>
    <w:rsid w:val="00F47C69"/>
    <w:rsid w:val="00F65B65"/>
    <w:rsid w:val="00F6739B"/>
    <w:rsid w:val="00F95A0B"/>
    <w:rsid w:val="00FA1F6D"/>
    <w:rsid w:val="00FA4C8E"/>
    <w:rsid w:val="00FA6851"/>
    <w:rsid w:val="00FB4E8F"/>
    <w:rsid w:val="00FB687C"/>
    <w:rsid w:val="00FD4FD3"/>
    <w:rsid w:val="00FF42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D5D8B1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FB559-6D27-487D-93EE-38870FF67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E321C-70A9-459C-9F49-ECA23D1EB7E3}"/>
</file>

<file path=customXml/itemProps3.xml><?xml version="1.0" encoding="utf-8"?>
<ds:datastoreItem xmlns:ds="http://schemas.openxmlformats.org/officeDocument/2006/customXml" ds:itemID="{ABE90B0B-1F12-4BE3-977D-898A2E50D27D}"/>
</file>

<file path=customXml/itemProps4.xml><?xml version="1.0" encoding="utf-8"?>
<ds:datastoreItem xmlns:ds="http://schemas.openxmlformats.org/officeDocument/2006/customXml" ds:itemID="{CF3EABBF-615C-434F-8AED-8D6E61A2AFF3}"/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352</TotalTime>
  <Pages>10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Lapáčková Hana</cp:lastModifiedBy>
  <cp:revision>42</cp:revision>
  <cp:lastPrinted>2022-11-04T15:15:00Z</cp:lastPrinted>
  <dcterms:created xsi:type="dcterms:W3CDTF">2023-02-06T12:33:00Z</dcterms:created>
  <dcterms:modified xsi:type="dcterms:W3CDTF">2023-02-08T16:55:00Z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