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DDF8" w14:textId="3B415284" w:rsidR="00C2272B" w:rsidRPr="00A00994" w:rsidRDefault="00C2272B" w:rsidP="00C2272B">
      <w:pPr>
        <w:pStyle w:val="Nadpis11"/>
        <w:rPr>
          <w:lang w:val="en-GB"/>
        </w:rPr>
      </w:pPr>
      <w:bookmarkStart w:id="0" w:name="_Toc116642872"/>
      <w:bookmarkStart w:id="1" w:name="_Toc90395912"/>
      <w:bookmarkStart w:id="2" w:name="_Toc98245443"/>
      <w:bookmarkStart w:id="3" w:name="_Toc90395913"/>
      <w:bookmarkStart w:id="4" w:name="_Toc50712130"/>
      <w:bookmarkStart w:id="5" w:name="_Toc58605377"/>
      <w:bookmarkStart w:id="6" w:name="_Toc26865023"/>
      <w:bookmarkStart w:id="7" w:name="_Toc74246554"/>
      <w:bookmarkStart w:id="8" w:name="_Toc66719933"/>
      <w:bookmarkStart w:id="9" w:name="_Toc50712132"/>
      <w:r w:rsidRPr="00A00994">
        <w:rPr>
          <w:szCs w:val="32"/>
          <w:lang w:val="en-GB"/>
        </w:rPr>
        <w:t>3</w:t>
      </w:r>
      <w:r w:rsidRPr="00A00994">
        <w:rPr>
          <w:lang w:val="en-GB"/>
        </w:rPr>
        <w:t>. </w:t>
      </w:r>
      <w:r w:rsidR="00002A2B" w:rsidRPr="00A00994">
        <w:rPr>
          <w:lang w:val="en-GB"/>
        </w:rPr>
        <w:t>Branches Performance</w:t>
      </w:r>
      <w:bookmarkEnd w:id="0"/>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5"/>
        <w:gridCol w:w="214"/>
        <w:gridCol w:w="7730"/>
      </w:tblGrid>
      <w:tr w:rsidR="00C2272B" w:rsidRPr="00A00994" w14:paraId="06049F47" w14:textId="77777777" w:rsidTr="00BB1209">
        <w:trPr>
          <w:trHeight w:val="145"/>
        </w:trPr>
        <w:tc>
          <w:tcPr>
            <w:tcW w:w="1695" w:type="dxa"/>
            <w:tcBorders>
              <w:top w:val="nil"/>
              <w:left w:val="nil"/>
              <w:bottom w:val="nil"/>
              <w:right w:val="nil"/>
            </w:tcBorders>
            <w:shd w:val="clear" w:color="auto" w:fill="auto"/>
            <w:tcMar>
              <w:left w:w="0" w:type="dxa"/>
            </w:tcMar>
          </w:tcPr>
          <w:p w14:paraId="263362BD" w14:textId="0AAE50C1" w:rsidR="00C2272B" w:rsidRPr="00A00994" w:rsidRDefault="00304194" w:rsidP="00DB13EF">
            <w:pPr>
              <w:pStyle w:val="Marginlie"/>
              <w:rPr>
                <w:spacing w:val="-6"/>
                <w:lang w:val="en-GB"/>
              </w:rPr>
            </w:pPr>
            <w:r w:rsidRPr="00A00994">
              <w:rPr>
                <w:color w:val="0D0D0D" w:themeColor="text1" w:themeTint="F2"/>
                <w:spacing w:val="-6"/>
                <w:lang w:val="en-GB"/>
              </w:rPr>
              <w:t xml:space="preserve">The industrial output kept further growing quarter-on-quarter in spite of significant growth barriers, rising cost pressures as well as uncertainties connected to the future accessibility of gas. </w:t>
            </w:r>
          </w:p>
        </w:tc>
        <w:tc>
          <w:tcPr>
            <w:tcW w:w="214" w:type="dxa"/>
            <w:tcBorders>
              <w:top w:val="nil"/>
              <w:left w:val="nil"/>
              <w:bottom w:val="nil"/>
              <w:right w:val="nil"/>
            </w:tcBorders>
            <w:shd w:val="clear" w:color="auto" w:fill="auto"/>
            <w:tcMar>
              <w:left w:w="0" w:type="dxa"/>
            </w:tcMar>
          </w:tcPr>
          <w:p w14:paraId="1C5FB8DD" w14:textId="77777777" w:rsidR="00C2272B" w:rsidRPr="00A00994" w:rsidRDefault="00C2272B" w:rsidP="00DB13EF">
            <w:pPr>
              <w:pStyle w:val="Textpoznpodarou"/>
              <w:jc w:val="both"/>
              <w:rPr>
                <w:spacing w:val="-6"/>
                <w:lang w:val="en-GB"/>
              </w:rPr>
            </w:pPr>
          </w:p>
        </w:tc>
        <w:tc>
          <w:tcPr>
            <w:tcW w:w="7730" w:type="dxa"/>
            <w:tcBorders>
              <w:top w:val="nil"/>
              <w:left w:val="nil"/>
              <w:bottom w:val="nil"/>
              <w:right w:val="nil"/>
            </w:tcBorders>
            <w:shd w:val="clear" w:color="auto" w:fill="auto"/>
            <w:tcMar>
              <w:left w:w="0" w:type="dxa"/>
            </w:tcMar>
          </w:tcPr>
          <w:p w14:paraId="1F43C5B6" w14:textId="4DFECC27" w:rsidR="00C2272B" w:rsidRPr="00A00994" w:rsidRDefault="00A94DF9" w:rsidP="00DB13EF">
            <w:pPr>
              <w:spacing w:after="220"/>
              <w:rPr>
                <w:spacing w:val="-6"/>
                <w:lang w:val="en-GB"/>
              </w:rPr>
            </w:pPr>
            <w:r w:rsidRPr="00A00994">
              <w:rPr>
                <w:spacing w:val="-6"/>
                <w:lang w:val="en-GB"/>
              </w:rPr>
              <w:t>Data from the business statistics confirm, that the trend of moderate recovery of the domestic industry also continued during this year’s H</w:t>
            </w:r>
            <w:r w:rsidR="00C2272B" w:rsidRPr="00A00994">
              <w:rPr>
                <w:color w:val="0D0D0D" w:themeColor="text1" w:themeTint="F2"/>
                <w:spacing w:val="-6"/>
                <w:lang w:val="en-GB"/>
              </w:rPr>
              <w:t>1.</w:t>
            </w:r>
            <w:r w:rsidRPr="00A00994">
              <w:rPr>
                <w:color w:val="0D0D0D" w:themeColor="text1" w:themeTint="F2"/>
                <w:spacing w:val="-6"/>
                <w:lang w:val="en-GB"/>
              </w:rPr>
              <w:t xml:space="preserve"> Its output</w:t>
            </w:r>
            <w:r w:rsidR="00C2272B" w:rsidRPr="00A00994">
              <w:rPr>
                <w:rStyle w:val="Znakapoznpodarou"/>
                <w:color w:val="0D0D0D" w:themeColor="text1" w:themeTint="F2"/>
                <w:spacing w:val="-6"/>
                <w:lang w:val="en-GB"/>
              </w:rPr>
              <w:footnoteReference w:id="1"/>
            </w:r>
            <w:r w:rsidR="00C2272B" w:rsidRPr="00A00994">
              <w:rPr>
                <w:color w:val="0D0D0D" w:themeColor="text1" w:themeTint="F2"/>
                <w:spacing w:val="-6"/>
                <w:lang w:val="en-GB"/>
              </w:rPr>
              <w:t xml:space="preserve"> </w:t>
            </w:r>
            <w:r w:rsidRPr="00A00994">
              <w:rPr>
                <w:color w:val="0D0D0D" w:themeColor="text1" w:themeTint="F2"/>
                <w:spacing w:val="-6"/>
                <w:lang w:val="en-GB"/>
              </w:rPr>
              <w:t xml:space="preserve">increased by </w:t>
            </w:r>
            <w:r w:rsidR="00C2272B" w:rsidRPr="00A00994">
              <w:rPr>
                <w:color w:val="0D0D0D" w:themeColor="text1" w:themeTint="F2"/>
                <w:spacing w:val="-6"/>
                <w:lang w:val="en-GB"/>
              </w:rPr>
              <w:t>1</w:t>
            </w:r>
            <w:r w:rsidRPr="00A00994">
              <w:rPr>
                <w:color w:val="0D0D0D" w:themeColor="text1" w:themeTint="F2"/>
                <w:spacing w:val="-6"/>
                <w:lang w:val="en-GB"/>
              </w:rPr>
              <w:t>.</w:t>
            </w:r>
            <w:r w:rsidR="00C2272B" w:rsidRPr="00A00994">
              <w:rPr>
                <w:color w:val="0D0D0D" w:themeColor="text1" w:themeTint="F2"/>
                <w:spacing w:val="-6"/>
                <w:lang w:val="en-GB"/>
              </w:rPr>
              <w:t>2%</w:t>
            </w:r>
            <w:r w:rsidRPr="00A00994">
              <w:rPr>
                <w:color w:val="0D0D0D" w:themeColor="text1" w:themeTint="F2"/>
                <w:spacing w:val="-6"/>
                <w:lang w:val="en-GB"/>
              </w:rPr>
              <w:t xml:space="preserve"> quarter-on-quarter in Q1</w:t>
            </w:r>
            <w:r w:rsidR="00C2272B" w:rsidRPr="00A00994">
              <w:rPr>
                <w:color w:val="0D0D0D" w:themeColor="text1" w:themeTint="F2"/>
                <w:spacing w:val="-6"/>
                <w:lang w:val="en-GB"/>
              </w:rPr>
              <w:t>,</w:t>
            </w:r>
            <w:r w:rsidRPr="00A00994">
              <w:rPr>
                <w:color w:val="0D0D0D" w:themeColor="text1" w:themeTint="F2"/>
                <w:spacing w:val="-6"/>
                <w:lang w:val="en-GB"/>
              </w:rPr>
              <w:t xml:space="preserve"> by </w:t>
            </w:r>
            <w:r w:rsidR="00C2272B" w:rsidRPr="00A00994">
              <w:rPr>
                <w:color w:val="0D0D0D" w:themeColor="text1" w:themeTint="F2"/>
                <w:spacing w:val="-6"/>
                <w:lang w:val="en-GB"/>
              </w:rPr>
              <w:t>0</w:t>
            </w:r>
            <w:r w:rsidRPr="00A00994">
              <w:rPr>
                <w:color w:val="0D0D0D" w:themeColor="text1" w:themeTint="F2"/>
                <w:spacing w:val="-6"/>
                <w:lang w:val="en-GB"/>
              </w:rPr>
              <w:t>.</w:t>
            </w:r>
            <w:r w:rsidR="00C2272B" w:rsidRPr="00A00994">
              <w:rPr>
                <w:color w:val="0D0D0D" w:themeColor="text1" w:themeTint="F2"/>
                <w:spacing w:val="-6"/>
                <w:lang w:val="en-GB"/>
              </w:rPr>
              <w:t>8%</w:t>
            </w:r>
            <w:r w:rsidRPr="00A00994">
              <w:rPr>
                <w:color w:val="0D0D0D" w:themeColor="text1" w:themeTint="F2"/>
                <w:spacing w:val="-6"/>
                <w:lang w:val="en-GB"/>
              </w:rPr>
              <w:t xml:space="preserve"> in Q2</w:t>
            </w:r>
            <w:r w:rsidR="00C2272B" w:rsidRPr="00A00994">
              <w:rPr>
                <w:color w:val="0D0D0D" w:themeColor="text1" w:themeTint="F2"/>
                <w:spacing w:val="-6"/>
                <w:lang w:val="en-GB"/>
              </w:rPr>
              <w:t xml:space="preserve">. </w:t>
            </w:r>
            <w:r w:rsidR="00D31F1F" w:rsidRPr="00A00994">
              <w:rPr>
                <w:color w:val="0D0D0D" w:themeColor="text1" w:themeTint="F2"/>
                <w:spacing w:val="-6"/>
                <w:lang w:val="en-GB"/>
              </w:rPr>
              <w:t xml:space="preserve">Even though it does not concern staggering rates of growths, it presents more favourable results than observed for the whole last year. </w:t>
            </w:r>
            <w:r w:rsidR="007932D3" w:rsidRPr="00A00994">
              <w:rPr>
                <w:color w:val="0D0D0D" w:themeColor="text1" w:themeTint="F2"/>
                <w:spacing w:val="-6"/>
                <w:lang w:val="en-GB"/>
              </w:rPr>
              <w:t>Manufacturing of motor vehicles</w:t>
            </w:r>
            <w:r w:rsidR="00C2272B" w:rsidRPr="00A00994">
              <w:rPr>
                <w:color w:val="0D0D0D" w:themeColor="text1" w:themeTint="F2"/>
                <w:spacing w:val="-6"/>
                <w:lang w:val="en-GB"/>
              </w:rPr>
              <w:t xml:space="preserve">, </w:t>
            </w:r>
            <w:r w:rsidR="007932D3" w:rsidRPr="00A00994">
              <w:rPr>
                <w:color w:val="0D0D0D" w:themeColor="text1" w:themeTint="F2"/>
                <w:spacing w:val="-6"/>
                <w:lang w:val="en-GB"/>
              </w:rPr>
              <w:t xml:space="preserve">where the difficulties with supplies of some production components eased somewhat this year in </w:t>
            </w:r>
            <w:r w:rsidR="00DC1A3D">
              <w:rPr>
                <w:color w:val="0D0D0D" w:themeColor="text1" w:themeTint="F2"/>
                <w:spacing w:val="-6"/>
                <w:lang w:val="en-GB"/>
              </w:rPr>
              <w:t>s</w:t>
            </w:r>
            <w:r w:rsidR="00E846B0" w:rsidRPr="00A00994">
              <w:rPr>
                <w:color w:val="0D0D0D" w:themeColor="text1" w:themeTint="F2"/>
                <w:spacing w:val="-6"/>
                <w:lang w:val="en-GB"/>
              </w:rPr>
              <w:t>pring</w:t>
            </w:r>
            <w:r w:rsidR="007932D3" w:rsidRPr="00A00994">
              <w:rPr>
                <w:color w:val="0D0D0D" w:themeColor="text1" w:themeTint="F2"/>
                <w:spacing w:val="-6"/>
                <w:lang w:val="en-GB"/>
              </w:rPr>
              <w:t xml:space="preserve">, played a large part. </w:t>
            </w:r>
            <w:r w:rsidR="00E657C8" w:rsidRPr="00A00994">
              <w:rPr>
                <w:color w:val="0D0D0D" w:themeColor="text1" w:themeTint="F2"/>
                <w:spacing w:val="-6"/>
                <w:lang w:val="en-GB"/>
              </w:rPr>
              <w:t>If in Q</w:t>
            </w:r>
            <w:r w:rsidR="00C2272B" w:rsidRPr="00A00994">
              <w:rPr>
                <w:color w:val="0D0D0D" w:themeColor="text1" w:themeTint="F2"/>
                <w:spacing w:val="-6"/>
                <w:lang w:val="en-GB"/>
              </w:rPr>
              <w:t>1</w:t>
            </w:r>
            <w:r w:rsidR="00E657C8" w:rsidRPr="00A00994">
              <w:rPr>
                <w:color w:val="0D0D0D" w:themeColor="text1" w:themeTint="F2"/>
                <w:spacing w:val="-6"/>
                <w:lang w:val="en-GB"/>
              </w:rPr>
              <w:t xml:space="preserve"> the majority of other more significant manufacturing activities prospered</w:t>
            </w:r>
            <w:r w:rsidR="00C2272B" w:rsidRPr="00A00994">
              <w:rPr>
                <w:color w:val="0D0D0D" w:themeColor="text1" w:themeTint="F2"/>
                <w:spacing w:val="-6"/>
                <w:lang w:val="en-GB"/>
              </w:rPr>
              <w:t xml:space="preserve">, </w:t>
            </w:r>
            <w:r w:rsidR="007932D3" w:rsidRPr="00A00994">
              <w:rPr>
                <w:color w:val="0D0D0D" w:themeColor="text1" w:themeTint="F2"/>
                <w:spacing w:val="-6"/>
                <w:lang w:val="en-GB"/>
              </w:rPr>
              <w:t>the ou</w:t>
            </w:r>
            <w:r w:rsidR="00E657C8" w:rsidRPr="00A00994">
              <w:rPr>
                <w:color w:val="0D0D0D" w:themeColor="text1" w:themeTint="F2"/>
                <w:spacing w:val="-6"/>
                <w:lang w:val="en-GB"/>
              </w:rPr>
              <w:t>t</w:t>
            </w:r>
            <w:r w:rsidR="007932D3" w:rsidRPr="00A00994">
              <w:rPr>
                <w:color w:val="0D0D0D" w:themeColor="text1" w:themeTint="F2"/>
                <w:spacing w:val="-6"/>
                <w:lang w:val="en-GB"/>
              </w:rPr>
              <w:t xml:space="preserve">put growth generally halted in these in the subsequent time period. </w:t>
            </w:r>
            <w:r w:rsidR="00F822CE" w:rsidRPr="00A00994">
              <w:rPr>
                <w:color w:val="0D0D0D" w:themeColor="text1" w:themeTint="F2"/>
                <w:spacing w:val="-6"/>
                <w:lang w:val="en-GB"/>
              </w:rPr>
              <w:t xml:space="preserve">Additional substantial growth barriers also limited the industry already for more than two years, at the same time some of them strengthening this year. The ignition of the Russia-Ukraine war conflict </w:t>
            </w:r>
            <w:r w:rsidR="007C0069" w:rsidRPr="00A00994">
              <w:rPr>
                <w:color w:val="0D0D0D" w:themeColor="text1" w:themeTint="F2"/>
                <w:spacing w:val="-6"/>
                <w:lang w:val="en-GB"/>
              </w:rPr>
              <w:t>also substantially contributed to the escalation of the price growth of energies as well as other material inputs</w:t>
            </w:r>
            <w:r w:rsidR="00C2272B" w:rsidRPr="00A00994">
              <w:rPr>
                <w:color w:val="0D0D0D" w:themeColor="text1" w:themeTint="F2"/>
                <w:spacing w:val="-6"/>
                <w:lang w:val="en-GB"/>
              </w:rPr>
              <w:t xml:space="preserve">, </w:t>
            </w:r>
            <w:r w:rsidR="007932D3" w:rsidRPr="00A00994">
              <w:rPr>
                <w:color w:val="0D0D0D" w:themeColor="text1" w:themeTint="F2"/>
                <w:spacing w:val="-6"/>
                <w:lang w:val="en-GB"/>
              </w:rPr>
              <w:t>which could have already adversely affected the performance of some energy more consuming branches</w:t>
            </w:r>
            <w:r w:rsidR="00C2272B" w:rsidRPr="00A00994">
              <w:rPr>
                <w:color w:val="0D0D0D" w:themeColor="text1" w:themeTint="F2"/>
                <w:spacing w:val="-6"/>
                <w:lang w:val="en-GB"/>
              </w:rPr>
              <w:t xml:space="preserve">. </w:t>
            </w:r>
            <w:r w:rsidR="00DB5FDA" w:rsidRPr="00A00994">
              <w:rPr>
                <w:color w:val="0D0D0D" w:themeColor="text1" w:themeTint="F2"/>
                <w:spacing w:val="-6"/>
                <w:lang w:val="en-GB"/>
              </w:rPr>
              <w:t>Output in the whole industry was thus still below its pre-pandemic peak this year in Q</w:t>
            </w:r>
            <w:r w:rsidR="00C2272B" w:rsidRPr="00A00994">
              <w:rPr>
                <w:color w:val="0D0D0D" w:themeColor="text1" w:themeTint="F2"/>
                <w:spacing w:val="-6"/>
                <w:lang w:val="en-GB"/>
              </w:rPr>
              <w:t>2</w:t>
            </w:r>
            <w:r w:rsidR="00C2272B" w:rsidRPr="00A00994">
              <w:rPr>
                <w:rStyle w:val="Znakapoznpodarou"/>
                <w:color w:val="0D0D0D" w:themeColor="text1" w:themeTint="F2"/>
                <w:spacing w:val="-6"/>
                <w:lang w:val="en-GB"/>
              </w:rPr>
              <w:footnoteReference w:id="2"/>
            </w:r>
            <w:r w:rsidR="00C2272B" w:rsidRPr="00A00994">
              <w:rPr>
                <w:color w:val="0D0D0D" w:themeColor="text1" w:themeTint="F2"/>
                <w:spacing w:val="-6"/>
                <w:lang w:val="en-GB"/>
              </w:rPr>
              <w:t>.</w:t>
            </w:r>
          </w:p>
        </w:tc>
      </w:tr>
      <w:tr w:rsidR="00C2272B" w:rsidRPr="00A00994" w14:paraId="6237AE81" w14:textId="77777777" w:rsidTr="00BB1209">
        <w:trPr>
          <w:trHeight w:val="145"/>
        </w:trPr>
        <w:tc>
          <w:tcPr>
            <w:tcW w:w="1695" w:type="dxa"/>
            <w:tcBorders>
              <w:top w:val="nil"/>
              <w:left w:val="nil"/>
              <w:bottom w:val="nil"/>
              <w:right w:val="nil"/>
            </w:tcBorders>
            <w:shd w:val="clear" w:color="auto" w:fill="auto"/>
            <w:tcMar>
              <w:left w:w="0" w:type="dxa"/>
            </w:tcMar>
          </w:tcPr>
          <w:p w14:paraId="7A5F1732" w14:textId="4C6215EB" w:rsidR="00C2272B" w:rsidRPr="00A00994" w:rsidRDefault="00DB5FDA" w:rsidP="00DB13EF">
            <w:pPr>
              <w:pStyle w:val="Marginlie"/>
              <w:rPr>
                <w:spacing w:val="-6"/>
                <w:lang w:val="en-GB"/>
              </w:rPr>
            </w:pPr>
            <w:r w:rsidRPr="00A00994">
              <w:rPr>
                <w:spacing w:val="-6"/>
                <w:lang w:val="en-GB"/>
              </w:rPr>
              <w:t>Industrial production stagnated in H</w:t>
            </w:r>
            <w:r w:rsidR="00C2272B" w:rsidRPr="00A00994">
              <w:rPr>
                <w:spacing w:val="-6"/>
                <w:lang w:val="en-GB"/>
              </w:rPr>
              <w:t>1.</w:t>
            </w:r>
            <w:r w:rsidRPr="00A00994">
              <w:rPr>
                <w:spacing w:val="-6"/>
                <w:lang w:val="en-GB"/>
              </w:rPr>
              <w:t xml:space="preserve"> </w:t>
            </w:r>
            <w:r w:rsidR="00F40205" w:rsidRPr="00A00994">
              <w:rPr>
                <w:spacing w:val="-6"/>
                <w:lang w:val="en-GB"/>
              </w:rPr>
              <w:t>Manufacturing</w:t>
            </w:r>
            <w:r w:rsidR="00632B4B" w:rsidRPr="00A00994">
              <w:rPr>
                <w:spacing w:val="-6"/>
                <w:lang w:val="en-GB"/>
              </w:rPr>
              <w:t xml:space="preserve"> of electrical appliances and also some</w:t>
            </w:r>
            <w:r w:rsidR="00F40205" w:rsidRPr="00A00994">
              <w:rPr>
                <w:spacing w:val="-6"/>
                <w:lang w:val="en-GB"/>
              </w:rPr>
              <w:t xml:space="preserve"> smaller industries, which struggled as a consequence </w:t>
            </w:r>
            <w:r w:rsidR="00D2793E" w:rsidRPr="00A00994">
              <w:rPr>
                <w:spacing w:val="-6"/>
                <w:lang w:val="en-GB"/>
              </w:rPr>
              <w:t xml:space="preserve">of </w:t>
            </w:r>
            <w:r w:rsidR="00F40205" w:rsidRPr="00A00994">
              <w:rPr>
                <w:spacing w:val="-6"/>
                <w:lang w:val="en-GB"/>
              </w:rPr>
              <w:t>involuntary shutdown of shops last year</w:t>
            </w:r>
            <w:r w:rsidR="00D2793E" w:rsidRPr="00A00994">
              <w:rPr>
                <w:spacing w:val="-6"/>
                <w:lang w:val="en-GB"/>
              </w:rPr>
              <w:t>,</w:t>
            </w:r>
            <w:r w:rsidR="00632B4B" w:rsidRPr="00A00994">
              <w:rPr>
                <w:spacing w:val="-6"/>
                <w:lang w:val="en-GB"/>
              </w:rPr>
              <w:t xml:space="preserve"> </w:t>
            </w:r>
            <w:r w:rsidR="00F40205" w:rsidRPr="00A00994">
              <w:rPr>
                <w:spacing w:val="-6"/>
                <w:lang w:val="en-GB"/>
              </w:rPr>
              <w:t>had a pro-growth effect.</w:t>
            </w:r>
          </w:p>
        </w:tc>
        <w:tc>
          <w:tcPr>
            <w:tcW w:w="214" w:type="dxa"/>
            <w:tcBorders>
              <w:top w:val="nil"/>
              <w:left w:val="nil"/>
              <w:bottom w:val="nil"/>
              <w:right w:val="nil"/>
            </w:tcBorders>
            <w:shd w:val="clear" w:color="auto" w:fill="auto"/>
            <w:tcMar>
              <w:left w:w="0" w:type="dxa"/>
            </w:tcMar>
          </w:tcPr>
          <w:p w14:paraId="2D09C00B" w14:textId="77777777" w:rsidR="00C2272B" w:rsidRPr="00A00994" w:rsidRDefault="00C2272B" w:rsidP="00DB13EF">
            <w:pPr>
              <w:pStyle w:val="Textpoznpodarou"/>
              <w:jc w:val="both"/>
              <w:rPr>
                <w:spacing w:val="-6"/>
                <w:lang w:val="en-GB"/>
              </w:rPr>
            </w:pPr>
          </w:p>
        </w:tc>
        <w:tc>
          <w:tcPr>
            <w:tcW w:w="7730" w:type="dxa"/>
            <w:tcBorders>
              <w:top w:val="nil"/>
              <w:left w:val="nil"/>
              <w:bottom w:val="nil"/>
              <w:right w:val="nil"/>
            </w:tcBorders>
            <w:shd w:val="clear" w:color="auto" w:fill="auto"/>
            <w:tcMar>
              <w:left w:w="0" w:type="dxa"/>
            </w:tcMar>
          </w:tcPr>
          <w:p w14:paraId="6A19289B" w14:textId="5A40F7D7" w:rsidR="00C2272B" w:rsidRPr="00A00994" w:rsidRDefault="00F40205" w:rsidP="00DB13EF">
            <w:pPr>
              <w:spacing w:after="220"/>
              <w:rPr>
                <w:spacing w:val="-6"/>
                <w:lang w:val="en-GB"/>
              </w:rPr>
            </w:pPr>
            <w:r w:rsidRPr="00A00994">
              <w:rPr>
                <w:spacing w:val="-6"/>
                <w:lang w:val="en-GB"/>
              </w:rPr>
              <w:t xml:space="preserve">This year’s industrial output in fact only stagnated in the year-on-year comparison this year in both Q1 and 2. </w:t>
            </w:r>
            <w:r w:rsidR="00B14E93" w:rsidRPr="00A00994">
              <w:rPr>
                <w:spacing w:val="-6"/>
                <w:lang w:val="en-GB"/>
              </w:rPr>
              <w:t xml:space="preserve">The disruption of the global supply chains </w:t>
            </w:r>
            <w:r w:rsidRPr="00A00994">
              <w:rPr>
                <w:color w:val="0D0D0D" w:themeColor="text1" w:themeTint="F2"/>
                <w:spacing w:val="-6"/>
                <w:lang w:val="en-GB"/>
              </w:rPr>
              <w:t xml:space="preserve">was not yet too evident in the domestic industry at the beginning of the last year and </w:t>
            </w:r>
            <w:r w:rsidR="00B14E93" w:rsidRPr="00A00994">
              <w:rPr>
                <w:color w:val="0D0D0D" w:themeColor="text1" w:themeTint="F2"/>
                <w:spacing w:val="-6"/>
                <w:lang w:val="en-GB"/>
              </w:rPr>
              <w:t xml:space="preserve">that is why especially the manufacturers of motor vehicles relatively </w:t>
            </w:r>
            <w:r w:rsidR="00DA0DFB" w:rsidRPr="00A00994">
              <w:rPr>
                <w:color w:val="0D0D0D" w:themeColor="text1" w:themeTint="F2"/>
                <w:spacing w:val="-6"/>
                <w:lang w:val="en-GB"/>
              </w:rPr>
              <w:t>quickly</w:t>
            </w:r>
            <w:r w:rsidR="00B14E93" w:rsidRPr="00A00994">
              <w:rPr>
                <w:color w:val="0D0D0D" w:themeColor="text1" w:themeTint="F2"/>
                <w:spacing w:val="-6"/>
                <w:lang w:val="en-GB"/>
              </w:rPr>
              <w:t xml:space="preserve"> erased their losses from the previous “covid” year at that time</w:t>
            </w:r>
            <w:r w:rsidR="00C2272B" w:rsidRPr="00A00994">
              <w:rPr>
                <w:color w:val="0D0D0D" w:themeColor="text1" w:themeTint="F2"/>
                <w:spacing w:val="-6"/>
                <w:lang w:val="en-GB"/>
              </w:rPr>
              <w:t xml:space="preserve">. </w:t>
            </w:r>
            <w:r w:rsidR="00B14E93" w:rsidRPr="00A00994">
              <w:rPr>
                <w:color w:val="0D0D0D" w:themeColor="text1" w:themeTint="F2"/>
                <w:spacing w:val="-6"/>
                <w:lang w:val="en-GB"/>
              </w:rPr>
              <w:t>In total for the whole H</w:t>
            </w:r>
            <w:r w:rsidR="00C2272B" w:rsidRPr="00A00994">
              <w:rPr>
                <w:color w:val="0D0D0D" w:themeColor="text1" w:themeTint="F2"/>
                <w:spacing w:val="-6"/>
                <w:lang w:val="en-GB"/>
              </w:rPr>
              <w:t>1</w:t>
            </w:r>
            <w:r w:rsidR="00B14E93" w:rsidRPr="00A00994">
              <w:rPr>
                <w:color w:val="0D0D0D" w:themeColor="text1" w:themeTint="F2"/>
                <w:spacing w:val="-6"/>
                <w:lang w:val="en-GB"/>
              </w:rPr>
              <w:t xml:space="preserve"> </w:t>
            </w:r>
            <w:r w:rsidR="00C2272B" w:rsidRPr="00A00994">
              <w:rPr>
                <w:color w:val="0D0D0D" w:themeColor="text1" w:themeTint="F2"/>
                <w:spacing w:val="-6"/>
                <w:lang w:val="en-GB"/>
              </w:rPr>
              <w:t>2022</w:t>
            </w:r>
            <w:r w:rsidR="00B14E93" w:rsidRPr="00A00994">
              <w:rPr>
                <w:color w:val="0D0D0D" w:themeColor="text1" w:themeTint="F2"/>
                <w:spacing w:val="-6"/>
                <w:lang w:val="en-GB"/>
              </w:rPr>
              <w:t xml:space="preserve">, the performance of branches, which were deeply hit by the slump of demand related to the enforced shutdown of operations in the critical periods of the pandemics, increased the most. Manufacturers of beverages thus recorded </w:t>
            </w:r>
            <w:r w:rsidR="00C2272B" w:rsidRPr="00A00994">
              <w:rPr>
                <w:color w:val="0D0D0D" w:themeColor="text1" w:themeTint="F2"/>
                <w:spacing w:val="-6"/>
                <w:lang w:val="en-GB"/>
              </w:rPr>
              <w:t xml:space="preserve">12% </w:t>
            </w:r>
            <w:r w:rsidR="00B14E93" w:rsidRPr="00A00994">
              <w:rPr>
                <w:color w:val="0D0D0D" w:themeColor="text1" w:themeTint="F2"/>
                <w:spacing w:val="-6"/>
                <w:lang w:val="en-GB"/>
              </w:rPr>
              <w:t>output growth this year</w:t>
            </w:r>
            <w:r w:rsidR="00C2272B" w:rsidRPr="00A00994">
              <w:rPr>
                <w:color w:val="0D0D0D" w:themeColor="text1" w:themeTint="F2"/>
                <w:spacing w:val="-6"/>
                <w:lang w:val="en-GB"/>
              </w:rPr>
              <w:t xml:space="preserve">, </w:t>
            </w:r>
            <w:r w:rsidRPr="00A00994">
              <w:rPr>
                <w:color w:val="0D0D0D" w:themeColor="text1" w:themeTint="F2"/>
                <w:spacing w:val="-6"/>
                <w:lang w:val="en-GB"/>
              </w:rPr>
              <w:t>other smaller industr</w:t>
            </w:r>
            <w:r w:rsidR="003820ED" w:rsidRPr="00A00994">
              <w:rPr>
                <w:color w:val="0D0D0D" w:themeColor="text1" w:themeTint="F2"/>
                <w:spacing w:val="-6"/>
                <w:lang w:val="en-GB"/>
              </w:rPr>
              <w:t>ies recorded even large revival</w:t>
            </w:r>
            <w:r w:rsidR="00C2272B" w:rsidRPr="00A00994">
              <w:rPr>
                <w:color w:val="0D0D0D" w:themeColor="text1" w:themeTint="F2"/>
                <w:spacing w:val="-6"/>
                <w:lang w:val="en-GB"/>
              </w:rPr>
              <w:t xml:space="preserve"> – </w:t>
            </w:r>
            <w:r w:rsidRPr="00A00994">
              <w:rPr>
                <w:color w:val="0D0D0D" w:themeColor="text1" w:themeTint="F2"/>
                <w:spacing w:val="-6"/>
                <w:lang w:val="en-GB"/>
              </w:rPr>
              <w:t xml:space="preserve">manufacturing of wearing apparel </w:t>
            </w:r>
            <w:r w:rsidR="00C2272B" w:rsidRPr="00A00994">
              <w:rPr>
                <w:color w:val="0D0D0D" w:themeColor="text1" w:themeTint="F2"/>
                <w:spacing w:val="-6"/>
                <w:lang w:val="en-GB"/>
              </w:rPr>
              <w:t>(+13%) a</w:t>
            </w:r>
            <w:r w:rsidRPr="00A00994">
              <w:rPr>
                <w:color w:val="0D0D0D" w:themeColor="text1" w:themeTint="F2"/>
                <w:spacing w:val="-6"/>
                <w:lang w:val="en-GB"/>
              </w:rPr>
              <w:t xml:space="preserve">nd leather products </w:t>
            </w:r>
            <w:r w:rsidR="00C2272B" w:rsidRPr="00A00994">
              <w:rPr>
                <w:color w:val="0D0D0D" w:themeColor="text1" w:themeTint="F2"/>
                <w:spacing w:val="-6"/>
                <w:lang w:val="en-GB"/>
              </w:rPr>
              <w:t xml:space="preserve">(+23%). </w:t>
            </w:r>
            <w:r w:rsidR="00923970" w:rsidRPr="00A00994">
              <w:rPr>
                <w:color w:val="0D0D0D" w:themeColor="text1" w:themeTint="F2"/>
                <w:spacing w:val="-6"/>
                <w:lang w:val="en-GB"/>
              </w:rPr>
              <w:t>Pharmaceutical</w:t>
            </w:r>
            <w:r w:rsidR="00AE6A0F" w:rsidRPr="00A00994">
              <w:rPr>
                <w:color w:val="0D0D0D" w:themeColor="text1" w:themeTint="F2"/>
                <w:spacing w:val="-6"/>
                <w:lang w:val="en-GB"/>
              </w:rPr>
              <w:t xml:space="preserve"> industry </w:t>
            </w:r>
            <w:r w:rsidR="00C2272B" w:rsidRPr="00A00994">
              <w:rPr>
                <w:color w:val="0D0D0D" w:themeColor="text1" w:themeTint="F2"/>
                <w:spacing w:val="-6"/>
                <w:lang w:val="en-GB"/>
              </w:rPr>
              <w:t>(+11%),</w:t>
            </w:r>
            <w:r w:rsidR="00AE6A0F" w:rsidRPr="00A00994">
              <w:rPr>
                <w:color w:val="0D0D0D" w:themeColor="text1" w:themeTint="F2"/>
                <w:spacing w:val="-6"/>
                <w:lang w:val="en-GB"/>
              </w:rPr>
              <w:t xml:space="preserve"> which together with manufacturing of paper products belonged to the only industrial branches, whose output growth was not disrupted for the whole pandemic period</w:t>
            </w:r>
            <w:r w:rsidR="00923970" w:rsidRPr="00A00994">
              <w:rPr>
                <w:color w:val="0D0D0D" w:themeColor="text1" w:themeTint="F2"/>
                <w:spacing w:val="-6"/>
                <w:lang w:val="en-GB"/>
              </w:rPr>
              <w:t xml:space="preserve"> </w:t>
            </w:r>
            <w:r w:rsidR="00C2272B" w:rsidRPr="00A00994">
              <w:rPr>
                <w:color w:val="0D0D0D" w:themeColor="text1" w:themeTint="F2"/>
                <w:spacing w:val="-6"/>
                <w:lang w:val="en-GB"/>
              </w:rPr>
              <w:t xml:space="preserve"> </w:t>
            </w:r>
            <w:r w:rsidR="00AE6A0F" w:rsidRPr="00A00994">
              <w:rPr>
                <w:color w:val="0D0D0D" w:themeColor="text1" w:themeTint="F2"/>
                <w:spacing w:val="-6"/>
                <w:lang w:val="en-GB"/>
              </w:rPr>
              <w:t>still flourished thanks to the still strong domestic as well as foreign demand</w:t>
            </w:r>
            <w:r w:rsidR="00C2272B" w:rsidRPr="00A00994">
              <w:rPr>
                <w:color w:val="0D0D0D" w:themeColor="text1" w:themeTint="F2"/>
                <w:spacing w:val="-6"/>
                <w:lang w:val="en-GB"/>
              </w:rPr>
              <w:t xml:space="preserve">. </w:t>
            </w:r>
            <w:r w:rsidR="005D7508" w:rsidRPr="00A00994">
              <w:rPr>
                <w:color w:val="0D0D0D" w:themeColor="text1" w:themeTint="F2"/>
                <w:spacing w:val="-6"/>
                <w:lang w:val="en-GB"/>
              </w:rPr>
              <w:t>The weight significant manufacturing of electrical equipment worked the most in the direction of growth of the whole industry in H</w:t>
            </w:r>
            <w:r w:rsidR="00C2272B" w:rsidRPr="00A00994">
              <w:rPr>
                <w:color w:val="0D0D0D" w:themeColor="text1" w:themeTint="F2"/>
                <w:spacing w:val="-6"/>
                <w:lang w:val="en-GB"/>
              </w:rPr>
              <w:t>1</w:t>
            </w:r>
            <w:r w:rsidR="005D7508" w:rsidRPr="00A00994">
              <w:rPr>
                <w:color w:val="0D0D0D" w:themeColor="text1" w:themeTint="F2"/>
                <w:spacing w:val="-6"/>
                <w:lang w:val="en-GB"/>
              </w:rPr>
              <w:t xml:space="preserve"> </w:t>
            </w:r>
            <w:r w:rsidR="00C2272B" w:rsidRPr="00A00994">
              <w:rPr>
                <w:color w:val="0D0D0D" w:themeColor="text1" w:themeTint="F2"/>
                <w:spacing w:val="-6"/>
                <w:lang w:val="en-GB"/>
              </w:rPr>
              <w:t>(+0</w:t>
            </w:r>
            <w:r w:rsidR="005D7508" w:rsidRPr="00A00994">
              <w:rPr>
                <w:color w:val="0D0D0D" w:themeColor="text1" w:themeTint="F2"/>
                <w:spacing w:val="-6"/>
                <w:lang w:val="en-GB"/>
              </w:rPr>
              <w:t>.</w:t>
            </w:r>
            <w:r w:rsidR="00C2272B" w:rsidRPr="00A00994">
              <w:rPr>
                <w:color w:val="0D0D0D" w:themeColor="text1" w:themeTint="F2"/>
                <w:spacing w:val="-6"/>
                <w:lang w:val="en-GB"/>
              </w:rPr>
              <w:t>3 p.</w:t>
            </w:r>
            <w:r w:rsidR="005D7508" w:rsidRPr="00A00994">
              <w:rPr>
                <w:color w:val="0D0D0D" w:themeColor="text1" w:themeTint="F2"/>
                <w:spacing w:val="-6"/>
                <w:lang w:val="en-GB"/>
              </w:rPr>
              <w:t>p</w:t>
            </w:r>
            <w:r w:rsidR="00C2272B" w:rsidRPr="00A00994">
              <w:rPr>
                <w:color w:val="0D0D0D" w:themeColor="text1" w:themeTint="F2"/>
                <w:spacing w:val="-6"/>
                <w:lang w:val="en-GB"/>
              </w:rPr>
              <w:t xml:space="preserve">.), </w:t>
            </w:r>
            <w:r w:rsidR="005D7508" w:rsidRPr="00A00994">
              <w:rPr>
                <w:color w:val="0D0D0D" w:themeColor="text1" w:themeTint="F2"/>
                <w:spacing w:val="-6"/>
                <w:lang w:val="en-GB"/>
              </w:rPr>
              <w:t xml:space="preserve">despite its relatively modest year-on-year addition </w:t>
            </w:r>
            <w:r w:rsidR="00C2272B" w:rsidRPr="00A00994">
              <w:rPr>
                <w:color w:val="0D0D0D" w:themeColor="text1" w:themeTint="F2"/>
                <w:spacing w:val="-6"/>
                <w:lang w:val="en-GB"/>
              </w:rPr>
              <w:t>(3</w:t>
            </w:r>
            <w:r w:rsidR="005D7508" w:rsidRPr="00A00994">
              <w:rPr>
                <w:color w:val="0D0D0D" w:themeColor="text1" w:themeTint="F2"/>
                <w:spacing w:val="-6"/>
                <w:lang w:val="en-GB"/>
              </w:rPr>
              <w:t>.</w:t>
            </w:r>
            <w:r w:rsidR="00C2272B" w:rsidRPr="00A00994">
              <w:rPr>
                <w:color w:val="0D0D0D" w:themeColor="text1" w:themeTint="F2"/>
                <w:spacing w:val="-6"/>
                <w:lang w:val="en-GB"/>
              </w:rPr>
              <w:t xml:space="preserve">7%). </w:t>
            </w:r>
            <w:r w:rsidR="005D7508" w:rsidRPr="00A00994">
              <w:rPr>
                <w:color w:val="0D0D0D" w:themeColor="text1" w:themeTint="F2"/>
                <w:spacing w:val="-6"/>
                <w:lang w:val="en-GB"/>
              </w:rPr>
              <w:t xml:space="preserve">Some other more significant industries also strengthened by a similar pace – chemical industry or manufacturing of construction materials </w:t>
            </w:r>
            <w:r w:rsidR="00C2272B" w:rsidRPr="00A00994">
              <w:rPr>
                <w:color w:val="0D0D0D" w:themeColor="text1" w:themeTint="F2"/>
                <w:spacing w:val="-6"/>
                <w:lang w:val="en-GB"/>
              </w:rPr>
              <w:t>(</w:t>
            </w:r>
            <w:r w:rsidR="00B07132" w:rsidRPr="00A00994">
              <w:rPr>
                <w:color w:val="0D0D0D" w:themeColor="text1" w:themeTint="F2"/>
                <w:spacing w:val="-6"/>
                <w:lang w:val="en-GB"/>
              </w:rPr>
              <w:t>sound domestic demand also had a favourable effect here</w:t>
            </w:r>
            <w:r w:rsidR="00C2272B" w:rsidRPr="00A00994">
              <w:rPr>
                <w:color w:val="0D0D0D" w:themeColor="text1" w:themeTint="F2"/>
                <w:spacing w:val="-6"/>
                <w:lang w:val="en-GB"/>
              </w:rPr>
              <w:t xml:space="preserve">). </w:t>
            </w:r>
            <w:r w:rsidR="00B07132" w:rsidRPr="00A00994">
              <w:rPr>
                <w:color w:val="0D0D0D" w:themeColor="text1" w:themeTint="F2"/>
                <w:spacing w:val="-6"/>
                <w:lang w:val="en-GB"/>
              </w:rPr>
              <w:t>The production of construction, which benefited from the revi</w:t>
            </w:r>
            <w:r w:rsidR="00661E03" w:rsidRPr="00A00994">
              <w:rPr>
                <w:color w:val="0D0D0D" w:themeColor="text1" w:themeTint="F2"/>
                <w:spacing w:val="-6"/>
                <w:lang w:val="en-GB"/>
              </w:rPr>
              <w:t>ved investment activity both in</w:t>
            </w:r>
            <w:r w:rsidR="00B07132" w:rsidRPr="00A00994">
              <w:rPr>
                <w:color w:val="0D0D0D" w:themeColor="text1" w:themeTint="F2"/>
                <w:spacing w:val="-6"/>
                <w:lang w:val="en-GB"/>
              </w:rPr>
              <w:t xml:space="preserve"> the domestic economy and the euro area last year, only increased by </w:t>
            </w:r>
            <w:r w:rsidR="00DB13EF" w:rsidRPr="00A00994">
              <w:rPr>
                <w:color w:val="0D0D0D" w:themeColor="text1" w:themeTint="F2"/>
                <w:spacing w:val="-6"/>
                <w:lang w:val="en-GB"/>
              </w:rPr>
              <w:t>2</w:t>
            </w:r>
            <w:r w:rsidR="00B07132" w:rsidRPr="00A00994">
              <w:rPr>
                <w:color w:val="0D0D0D" w:themeColor="text1" w:themeTint="F2"/>
                <w:spacing w:val="-6"/>
                <w:lang w:val="en-GB"/>
              </w:rPr>
              <w:t>.</w:t>
            </w:r>
            <w:r w:rsidR="00DB13EF" w:rsidRPr="00A00994">
              <w:rPr>
                <w:color w:val="0D0D0D" w:themeColor="text1" w:themeTint="F2"/>
                <w:spacing w:val="-6"/>
                <w:lang w:val="en-GB"/>
              </w:rPr>
              <w:t>8</w:t>
            </w:r>
            <w:r w:rsidR="00C2272B" w:rsidRPr="00A00994">
              <w:rPr>
                <w:color w:val="0D0D0D" w:themeColor="text1" w:themeTint="F2"/>
                <w:spacing w:val="-6"/>
                <w:lang w:val="en-GB"/>
              </w:rPr>
              <w:t>%</w:t>
            </w:r>
            <w:r w:rsidR="00B07132" w:rsidRPr="00A00994">
              <w:rPr>
                <w:color w:val="0D0D0D" w:themeColor="text1" w:themeTint="F2"/>
                <w:spacing w:val="-6"/>
                <w:lang w:val="en-GB"/>
              </w:rPr>
              <w:t xml:space="preserve"> this year</w:t>
            </w:r>
            <w:r w:rsidR="00C2272B" w:rsidRPr="00A00994">
              <w:rPr>
                <w:color w:val="0D0D0D" w:themeColor="text1" w:themeTint="F2"/>
                <w:spacing w:val="-6"/>
                <w:lang w:val="en-GB"/>
              </w:rPr>
              <w:t xml:space="preserve">. </w:t>
            </w:r>
            <w:r w:rsidR="005D7508" w:rsidRPr="00A00994">
              <w:rPr>
                <w:color w:val="0D0D0D" w:themeColor="text1" w:themeTint="F2"/>
                <w:spacing w:val="-6"/>
                <w:lang w:val="en-GB"/>
              </w:rPr>
              <w:t xml:space="preserve">In branches heavy on energy consumption of metallurgical and metalworking industry, the output even lowered </w:t>
            </w:r>
            <w:r w:rsidR="00C2272B" w:rsidRPr="00A00994">
              <w:rPr>
                <w:color w:val="0D0D0D" w:themeColor="text1" w:themeTint="F2"/>
                <w:spacing w:val="-6"/>
                <w:lang w:val="en-GB"/>
              </w:rPr>
              <w:t>(</w:t>
            </w:r>
            <w:r w:rsidR="005D7508" w:rsidRPr="00A00994">
              <w:rPr>
                <w:color w:val="0D0D0D" w:themeColor="text1" w:themeTint="F2"/>
                <w:spacing w:val="-6"/>
                <w:lang w:val="en-GB"/>
              </w:rPr>
              <w:t xml:space="preserve">similarly around </w:t>
            </w:r>
            <w:r w:rsidR="00C2272B" w:rsidRPr="00A00994">
              <w:rPr>
                <w:color w:val="0D0D0D" w:themeColor="text1" w:themeTint="F2"/>
                <w:spacing w:val="-6"/>
                <w:lang w:val="en-GB"/>
              </w:rPr>
              <w:t>3%).</w:t>
            </w:r>
          </w:p>
        </w:tc>
      </w:tr>
      <w:tr w:rsidR="00C2272B" w:rsidRPr="00A00994" w14:paraId="4178D3B5" w14:textId="77777777" w:rsidTr="00BB1209">
        <w:trPr>
          <w:trHeight w:val="145"/>
        </w:trPr>
        <w:tc>
          <w:tcPr>
            <w:tcW w:w="1695" w:type="dxa"/>
            <w:tcBorders>
              <w:top w:val="nil"/>
              <w:left w:val="nil"/>
              <w:bottom w:val="nil"/>
              <w:right w:val="nil"/>
            </w:tcBorders>
            <w:shd w:val="clear" w:color="auto" w:fill="auto"/>
            <w:tcMar>
              <w:left w:w="0" w:type="dxa"/>
            </w:tcMar>
          </w:tcPr>
          <w:p w14:paraId="2F3C3120" w14:textId="76452CED" w:rsidR="00C2272B" w:rsidRPr="00A00994" w:rsidRDefault="00F5635E" w:rsidP="00891D31">
            <w:pPr>
              <w:pStyle w:val="Marginlie"/>
              <w:rPr>
                <w:color w:val="0D0D0D" w:themeColor="text1" w:themeTint="F2"/>
                <w:spacing w:val="-6"/>
                <w:lang w:val="en-GB"/>
              </w:rPr>
            </w:pPr>
            <w:r w:rsidRPr="00A00994">
              <w:rPr>
                <w:color w:val="0D0D0D" w:themeColor="text1" w:themeTint="F2"/>
                <w:spacing w:val="-6"/>
                <w:lang w:val="en-GB"/>
              </w:rPr>
              <w:t xml:space="preserve">Industry growth </w:t>
            </w:r>
            <w:r w:rsidR="004052EF" w:rsidRPr="00A00994">
              <w:rPr>
                <w:color w:val="0D0D0D" w:themeColor="text1" w:themeTint="F2"/>
                <w:spacing w:val="-6"/>
                <w:lang w:val="en-GB"/>
              </w:rPr>
              <w:t xml:space="preserve">was </w:t>
            </w:r>
            <w:r w:rsidRPr="00A00994">
              <w:rPr>
                <w:color w:val="0D0D0D" w:themeColor="text1" w:themeTint="F2"/>
                <w:spacing w:val="-6"/>
                <w:lang w:val="en-GB"/>
              </w:rPr>
              <w:t>the most hindered by manufacturing of motor vehicles</w:t>
            </w:r>
            <w:r w:rsidR="00891D31" w:rsidRPr="00A00994">
              <w:rPr>
                <w:color w:val="0D0D0D" w:themeColor="text1" w:themeTint="F2"/>
                <w:spacing w:val="-6"/>
                <w:lang w:val="en-GB"/>
              </w:rPr>
              <w:t>, the situation however improved in Q2 here and the number of manufactured vehicles</w:t>
            </w:r>
            <w:r w:rsidR="00CE03DD" w:rsidRPr="00A00994">
              <w:rPr>
                <w:color w:val="0D0D0D" w:themeColor="text1" w:themeTint="F2"/>
                <w:spacing w:val="-6"/>
                <w:lang w:val="en-GB"/>
              </w:rPr>
              <w:t xml:space="preserve"> </w:t>
            </w:r>
            <w:r w:rsidR="00891D31" w:rsidRPr="00A00994">
              <w:rPr>
                <w:color w:val="0D0D0D" w:themeColor="text1" w:themeTint="F2"/>
                <w:spacing w:val="-6"/>
                <w:lang w:val="en-GB"/>
              </w:rPr>
              <w:t>approached the level</w:t>
            </w:r>
            <w:r w:rsidR="004052EF" w:rsidRPr="00A00994">
              <w:rPr>
                <w:color w:val="0D0D0D" w:themeColor="text1" w:themeTint="F2"/>
                <w:spacing w:val="-6"/>
                <w:lang w:val="en-GB"/>
              </w:rPr>
              <w:t xml:space="preserve"> </w:t>
            </w:r>
            <w:r w:rsidR="004052EF" w:rsidRPr="00A00994">
              <w:rPr>
                <w:color w:val="0D0D0D" w:themeColor="text1" w:themeTint="F2"/>
                <w:spacing w:val="-6"/>
                <w:lang w:val="en-GB"/>
              </w:rPr>
              <w:lastRenderedPageBreak/>
              <w:t xml:space="preserve">from </w:t>
            </w:r>
            <w:r w:rsidR="00891D31" w:rsidRPr="00A00994">
              <w:rPr>
                <w:color w:val="0D0D0D" w:themeColor="text1" w:themeTint="F2"/>
                <w:spacing w:val="-6"/>
                <w:lang w:val="en-GB"/>
              </w:rPr>
              <w:t xml:space="preserve">before the pandemics. </w:t>
            </w:r>
          </w:p>
          <w:p w14:paraId="6F754EA7" w14:textId="77777777" w:rsidR="00CE03DD" w:rsidRPr="00A00994" w:rsidRDefault="00CE03DD" w:rsidP="00DB13EF">
            <w:pPr>
              <w:pStyle w:val="Marginlie"/>
              <w:rPr>
                <w:color w:val="0D0D0D" w:themeColor="text1" w:themeTint="F2"/>
                <w:spacing w:val="-6"/>
                <w:lang w:val="en-GB"/>
              </w:rPr>
            </w:pPr>
          </w:p>
          <w:p w14:paraId="6B4DD772" w14:textId="77777777" w:rsidR="00CE03DD" w:rsidRPr="00A00994" w:rsidRDefault="00CE03DD" w:rsidP="00DB13EF">
            <w:pPr>
              <w:pStyle w:val="Marginlie"/>
              <w:rPr>
                <w:color w:val="0D0D0D" w:themeColor="text1" w:themeTint="F2"/>
                <w:spacing w:val="-6"/>
                <w:lang w:val="en-GB"/>
              </w:rPr>
            </w:pPr>
          </w:p>
          <w:p w14:paraId="33D84017" w14:textId="77777777" w:rsidR="00CE03DD" w:rsidRPr="00A00994" w:rsidRDefault="00CE03DD" w:rsidP="00DB13EF">
            <w:pPr>
              <w:pStyle w:val="Marginlie"/>
              <w:rPr>
                <w:color w:val="0D0D0D" w:themeColor="text1" w:themeTint="F2"/>
                <w:spacing w:val="-6"/>
                <w:lang w:val="en-GB"/>
              </w:rPr>
            </w:pPr>
          </w:p>
          <w:p w14:paraId="33357443" w14:textId="4073C1A2" w:rsidR="00C2272B" w:rsidRPr="00A00994" w:rsidRDefault="00AC5AA9" w:rsidP="00DB13EF">
            <w:pPr>
              <w:pStyle w:val="Marginlie"/>
              <w:rPr>
                <w:color w:val="0D0D0D" w:themeColor="text1" w:themeTint="F2"/>
                <w:spacing w:val="-6"/>
                <w:lang w:val="en-GB"/>
              </w:rPr>
            </w:pPr>
            <w:r w:rsidRPr="00A00994">
              <w:rPr>
                <w:color w:val="0D0D0D" w:themeColor="text1" w:themeTint="F2"/>
                <w:spacing w:val="-6"/>
                <w:lang w:val="en-GB"/>
              </w:rPr>
              <w:t>Weaker demand for gas as well as heat due to the effect of both weather and savings in households and businesses pressed down the output in energy industry.</w:t>
            </w:r>
          </w:p>
          <w:p w14:paraId="24BA0DCD" w14:textId="77777777" w:rsidR="00C2272B" w:rsidRPr="00A00994" w:rsidRDefault="00C2272B" w:rsidP="00DB13EF">
            <w:pPr>
              <w:pStyle w:val="Marginlie"/>
              <w:rPr>
                <w:spacing w:val="-6"/>
                <w:lang w:val="en-GB"/>
              </w:rPr>
            </w:pPr>
          </w:p>
        </w:tc>
        <w:tc>
          <w:tcPr>
            <w:tcW w:w="214" w:type="dxa"/>
            <w:tcBorders>
              <w:top w:val="nil"/>
              <w:left w:val="nil"/>
              <w:bottom w:val="nil"/>
              <w:right w:val="nil"/>
            </w:tcBorders>
            <w:shd w:val="clear" w:color="auto" w:fill="auto"/>
            <w:tcMar>
              <w:left w:w="0" w:type="dxa"/>
            </w:tcMar>
          </w:tcPr>
          <w:p w14:paraId="10B034B0" w14:textId="77777777" w:rsidR="00C2272B" w:rsidRPr="00A00994" w:rsidRDefault="00C2272B" w:rsidP="00DB13EF">
            <w:pPr>
              <w:pStyle w:val="Textpoznpodarou"/>
              <w:jc w:val="both"/>
              <w:rPr>
                <w:spacing w:val="-6"/>
                <w:lang w:val="en-GB"/>
              </w:rPr>
            </w:pPr>
          </w:p>
        </w:tc>
        <w:tc>
          <w:tcPr>
            <w:tcW w:w="7730" w:type="dxa"/>
            <w:tcBorders>
              <w:top w:val="nil"/>
              <w:left w:val="nil"/>
              <w:bottom w:val="nil"/>
              <w:right w:val="nil"/>
            </w:tcBorders>
            <w:shd w:val="clear" w:color="auto" w:fill="auto"/>
            <w:tcMar>
              <w:left w:w="0" w:type="dxa"/>
            </w:tcMar>
          </w:tcPr>
          <w:p w14:paraId="52E1F4CA" w14:textId="56CCCBC8" w:rsidR="00C2272B" w:rsidRPr="00A00994" w:rsidRDefault="00891D31" w:rsidP="00DB13EF">
            <w:pPr>
              <w:spacing w:after="220"/>
              <w:rPr>
                <w:spacing w:val="-6"/>
                <w:lang w:val="en-GB"/>
              </w:rPr>
            </w:pPr>
            <w:r w:rsidRPr="00A00994">
              <w:rPr>
                <w:color w:val="0D0D0D" w:themeColor="text1" w:themeTint="F2"/>
                <w:spacing w:val="-6"/>
                <w:lang w:val="en-GB"/>
              </w:rPr>
              <w:t>The production in the key branch manufacturing of motor vehicles declined by</w:t>
            </w:r>
            <w:r w:rsidR="00E1690C" w:rsidRPr="00A00994">
              <w:rPr>
                <w:color w:val="0D0D0D" w:themeColor="text1" w:themeTint="F2"/>
                <w:spacing w:val="-6"/>
                <w:lang w:val="en-GB"/>
              </w:rPr>
              <w:t xml:space="preserve"> 4.3% year-on-year in this year’s half year and worked by </w:t>
            </w:r>
            <w:r w:rsidR="00C2272B" w:rsidRPr="00A00994">
              <w:rPr>
                <w:color w:val="0D0D0D" w:themeColor="text1" w:themeTint="F2"/>
                <w:spacing w:val="-6"/>
                <w:lang w:val="en-GB"/>
              </w:rPr>
              <w:t>−0</w:t>
            </w:r>
            <w:r w:rsidR="00E1690C" w:rsidRPr="00A00994">
              <w:rPr>
                <w:color w:val="0D0D0D" w:themeColor="text1" w:themeTint="F2"/>
                <w:spacing w:val="-6"/>
                <w:lang w:val="en-GB"/>
              </w:rPr>
              <w:t>.</w:t>
            </w:r>
            <w:r w:rsidR="00C2272B" w:rsidRPr="00A00994">
              <w:rPr>
                <w:color w:val="0D0D0D" w:themeColor="text1" w:themeTint="F2"/>
                <w:spacing w:val="-6"/>
                <w:lang w:val="en-GB"/>
              </w:rPr>
              <w:t>8 p.</w:t>
            </w:r>
            <w:r w:rsidR="00E1690C" w:rsidRPr="00A00994">
              <w:rPr>
                <w:color w:val="0D0D0D" w:themeColor="text1" w:themeTint="F2"/>
                <w:spacing w:val="-6"/>
                <w:lang w:val="en-GB"/>
              </w:rPr>
              <w:t>p</w:t>
            </w:r>
            <w:r w:rsidR="00C2272B" w:rsidRPr="00A00994">
              <w:rPr>
                <w:color w:val="0D0D0D" w:themeColor="text1" w:themeTint="F2"/>
                <w:spacing w:val="-6"/>
                <w:lang w:val="en-GB"/>
              </w:rPr>
              <w:t>. (</w:t>
            </w:r>
            <w:r w:rsidR="00E1690C" w:rsidRPr="00A00994">
              <w:rPr>
                <w:color w:val="0D0D0D" w:themeColor="text1" w:themeTint="F2"/>
                <w:spacing w:val="-6"/>
                <w:lang w:val="en-GB"/>
              </w:rPr>
              <w:t>the most out of all branches</w:t>
            </w:r>
            <w:r w:rsidR="00C2272B" w:rsidRPr="00A00994">
              <w:rPr>
                <w:color w:val="0D0D0D" w:themeColor="text1" w:themeTint="F2"/>
                <w:spacing w:val="-6"/>
                <w:lang w:val="en-GB"/>
              </w:rPr>
              <w:t>)</w:t>
            </w:r>
            <w:r w:rsidR="00E1690C" w:rsidRPr="00A00994">
              <w:rPr>
                <w:color w:val="0D0D0D" w:themeColor="text1" w:themeTint="F2"/>
                <w:spacing w:val="-6"/>
                <w:lang w:val="en-GB"/>
              </w:rPr>
              <w:t xml:space="preserve"> against the output of the whole industry</w:t>
            </w:r>
            <w:r w:rsidR="00C2272B" w:rsidRPr="00A00994">
              <w:rPr>
                <w:color w:val="0D0D0D" w:themeColor="text1" w:themeTint="F2"/>
                <w:spacing w:val="-6"/>
                <w:lang w:val="en-GB"/>
              </w:rPr>
              <w:t xml:space="preserve">. </w:t>
            </w:r>
            <w:r w:rsidR="006E4F68" w:rsidRPr="00A00994">
              <w:rPr>
                <w:color w:val="0D0D0D" w:themeColor="text1" w:themeTint="F2"/>
                <w:spacing w:val="-6"/>
                <w:lang w:val="en-GB"/>
              </w:rPr>
              <w:t>The manufacturing of motor vehicles faced serious supply difficulties, further intensified by the freeze of production in some source components in China as well as Ukraine at the beginning of this year</w:t>
            </w:r>
            <w:r w:rsidR="00C2272B" w:rsidRPr="00A00994">
              <w:rPr>
                <w:color w:val="0D0D0D" w:themeColor="text1" w:themeTint="F2"/>
                <w:spacing w:val="-6"/>
                <w:lang w:val="en-GB"/>
              </w:rPr>
              <w:t xml:space="preserve">. </w:t>
            </w:r>
            <w:r w:rsidR="00E50E8A" w:rsidRPr="00A00994">
              <w:rPr>
                <w:color w:val="0D0D0D" w:themeColor="text1" w:themeTint="F2"/>
                <w:spacing w:val="-6"/>
                <w:lang w:val="en-GB"/>
              </w:rPr>
              <w:t xml:space="preserve">The situation of supply of both chips and wire harnesses however gradually improved </w:t>
            </w:r>
            <w:r w:rsidR="00C2272B" w:rsidRPr="00A00994">
              <w:rPr>
                <w:color w:val="0D0D0D" w:themeColor="text1" w:themeTint="F2"/>
                <w:spacing w:val="-6"/>
                <w:lang w:val="en-GB"/>
              </w:rPr>
              <w:t>a</w:t>
            </w:r>
            <w:r w:rsidR="00190796" w:rsidRPr="00A00994">
              <w:rPr>
                <w:color w:val="0D0D0D" w:themeColor="text1" w:themeTint="F2"/>
                <w:spacing w:val="-6"/>
                <w:lang w:val="en-GB"/>
              </w:rPr>
              <w:t>nd thus the output was already slightly growing in this branch in Q</w:t>
            </w:r>
            <w:r w:rsidR="00C2272B" w:rsidRPr="00A00994">
              <w:rPr>
                <w:color w:val="0D0D0D" w:themeColor="text1" w:themeTint="F2"/>
                <w:spacing w:val="-6"/>
                <w:lang w:val="en-GB"/>
              </w:rPr>
              <w:t>2</w:t>
            </w:r>
            <w:r w:rsidR="00190796" w:rsidRPr="00A00994">
              <w:rPr>
                <w:color w:val="0D0D0D" w:themeColor="text1" w:themeTint="F2"/>
                <w:spacing w:val="-6"/>
                <w:lang w:val="en-GB"/>
              </w:rPr>
              <w:t xml:space="preserve">, specifically by </w:t>
            </w:r>
            <w:r w:rsidR="00C2272B" w:rsidRPr="00A00994">
              <w:rPr>
                <w:color w:val="0D0D0D" w:themeColor="text1" w:themeTint="F2"/>
                <w:spacing w:val="-6"/>
                <w:lang w:val="en-GB"/>
              </w:rPr>
              <w:t>2</w:t>
            </w:r>
            <w:r w:rsidR="00190796" w:rsidRPr="00A00994">
              <w:rPr>
                <w:color w:val="0D0D0D" w:themeColor="text1" w:themeTint="F2"/>
                <w:spacing w:val="-6"/>
                <w:lang w:val="en-GB"/>
              </w:rPr>
              <w:t>.</w:t>
            </w:r>
            <w:r w:rsidR="00C2272B" w:rsidRPr="00A00994">
              <w:rPr>
                <w:color w:val="0D0D0D" w:themeColor="text1" w:themeTint="F2"/>
                <w:spacing w:val="-6"/>
                <w:lang w:val="en-GB"/>
              </w:rPr>
              <w:t>5%</w:t>
            </w:r>
            <w:r w:rsidR="00C2272B" w:rsidRPr="00A00994">
              <w:rPr>
                <w:rStyle w:val="Znakapoznpodarou"/>
                <w:color w:val="0D0D0D" w:themeColor="text1" w:themeTint="F2"/>
                <w:spacing w:val="-6"/>
                <w:lang w:val="en-GB"/>
              </w:rPr>
              <w:footnoteReference w:id="3"/>
            </w:r>
            <w:r w:rsidR="00C2272B" w:rsidRPr="00A00994">
              <w:rPr>
                <w:color w:val="0D0D0D" w:themeColor="text1" w:themeTint="F2"/>
                <w:spacing w:val="-6"/>
                <w:lang w:val="en-GB"/>
              </w:rPr>
              <w:t xml:space="preserve">. </w:t>
            </w:r>
            <w:r w:rsidR="0063476C" w:rsidRPr="00A00994">
              <w:rPr>
                <w:color w:val="0D0D0D" w:themeColor="text1" w:themeTint="F2"/>
                <w:spacing w:val="-6"/>
                <w:lang w:val="en-GB"/>
              </w:rPr>
              <w:t xml:space="preserve">The utilisation of production capacities was however at the </w:t>
            </w:r>
            <w:r w:rsidR="0063476C" w:rsidRPr="00A00994">
              <w:rPr>
                <w:color w:val="0D0D0D" w:themeColor="text1" w:themeTint="F2"/>
                <w:spacing w:val="-6"/>
                <w:lang w:val="en-GB"/>
              </w:rPr>
              <w:lastRenderedPageBreak/>
              <w:t>level substantially below the long-term average here already fourth quarter in a row</w:t>
            </w:r>
            <w:r w:rsidR="00C2272B" w:rsidRPr="00A00994">
              <w:rPr>
                <w:rStyle w:val="Znakapoznpodarou"/>
                <w:color w:val="0D0D0D" w:themeColor="text1" w:themeTint="F2"/>
                <w:spacing w:val="-6"/>
                <w:lang w:val="en-GB"/>
              </w:rPr>
              <w:footnoteReference w:id="4"/>
            </w:r>
            <w:r w:rsidR="00C2272B" w:rsidRPr="00A00994">
              <w:rPr>
                <w:color w:val="0D0D0D" w:themeColor="text1" w:themeTint="F2"/>
                <w:spacing w:val="-6"/>
                <w:lang w:val="en-GB"/>
              </w:rPr>
              <w:t xml:space="preserve">. </w:t>
            </w:r>
            <w:r w:rsidR="0063476C" w:rsidRPr="00A00994">
              <w:rPr>
                <w:color w:val="0D0D0D" w:themeColor="text1" w:themeTint="F2"/>
                <w:spacing w:val="-6"/>
                <w:lang w:val="en-GB"/>
              </w:rPr>
              <w:t>86% of businesses in the branch of motor vehicle manufacturing (record 53% in the whole industry) indicated the shortage of materials and equipment this year in July</w:t>
            </w:r>
            <w:r w:rsidR="00C2272B" w:rsidRPr="00A00994">
              <w:rPr>
                <w:rStyle w:val="Znakapoznpodarou"/>
                <w:color w:val="0D0D0D" w:themeColor="text1" w:themeTint="F2"/>
                <w:spacing w:val="-6"/>
                <w:lang w:val="en-GB"/>
              </w:rPr>
              <w:footnoteReference w:id="5"/>
            </w:r>
            <w:r w:rsidR="00C2272B" w:rsidRPr="00A00994">
              <w:rPr>
                <w:color w:val="0D0D0D" w:themeColor="text1" w:themeTint="F2"/>
                <w:spacing w:val="-6"/>
                <w:lang w:val="en-GB"/>
              </w:rPr>
              <w:t xml:space="preserve">. </w:t>
            </w:r>
            <w:r w:rsidR="00AE1311" w:rsidRPr="00A00994">
              <w:rPr>
                <w:color w:val="0D0D0D" w:themeColor="text1" w:themeTint="F2"/>
                <w:spacing w:val="-6"/>
                <w:lang w:val="en-GB"/>
              </w:rPr>
              <w:t>Difficulties of the motor vehicle manufacturing were also reflected in the tied manufacturing of rubber and plastic products</w:t>
            </w:r>
            <w:r w:rsidR="00C2272B" w:rsidRPr="00A00994">
              <w:rPr>
                <w:color w:val="0D0D0D" w:themeColor="text1" w:themeTint="F2"/>
                <w:spacing w:val="-6"/>
                <w:lang w:val="en-GB"/>
              </w:rPr>
              <w:t>,</w:t>
            </w:r>
            <w:r w:rsidR="00AE1311" w:rsidRPr="00A00994">
              <w:rPr>
                <w:color w:val="0D0D0D" w:themeColor="text1" w:themeTint="F2"/>
                <w:spacing w:val="-6"/>
                <w:lang w:val="en-GB"/>
              </w:rPr>
              <w:t xml:space="preserve"> where the output dropped by even </w:t>
            </w:r>
            <w:r w:rsidR="00C2272B" w:rsidRPr="00A00994">
              <w:rPr>
                <w:color w:val="0D0D0D" w:themeColor="text1" w:themeTint="F2"/>
                <w:spacing w:val="-6"/>
                <w:lang w:val="en-GB"/>
              </w:rPr>
              <w:t>3%</w:t>
            </w:r>
            <w:r w:rsidR="00AE1311" w:rsidRPr="00A00994">
              <w:rPr>
                <w:color w:val="0D0D0D" w:themeColor="text1" w:themeTint="F2"/>
                <w:spacing w:val="-6"/>
                <w:lang w:val="en-GB"/>
              </w:rPr>
              <w:t xml:space="preserve"> year-on-year in H1</w:t>
            </w:r>
            <w:r w:rsidR="00C2272B" w:rsidRPr="00A00994">
              <w:rPr>
                <w:color w:val="0D0D0D" w:themeColor="text1" w:themeTint="F2"/>
                <w:spacing w:val="-6"/>
                <w:lang w:val="en-GB"/>
              </w:rPr>
              <w:t xml:space="preserve">. </w:t>
            </w:r>
            <w:r w:rsidR="00942393" w:rsidRPr="00A00994">
              <w:rPr>
                <w:color w:val="0D0D0D" w:themeColor="text1" w:themeTint="F2"/>
                <w:spacing w:val="-6"/>
                <w:lang w:val="en-GB"/>
              </w:rPr>
              <w:t xml:space="preserve">The production of electricity outside the manufacturing branches lowered </w:t>
            </w:r>
            <w:r w:rsidR="002E4DCE" w:rsidRPr="00A00994">
              <w:rPr>
                <w:color w:val="0D0D0D" w:themeColor="text1" w:themeTint="F2"/>
                <w:spacing w:val="-6"/>
                <w:lang w:val="en-GB"/>
              </w:rPr>
              <w:t>(</w:t>
            </w:r>
            <w:r w:rsidR="00942393" w:rsidRPr="00A00994">
              <w:rPr>
                <w:color w:val="0D0D0D" w:themeColor="text1" w:themeTint="F2"/>
                <w:spacing w:val="-6"/>
                <w:lang w:val="en-GB"/>
              </w:rPr>
              <w:t xml:space="preserve">by </w:t>
            </w:r>
            <w:r w:rsidR="002E4DCE" w:rsidRPr="00A00994">
              <w:rPr>
                <w:color w:val="0D0D0D" w:themeColor="text1" w:themeTint="F2"/>
                <w:spacing w:val="-6"/>
                <w:lang w:val="en-GB"/>
              </w:rPr>
              <w:t>1</w:t>
            </w:r>
            <w:r w:rsidR="00942393" w:rsidRPr="00A00994">
              <w:rPr>
                <w:color w:val="0D0D0D" w:themeColor="text1" w:themeTint="F2"/>
                <w:spacing w:val="-6"/>
                <w:lang w:val="en-GB"/>
              </w:rPr>
              <w:t>.</w:t>
            </w:r>
            <w:r w:rsidR="002E4DCE" w:rsidRPr="00A00994">
              <w:rPr>
                <w:color w:val="0D0D0D" w:themeColor="text1" w:themeTint="F2"/>
                <w:spacing w:val="-6"/>
                <w:lang w:val="en-GB"/>
              </w:rPr>
              <w:t>0</w:t>
            </w:r>
            <w:r w:rsidR="00C2272B" w:rsidRPr="00A00994">
              <w:rPr>
                <w:color w:val="0D0D0D" w:themeColor="text1" w:themeTint="F2"/>
                <w:spacing w:val="-6"/>
                <w:lang w:val="en-GB"/>
              </w:rPr>
              <w:t>%),</w:t>
            </w:r>
            <w:r w:rsidR="00942393" w:rsidRPr="00A00994">
              <w:rPr>
                <w:color w:val="0D0D0D" w:themeColor="text1" w:themeTint="F2"/>
                <w:spacing w:val="-6"/>
                <w:lang w:val="en-GB"/>
              </w:rPr>
              <w:t xml:space="preserve"> even though the marked restriction of operations of the number of retail shops and services was connected to the lower consumption of electricity last year from January till April.</w:t>
            </w:r>
            <w:r w:rsidR="002D2127" w:rsidRPr="00A00994">
              <w:rPr>
                <w:color w:val="0D0D0D" w:themeColor="text1" w:themeTint="F2"/>
                <w:spacing w:val="-6"/>
                <w:lang w:val="en-GB"/>
              </w:rPr>
              <w:t xml:space="preserve"> This year’s lower production was mirrored in the decrease of consumption of both gas and distributed heat (due to the abo</w:t>
            </w:r>
            <w:r w:rsidR="00DC1A3D">
              <w:rPr>
                <w:color w:val="0D0D0D" w:themeColor="text1" w:themeTint="F2"/>
                <w:spacing w:val="-6"/>
                <w:lang w:val="en-GB"/>
              </w:rPr>
              <w:t>ve average temperatures in the w</w:t>
            </w:r>
            <w:r w:rsidR="002D2127" w:rsidRPr="00A00994">
              <w:rPr>
                <w:color w:val="0D0D0D" w:themeColor="text1" w:themeTint="F2"/>
                <w:spacing w:val="-6"/>
                <w:lang w:val="en-GB"/>
              </w:rPr>
              <w:t>inter months as well as savings in households and businesses</w:t>
            </w:r>
            <w:r w:rsidR="00C2272B" w:rsidRPr="00A00994">
              <w:rPr>
                <w:color w:val="0D0D0D" w:themeColor="text1" w:themeTint="F2"/>
                <w:spacing w:val="-6"/>
                <w:lang w:val="en-GB"/>
              </w:rPr>
              <w:t>)</w:t>
            </w:r>
            <w:r w:rsidR="00C2272B" w:rsidRPr="00A00994">
              <w:rPr>
                <w:rStyle w:val="Znakapoznpodarou"/>
                <w:color w:val="0D0D0D" w:themeColor="text1" w:themeTint="F2"/>
                <w:spacing w:val="-6"/>
                <w:lang w:val="en-GB"/>
              </w:rPr>
              <w:footnoteReference w:id="6"/>
            </w:r>
            <w:r w:rsidR="00C2272B" w:rsidRPr="00A00994">
              <w:rPr>
                <w:color w:val="0D0D0D" w:themeColor="text1" w:themeTint="F2"/>
                <w:spacing w:val="-6"/>
                <w:lang w:val="en-GB"/>
              </w:rPr>
              <w:t xml:space="preserve">. </w:t>
            </w:r>
            <w:r w:rsidR="00405FFC" w:rsidRPr="00A00994">
              <w:rPr>
                <w:color w:val="0D0D0D" w:themeColor="text1" w:themeTint="F2"/>
                <w:spacing w:val="-6"/>
                <w:lang w:val="en-GB"/>
              </w:rPr>
              <w:t>The amo</w:t>
            </w:r>
            <w:r w:rsidR="002D2127" w:rsidRPr="00A00994">
              <w:rPr>
                <w:color w:val="0D0D0D" w:themeColor="text1" w:themeTint="F2"/>
                <w:spacing w:val="-6"/>
                <w:lang w:val="en-GB"/>
              </w:rPr>
              <w:t>u</w:t>
            </w:r>
            <w:r w:rsidR="00405FFC" w:rsidRPr="00A00994">
              <w:rPr>
                <w:color w:val="0D0D0D" w:themeColor="text1" w:themeTint="F2"/>
                <w:spacing w:val="-6"/>
                <w:lang w:val="en-GB"/>
              </w:rPr>
              <w:t>nt of the generated electricity on the contrary slightly increased</w:t>
            </w:r>
            <w:r w:rsidR="00C2272B" w:rsidRPr="00A00994">
              <w:rPr>
                <w:rStyle w:val="Znakapoznpodarou"/>
                <w:color w:val="0D0D0D" w:themeColor="text1" w:themeTint="F2"/>
                <w:spacing w:val="-6"/>
                <w:lang w:val="en-GB"/>
              </w:rPr>
              <w:footnoteReference w:id="7"/>
            </w:r>
            <w:r w:rsidR="00C2272B" w:rsidRPr="00A00994">
              <w:rPr>
                <w:color w:val="0D0D0D" w:themeColor="text1" w:themeTint="F2"/>
                <w:spacing w:val="-6"/>
                <w:lang w:val="en-GB"/>
              </w:rPr>
              <w:t>.</w:t>
            </w:r>
            <w:r w:rsidR="00405FFC" w:rsidRPr="00A00994">
              <w:rPr>
                <w:color w:val="0D0D0D" w:themeColor="text1" w:themeTint="F2"/>
                <w:spacing w:val="-6"/>
                <w:lang w:val="en-GB"/>
              </w:rPr>
              <w:t xml:space="preserve"> The production in the long-term subdued branch of mining and quarrying grew by </w:t>
            </w:r>
            <w:r w:rsidR="00C2272B" w:rsidRPr="00A00994">
              <w:rPr>
                <w:color w:val="0D0D0D" w:themeColor="text1" w:themeTint="F2"/>
                <w:spacing w:val="-6"/>
                <w:lang w:val="en-GB"/>
              </w:rPr>
              <w:t>5</w:t>
            </w:r>
            <w:r w:rsidR="00405FFC" w:rsidRPr="00A00994">
              <w:rPr>
                <w:color w:val="0D0D0D" w:themeColor="text1" w:themeTint="F2"/>
                <w:spacing w:val="-6"/>
                <w:lang w:val="en-GB"/>
              </w:rPr>
              <w:t>.</w:t>
            </w:r>
            <w:r w:rsidR="00C2272B" w:rsidRPr="00A00994">
              <w:rPr>
                <w:color w:val="0D0D0D" w:themeColor="text1" w:themeTint="F2"/>
                <w:spacing w:val="-6"/>
                <w:lang w:val="en-GB"/>
              </w:rPr>
              <w:t>5% (</w:t>
            </w:r>
            <w:r w:rsidR="00405FFC" w:rsidRPr="00A00994">
              <w:rPr>
                <w:color w:val="0D0D0D" w:themeColor="text1" w:themeTint="F2"/>
                <w:spacing w:val="-6"/>
                <w:lang w:val="en-GB"/>
              </w:rPr>
              <w:t>and continued in the growth from H</w:t>
            </w:r>
            <w:r w:rsidR="00C2272B" w:rsidRPr="00A00994">
              <w:rPr>
                <w:color w:val="0D0D0D" w:themeColor="text1" w:themeTint="F2"/>
                <w:spacing w:val="-6"/>
                <w:lang w:val="en-GB"/>
              </w:rPr>
              <w:t>2</w:t>
            </w:r>
            <w:r w:rsidR="00405FFC" w:rsidRPr="00A00994">
              <w:rPr>
                <w:color w:val="0D0D0D" w:themeColor="text1" w:themeTint="F2"/>
                <w:spacing w:val="-6"/>
                <w:lang w:val="en-GB"/>
              </w:rPr>
              <w:t xml:space="preserve"> </w:t>
            </w:r>
            <w:r w:rsidR="00C2272B" w:rsidRPr="00A00994">
              <w:rPr>
                <w:color w:val="0D0D0D" w:themeColor="text1" w:themeTint="F2"/>
                <w:spacing w:val="-6"/>
                <w:lang w:val="en-GB"/>
              </w:rPr>
              <w:t xml:space="preserve">2021). </w:t>
            </w:r>
            <w:r w:rsidR="00A12CAD" w:rsidRPr="00A00994">
              <w:rPr>
                <w:color w:val="0D0D0D" w:themeColor="text1" w:themeTint="F2"/>
                <w:spacing w:val="-6"/>
                <w:lang w:val="en-GB"/>
              </w:rPr>
              <w:t>The revival is connected to the heightened demand for construction materials and newly also for coal</w:t>
            </w:r>
            <w:r w:rsidR="00C2272B" w:rsidRPr="00A00994">
              <w:rPr>
                <w:color w:val="0D0D0D" w:themeColor="text1" w:themeTint="F2"/>
                <w:spacing w:val="-6"/>
                <w:lang w:val="en-GB"/>
              </w:rPr>
              <w:t>.</w:t>
            </w:r>
          </w:p>
        </w:tc>
      </w:tr>
      <w:tr w:rsidR="00C2272B" w:rsidRPr="00A00994" w14:paraId="3850B46A" w14:textId="77777777" w:rsidTr="00BB1209">
        <w:trPr>
          <w:trHeight w:val="145"/>
        </w:trPr>
        <w:tc>
          <w:tcPr>
            <w:tcW w:w="1695" w:type="dxa"/>
            <w:tcBorders>
              <w:top w:val="nil"/>
              <w:left w:val="nil"/>
              <w:bottom w:val="nil"/>
              <w:right w:val="nil"/>
            </w:tcBorders>
            <w:shd w:val="clear" w:color="auto" w:fill="auto"/>
            <w:tcMar>
              <w:left w:w="0" w:type="dxa"/>
            </w:tcMar>
          </w:tcPr>
          <w:p w14:paraId="535E96ED" w14:textId="77777777" w:rsidR="00C2272B" w:rsidRPr="00A00994" w:rsidRDefault="00C2272B" w:rsidP="00DB13EF">
            <w:pPr>
              <w:pStyle w:val="Marginlie"/>
              <w:rPr>
                <w:spacing w:val="-4"/>
                <w:lang w:val="en-GB"/>
              </w:rPr>
            </w:pPr>
          </w:p>
        </w:tc>
        <w:tc>
          <w:tcPr>
            <w:tcW w:w="214" w:type="dxa"/>
            <w:tcBorders>
              <w:top w:val="nil"/>
              <w:left w:val="nil"/>
              <w:bottom w:val="nil"/>
              <w:right w:val="nil"/>
            </w:tcBorders>
            <w:shd w:val="clear" w:color="auto" w:fill="auto"/>
            <w:tcMar>
              <w:left w:w="0" w:type="dxa"/>
            </w:tcMar>
          </w:tcPr>
          <w:p w14:paraId="6ED0E992" w14:textId="77777777" w:rsidR="00C2272B" w:rsidRPr="00A00994" w:rsidRDefault="00C2272B" w:rsidP="00DB13EF">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F9D8052" w14:textId="35D19FFE" w:rsidR="00C2272B" w:rsidRPr="00F340B2" w:rsidRDefault="00AC5AA9" w:rsidP="00DB13EF">
            <w:pPr>
              <w:spacing w:after="0"/>
              <w:rPr>
                <w:spacing w:val="-2"/>
                <w:lang w:val="en-GB"/>
              </w:rPr>
            </w:pPr>
            <w:r w:rsidRPr="00F340B2">
              <w:rPr>
                <w:rFonts w:cs="Arial"/>
                <w:b/>
                <w:bCs/>
                <w:color w:val="000000"/>
                <w:spacing w:val="-2"/>
                <w:szCs w:val="20"/>
                <w:lang w:val="en-GB"/>
              </w:rPr>
              <w:t xml:space="preserve">Chart </w:t>
            </w:r>
            <w:r w:rsidR="00C2272B" w:rsidRPr="00F340B2">
              <w:rPr>
                <w:rFonts w:cs="Arial"/>
                <w:b/>
                <w:bCs/>
                <w:color w:val="000000"/>
                <w:spacing w:val="-2"/>
                <w:szCs w:val="20"/>
                <w:lang w:val="en-GB"/>
              </w:rPr>
              <w:t xml:space="preserve">4 </w:t>
            </w:r>
            <w:r w:rsidR="007759C8" w:rsidRPr="00F340B2">
              <w:rPr>
                <w:b/>
                <w:spacing w:val="-2"/>
                <w:lang w:val="en-GB"/>
              </w:rPr>
              <w:t>Contributions of sub-branches to the year-on-year cha</w:t>
            </w:r>
            <w:r w:rsidR="00406B0D">
              <w:rPr>
                <w:b/>
                <w:spacing w:val="-2"/>
                <w:lang w:val="en-GB"/>
              </w:rPr>
              <w:t>nge of the total industrial output</w:t>
            </w:r>
            <w:r w:rsidR="007759C8" w:rsidRPr="00F340B2">
              <w:rPr>
                <w:b/>
                <w:spacing w:val="-2"/>
                <w:lang w:val="en-GB"/>
              </w:rPr>
              <w:t xml:space="preserve"> </w:t>
            </w:r>
            <w:r w:rsidR="007759C8" w:rsidRPr="00F340B2">
              <w:rPr>
                <w:spacing w:val="-2"/>
                <w:lang w:val="en-GB"/>
              </w:rPr>
              <w:t>(in p.p., adjusted for calendar effects</w:t>
            </w:r>
            <w:r w:rsidR="001A1DBF" w:rsidRPr="00F340B2">
              <w:rPr>
                <w:spacing w:val="-2"/>
                <w:lang w:val="en-GB"/>
              </w:rPr>
              <w:t>, real, in p.p.</w:t>
            </w:r>
            <w:r w:rsidR="007759C8" w:rsidRPr="00F340B2">
              <w:rPr>
                <w:spacing w:val="-2"/>
                <w:lang w:val="en-GB"/>
              </w:rPr>
              <w:t>)</w:t>
            </w:r>
            <w:r w:rsidR="001A1DBF" w:rsidRPr="00F340B2">
              <w:rPr>
                <w:spacing w:val="-2"/>
                <w:lang w:val="en-GB"/>
              </w:rPr>
              <w:t xml:space="preserve"> </w:t>
            </w:r>
            <w:r w:rsidR="001A1DBF" w:rsidRPr="00F340B2">
              <w:rPr>
                <w:b/>
                <w:bCs/>
                <w:spacing w:val="-2"/>
                <w:lang w:val="en-GB"/>
              </w:rPr>
              <w:t>and sales* and output in the entire industry</w:t>
            </w:r>
            <w:r w:rsidR="001A1DBF" w:rsidRPr="00F340B2">
              <w:rPr>
                <w:spacing w:val="-2"/>
                <w:lang w:val="en-GB"/>
              </w:rPr>
              <w:t xml:space="preserve"> (seasonally adjusted, level of year 2015=100, right axis)</w:t>
            </w:r>
          </w:p>
        </w:tc>
      </w:tr>
      <w:tr w:rsidR="00C2272B" w:rsidRPr="00A00994" w14:paraId="355C1ECC"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0B260C32" w14:textId="77777777" w:rsidR="00C2272B" w:rsidRPr="00A00994" w:rsidRDefault="00C2272B" w:rsidP="00DB13EF">
            <w:pPr>
              <w:pStyle w:val="Marginlie"/>
              <w:rPr>
                <w:spacing w:val="-4"/>
                <w:lang w:val="en-GB"/>
              </w:rPr>
            </w:pPr>
          </w:p>
        </w:tc>
        <w:tc>
          <w:tcPr>
            <w:tcW w:w="214" w:type="dxa"/>
            <w:tcBorders>
              <w:top w:val="nil"/>
              <w:left w:val="nil"/>
              <w:bottom w:val="nil"/>
              <w:right w:val="nil"/>
            </w:tcBorders>
            <w:shd w:val="clear" w:color="auto" w:fill="auto"/>
          </w:tcPr>
          <w:p w14:paraId="4DAE8ACB" w14:textId="77777777" w:rsidR="00C2272B" w:rsidRPr="00A00994" w:rsidRDefault="00C2272B" w:rsidP="00DB13EF">
            <w:pPr>
              <w:pStyle w:val="Textpoznpodarou"/>
              <w:jc w:val="both"/>
              <w:rPr>
                <w:spacing w:val="-4"/>
                <w:lang w:val="en-GB"/>
              </w:rPr>
            </w:pPr>
          </w:p>
        </w:tc>
        <w:tc>
          <w:tcPr>
            <w:tcW w:w="7730" w:type="dxa"/>
            <w:tcBorders>
              <w:top w:val="nil"/>
              <w:left w:val="nil"/>
              <w:bottom w:val="nil"/>
              <w:right w:val="nil"/>
            </w:tcBorders>
            <w:shd w:val="clear" w:color="auto" w:fill="auto"/>
          </w:tcPr>
          <w:p w14:paraId="3C0F632A" w14:textId="53DCE47B" w:rsidR="00C2272B" w:rsidRPr="00A00994" w:rsidRDefault="00406B0D" w:rsidP="00DB13EF">
            <w:pPr>
              <w:spacing w:after="0"/>
              <w:rPr>
                <w:spacing w:val="-5"/>
                <w:lang w:val="en-GB"/>
              </w:rPr>
            </w:pPr>
            <w:r>
              <w:rPr>
                <w:noProof/>
              </w:rPr>
              <w:drawing>
                <wp:inline distT="0" distB="0" distL="0" distR="0" wp14:anchorId="5C36286F" wp14:editId="6B1DFEA3">
                  <wp:extent cx="4662805" cy="3364173"/>
                  <wp:effectExtent l="0" t="0" r="4445" b="8255"/>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2272B" w:rsidRPr="00A00994" w14:paraId="16139765" w14:textId="77777777" w:rsidTr="00BB1209">
        <w:trPr>
          <w:trHeight w:val="145"/>
        </w:trPr>
        <w:tc>
          <w:tcPr>
            <w:tcW w:w="1695" w:type="dxa"/>
            <w:tcBorders>
              <w:top w:val="nil"/>
              <w:left w:val="nil"/>
              <w:bottom w:val="nil"/>
              <w:right w:val="nil"/>
            </w:tcBorders>
            <w:shd w:val="clear" w:color="auto" w:fill="auto"/>
            <w:tcMar>
              <w:left w:w="0" w:type="dxa"/>
            </w:tcMar>
          </w:tcPr>
          <w:p w14:paraId="2A16381A" w14:textId="77777777" w:rsidR="00C2272B" w:rsidRPr="00A00994" w:rsidRDefault="00C2272B" w:rsidP="00DB13EF">
            <w:pPr>
              <w:pStyle w:val="Marginlie"/>
              <w:rPr>
                <w:spacing w:val="-4"/>
                <w:lang w:val="en-GB"/>
              </w:rPr>
            </w:pPr>
          </w:p>
        </w:tc>
        <w:tc>
          <w:tcPr>
            <w:tcW w:w="214" w:type="dxa"/>
            <w:tcBorders>
              <w:top w:val="nil"/>
              <w:left w:val="nil"/>
              <w:bottom w:val="nil"/>
              <w:right w:val="nil"/>
            </w:tcBorders>
            <w:shd w:val="clear" w:color="auto" w:fill="auto"/>
            <w:tcMar>
              <w:left w:w="0" w:type="dxa"/>
            </w:tcMar>
          </w:tcPr>
          <w:p w14:paraId="3172F591" w14:textId="77777777" w:rsidR="00C2272B" w:rsidRPr="00A00994" w:rsidRDefault="00C2272B" w:rsidP="00DB13EF">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2439764" w14:textId="71F22574" w:rsidR="00C2272B" w:rsidRPr="00A00994" w:rsidRDefault="00365EF5" w:rsidP="00DB13EF">
            <w:pPr>
              <w:spacing w:after="200"/>
              <w:rPr>
                <w:spacing w:val="-5"/>
                <w:lang w:val="en-GB"/>
              </w:rPr>
            </w:pPr>
            <w:r w:rsidRPr="00A00994">
              <w:rPr>
                <w:rFonts w:cs="Arial"/>
                <w:sz w:val="14"/>
                <w:szCs w:val="14"/>
                <w:lang w:val="en-GB"/>
              </w:rPr>
              <w:t>Note</w:t>
            </w:r>
            <w:r w:rsidR="00C2272B" w:rsidRPr="00A00994">
              <w:rPr>
                <w:rFonts w:cs="Arial"/>
                <w:sz w:val="14"/>
                <w:szCs w:val="14"/>
                <w:lang w:val="en-GB"/>
              </w:rPr>
              <w:t xml:space="preserve">: </w:t>
            </w:r>
            <w:r w:rsidRPr="00A00994">
              <w:rPr>
                <w:rFonts w:cs="Arial"/>
                <w:sz w:val="14"/>
                <w:szCs w:val="14"/>
                <w:lang w:val="en-GB"/>
              </w:rPr>
              <w:t xml:space="preserve">Sales are given in current prices.           </w:t>
            </w:r>
            <w:r w:rsidR="00C2272B" w:rsidRPr="00A00994">
              <w:rPr>
                <w:rFonts w:cs="Arial"/>
                <w:sz w:val="14"/>
                <w:szCs w:val="14"/>
                <w:lang w:val="en-GB"/>
              </w:rPr>
              <w:t xml:space="preserve">                                                                                            </w:t>
            </w:r>
            <w:r w:rsidR="00AE1311" w:rsidRPr="00A00994">
              <w:rPr>
                <w:rFonts w:cs="Arial"/>
                <w:sz w:val="14"/>
                <w:szCs w:val="14"/>
                <w:lang w:val="en-GB"/>
              </w:rPr>
              <w:t>Source</w:t>
            </w:r>
            <w:r w:rsidR="00C2272B" w:rsidRPr="00A00994">
              <w:rPr>
                <w:rFonts w:cs="Arial"/>
                <w:sz w:val="14"/>
                <w:szCs w:val="14"/>
                <w:lang w:val="en-GB"/>
              </w:rPr>
              <w:t xml:space="preserve">: </w:t>
            </w:r>
            <w:r w:rsidR="00AE1311" w:rsidRPr="00A00994">
              <w:rPr>
                <w:rFonts w:cs="Arial"/>
                <w:sz w:val="14"/>
                <w:szCs w:val="14"/>
                <w:lang w:val="en-GB"/>
              </w:rPr>
              <w:t>CZSO</w:t>
            </w:r>
          </w:p>
        </w:tc>
      </w:tr>
      <w:tr w:rsidR="00A42593" w:rsidRPr="00A00994" w14:paraId="42C0AF17" w14:textId="77777777" w:rsidTr="00BB1209">
        <w:trPr>
          <w:trHeight w:val="145"/>
        </w:trPr>
        <w:tc>
          <w:tcPr>
            <w:tcW w:w="1695" w:type="dxa"/>
            <w:tcBorders>
              <w:top w:val="nil"/>
              <w:left w:val="nil"/>
              <w:bottom w:val="nil"/>
              <w:right w:val="nil"/>
            </w:tcBorders>
            <w:shd w:val="clear" w:color="auto" w:fill="auto"/>
            <w:tcMar>
              <w:left w:w="0" w:type="dxa"/>
            </w:tcMar>
          </w:tcPr>
          <w:p w14:paraId="6B82B79D" w14:textId="373CA8DF" w:rsidR="00A42593" w:rsidRPr="00A00994" w:rsidRDefault="00A42593" w:rsidP="00DB13EF">
            <w:pPr>
              <w:pStyle w:val="Marginlie"/>
              <w:rPr>
                <w:spacing w:val="-4"/>
                <w:lang w:val="en-GB"/>
              </w:rPr>
            </w:pPr>
            <w:r w:rsidRPr="00A00994">
              <w:rPr>
                <w:color w:val="0D0D0D" w:themeColor="text1" w:themeTint="F2"/>
                <w:lang w:val="en-GB"/>
              </w:rPr>
              <w:t xml:space="preserve">Growth of sales of businesses from industrial activity strengthened mainly due to higher prices of </w:t>
            </w:r>
            <w:r w:rsidRPr="00A00994">
              <w:rPr>
                <w:color w:val="0D0D0D" w:themeColor="text1" w:themeTint="F2"/>
                <w:lang w:val="en-GB"/>
              </w:rPr>
              <w:lastRenderedPageBreak/>
              <w:t xml:space="preserve">energies, materials and other semi-finished products. Only manufacturers of motor vehicles earned less year-on-year. </w:t>
            </w:r>
          </w:p>
        </w:tc>
        <w:tc>
          <w:tcPr>
            <w:tcW w:w="214" w:type="dxa"/>
            <w:tcBorders>
              <w:top w:val="nil"/>
              <w:left w:val="nil"/>
              <w:bottom w:val="nil"/>
              <w:right w:val="nil"/>
            </w:tcBorders>
            <w:shd w:val="clear" w:color="auto" w:fill="auto"/>
            <w:tcMar>
              <w:left w:w="0" w:type="dxa"/>
            </w:tcMar>
          </w:tcPr>
          <w:p w14:paraId="10CAF3A1" w14:textId="3DAAE0CD" w:rsidR="00A42593" w:rsidRPr="00A00994" w:rsidRDefault="00A42593" w:rsidP="00DB13EF">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4F1290D" w14:textId="2D273541" w:rsidR="00A42593" w:rsidRPr="001D4E19" w:rsidRDefault="00A42593" w:rsidP="00A42593">
            <w:pPr>
              <w:spacing w:after="220"/>
              <w:rPr>
                <w:rFonts w:cs="Arial"/>
                <w:i/>
                <w:iCs/>
                <w:spacing w:val="-2"/>
                <w:sz w:val="16"/>
                <w:szCs w:val="16"/>
                <w:lang w:val="en-GB"/>
              </w:rPr>
            </w:pPr>
            <w:r w:rsidRPr="001D4E19">
              <w:rPr>
                <w:rFonts w:cs="Arial"/>
                <w:bCs/>
                <w:color w:val="0D0D0D" w:themeColor="text1" w:themeTint="F2"/>
                <w:spacing w:val="-2"/>
                <w:szCs w:val="20"/>
                <w:lang w:val="en-GB"/>
              </w:rPr>
              <w:t>Nominal sales of industrial businesses</w:t>
            </w:r>
            <w:r w:rsidRPr="001D4E19">
              <w:rPr>
                <w:rStyle w:val="Znakapoznpodarou"/>
                <w:bCs/>
                <w:color w:val="0D0D0D" w:themeColor="text1" w:themeTint="F2"/>
                <w:spacing w:val="-2"/>
                <w:szCs w:val="20"/>
                <w:lang w:val="en-GB"/>
              </w:rPr>
              <w:footnoteReference w:id="8"/>
            </w:r>
            <w:r w:rsidRPr="001D4E19">
              <w:rPr>
                <w:rFonts w:cs="Arial"/>
                <w:bCs/>
                <w:color w:val="0D0D0D" w:themeColor="text1" w:themeTint="F2"/>
                <w:spacing w:val="-2"/>
                <w:szCs w:val="20"/>
                <w:lang w:val="en-GB"/>
              </w:rPr>
              <w:t xml:space="preserve"> exceeded the last year’s level by 10.9% in H1 2022 (in that even by 12.5% in Q2 itself). The dynamics of development of sales and industrial production is more and more differentiated in the last two years impacted by rising costs, </w:t>
            </w:r>
            <w:r w:rsidRPr="001D4E19">
              <w:rPr>
                <w:rFonts w:cs="Arial"/>
                <w:bCs/>
                <w:color w:val="0D0D0D" w:themeColor="text1" w:themeTint="F2"/>
                <w:spacing w:val="-2"/>
                <w:szCs w:val="20"/>
                <w:lang w:val="en-GB"/>
              </w:rPr>
              <w:lastRenderedPageBreak/>
              <w:t>which businesses reflect in their final products</w:t>
            </w:r>
            <w:r w:rsidRPr="001D4E19">
              <w:rPr>
                <w:rStyle w:val="Znakapoznpodarou"/>
                <w:bCs/>
                <w:color w:val="0D0D0D" w:themeColor="text1" w:themeTint="F2"/>
                <w:spacing w:val="-2"/>
                <w:szCs w:val="20"/>
                <w:lang w:val="en-GB"/>
              </w:rPr>
              <w:footnoteReference w:id="9"/>
            </w:r>
            <w:r w:rsidRPr="001D4E19">
              <w:rPr>
                <w:rFonts w:cs="Arial"/>
                <w:bCs/>
                <w:color w:val="0D0D0D" w:themeColor="text1" w:themeTint="F2"/>
                <w:spacing w:val="-2"/>
                <w:szCs w:val="20"/>
                <w:lang w:val="en-GB"/>
              </w:rPr>
              <w:t>. Domestic sales (including also indirect export</w:t>
            </w:r>
            <w:r w:rsidRPr="001D4E19">
              <w:rPr>
                <w:rStyle w:val="Znakapoznpodarou"/>
                <w:bCs/>
                <w:color w:val="0D0D0D" w:themeColor="text1" w:themeTint="F2"/>
                <w:spacing w:val="-2"/>
                <w:szCs w:val="20"/>
                <w:lang w:val="en-GB"/>
              </w:rPr>
              <w:footnoteReference w:id="10"/>
            </w:r>
            <w:r w:rsidRPr="001D4E19">
              <w:rPr>
                <w:rFonts w:cs="Arial"/>
                <w:bCs/>
                <w:color w:val="0D0D0D" w:themeColor="text1" w:themeTint="F2"/>
                <w:spacing w:val="-2"/>
                <w:szCs w:val="20"/>
                <w:lang w:val="en-GB"/>
              </w:rPr>
              <w:t xml:space="preserve">) expanded by 17.9%, by nearly triple pace compared to sales from direct export. It can be explained by strong price growth in branches producing products for the domestic market mainly (mining and quarrying, wood, paper and print industry, metalworking or food industry) and at the same time still relatively low price shift of some traditional export articles (motor vehicles, computers, electronic and optical appliances). The total sales boosted the most to businesses in coal mining (by 43%) and metallurgy and foundry industry or chemical industry (similarly by 35%) this year compared to the last year’s first half year. More than two thirds of main branches however recorded double digit growth of sales. Only manufacturers of motor vehicles – for both domestic sales (by 1%) and direct export (6%) - experienced a mild decrease. </w:t>
            </w:r>
          </w:p>
        </w:tc>
      </w:tr>
      <w:tr w:rsidR="00A42593" w:rsidRPr="00A00994" w14:paraId="2C6D6C0D" w14:textId="77777777" w:rsidTr="00BB1209">
        <w:trPr>
          <w:trHeight w:val="145"/>
        </w:trPr>
        <w:tc>
          <w:tcPr>
            <w:tcW w:w="1695" w:type="dxa"/>
            <w:tcBorders>
              <w:top w:val="nil"/>
              <w:left w:val="nil"/>
              <w:bottom w:val="nil"/>
              <w:right w:val="nil"/>
            </w:tcBorders>
            <w:shd w:val="clear" w:color="auto" w:fill="auto"/>
            <w:tcMar>
              <w:left w:w="0" w:type="dxa"/>
            </w:tcMar>
          </w:tcPr>
          <w:p w14:paraId="0E443B8A" w14:textId="39A674AF" w:rsidR="00A42593" w:rsidRPr="00A00994" w:rsidRDefault="00A42593" w:rsidP="00DB13EF">
            <w:pPr>
              <w:pStyle w:val="Marginlie"/>
              <w:rPr>
                <w:color w:val="0D0D0D" w:themeColor="text1" w:themeTint="F2"/>
                <w:lang w:val="en-GB"/>
              </w:rPr>
            </w:pPr>
          </w:p>
        </w:tc>
        <w:tc>
          <w:tcPr>
            <w:tcW w:w="214" w:type="dxa"/>
            <w:tcBorders>
              <w:top w:val="nil"/>
              <w:left w:val="nil"/>
              <w:bottom w:val="nil"/>
              <w:right w:val="nil"/>
            </w:tcBorders>
            <w:shd w:val="clear" w:color="auto" w:fill="auto"/>
            <w:tcMar>
              <w:left w:w="0" w:type="dxa"/>
            </w:tcMar>
          </w:tcPr>
          <w:p w14:paraId="6AACDB19" w14:textId="77777777" w:rsidR="00A42593" w:rsidRPr="00A00994" w:rsidRDefault="00A42593" w:rsidP="00DB13EF">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45E303E" w14:textId="77A6B87D" w:rsidR="00A42593" w:rsidRPr="00A00994" w:rsidRDefault="00A42593" w:rsidP="001A6015">
            <w:pPr>
              <w:spacing w:after="0"/>
              <w:rPr>
                <w:rFonts w:cs="Arial"/>
                <w:bCs/>
                <w:color w:val="0D0D0D" w:themeColor="text1" w:themeTint="F2"/>
                <w:spacing w:val="-6"/>
                <w:szCs w:val="20"/>
                <w:lang w:val="en-GB"/>
              </w:rPr>
            </w:pPr>
            <w:r w:rsidRPr="00A00994">
              <w:rPr>
                <w:b/>
                <w:spacing w:val="-2"/>
                <w:lang w:val="en-GB"/>
              </w:rPr>
              <w:t xml:space="preserve">Chart 5 </w:t>
            </w:r>
            <w:r w:rsidRPr="00A00994">
              <w:rPr>
                <w:b/>
                <w:lang w:val="en-GB"/>
              </w:rPr>
              <w:t xml:space="preserve">New orders in industry </w:t>
            </w:r>
            <w:r w:rsidRPr="00A00994">
              <w:rPr>
                <w:bCs/>
                <w:lang w:val="en-GB"/>
              </w:rPr>
              <w:t xml:space="preserve">(nominal, year-on-year change in %), </w:t>
            </w:r>
            <w:r w:rsidRPr="00A00994">
              <w:rPr>
                <w:b/>
                <w:lang w:val="en-GB"/>
              </w:rPr>
              <w:t>utilisation of production capacities in industry, selected growth barriers*</w:t>
            </w:r>
            <w:r w:rsidRPr="00A00994">
              <w:rPr>
                <w:lang w:val="en-GB"/>
              </w:rPr>
              <w:t xml:space="preserve"> (in %, right axis) </w:t>
            </w:r>
            <w:r w:rsidRPr="00A00994">
              <w:rPr>
                <w:b/>
                <w:bCs/>
                <w:lang w:val="en-GB"/>
              </w:rPr>
              <w:t xml:space="preserve">and balance of </w:t>
            </w:r>
            <w:r>
              <w:rPr>
                <w:b/>
                <w:bCs/>
                <w:lang w:val="en-GB"/>
              </w:rPr>
              <w:t xml:space="preserve">business </w:t>
            </w:r>
            <w:r w:rsidRPr="00A00994">
              <w:rPr>
                <w:b/>
                <w:bCs/>
                <w:lang w:val="en-GB"/>
              </w:rPr>
              <w:t>confidence indicator in industry*</w:t>
            </w:r>
            <w:r w:rsidRPr="00A00994">
              <w:rPr>
                <w:lang w:val="en-GB"/>
              </w:rPr>
              <w:t xml:space="preserve"> (in p.p., right axis)</w:t>
            </w:r>
          </w:p>
        </w:tc>
      </w:tr>
      <w:tr w:rsidR="00A42593" w:rsidRPr="00A00994" w14:paraId="009A1CFB"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7CD70B08" w14:textId="2A3B9638" w:rsidR="00A42593" w:rsidRPr="00A00994" w:rsidRDefault="00A42593" w:rsidP="00DB13EF">
            <w:pPr>
              <w:pStyle w:val="Marginlie"/>
              <w:rPr>
                <w:color w:val="0D0D0D" w:themeColor="text1" w:themeTint="F2"/>
                <w:lang w:val="en-GB"/>
              </w:rPr>
            </w:pPr>
          </w:p>
        </w:tc>
        <w:tc>
          <w:tcPr>
            <w:tcW w:w="214" w:type="dxa"/>
            <w:tcBorders>
              <w:top w:val="nil"/>
              <w:left w:val="nil"/>
              <w:bottom w:val="nil"/>
              <w:right w:val="nil"/>
            </w:tcBorders>
            <w:shd w:val="clear" w:color="auto" w:fill="auto"/>
          </w:tcPr>
          <w:p w14:paraId="60CF29B7" w14:textId="77777777" w:rsidR="00A42593" w:rsidRPr="00A00994" w:rsidRDefault="00A42593" w:rsidP="00DB13EF">
            <w:pPr>
              <w:pStyle w:val="Textpoznpodarou"/>
              <w:jc w:val="both"/>
              <w:rPr>
                <w:spacing w:val="-4"/>
                <w:lang w:val="en-GB"/>
              </w:rPr>
            </w:pPr>
          </w:p>
        </w:tc>
        <w:tc>
          <w:tcPr>
            <w:tcW w:w="7730" w:type="dxa"/>
            <w:tcBorders>
              <w:top w:val="nil"/>
              <w:left w:val="nil"/>
              <w:bottom w:val="nil"/>
              <w:right w:val="nil"/>
            </w:tcBorders>
            <w:shd w:val="clear" w:color="auto" w:fill="auto"/>
          </w:tcPr>
          <w:p w14:paraId="06803C68" w14:textId="11C2B246" w:rsidR="00A42593" w:rsidRPr="00A00994" w:rsidRDefault="001A6015" w:rsidP="00A1004C">
            <w:pPr>
              <w:pStyle w:val="Textpoznpodarou"/>
              <w:spacing w:line="276" w:lineRule="auto"/>
              <w:jc w:val="both"/>
              <w:rPr>
                <w:color w:val="0D0D0D" w:themeColor="text1" w:themeTint="F2"/>
                <w:spacing w:val="-5"/>
                <w:lang w:val="en-GB"/>
              </w:rPr>
            </w:pPr>
            <w:r>
              <w:rPr>
                <w:noProof/>
              </w:rPr>
              <w:drawing>
                <wp:inline distT="0" distB="0" distL="0" distR="0" wp14:anchorId="753DDDC0" wp14:editId="456299AC">
                  <wp:extent cx="4696239" cy="3536674"/>
                  <wp:effectExtent l="0" t="0" r="0" b="698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42593" w:rsidRPr="00A00994" w14:paraId="425D1ABC"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33566954" w14:textId="77777777" w:rsidR="00A42593" w:rsidRPr="00A00994" w:rsidRDefault="00A42593" w:rsidP="00DB13EF">
            <w:pPr>
              <w:pStyle w:val="Marginlie"/>
              <w:rPr>
                <w:color w:val="0D0D0D" w:themeColor="text1" w:themeTint="F2"/>
                <w:lang w:val="en-GB"/>
              </w:rPr>
            </w:pPr>
          </w:p>
        </w:tc>
        <w:tc>
          <w:tcPr>
            <w:tcW w:w="214" w:type="dxa"/>
            <w:tcBorders>
              <w:top w:val="nil"/>
              <w:left w:val="nil"/>
              <w:bottom w:val="nil"/>
              <w:right w:val="nil"/>
            </w:tcBorders>
            <w:shd w:val="clear" w:color="auto" w:fill="auto"/>
          </w:tcPr>
          <w:p w14:paraId="15139270" w14:textId="77777777" w:rsidR="00A42593" w:rsidRPr="00A00994" w:rsidRDefault="00A42593" w:rsidP="00DB13EF">
            <w:pPr>
              <w:pStyle w:val="Textpoznpodarou"/>
              <w:jc w:val="both"/>
              <w:rPr>
                <w:spacing w:val="-4"/>
                <w:lang w:val="en-GB"/>
              </w:rPr>
            </w:pPr>
          </w:p>
        </w:tc>
        <w:tc>
          <w:tcPr>
            <w:tcW w:w="7730" w:type="dxa"/>
            <w:tcBorders>
              <w:top w:val="nil"/>
              <w:left w:val="nil"/>
              <w:bottom w:val="nil"/>
              <w:right w:val="nil"/>
            </w:tcBorders>
            <w:shd w:val="clear" w:color="auto" w:fill="auto"/>
          </w:tcPr>
          <w:p w14:paraId="2AE58647" w14:textId="43E9A402" w:rsidR="00A42593" w:rsidRPr="00A00994" w:rsidRDefault="00A42593" w:rsidP="001D4E19">
            <w:pPr>
              <w:spacing w:after="200"/>
              <w:rPr>
                <w:b/>
                <w:spacing w:val="-2"/>
                <w:lang w:val="en-GB"/>
              </w:rPr>
            </w:pPr>
            <w:r w:rsidRPr="00A00994">
              <w:rPr>
                <w:color w:val="0D0D0D" w:themeColor="text1" w:themeTint="F2"/>
                <w:spacing w:val="-5"/>
                <w:lang w:val="en-GB"/>
              </w:rPr>
              <w:t>*</w:t>
            </w:r>
            <w:r w:rsidRPr="00A00994">
              <w:rPr>
                <w:rFonts w:cs="Arial"/>
                <w:sz w:val="14"/>
                <w:szCs w:val="14"/>
                <w:lang w:val="en-GB"/>
              </w:rPr>
              <w:t xml:space="preserve"> Both utilisation of production capacities and growth barriers express the level in the first month of the given quarter, </w:t>
            </w:r>
            <w:r>
              <w:rPr>
                <w:rFonts w:cs="Arial"/>
                <w:sz w:val="14"/>
                <w:szCs w:val="14"/>
                <w:lang w:val="en-GB"/>
              </w:rPr>
              <w:t xml:space="preserve"> business</w:t>
            </w:r>
            <w:r w:rsidRPr="00A00994">
              <w:rPr>
                <w:rFonts w:cs="Arial"/>
                <w:sz w:val="14"/>
                <w:szCs w:val="14"/>
                <w:lang w:val="en-GB"/>
              </w:rPr>
              <w:t xml:space="preserve"> confidence balance relates to the second month in the quarter. Orders are adjusted for calendar effects; other indicators are seasonally adjusted. Businesses could have indicated more key growth barriers simultaneously.                                                                             Source: CZSO</w:t>
            </w:r>
            <w:r>
              <w:rPr>
                <w:rFonts w:cs="Arial"/>
                <w:sz w:val="14"/>
                <w:szCs w:val="14"/>
                <w:lang w:val="en-GB"/>
              </w:rPr>
              <w:t>, Eurostat</w:t>
            </w:r>
          </w:p>
        </w:tc>
      </w:tr>
      <w:tr w:rsidR="001D4E19" w:rsidRPr="00A00994" w14:paraId="71988E46" w14:textId="77777777" w:rsidTr="00BB1209">
        <w:trPr>
          <w:trHeight w:val="145"/>
        </w:trPr>
        <w:tc>
          <w:tcPr>
            <w:tcW w:w="1695" w:type="dxa"/>
            <w:tcBorders>
              <w:top w:val="nil"/>
              <w:left w:val="nil"/>
              <w:bottom w:val="nil"/>
              <w:right w:val="nil"/>
            </w:tcBorders>
            <w:shd w:val="clear" w:color="auto" w:fill="auto"/>
            <w:tcMar>
              <w:left w:w="0" w:type="dxa"/>
            </w:tcMar>
          </w:tcPr>
          <w:p w14:paraId="45020710" w14:textId="77777777" w:rsidR="001D4E19" w:rsidRPr="00A00994" w:rsidRDefault="001D4E19" w:rsidP="001D4E19">
            <w:pPr>
              <w:pStyle w:val="Marginlie"/>
              <w:rPr>
                <w:color w:val="0D0D0D" w:themeColor="text1" w:themeTint="F2"/>
                <w:lang w:val="en-GB"/>
              </w:rPr>
            </w:pPr>
            <w:r w:rsidRPr="00A00994">
              <w:rPr>
                <w:color w:val="0D0D0D" w:themeColor="text1" w:themeTint="F2"/>
                <w:lang w:val="en-GB"/>
              </w:rPr>
              <w:t xml:space="preserve">Growth of the volume of new orders reflected manly the effect of strengthening prices of production costs in the majority of industrial branches. </w:t>
            </w:r>
          </w:p>
          <w:p w14:paraId="79D5BC69" w14:textId="77777777" w:rsidR="001D4E19" w:rsidRPr="00A00994" w:rsidRDefault="001D4E19" w:rsidP="001D4E19">
            <w:pPr>
              <w:pStyle w:val="Marginlie"/>
              <w:rPr>
                <w:color w:val="0D0D0D" w:themeColor="text1" w:themeTint="F2"/>
                <w:lang w:val="en-GB"/>
              </w:rPr>
            </w:pPr>
          </w:p>
          <w:p w14:paraId="17AA12EA" w14:textId="3064BD2B" w:rsidR="001D4E19" w:rsidRDefault="001D4E19" w:rsidP="001D4E19">
            <w:pPr>
              <w:pStyle w:val="Marginlie"/>
              <w:rPr>
                <w:color w:val="0D0D0D" w:themeColor="text1" w:themeTint="F2"/>
                <w:lang w:val="en-GB"/>
              </w:rPr>
            </w:pPr>
          </w:p>
          <w:p w14:paraId="23B9EA59" w14:textId="77777777" w:rsidR="001D4E19" w:rsidRPr="00A00994" w:rsidRDefault="001D4E19" w:rsidP="001D4E19">
            <w:pPr>
              <w:pStyle w:val="Marginlie"/>
              <w:rPr>
                <w:color w:val="0D0D0D" w:themeColor="text1" w:themeTint="F2"/>
                <w:lang w:val="en-GB"/>
              </w:rPr>
            </w:pPr>
          </w:p>
          <w:p w14:paraId="72A45DC4" w14:textId="77777777" w:rsidR="001D4E19" w:rsidRPr="00A00994" w:rsidRDefault="001D4E19" w:rsidP="001D4E19">
            <w:pPr>
              <w:pStyle w:val="Marginlie"/>
              <w:rPr>
                <w:color w:val="0D0D0D" w:themeColor="text1" w:themeTint="F2"/>
                <w:lang w:val="en-GB"/>
              </w:rPr>
            </w:pPr>
          </w:p>
          <w:p w14:paraId="31FC457C" w14:textId="26AE2257" w:rsidR="001D4E19" w:rsidRPr="00A00994" w:rsidRDefault="001D4E19" w:rsidP="001D4E19">
            <w:pPr>
              <w:pStyle w:val="Marginlie"/>
              <w:rPr>
                <w:color w:val="0D0D0D" w:themeColor="text1" w:themeTint="F2"/>
                <w:lang w:val="en-GB"/>
              </w:rPr>
            </w:pPr>
            <w:r w:rsidRPr="00A00994">
              <w:rPr>
                <w:color w:val="0D0D0D" w:themeColor="text1" w:themeTint="F2"/>
                <w:lang w:val="en-GB"/>
              </w:rPr>
              <w:lastRenderedPageBreak/>
              <w:t xml:space="preserve">Growth of demand prevailed in the electrical engineering; improvement manifested for motor vehicle manufacturers.   </w:t>
            </w:r>
          </w:p>
        </w:tc>
        <w:tc>
          <w:tcPr>
            <w:tcW w:w="214" w:type="dxa"/>
            <w:tcBorders>
              <w:top w:val="nil"/>
              <w:left w:val="nil"/>
              <w:bottom w:val="nil"/>
              <w:right w:val="nil"/>
            </w:tcBorders>
            <w:shd w:val="clear" w:color="auto" w:fill="auto"/>
            <w:tcMar>
              <w:left w:w="0" w:type="dxa"/>
            </w:tcMar>
          </w:tcPr>
          <w:p w14:paraId="36027DB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89D9CE4" w14:textId="01681A15" w:rsidR="001D4E19" w:rsidRDefault="001D4E19" w:rsidP="001D4E19">
            <w:pPr>
              <w:spacing w:after="200"/>
              <w:rPr>
                <w:color w:val="0D0D0D" w:themeColor="text1" w:themeTint="F2"/>
                <w:spacing w:val="-6"/>
                <w:lang w:val="en-GB"/>
              </w:rPr>
            </w:pPr>
            <w:r w:rsidRPr="001D4E19">
              <w:rPr>
                <w:color w:val="0D0D0D" w:themeColor="text1" w:themeTint="F2"/>
                <w:spacing w:val="-2"/>
                <w:lang w:val="en-GB"/>
              </w:rPr>
              <w:t>Although the growth of the value of new orders in selected industrial branches</w:t>
            </w:r>
            <w:r w:rsidRPr="001D4E19">
              <w:rPr>
                <w:rStyle w:val="Znakapoznpodarou"/>
                <w:color w:val="0D0D0D" w:themeColor="text1" w:themeTint="F2"/>
                <w:spacing w:val="-2"/>
                <w:lang w:val="en-GB"/>
              </w:rPr>
              <w:footnoteReference w:id="11"/>
            </w:r>
            <w:r w:rsidRPr="001D4E19">
              <w:rPr>
                <w:color w:val="0D0D0D" w:themeColor="text1" w:themeTint="F2"/>
                <w:spacing w:val="-2"/>
                <w:lang w:val="en-GB"/>
              </w:rPr>
              <w:t xml:space="preserve"> gained pace to 9.3% year-on-year in Q2, it lagged behind this year’s dynamics of both sales and growth of prices of industrial producers. Manufacturing of metal structures and fabricated metal products, where the value of contracted works was raised by nearly one fifth, contributed the most to the larger volume of orders. Still no real growth of demand can be reported since the high price growth of inputs in this branch significantly enters into the value of orders. With respect to the dynamics of the production costs as well as the last year basis, the current growth of orders in manufacturing of electrical appliances </w:t>
            </w:r>
            <w:r w:rsidRPr="001D4E19">
              <w:rPr>
                <w:rFonts w:cs="Arial"/>
                <w:bCs/>
                <w:color w:val="0D0D0D" w:themeColor="text1" w:themeTint="F2"/>
                <w:spacing w:val="-2"/>
                <w:szCs w:val="20"/>
                <w:lang w:val="en-GB"/>
              </w:rPr>
              <w:t xml:space="preserve">(11%), pharmacy (15%), textile industry (18%) and clothing (14%, mainly domestic demand here) </w:t>
            </w:r>
            <w:r w:rsidRPr="001D4E19">
              <w:rPr>
                <w:rFonts w:cs="Arial"/>
                <w:bCs/>
                <w:color w:val="0D0D0D" w:themeColor="text1" w:themeTint="F2"/>
                <w:spacing w:val="-2"/>
                <w:szCs w:val="20"/>
                <w:lang w:val="en-GB"/>
              </w:rPr>
              <w:lastRenderedPageBreak/>
              <w:t>can be assessed positively. This is in contrast with the three quarters lasting moderate decrease of orders in manufacturing of computers, electronic and optical appliances. The manufacturing of motor vehicle contented with even deeper slump of demand since half of the last year, nevertheless the situation improved in this year’s Q2 and the volume of orders very mildly increased here (even despite high last year basis).</w:t>
            </w:r>
          </w:p>
        </w:tc>
      </w:tr>
      <w:tr w:rsidR="001D4E19" w:rsidRPr="00A00994" w14:paraId="20A89B32" w14:textId="77777777" w:rsidTr="00BB1209">
        <w:trPr>
          <w:trHeight w:val="145"/>
        </w:trPr>
        <w:tc>
          <w:tcPr>
            <w:tcW w:w="1695" w:type="dxa"/>
            <w:tcBorders>
              <w:top w:val="nil"/>
              <w:left w:val="nil"/>
              <w:bottom w:val="nil"/>
              <w:right w:val="nil"/>
            </w:tcBorders>
            <w:shd w:val="clear" w:color="auto" w:fill="auto"/>
            <w:tcMar>
              <w:left w:w="0" w:type="dxa"/>
            </w:tcMar>
          </w:tcPr>
          <w:p w14:paraId="7545AF8C" w14:textId="77777777" w:rsidR="001D4E19" w:rsidRPr="00A00994" w:rsidRDefault="001D4E19" w:rsidP="001D4E19">
            <w:pPr>
              <w:pStyle w:val="Marginlie"/>
              <w:rPr>
                <w:color w:val="0D0D0D" w:themeColor="text1" w:themeTint="F2"/>
                <w:lang w:val="en-GB"/>
              </w:rPr>
            </w:pPr>
            <w:r w:rsidRPr="00A00994">
              <w:rPr>
                <w:color w:val="0D0D0D" w:themeColor="text1" w:themeTint="F2"/>
                <w:lang w:val="en-GB"/>
              </w:rPr>
              <w:lastRenderedPageBreak/>
              <w:t xml:space="preserve">The </w:t>
            </w:r>
            <w:r>
              <w:rPr>
                <w:color w:val="0D0D0D" w:themeColor="text1" w:themeTint="F2"/>
                <w:lang w:val="en-GB"/>
              </w:rPr>
              <w:t>s</w:t>
            </w:r>
            <w:r w:rsidRPr="00A00994">
              <w:rPr>
                <w:color w:val="0D0D0D" w:themeColor="text1" w:themeTint="F2"/>
                <w:lang w:val="en-GB"/>
              </w:rPr>
              <w:t xml:space="preserve">pring optimism of industrial businesses cooled down in July. Both production and employment anticipations were however mildly positive. </w:t>
            </w:r>
          </w:p>
          <w:p w14:paraId="0D6C915D" w14:textId="77777777" w:rsidR="001D4E19" w:rsidRPr="00A00994" w:rsidRDefault="001D4E19" w:rsidP="001D4E19">
            <w:pPr>
              <w:pStyle w:val="Marginlie"/>
              <w:rPr>
                <w:color w:val="0D0D0D" w:themeColor="text1" w:themeTint="F2"/>
                <w:lang w:val="en-GB"/>
              </w:rPr>
            </w:pPr>
          </w:p>
          <w:p w14:paraId="191147DF" w14:textId="77777777" w:rsidR="001D4E19" w:rsidRPr="00A00994" w:rsidRDefault="001D4E19" w:rsidP="001D4E19">
            <w:pPr>
              <w:pStyle w:val="Marginlie"/>
              <w:rPr>
                <w:color w:val="0D0D0D" w:themeColor="text1" w:themeTint="F2"/>
                <w:spacing w:val="0"/>
                <w:lang w:val="en-GB"/>
              </w:rPr>
            </w:pPr>
          </w:p>
          <w:p w14:paraId="46FEFA7F" w14:textId="77777777" w:rsidR="001D4E19" w:rsidRPr="00A00994" w:rsidRDefault="001D4E19" w:rsidP="001D4E19">
            <w:pPr>
              <w:pStyle w:val="Marginlie"/>
              <w:rPr>
                <w:color w:val="0D0D0D" w:themeColor="text1" w:themeTint="F2"/>
                <w:spacing w:val="0"/>
                <w:lang w:val="en-GB"/>
              </w:rPr>
            </w:pPr>
            <w:r w:rsidRPr="00A00994">
              <w:rPr>
                <w:color w:val="0D0D0D" w:themeColor="text1" w:themeTint="F2"/>
                <w:spacing w:val="0"/>
                <w:lang w:val="en-GB"/>
              </w:rPr>
              <w:t xml:space="preserve">  </w:t>
            </w:r>
          </w:p>
          <w:p w14:paraId="3EDCB4BA" w14:textId="77777777" w:rsidR="001D4E19" w:rsidRPr="00A00994" w:rsidRDefault="001D4E19" w:rsidP="001D4E19">
            <w:pPr>
              <w:pStyle w:val="Marginlie"/>
              <w:rPr>
                <w:color w:val="0D0D0D" w:themeColor="text1" w:themeTint="F2"/>
                <w:spacing w:val="0"/>
                <w:lang w:val="en-GB"/>
              </w:rPr>
            </w:pPr>
            <w:r w:rsidRPr="00A00994">
              <w:rPr>
                <w:color w:val="0D0D0D" w:themeColor="text1" w:themeTint="F2"/>
                <w:spacing w:val="0"/>
                <w:lang w:val="en-GB"/>
              </w:rPr>
              <w:t xml:space="preserve">Significant growth barriers remained, anticipation of growth of prices of own production moderated only slightly. </w:t>
            </w:r>
          </w:p>
          <w:p w14:paraId="08D784B1" w14:textId="77777777" w:rsidR="001D4E19" w:rsidRPr="00A00994" w:rsidRDefault="001D4E19" w:rsidP="001D4E19">
            <w:pPr>
              <w:pStyle w:val="Marginlie"/>
              <w:rPr>
                <w:color w:val="0D0D0D" w:themeColor="text1" w:themeTint="F2"/>
                <w:lang w:val="en-GB"/>
              </w:rPr>
            </w:pPr>
          </w:p>
        </w:tc>
        <w:tc>
          <w:tcPr>
            <w:tcW w:w="214" w:type="dxa"/>
            <w:tcBorders>
              <w:top w:val="nil"/>
              <w:left w:val="nil"/>
              <w:bottom w:val="nil"/>
              <w:right w:val="nil"/>
            </w:tcBorders>
            <w:shd w:val="clear" w:color="auto" w:fill="auto"/>
            <w:tcMar>
              <w:left w:w="0" w:type="dxa"/>
            </w:tcMar>
          </w:tcPr>
          <w:p w14:paraId="4F0A22C3"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2E46FFA" w14:textId="5F82C481" w:rsidR="001D4E19" w:rsidRPr="00EC0B86" w:rsidRDefault="001D4E19" w:rsidP="001D4E19">
            <w:pPr>
              <w:spacing w:after="200"/>
              <w:rPr>
                <w:rFonts w:cs="Arial"/>
                <w:sz w:val="14"/>
                <w:szCs w:val="14"/>
                <w:lang w:val="en-GB"/>
              </w:rPr>
            </w:pPr>
            <w:r>
              <w:rPr>
                <w:color w:val="0D0D0D" w:themeColor="text1" w:themeTint="F2"/>
                <w:spacing w:val="-6"/>
                <w:lang w:val="en-GB"/>
              </w:rPr>
              <w:t>Business</w:t>
            </w:r>
            <w:r w:rsidRPr="00A00994">
              <w:rPr>
                <w:color w:val="0D0D0D" w:themeColor="text1" w:themeTint="F2"/>
                <w:spacing w:val="-6"/>
                <w:lang w:val="en-GB"/>
              </w:rPr>
              <w:t xml:space="preserve"> confidence in industry more significantly declined in July following the growth in Q2 2022 and returned to the level from the beginning of this year (nevertheless the </w:t>
            </w:r>
            <w:r>
              <w:rPr>
                <w:color w:val="0D0D0D" w:themeColor="text1" w:themeTint="F2"/>
                <w:spacing w:val="-6"/>
                <w:lang w:val="en-GB"/>
              </w:rPr>
              <w:t>economic</w:t>
            </w:r>
            <w:r w:rsidRPr="00A00994">
              <w:rPr>
                <w:color w:val="0D0D0D" w:themeColor="text1" w:themeTint="F2"/>
                <w:spacing w:val="-6"/>
                <w:lang w:val="en-GB"/>
              </w:rPr>
              <w:t xml:space="preserve"> sentiment was slightly more favourable than before the onset of the pandemics). The evaluation of the current demand worsened, businesses indicating growth of inventory stock of finished products increased in number and the concerns regarding the overall economic situation (mainly in the nearest three months) also heightened. At the same time however, nearly every third business presumed the growth of output in this time period (only one tenth expected decrease), which also corresponded to the mild optimism in the area of hiring new workers</w:t>
            </w:r>
            <w:r w:rsidRPr="00A00994">
              <w:rPr>
                <w:rStyle w:val="Znakapoznpodarou"/>
                <w:color w:val="0D0D0D" w:themeColor="text1" w:themeTint="F2"/>
                <w:spacing w:val="-6"/>
                <w:lang w:val="en-GB"/>
              </w:rPr>
              <w:footnoteReference w:id="12"/>
            </w:r>
            <w:r w:rsidRPr="00A00994">
              <w:rPr>
                <w:color w:val="0D0D0D" w:themeColor="text1" w:themeTint="F2"/>
                <w:spacing w:val="-6"/>
                <w:lang w:val="en-GB"/>
              </w:rPr>
              <w:t>. Due to more intense stage of completion of current orders the businesses’ stock of work shrank at the same time</w:t>
            </w:r>
            <w:r w:rsidRPr="00A00994">
              <w:rPr>
                <w:rStyle w:val="Znakapoznpodarou"/>
                <w:color w:val="0D0D0D" w:themeColor="text1" w:themeTint="F2"/>
                <w:spacing w:val="-6"/>
                <w:lang w:val="en-GB"/>
              </w:rPr>
              <w:footnoteReference w:id="13"/>
            </w:r>
            <w:r w:rsidRPr="00A00994">
              <w:rPr>
                <w:color w:val="0D0D0D" w:themeColor="text1" w:themeTint="F2"/>
                <w:spacing w:val="-6"/>
                <w:lang w:val="en-GB"/>
              </w:rPr>
              <w:t>. The whole branch was limited by significant barriers – shortage of material and equipment afflicted already one half of businesses (mostly in larger traditional export branches</w:t>
            </w:r>
            <w:r w:rsidRPr="00A00994">
              <w:rPr>
                <w:rStyle w:val="Znakapoznpodarou"/>
                <w:color w:val="0D0D0D" w:themeColor="text1" w:themeTint="F2"/>
                <w:spacing w:val="-6"/>
                <w:lang w:val="en-GB"/>
              </w:rPr>
              <w:footnoteReference w:id="14"/>
            </w:r>
            <w:r w:rsidRPr="00A00994">
              <w:rPr>
                <w:color w:val="0D0D0D" w:themeColor="text1" w:themeTint="F2"/>
                <w:spacing w:val="-6"/>
                <w:lang w:val="en-GB"/>
              </w:rPr>
              <w:t>), lack of workers already more than one quarter of businesses</w:t>
            </w:r>
            <w:r w:rsidRPr="00A00994">
              <w:rPr>
                <w:rStyle w:val="Znakapoznpodarou"/>
                <w:color w:val="0D0D0D" w:themeColor="text1" w:themeTint="F2"/>
                <w:spacing w:val="-6"/>
                <w:lang w:val="en-GB"/>
              </w:rPr>
              <w:footnoteReference w:id="15"/>
            </w:r>
            <w:r w:rsidRPr="00A00994">
              <w:rPr>
                <w:color w:val="0D0D0D" w:themeColor="text1" w:themeTint="F2"/>
                <w:spacing w:val="-6"/>
                <w:lang w:val="en-GB"/>
              </w:rPr>
              <w:t xml:space="preserve"> and the inadequate demand then nearly one fifth</w:t>
            </w:r>
            <w:r w:rsidRPr="00A00994">
              <w:rPr>
                <w:rStyle w:val="Znakapoznpodarou"/>
                <w:color w:val="0D0D0D" w:themeColor="text1" w:themeTint="F2"/>
                <w:spacing w:val="-6"/>
                <w:lang w:val="en-GB"/>
              </w:rPr>
              <w:footnoteReference w:id="16"/>
            </w:r>
            <w:r w:rsidRPr="00A00994">
              <w:rPr>
                <w:color w:val="0D0D0D" w:themeColor="text1" w:themeTint="F2"/>
                <w:spacing w:val="-6"/>
                <w:lang w:val="en-GB"/>
              </w:rPr>
              <w:t>. The shortage of material together with the sharply rising prices of energies as well as other inputs were reflected in the notably high expectations of businesses in the area of raising prices of own production</w:t>
            </w:r>
            <w:r w:rsidRPr="00A00994">
              <w:rPr>
                <w:rStyle w:val="Znakapoznpodarou"/>
                <w:color w:val="0D0D0D" w:themeColor="text1" w:themeTint="F2"/>
                <w:spacing w:val="-6"/>
                <w:lang w:val="en-GB"/>
              </w:rPr>
              <w:footnoteReference w:id="17"/>
            </w:r>
            <w:r w:rsidRPr="00A00994">
              <w:rPr>
                <w:color w:val="0D0D0D" w:themeColor="text1" w:themeTint="F2"/>
                <w:spacing w:val="-6"/>
                <w:lang w:val="en-GB"/>
              </w:rPr>
              <w:t>.</w:t>
            </w:r>
          </w:p>
        </w:tc>
      </w:tr>
      <w:tr w:rsidR="001D4E19" w:rsidRPr="00A00994" w14:paraId="5DEFDA8E" w14:textId="77777777" w:rsidTr="00BB1209">
        <w:trPr>
          <w:trHeight w:val="145"/>
        </w:trPr>
        <w:tc>
          <w:tcPr>
            <w:tcW w:w="1695" w:type="dxa"/>
            <w:tcBorders>
              <w:top w:val="nil"/>
              <w:left w:val="nil"/>
              <w:bottom w:val="nil"/>
              <w:right w:val="nil"/>
            </w:tcBorders>
            <w:shd w:val="clear" w:color="auto" w:fill="auto"/>
            <w:tcMar>
              <w:left w:w="0" w:type="dxa"/>
            </w:tcMar>
          </w:tcPr>
          <w:p w14:paraId="22660C09" w14:textId="3292A280" w:rsidR="001D4E19" w:rsidRPr="00A00994" w:rsidRDefault="001D4E19" w:rsidP="001D4E19">
            <w:pPr>
              <w:pStyle w:val="Marginlie"/>
              <w:rPr>
                <w:color w:val="0D0D0D" w:themeColor="text1" w:themeTint="F2"/>
                <w:lang w:val="en-GB"/>
              </w:rPr>
            </w:pPr>
            <w:r w:rsidRPr="00A00994">
              <w:rPr>
                <w:color w:val="0D0D0D" w:themeColor="text1" w:themeTint="F2"/>
                <w:spacing w:val="0"/>
                <w:lang w:val="en-GB"/>
              </w:rPr>
              <w:t>The EU industry continued in slow recovery. It was similarly to the local economy markedly hampered mainly by the shortage of production components</w:t>
            </w:r>
          </w:p>
        </w:tc>
        <w:tc>
          <w:tcPr>
            <w:tcW w:w="214" w:type="dxa"/>
            <w:tcBorders>
              <w:top w:val="nil"/>
              <w:left w:val="nil"/>
              <w:bottom w:val="nil"/>
              <w:right w:val="nil"/>
            </w:tcBorders>
            <w:shd w:val="clear" w:color="auto" w:fill="auto"/>
            <w:tcMar>
              <w:left w:w="0" w:type="dxa"/>
            </w:tcMar>
          </w:tcPr>
          <w:p w14:paraId="3FE8824C"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5DB6CF5" w14:textId="0BF871A9" w:rsidR="001D4E19" w:rsidRPr="00A00994" w:rsidRDefault="001D4E19" w:rsidP="001D4E19">
            <w:pPr>
              <w:spacing w:after="210"/>
              <w:rPr>
                <w:color w:val="0D0D0D" w:themeColor="text1" w:themeTint="F2"/>
                <w:spacing w:val="-6"/>
                <w:lang w:val="en-GB"/>
              </w:rPr>
            </w:pPr>
            <w:r w:rsidRPr="00A00994">
              <w:rPr>
                <w:color w:val="0D0D0D" w:themeColor="text1" w:themeTint="F2"/>
                <w:spacing w:val="-4"/>
                <w:lang w:val="en-GB"/>
              </w:rPr>
              <w:t xml:space="preserve">The industrial production has continued its insignificant growth in the EU so far this year. It strengthened by 1.1% compared to the previous quarter in Q2. Year-on-year, it was by 1.4% higher for the whole half-year, primarily thanks to the increased output of branches production both short-term consumption and durable goods and also activities associated with power. On the contrary, the output of branches aimed at products of investment nature went down (−1.9%), especially due to the persisting difficulties of the motor vehicle manufacturers (−6.3%). While the production of the whole industry in the EU exceeded its pre-pandemic level already at the beginning of this year, it was not achieved in the euro area countries even in Q2 (−1.3%). Compared to H1 2021, the output increased the most mainly in the newer member states this year (e.g. by 14.3% in Poland), the decline affected eight states – among more significant industrial countries it was apart from the CR (−0.3%) Slovakia (−3.2), Romania (−1.6%) and Germany (−1.2%). The EU industrial businesses face identical growth barriers (and with similar intensity) as those in the CR this year. </w:t>
            </w:r>
          </w:p>
        </w:tc>
      </w:tr>
      <w:tr w:rsidR="001D4E19" w:rsidRPr="00A00994" w14:paraId="507F6792" w14:textId="77777777" w:rsidTr="00BB1209">
        <w:trPr>
          <w:trHeight w:val="145"/>
        </w:trPr>
        <w:tc>
          <w:tcPr>
            <w:tcW w:w="1695" w:type="dxa"/>
            <w:tcBorders>
              <w:top w:val="nil"/>
              <w:left w:val="nil"/>
              <w:bottom w:val="nil"/>
              <w:right w:val="nil"/>
            </w:tcBorders>
            <w:shd w:val="clear" w:color="auto" w:fill="auto"/>
            <w:tcMar>
              <w:left w:w="0" w:type="dxa"/>
            </w:tcMar>
          </w:tcPr>
          <w:p w14:paraId="55A05479" w14:textId="3D4364FA" w:rsidR="001D4E19" w:rsidRPr="00A00994" w:rsidRDefault="001D4E19" w:rsidP="001D4E19">
            <w:pPr>
              <w:pStyle w:val="Marginlie"/>
              <w:rPr>
                <w:color w:val="0D0D0D" w:themeColor="text1" w:themeTint="F2"/>
                <w:lang w:val="en-GB"/>
              </w:rPr>
            </w:pPr>
            <w:r w:rsidRPr="00A00994">
              <w:rPr>
                <w:color w:val="0D0D0D" w:themeColor="text1" w:themeTint="F2"/>
                <w:spacing w:val="0"/>
                <w:lang w:val="en-GB"/>
              </w:rPr>
              <w:t xml:space="preserve">Growth of construction output markedly accelerated at the beginning of the year; however the pace did not hold in the next time period. </w:t>
            </w:r>
          </w:p>
        </w:tc>
        <w:tc>
          <w:tcPr>
            <w:tcW w:w="214" w:type="dxa"/>
            <w:tcBorders>
              <w:top w:val="nil"/>
              <w:left w:val="nil"/>
              <w:bottom w:val="nil"/>
              <w:right w:val="nil"/>
            </w:tcBorders>
            <w:shd w:val="clear" w:color="auto" w:fill="auto"/>
            <w:tcMar>
              <w:left w:w="0" w:type="dxa"/>
            </w:tcMar>
          </w:tcPr>
          <w:p w14:paraId="02D58C7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57A50ED" w14:textId="6B66B4ED" w:rsidR="001D4E19" w:rsidRPr="00A00994" w:rsidRDefault="001D4E19" w:rsidP="001D4E19">
            <w:pPr>
              <w:spacing w:after="210"/>
              <w:rPr>
                <w:color w:val="0D0D0D" w:themeColor="text1" w:themeTint="F2"/>
                <w:spacing w:val="-4"/>
                <w:lang w:val="en-GB"/>
              </w:rPr>
            </w:pPr>
            <w:r w:rsidRPr="00A00994">
              <w:rPr>
                <w:color w:val="0D0D0D" w:themeColor="text1" w:themeTint="F2"/>
                <w:spacing w:val="-6"/>
                <w:lang w:val="en-GB"/>
              </w:rPr>
              <w:t>Following the considerable acceleration of the construction output growth</w:t>
            </w:r>
            <w:r w:rsidRPr="00A00994">
              <w:rPr>
                <w:rStyle w:val="Znakapoznpodarou"/>
                <w:color w:val="0D0D0D" w:themeColor="text1" w:themeTint="F2"/>
                <w:spacing w:val="-6"/>
                <w:lang w:val="en-GB"/>
              </w:rPr>
              <w:footnoteReference w:id="18"/>
            </w:r>
            <w:r w:rsidRPr="00A00994">
              <w:rPr>
                <w:color w:val="0D0D0D" w:themeColor="text1" w:themeTint="F2"/>
                <w:spacing w:val="-6"/>
                <w:lang w:val="en-GB"/>
              </w:rPr>
              <w:t xml:space="preserve"> in Q1 2022 (to 3.8% quarter-on-quarter)</w:t>
            </w:r>
            <w:r>
              <w:rPr>
                <w:color w:val="0D0D0D" w:themeColor="text1" w:themeTint="F2"/>
                <w:spacing w:val="-6"/>
                <w:lang w:val="en-GB"/>
              </w:rPr>
              <w:t xml:space="preserve"> caused by warm w</w:t>
            </w:r>
            <w:r w:rsidRPr="00A00994">
              <w:rPr>
                <w:color w:val="0D0D0D" w:themeColor="text1" w:themeTint="F2"/>
                <w:spacing w:val="-6"/>
                <w:lang w:val="en-GB"/>
              </w:rPr>
              <w:t>inter</w:t>
            </w:r>
            <w:r w:rsidRPr="00A00994">
              <w:rPr>
                <w:rStyle w:val="Znakapoznpodarou"/>
                <w:color w:val="0D0D0D" w:themeColor="text1" w:themeTint="F2"/>
                <w:spacing w:val="-6"/>
                <w:lang w:val="en-GB"/>
              </w:rPr>
              <w:footnoteReference w:id="19"/>
            </w:r>
            <w:r w:rsidRPr="00A00994">
              <w:rPr>
                <w:color w:val="0D0D0D" w:themeColor="text1" w:themeTint="F2"/>
                <w:spacing w:val="-6"/>
                <w:lang w:val="en-GB"/>
              </w:rPr>
              <w:t xml:space="preserve"> and large stock of public as well as private orders, a correction occurred in the subsequent time period (especially in the civil engineering construction) and the volume of construction output thus dropped tightly below the level of Q2 2019. The construction output expanded by </w:t>
            </w:r>
            <w:r w:rsidRPr="00A00994">
              <w:rPr>
                <w:color w:val="0D0D0D" w:themeColor="text1" w:themeTint="F2"/>
                <w:spacing w:val="-8"/>
                <w:lang w:val="en-GB"/>
              </w:rPr>
              <w:t xml:space="preserve">5.6% year-on-year for the whole H1 this year, mainly </w:t>
            </w:r>
            <w:r w:rsidRPr="00A00994">
              <w:rPr>
                <w:color w:val="0D0D0D" w:themeColor="text1" w:themeTint="F2"/>
                <w:spacing w:val="-8"/>
                <w:lang w:val="en-GB"/>
              </w:rPr>
              <w:lastRenderedPageBreak/>
              <w:t>thanks to the building construction (it added 4.5 p.p. to the growth).</w:t>
            </w:r>
            <w:r w:rsidRPr="00A00994">
              <w:rPr>
                <w:color w:val="0D0D0D" w:themeColor="text1" w:themeTint="F2"/>
                <w:spacing w:val="-6"/>
                <w:lang w:val="en-GB"/>
              </w:rPr>
              <w:t xml:space="preserve"> The pace however slackened in Q2 itself (to 3.0%, to a large extent because the last year’s comparative basis already had the usual level</w:t>
            </w:r>
            <w:r w:rsidRPr="00A00994">
              <w:rPr>
                <w:rStyle w:val="Znakapoznpodarou"/>
                <w:color w:val="0D0D0D" w:themeColor="text1" w:themeTint="F2"/>
                <w:spacing w:val="-6"/>
                <w:lang w:val="en-GB"/>
              </w:rPr>
              <w:footnoteReference w:id="20"/>
            </w:r>
            <w:r w:rsidRPr="00A00994">
              <w:rPr>
                <w:color w:val="0D0D0D" w:themeColor="text1" w:themeTint="F2"/>
                <w:spacing w:val="-6"/>
                <w:lang w:val="en-GB"/>
              </w:rPr>
              <w:t>). The performance of the civil engineering construction even fell year-on-year (−0.4%). The hastened drawing of capital expenditures from the state budget (after termination of the interim budget</w:t>
            </w:r>
            <w:r w:rsidRPr="00A00994">
              <w:rPr>
                <w:color w:val="0D0D0D" w:themeColor="text1" w:themeTint="F2"/>
                <w:spacing w:val="-7"/>
                <w:lang w:val="en-GB"/>
              </w:rPr>
              <w:t xml:space="preserve">) accompanied by the large volume of planned investment in the area of transport structures for the whole year 2022 should provide this segment of construction with growth impulses. </w:t>
            </w:r>
          </w:p>
        </w:tc>
      </w:tr>
      <w:tr w:rsidR="001D4E19" w:rsidRPr="00A00994" w14:paraId="14B54B86" w14:textId="77777777" w:rsidTr="00BB1209">
        <w:trPr>
          <w:trHeight w:val="145"/>
        </w:trPr>
        <w:tc>
          <w:tcPr>
            <w:tcW w:w="1695" w:type="dxa"/>
            <w:tcBorders>
              <w:top w:val="nil"/>
              <w:left w:val="nil"/>
              <w:bottom w:val="nil"/>
              <w:right w:val="nil"/>
            </w:tcBorders>
            <w:shd w:val="clear" w:color="auto" w:fill="auto"/>
            <w:tcMar>
              <w:left w:w="0" w:type="dxa"/>
            </w:tcMar>
          </w:tcPr>
          <w:p w14:paraId="015AC1E6" w14:textId="77777777" w:rsidR="001D4E19" w:rsidRPr="00A00994" w:rsidRDefault="001D4E19" w:rsidP="001D4E19">
            <w:pPr>
              <w:pStyle w:val="Marginlie"/>
              <w:rPr>
                <w:color w:val="0D0D0D" w:themeColor="text1" w:themeTint="F2"/>
                <w:spacing w:val="0"/>
                <w:lang w:val="en-GB"/>
              </w:rPr>
            </w:pPr>
            <w:r w:rsidRPr="00A00994">
              <w:rPr>
                <w:color w:val="0D0D0D" w:themeColor="text1" w:themeTint="F2"/>
                <w:spacing w:val="0"/>
                <w:lang w:val="en-GB"/>
              </w:rPr>
              <w:lastRenderedPageBreak/>
              <w:t xml:space="preserve">Record number of flats was commenced as well as finished within H1. </w:t>
            </w:r>
          </w:p>
          <w:p w14:paraId="11CD4B2E" w14:textId="77777777" w:rsidR="001D4E19" w:rsidRPr="00A00994" w:rsidRDefault="001D4E19" w:rsidP="001D4E19">
            <w:pPr>
              <w:pStyle w:val="Marginlie"/>
              <w:rPr>
                <w:color w:val="0D0D0D" w:themeColor="text1" w:themeTint="F2"/>
                <w:spacing w:val="0"/>
                <w:lang w:val="en-GB"/>
              </w:rPr>
            </w:pPr>
          </w:p>
          <w:p w14:paraId="42B523DB" w14:textId="0BC9E727" w:rsidR="001D4E19" w:rsidRPr="00A00994" w:rsidRDefault="001D4E19" w:rsidP="001D4E19">
            <w:pPr>
              <w:pStyle w:val="Marginlie"/>
              <w:rPr>
                <w:color w:val="0D0D0D" w:themeColor="text1" w:themeTint="F2"/>
                <w:spacing w:val="0"/>
                <w:lang w:val="en-GB"/>
              </w:rPr>
            </w:pPr>
            <w:r w:rsidRPr="00A00994">
              <w:rPr>
                <w:color w:val="0D0D0D" w:themeColor="text1" w:themeTint="F2"/>
                <w:spacing w:val="0"/>
                <w:lang w:val="en-GB"/>
              </w:rPr>
              <w:t xml:space="preserve">The number of started but not yet finished structures probably also increased, especially of family houses. </w:t>
            </w:r>
          </w:p>
        </w:tc>
        <w:tc>
          <w:tcPr>
            <w:tcW w:w="214" w:type="dxa"/>
            <w:tcBorders>
              <w:top w:val="nil"/>
              <w:left w:val="nil"/>
              <w:bottom w:val="nil"/>
              <w:right w:val="nil"/>
            </w:tcBorders>
            <w:shd w:val="clear" w:color="auto" w:fill="auto"/>
            <w:tcMar>
              <w:left w:w="0" w:type="dxa"/>
            </w:tcMar>
          </w:tcPr>
          <w:p w14:paraId="3A2D5DE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79783C7C" w14:textId="5A4C486B" w:rsidR="001D4E19" w:rsidRPr="00A00994" w:rsidRDefault="001D4E19" w:rsidP="001D4E19">
            <w:pPr>
              <w:spacing w:after="210"/>
              <w:rPr>
                <w:color w:val="0D0D0D" w:themeColor="text1" w:themeTint="F2"/>
                <w:spacing w:val="-6"/>
                <w:lang w:val="en-GB"/>
              </w:rPr>
            </w:pPr>
            <w:r w:rsidRPr="00A00994">
              <w:rPr>
                <w:color w:val="0D0D0D" w:themeColor="text1" w:themeTint="F2"/>
                <w:spacing w:val="-4"/>
                <w:lang w:val="en-GB"/>
              </w:rPr>
              <w:t xml:space="preserve">The building construction further also profited from the flat construction. The number of commenced flats climbed up to 22.7 thousand in H1 and it was by nearly one tenth higher year-on-year (it strengthened in all main forms of construction, the most for the family houses). Number of flats in both family houses and residential buildings slightly overtook the record level from H1 2008. Near one third of commenced flats was concentrated in the Central Bohemia region, alternatively in Prague, where however the construction lagged behind the last year’s level as well as the record level from year 2006. The total number of finished flats in the CR (17.4 thousand) was also unprecedented, it however increased only slightly year-on-year (+2.6%), which was likely connected to the prolongation of the construction time (mainly of family houses) due to the high growth of the material prices and considerable utilisation of the construction companies. </w:t>
            </w:r>
          </w:p>
        </w:tc>
      </w:tr>
      <w:tr w:rsidR="001D4E19" w:rsidRPr="00A00994" w14:paraId="2E4F50AC" w14:textId="77777777" w:rsidTr="00BB1209">
        <w:trPr>
          <w:trHeight w:val="145"/>
        </w:trPr>
        <w:tc>
          <w:tcPr>
            <w:tcW w:w="1695" w:type="dxa"/>
            <w:tcBorders>
              <w:top w:val="nil"/>
              <w:left w:val="nil"/>
              <w:bottom w:val="nil"/>
              <w:right w:val="nil"/>
            </w:tcBorders>
            <w:shd w:val="clear" w:color="auto" w:fill="auto"/>
            <w:tcMar>
              <w:left w:w="0" w:type="dxa"/>
            </w:tcMar>
          </w:tcPr>
          <w:p w14:paraId="5926C41C" w14:textId="283CBABD" w:rsidR="001D4E19" w:rsidRPr="00A00994" w:rsidRDefault="001D4E19" w:rsidP="001D4E19">
            <w:pPr>
              <w:pStyle w:val="Marginlie"/>
              <w:rPr>
                <w:color w:val="0D0D0D" w:themeColor="text1" w:themeTint="F2"/>
                <w:spacing w:val="0"/>
                <w:lang w:val="en-GB"/>
              </w:rPr>
            </w:pPr>
          </w:p>
        </w:tc>
        <w:tc>
          <w:tcPr>
            <w:tcW w:w="214" w:type="dxa"/>
            <w:tcBorders>
              <w:top w:val="nil"/>
              <w:left w:val="nil"/>
              <w:bottom w:val="nil"/>
              <w:right w:val="nil"/>
            </w:tcBorders>
            <w:shd w:val="clear" w:color="auto" w:fill="auto"/>
            <w:tcMar>
              <w:left w:w="0" w:type="dxa"/>
            </w:tcMar>
          </w:tcPr>
          <w:p w14:paraId="3F3E494D"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38EF4B9" w14:textId="3CE09E08" w:rsidR="001D4E19" w:rsidRPr="00700448" w:rsidRDefault="001D4E19" w:rsidP="001D4E19">
            <w:pPr>
              <w:spacing w:after="0"/>
              <w:rPr>
                <w:color w:val="0D0D0D" w:themeColor="text1" w:themeTint="F2"/>
                <w:spacing w:val="-4"/>
                <w:lang w:val="en-GB"/>
              </w:rPr>
            </w:pPr>
            <w:r w:rsidRPr="00700448">
              <w:rPr>
                <w:b/>
                <w:spacing w:val="-4"/>
                <w:lang w:val="en-GB"/>
              </w:rPr>
              <w:t xml:space="preserve">Chart 6 Contributions of sub-branches to year-on-year change of the total construction output </w:t>
            </w:r>
            <w:r w:rsidRPr="00700448">
              <w:rPr>
                <w:spacing w:val="-4"/>
                <w:lang w:val="en-GB"/>
              </w:rPr>
              <w:t>(real, in p.p.)</w:t>
            </w:r>
            <w:r w:rsidRPr="00700448">
              <w:rPr>
                <w:b/>
                <w:bCs/>
                <w:spacing w:val="-4"/>
                <w:lang w:val="en-GB"/>
              </w:rPr>
              <w:t>, new construction orders</w:t>
            </w:r>
            <w:r w:rsidRPr="00700448">
              <w:rPr>
                <w:b/>
                <w:spacing w:val="-4"/>
                <w:lang w:val="en-GB"/>
              </w:rPr>
              <w:t xml:space="preserve"> </w:t>
            </w:r>
            <w:r w:rsidRPr="00700448">
              <w:rPr>
                <w:bCs/>
                <w:spacing w:val="-4"/>
                <w:lang w:val="en-GB"/>
              </w:rPr>
              <w:t>(nominal, year-on-year in %)</w:t>
            </w:r>
            <w:r w:rsidRPr="00700448">
              <w:rPr>
                <w:b/>
                <w:spacing w:val="-4"/>
                <w:lang w:val="en-GB"/>
              </w:rPr>
              <w:t>, balance of business confidence indicator in construction*</w:t>
            </w:r>
            <w:r w:rsidRPr="00700448">
              <w:rPr>
                <w:spacing w:val="-4"/>
                <w:lang w:val="en-GB"/>
              </w:rPr>
              <w:t xml:space="preserve"> (in p.p., right axis) </w:t>
            </w:r>
            <w:r w:rsidRPr="00700448">
              <w:rPr>
                <w:b/>
                <w:spacing w:val="-4"/>
                <w:lang w:val="en-GB"/>
              </w:rPr>
              <w:t>and selected barriers to growth</w:t>
            </w:r>
            <w:r w:rsidRPr="00700448">
              <w:rPr>
                <w:spacing w:val="-4"/>
                <w:lang w:val="en-GB"/>
              </w:rPr>
              <w:t>* (in %, right axis)</w:t>
            </w:r>
          </w:p>
        </w:tc>
      </w:tr>
      <w:tr w:rsidR="001D4E19" w:rsidRPr="00A00994" w14:paraId="3085CBB1"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33D6ACCE" w14:textId="77777777" w:rsidR="001D4E19" w:rsidRPr="00A00994" w:rsidRDefault="001D4E19" w:rsidP="001D4E19">
            <w:pPr>
              <w:pStyle w:val="Marginlie"/>
              <w:rPr>
                <w:color w:val="0D0D0D" w:themeColor="text1" w:themeTint="F2"/>
                <w:spacing w:val="-5"/>
                <w:lang w:val="en-GB"/>
              </w:rPr>
            </w:pPr>
          </w:p>
        </w:tc>
        <w:tc>
          <w:tcPr>
            <w:tcW w:w="214" w:type="dxa"/>
            <w:tcBorders>
              <w:top w:val="nil"/>
              <w:left w:val="nil"/>
              <w:bottom w:val="nil"/>
              <w:right w:val="nil"/>
            </w:tcBorders>
            <w:shd w:val="clear" w:color="auto" w:fill="auto"/>
          </w:tcPr>
          <w:p w14:paraId="4DB017E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Pr>
          <w:p w14:paraId="7791D42D" w14:textId="4CEAF93E" w:rsidR="001D4E19" w:rsidRPr="00A00994" w:rsidRDefault="001D4E19" w:rsidP="001D4E19">
            <w:pPr>
              <w:spacing w:after="0"/>
              <w:rPr>
                <w:rFonts w:cs="Arial"/>
                <w:color w:val="0D0D0D" w:themeColor="text1" w:themeTint="F2"/>
                <w:spacing w:val="-6"/>
                <w:lang w:val="en-GB"/>
              </w:rPr>
            </w:pPr>
            <w:r>
              <w:rPr>
                <w:noProof/>
              </w:rPr>
              <w:drawing>
                <wp:inline distT="0" distB="0" distL="0" distR="0" wp14:anchorId="6D68B0F6" wp14:editId="760E5EE7">
                  <wp:extent cx="4683296" cy="3586194"/>
                  <wp:effectExtent l="0" t="0" r="3175"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D4E19" w:rsidRPr="00A00994" w14:paraId="0AE1D209" w14:textId="77777777" w:rsidTr="00BB1209">
        <w:trPr>
          <w:trHeight w:val="145"/>
        </w:trPr>
        <w:tc>
          <w:tcPr>
            <w:tcW w:w="1695" w:type="dxa"/>
            <w:tcBorders>
              <w:top w:val="nil"/>
              <w:left w:val="nil"/>
              <w:bottom w:val="nil"/>
              <w:right w:val="nil"/>
            </w:tcBorders>
            <w:shd w:val="clear" w:color="auto" w:fill="auto"/>
            <w:tcMar>
              <w:left w:w="0" w:type="dxa"/>
            </w:tcMar>
          </w:tcPr>
          <w:p w14:paraId="17E41D32" w14:textId="77777777" w:rsidR="001D4E19" w:rsidRPr="00A00994" w:rsidRDefault="001D4E19" w:rsidP="001D4E19">
            <w:pPr>
              <w:pStyle w:val="Marginlie"/>
              <w:rPr>
                <w:color w:val="0D0D0D" w:themeColor="text1" w:themeTint="F2"/>
                <w:spacing w:val="-5"/>
                <w:lang w:val="en-GB"/>
              </w:rPr>
            </w:pPr>
          </w:p>
        </w:tc>
        <w:tc>
          <w:tcPr>
            <w:tcW w:w="214" w:type="dxa"/>
            <w:tcBorders>
              <w:top w:val="nil"/>
              <w:left w:val="nil"/>
              <w:bottom w:val="nil"/>
              <w:right w:val="nil"/>
            </w:tcBorders>
            <w:shd w:val="clear" w:color="auto" w:fill="auto"/>
            <w:tcMar>
              <w:left w:w="0" w:type="dxa"/>
            </w:tcMar>
          </w:tcPr>
          <w:p w14:paraId="2540BD1D"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1280372" w14:textId="77777777" w:rsidR="001D4E19" w:rsidRPr="00A00994" w:rsidRDefault="001D4E19" w:rsidP="001D4E19">
            <w:pPr>
              <w:spacing w:after="0"/>
              <w:rPr>
                <w:rFonts w:cs="Arial"/>
                <w:sz w:val="14"/>
                <w:szCs w:val="14"/>
                <w:lang w:val="en-GB"/>
              </w:rPr>
            </w:pPr>
            <w:r w:rsidRPr="00A00994">
              <w:rPr>
                <w:rFonts w:cs="Arial"/>
                <w:sz w:val="14"/>
                <w:szCs w:val="14"/>
                <w:lang w:val="en-GB"/>
              </w:rPr>
              <w:t xml:space="preserve">Note: </w:t>
            </w:r>
            <w:r w:rsidRPr="00A00994">
              <w:rPr>
                <w:rFonts w:cs="Arial"/>
                <w:spacing w:val="-7"/>
                <w:sz w:val="14"/>
                <w:szCs w:val="14"/>
                <w:lang w:val="en-GB"/>
              </w:rPr>
              <w:t>Data related to construction output are adjusted for calendar effects.</w:t>
            </w:r>
          </w:p>
          <w:p w14:paraId="329FB2D9" w14:textId="5FB6D357" w:rsidR="001D4E19" w:rsidRDefault="001D4E19" w:rsidP="001D4E19">
            <w:pPr>
              <w:spacing w:after="0"/>
              <w:jc w:val="left"/>
              <w:rPr>
                <w:rFonts w:cs="Arial"/>
                <w:sz w:val="14"/>
                <w:szCs w:val="14"/>
                <w:lang w:val="en-GB"/>
              </w:rPr>
            </w:pPr>
            <w:r w:rsidRPr="00A00994">
              <w:rPr>
                <w:rFonts w:cs="Arial"/>
                <w:sz w:val="14"/>
                <w:szCs w:val="14"/>
                <w:lang w:val="en-GB"/>
              </w:rPr>
              <w:t xml:space="preserve">* Balance of </w:t>
            </w:r>
            <w:r>
              <w:rPr>
                <w:rFonts w:cs="Arial"/>
                <w:sz w:val="14"/>
                <w:szCs w:val="14"/>
                <w:lang w:val="en-GB"/>
              </w:rPr>
              <w:t xml:space="preserve">business </w:t>
            </w:r>
            <w:r w:rsidRPr="00A00994">
              <w:rPr>
                <w:rFonts w:cs="Arial"/>
                <w:sz w:val="14"/>
                <w:szCs w:val="14"/>
                <w:lang w:val="en-GB"/>
              </w:rPr>
              <w:t>confidence as well as barriers to growth are seasonally adjusted and express the level in the second month of the given quarter. Businesses could have indicated mo</w:t>
            </w:r>
            <w:r>
              <w:rPr>
                <w:rFonts w:cs="Arial"/>
                <w:sz w:val="14"/>
                <w:szCs w:val="14"/>
                <w:lang w:val="en-GB"/>
              </w:rPr>
              <w:t>re main barriers simultaneously.</w:t>
            </w:r>
          </w:p>
          <w:p w14:paraId="3FA3D2FC" w14:textId="50644B0B" w:rsidR="001D4E19" w:rsidRPr="001A6015" w:rsidRDefault="001D4E19" w:rsidP="001D4E19">
            <w:pPr>
              <w:spacing w:after="220"/>
              <w:jc w:val="left"/>
              <w:rPr>
                <w:rFonts w:cs="Arial"/>
                <w:sz w:val="14"/>
                <w:szCs w:val="14"/>
                <w:lang w:val="en-GB"/>
              </w:rPr>
            </w:pPr>
            <w:r w:rsidRPr="00A00994">
              <w:rPr>
                <w:rFonts w:cs="Arial"/>
                <w:sz w:val="14"/>
                <w:szCs w:val="14"/>
                <w:lang w:val="en-GB"/>
              </w:rPr>
              <w:t>Source: CZSO</w:t>
            </w:r>
            <w:r>
              <w:rPr>
                <w:rFonts w:cs="Arial"/>
                <w:sz w:val="14"/>
                <w:szCs w:val="14"/>
                <w:lang w:val="en-GB"/>
              </w:rPr>
              <w:t>, Eurostat</w:t>
            </w:r>
          </w:p>
        </w:tc>
      </w:tr>
      <w:tr w:rsidR="001D4E19" w:rsidRPr="00A00994" w14:paraId="0A54719C" w14:textId="77777777" w:rsidTr="00BB1209">
        <w:trPr>
          <w:trHeight w:val="145"/>
        </w:trPr>
        <w:tc>
          <w:tcPr>
            <w:tcW w:w="1695" w:type="dxa"/>
            <w:tcBorders>
              <w:top w:val="nil"/>
              <w:left w:val="nil"/>
              <w:bottom w:val="nil"/>
              <w:right w:val="nil"/>
            </w:tcBorders>
            <w:shd w:val="clear" w:color="auto" w:fill="auto"/>
            <w:tcMar>
              <w:left w:w="0" w:type="dxa"/>
            </w:tcMar>
          </w:tcPr>
          <w:p w14:paraId="6B5A7AB1" w14:textId="2863042C" w:rsidR="001D4E19" w:rsidRDefault="001D4E19" w:rsidP="001D4E19">
            <w:pPr>
              <w:pStyle w:val="Marginlie"/>
              <w:rPr>
                <w:lang w:val="en-GB"/>
              </w:rPr>
            </w:pPr>
            <w:r w:rsidRPr="00A00994">
              <w:rPr>
                <w:color w:val="0D0D0D" w:themeColor="text1" w:themeTint="F2"/>
                <w:spacing w:val="-5"/>
                <w:lang w:val="en-GB"/>
              </w:rPr>
              <w:lastRenderedPageBreak/>
              <w:t xml:space="preserve">Raising of the value of new construction orders reflected mostly the growing price of construction works. Growth of the total stock of work moderated, mainly due to the private orders. </w:t>
            </w:r>
          </w:p>
        </w:tc>
        <w:tc>
          <w:tcPr>
            <w:tcW w:w="214" w:type="dxa"/>
            <w:tcBorders>
              <w:top w:val="nil"/>
              <w:left w:val="nil"/>
              <w:bottom w:val="nil"/>
              <w:right w:val="nil"/>
            </w:tcBorders>
            <w:shd w:val="clear" w:color="auto" w:fill="auto"/>
            <w:tcMar>
              <w:left w:w="0" w:type="dxa"/>
            </w:tcMar>
          </w:tcPr>
          <w:p w14:paraId="0921B896"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DB315B3" w14:textId="79A3DE8D" w:rsidR="001D4E19" w:rsidRPr="00A00994" w:rsidRDefault="001D4E19" w:rsidP="001D4E19">
            <w:pPr>
              <w:spacing w:after="220"/>
              <w:rPr>
                <w:rFonts w:cs="Arial"/>
                <w:color w:val="0D0D0D" w:themeColor="text1" w:themeTint="F2"/>
                <w:spacing w:val="-6"/>
                <w:lang w:val="en-GB"/>
              </w:rPr>
            </w:pPr>
            <w:r w:rsidRPr="00A00994">
              <w:rPr>
                <w:rFonts w:cs="Arial"/>
                <w:color w:val="0D0D0D" w:themeColor="text1" w:themeTint="F2"/>
                <w:spacing w:val="-6"/>
                <w:lang w:val="en-GB"/>
              </w:rPr>
              <w:t>The nominal value of newly closed domestic construction orders (in businesses with more than 50 employees) hiked up by 16.3% in Q2 year-on-year (it achieved only slightly lower pace also at the beginning of the year</w:t>
            </w:r>
            <w:r w:rsidRPr="00A00994">
              <w:rPr>
                <w:rFonts w:cs="Arial"/>
                <w:color w:val="0D0D0D" w:themeColor="text1" w:themeTint="F2"/>
                <w:spacing w:val="-4"/>
                <w:lang w:val="en-GB"/>
              </w:rPr>
              <w:t xml:space="preserve">). Only orders of the civil engineering construction contributed to the growth. The total stock of work including all so far not yet finished construction orders was by 8.1% higher year-on-year at the end of June this year. Nevertheless growth of the stock of private orders in effect halted for the first time since year 2017, which is also associated to the lower inflow of new orders in the building construction. Businesses recorded smaller demand also for works abroad. Ongoing swift growth of the </w:t>
            </w:r>
            <w:r w:rsidRPr="00A00994">
              <w:rPr>
                <w:rFonts w:cs="Arial"/>
                <w:szCs w:val="20"/>
                <w:lang w:val="en-GB"/>
              </w:rPr>
              <w:t>approximate value of one granted building</w:t>
            </w:r>
            <w:r w:rsidRPr="00A00994">
              <w:rPr>
                <w:spacing w:val="-4"/>
                <w:lang w:val="en-GB"/>
              </w:rPr>
              <w:t xml:space="preserve"> </w:t>
            </w:r>
            <w:r w:rsidRPr="00A00994">
              <w:rPr>
                <w:rFonts w:cs="Arial"/>
                <w:szCs w:val="20"/>
                <w:lang w:val="en-GB"/>
              </w:rPr>
              <w:t xml:space="preserve">permit </w:t>
            </w:r>
            <w:r w:rsidRPr="00A00994">
              <w:rPr>
                <w:rFonts w:cs="Arial"/>
                <w:color w:val="0D0D0D" w:themeColor="text1" w:themeTint="F2"/>
                <w:spacing w:val="-4"/>
                <w:lang w:val="en-GB"/>
              </w:rPr>
              <w:t>(by 20.7% year-on-year for H1) satiated mainly by new construction of both residential and non-residential structures, signals more positive outlooks for the whole branch. The rate of growth of the nominal value of the permit thus still slightly exceeded the dynamics of prices of construction works</w:t>
            </w:r>
            <w:r w:rsidRPr="00A00994">
              <w:rPr>
                <w:rStyle w:val="Znakapoznpodarou"/>
                <w:color w:val="0D0D0D" w:themeColor="text1" w:themeTint="F2"/>
                <w:spacing w:val="-4"/>
                <w:lang w:val="en-GB"/>
              </w:rPr>
              <w:footnoteReference w:id="21"/>
            </w:r>
            <w:r w:rsidRPr="00A00994">
              <w:rPr>
                <w:rFonts w:cs="Arial"/>
                <w:color w:val="0D0D0D" w:themeColor="text1" w:themeTint="F2"/>
                <w:spacing w:val="-4"/>
                <w:lang w:val="en-GB"/>
              </w:rPr>
              <w:t>.</w:t>
            </w:r>
          </w:p>
        </w:tc>
      </w:tr>
      <w:tr w:rsidR="001D4E19" w:rsidRPr="00A00994" w14:paraId="24E04332" w14:textId="77777777" w:rsidTr="00BB1209">
        <w:trPr>
          <w:trHeight w:val="145"/>
        </w:trPr>
        <w:tc>
          <w:tcPr>
            <w:tcW w:w="1695" w:type="dxa"/>
            <w:tcBorders>
              <w:top w:val="nil"/>
              <w:left w:val="nil"/>
              <w:bottom w:val="nil"/>
              <w:right w:val="nil"/>
            </w:tcBorders>
            <w:shd w:val="clear" w:color="auto" w:fill="auto"/>
            <w:tcMar>
              <w:left w:w="0" w:type="dxa"/>
            </w:tcMar>
          </w:tcPr>
          <w:p w14:paraId="04DC83AB" w14:textId="77777777" w:rsidR="001D4E19" w:rsidRPr="00A00994" w:rsidRDefault="001D4E19" w:rsidP="001D4E19">
            <w:pPr>
              <w:pStyle w:val="Marginlie"/>
              <w:rPr>
                <w:lang w:val="en-GB"/>
              </w:rPr>
            </w:pPr>
            <w:r>
              <w:rPr>
                <w:lang w:val="en-GB"/>
              </w:rPr>
              <w:t>Business</w:t>
            </w:r>
            <w:r w:rsidRPr="00A00994">
              <w:rPr>
                <w:lang w:val="en-GB"/>
              </w:rPr>
              <w:t xml:space="preserve"> confidence in construction remained noticeably above the long-term average despite a mild worsening. </w:t>
            </w:r>
          </w:p>
          <w:p w14:paraId="1AB3DF83" w14:textId="77777777" w:rsidR="001D4E19" w:rsidRPr="00A00994" w:rsidRDefault="001D4E19" w:rsidP="001D4E19">
            <w:pPr>
              <w:pStyle w:val="Marginlie"/>
              <w:rPr>
                <w:lang w:val="en-GB"/>
              </w:rPr>
            </w:pPr>
          </w:p>
          <w:p w14:paraId="01925466" w14:textId="77777777" w:rsidR="001D4E19" w:rsidRPr="00A00994" w:rsidRDefault="001D4E19" w:rsidP="001D4E19">
            <w:pPr>
              <w:pStyle w:val="Marginlie"/>
              <w:rPr>
                <w:lang w:val="en-GB"/>
              </w:rPr>
            </w:pPr>
          </w:p>
          <w:p w14:paraId="65BC7C2F" w14:textId="77777777" w:rsidR="001D4E19" w:rsidRPr="00A00994" w:rsidRDefault="001D4E19" w:rsidP="001D4E19">
            <w:pPr>
              <w:pStyle w:val="Marginlie"/>
              <w:rPr>
                <w:lang w:val="en-GB"/>
              </w:rPr>
            </w:pPr>
            <w:r w:rsidRPr="00A00994">
              <w:rPr>
                <w:lang w:val="en-GB"/>
              </w:rPr>
              <w:t xml:space="preserve">The businesses planned to continue in recruitment of employees in spite of mounting concerns about worsening of own economic situation. </w:t>
            </w:r>
          </w:p>
          <w:p w14:paraId="0AF4FA95" w14:textId="77777777" w:rsidR="001D4E19" w:rsidRPr="00A00994" w:rsidRDefault="001D4E19" w:rsidP="001D4E19">
            <w:pPr>
              <w:pStyle w:val="Marginlie"/>
              <w:rPr>
                <w:lang w:val="en-GB"/>
              </w:rPr>
            </w:pPr>
          </w:p>
          <w:p w14:paraId="1443577F" w14:textId="77777777" w:rsidR="001D4E19" w:rsidRPr="00A00994" w:rsidRDefault="001D4E19" w:rsidP="001D4E19">
            <w:pPr>
              <w:pStyle w:val="Marginlie"/>
              <w:rPr>
                <w:color w:val="0D0D0D" w:themeColor="text1" w:themeTint="F2"/>
                <w:spacing w:val="-5"/>
                <w:lang w:val="en-GB"/>
              </w:rPr>
            </w:pPr>
          </w:p>
        </w:tc>
        <w:tc>
          <w:tcPr>
            <w:tcW w:w="214" w:type="dxa"/>
            <w:tcBorders>
              <w:top w:val="nil"/>
              <w:left w:val="nil"/>
              <w:bottom w:val="nil"/>
              <w:right w:val="nil"/>
            </w:tcBorders>
            <w:shd w:val="clear" w:color="auto" w:fill="auto"/>
            <w:tcMar>
              <w:left w:w="0" w:type="dxa"/>
            </w:tcMar>
          </w:tcPr>
          <w:p w14:paraId="76806DC3"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BAB476E" w14:textId="733DED75" w:rsidR="001D4E19" w:rsidRPr="001D4E19" w:rsidRDefault="001D4E19" w:rsidP="001D4E19">
            <w:pPr>
              <w:spacing w:after="220"/>
              <w:rPr>
                <w:noProof/>
                <w:lang w:val="en-GB"/>
              </w:rPr>
            </w:pPr>
            <w:r w:rsidRPr="001D4E19">
              <w:rPr>
                <w:rFonts w:cs="Arial"/>
                <w:color w:val="0D0D0D" w:themeColor="text1" w:themeTint="F2"/>
                <w:lang w:val="en-GB"/>
              </w:rPr>
              <w:t>Favourable results of construction at the beginning of this year boosted the optimism of entrepreneurs in this branch and the February balance of the business confidence indicator thus evened out with the absolute maximum (from January 2019). The sentiment slightly subsided in the branch later on, however it was still at the level of the period shortly before the onset of pandemics (and simultaneously notably above the long-term average) in July. Businesses perceived their current economic situation favourably, however worsened the outlooks for the upcoming half-year (into a slightly negative band). Still they planned recruitment of new workers (the registered number of employees rose by 1% year-on-year in H1). Just under one fifth of companies anticipated growth and similarly decline of the construction activity in the nearest quarter. Slowing down of the price growth of construction materials was expressed only negligibly in the inflationary expectations of businesses so far</w:t>
            </w:r>
            <w:r w:rsidRPr="001D4E19">
              <w:rPr>
                <w:rStyle w:val="Znakapoznpodarou"/>
                <w:color w:val="0D0D0D" w:themeColor="text1" w:themeTint="F2"/>
                <w:lang w:val="en-GB"/>
              </w:rPr>
              <w:footnoteReference w:id="22"/>
            </w:r>
            <w:r w:rsidRPr="001D4E19">
              <w:rPr>
                <w:rFonts w:cs="Arial"/>
                <w:color w:val="0D0D0D" w:themeColor="text1" w:themeTint="F2"/>
                <w:lang w:val="en-GB"/>
              </w:rPr>
              <w:t>. Businesses are still significantly limited by the barriers to growth. The lack of workers remains the main limit for already nearly four years (even though it seems that the war in Ukraine did not deteriorate this issue significantly). In addition, the proportion of businesses  troubled by the shortage of materials was rising (nearly four out of ten businesses claimed it as one of the barriers, it afflicted more companies in the area of building of structures). One fifth of the businesses responded sensitively to the inadequate demand (more often in the area of engineering structures).</w:t>
            </w:r>
          </w:p>
        </w:tc>
      </w:tr>
      <w:tr w:rsidR="001D4E19" w:rsidRPr="00A00994" w14:paraId="2ED47D3B" w14:textId="77777777" w:rsidTr="00BB1209">
        <w:trPr>
          <w:trHeight w:val="145"/>
        </w:trPr>
        <w:tc>
          <w:tcPr>
            <w:tcW w:w="1695" w:type="dxa"/>
            <w:tcBorders>
              <w:top w:val="nil"/>
              <w:left w:val="nil"/>
              <w:bottom w:val="nil"/>
              <w:right w:val="nil"/>
            </w:tcBorders>
            <w:shd w:val="clear" w:color="auto" w:fill="auto"/>
            <w:tcMar>
              <w:left w:w="0" w:type="dxa"/>
            </w:tcMar>
          </w:tcPr>
          <w:p w14:paraId="742542DD" w14:textId="039473AD" w:rsidR="001D4E19" w:rsidRPr="00A00994" w:rsidRDefault="001D4E19" w:rsidP="001D4E19">
            <w:pPr>
              <w:pStyle w:val="Marginlie"/>
              <w:rPr>
                <w:color w:val="0D0D0D" w:themeColor="text1" w:themeTint="F2"/>
                <w:spacing w:val="-5"/>
                <w:lang w:val="en-GB"/>
              </w:rPr>
            </w:pPr>
            <w:r w:rsidRPr="00A00994">
              <w:rPr>
                <w:lang w:val="en-GB"/>
              </w:rPr>
              <w:t>Sales in services strengthened and overtook the level from year 2019. The growth of demand afflicted all main branches in Q2 this year</w:t>
            </w:r>
          </w:p>
        </w:tc>
        <w:tc>
          <w:tcPr>
            <w:tcW w:w="214" w:type="dxa"/>
            <w:tcBorders>
              <w:top w:val="nil"/>
              <w:left w:val="nil"/>
              <w:bottom w:val="nil"/>
              <w:right w:val="nil"/>
            </w:tcBorders>
            <w:shd w:val="clear" w:color="auto" w:fill="auto"/>
            <w:tcMar>
              <w:left w:w="0" w:type="dxa"/>
            </w:tcMar>
          </w:tcPr>
          <w:p w14:paraId="5482FD70"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404193EB" w14:textId="6C05ADEA" w:rsidR="001D4E19" w:rsidRPr="001D4E19" w:rsidRDefault="001D4E19" w:rsidP="001D4E19">
            <w:pPr>
              <w:spacing w:after="180"/>
              <w:rPr>
                <w:rFonts w:cs="Arial"/>
                <w:sz w:val="14"/>
                <w:szCs w:val="14"/>
                <w:lang w:val="en-GB"/>
              </w:rPr>
            </w:pPr>
            <w:r w:rsidRPr="001D4E19">
              <w:rPr>
                <w:rFonts w:cs="Arial"/>
                <w:color w:val="0D0D0D" w:themeColor="text1" w:themeTint="F2"/>
                <w:lang w:val="en-GB"/>
              </w:rPr>
              <w:t>Demand for services kept rising. The quarter-on-quarter sales in services</w:t>
            </w:r>
            <w:r w:rsidRPr="001D4E19">
              <w:rPr>
                <w:color w:val="0D0D0D" w:themeColor="text1" w:themeTint="F2"/>
                <w:vertAlign w:val="superscript"/>
                <w:lang w:val="en-GB"/>
              </w:rPr>
              <w:footnoteReference w:id="23"/>
            </w:r>
            <w:r w:rsidRPr="001D4E19">
              <w:rPr>
                <w:color w:val="0D0D0D" w:themeColor="text1" w:themeTint="F2"/>
                <w:lang w:val="en-GB"/>
              </w:rPr>
              <w:t xml:space="preserve"> grew continuously since the beginning of the last year and they hiked up to the level of the peak of the pre-pandemic boom for the first time in Q1 2022. They strengthened by 2.6% in the subsequent quarters. The positive fact was, that all main branches participated on this growth. The last counter pandemic restriction (consisting mainly in regulating the number of visitors form some mass indoor activities</w:t>
            </w:r>
            <w:r w:rsidRPr="001D4E19">
              <w:rPr>
                <w:rStyle w:val="Znakapoznpodarou"/>
                <w:color w:val="0D0D0D" w:themeColor="text1" w:themeTint="F2"/>
                <w:lang w:val="en-GB"/>
              </w:rPr>
              <w:footnoteReference w:id="24"/>
            </w:r>
            <w:r w:rsidRPr="001D4E19">
              <w:rPr>
                <w:color w:val="0D0D0D" w:themeColor="text1" w:themeTint="F2"/>
                <w:lang w:val="en-GB"/>
              </w:rPr>
              <w:t xml:space="preserve">) were abolished during this year’s Q1 and households thus could have continued in the realization of their “postponed consumption”. Sales in services expanded year-on-year for the whole H1 (by 12.6%), specifically thanks to all main branches. The transportation and warehousing, which played the main role in the revival of services last year, contributed the most (+4.8 p.p.).  </w:t>
            </w:r>
          </w:p>
        </w:tc>
      </w:tr>
      <w:tr w:rsidR="001D4E19" w:rsidRPr="00A00994" w14:paraId="46008A82" w14:textId="77777777" w:rsidTr="00BB1209">
        <w:trPr>
          <w:trHeight w:val="145"/>
        </w:trPr>
        <w:tc>
          <w:tcPr>
            <w:tcW w:w="1695" w:type="dxa"/>
            <w:tcBorders>
              <w:top w:val="nil"/>
              <w:left w:val="nil"/>
              <w:bottom w:val="nil"/>
              <w:right w:val="nil"/>
            </w:tcBorders>
            <w:shd w:val="clear" w:color="auto" w:fill="auto"/>
            <w:tcMar>
              <w:left w:w="0" w:type="dxa"/>
            </w:tcMar>
          </w:tcPr>
          <w:p w14:paraId="283FC194" w14:textId="77777777" w:rsidR="001D4E19" w:rsidRPr="00A00994" w:rsidRDefault="001D4E19" w:rsidP="001D4E19">
            <w:pPr>
              <w:pStyle w:val="Marginlie"/>
              <w:rPr>
                <w:lang w:val="en-GB"/>
              </w:rPr>
            </w:pPr>
            <w:r w:rsidRPr="00A00994">
              <w:rPr>
                <w:lang w:val="en-GB"/>
              </w:rPr>
              <w:t xml:space="preserve">Growth of sales in land transport also due to weaker dynamics of export of goods eased </w:t>
            </w:r>
            <w:r w:rsidRPr="00A00994">
              <w:rPr>
                <w:lang w:val="en-GB"/>
              </w:rPr>
              <w:lastRenderedPageBreak/>
              <w:t>its pace in Q2. Demand remained high in storage.</w:t>
            </w:r>
          </w:p>
          <w:p w14:paraId="30F21BEA" w14:textId="77777777" w:rsidR="001D4E19" w:rsidRPr="00A00994" w:rsidRDefault="001D4E19" w:rsidP="001D4E19">
            <w:pPr>
              <w:pStyle w:val="Marginlie"/>
              <w:rPr>
                <w:lang w:val="en-GB"/>
              </w:rPr>
            </w:pPr>
          </w:p>
          <w:p w14:paraId="5325AEFB" w14:textId="77777777" w:rsidR="001D4E19" w:rsidRPr="00A00994" w:rsidRDefault="001D4E19" w:rsidP="001D4E19">
            <w:pPr>
              <w:pStyle w:val="Marginlie"/>
              <w:rPr>
                <w:lang w:val="en-GB"/>
              </w:rPr>
            </w:pPr>
          </w:p>
          <w:p w14:paraId="67B6BE41" w14:textId="77777777" w:rsidR="001D4E19" w:rsidRPr="00A00994" w:rsidRDefault="001D4E19" w:rsidP="001D4E19">
            <w:pPr>
              <w:pStyle w:val="Marginlie"/>
              <w:rPr>
                <w:lang w:val="en-GB"/>
              </w:rPr>
            </w:pPr>
          </w:p>
          <w:p w14:paraId="68ADB31B" w14:textId="77777777" w:rsidR="001D4E19" w:rsidRPr="00A00994" w:rsidRDefault="001D4E19" w:rsidP="001D4E19">
            <w:pPr>
              <w:pStyle w:val="Marginlie"/>
              <w:rPr>
                <w:lang w:val="en-GB"/>
              </w:rPr>
            </w:pPr>
          </w:p>
          <w:p w14:paraId="28D518A0" w14:textId="6ABCF76F" w:rsidR="001D4E19" w:rsidRPr="00A00994" w:rsidRDefault="001D4E19" w:rsidP="001D4E19">
            <w:pPr>
              <w:pStyle w:val="Marginlie"/>
              <w:rPr>
                <w:lang w:val="en-GB"/>
              </w:rPr>
            </w:pPr>
            <w:r w:rsidRPr="00A00994">
              <w:rPr>
                <w:lang w:val="en-GB"/>
              </w:rPr>
              <w:t xml:space="preserve">Demand for accommodation on the part of domestic visitors slightly exceeded the level from year 2019, for foreign visitors it lagged behind it by more than one third.  </w:t>
            </w:r>
          </w:p>
        </w:tc>
        <w:tc>
          <w:tcPr>
            <w:tcW w:w="214" w:type="dxa"/>
            <w:tcBorders>
              <w:top w:val="nil"/>
              <w:left w:val="nil"/>
              <w:bottom w:val="nil"/>
              <w:right w:val="nil"/>
            </w:tcBorders>
            <w:shd w:val="clear" w:color="auto" w:fill="auto"/>
            <w:tcMar>
              <w:left w:w="0" w:type="dxa"/>
            </w:tcMar>
          </w:tcPr>
          <w:p w14:paraId="121E83F3"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7B8C23E" w14:textId="74567976" w:rsidR="001D4E19" w:rsidRPr="001D4E19" w:rsidRDefault="001D4E19" w:rsidP="001D4E19">
            <w:pPr>
              <w:spacing w:after="180"/>
              <w:rPr>
                <w:rFonts w:cs="Arial"/>
                <w:color w:val="0D0D0D" w:themeColor="text1" w:themeTint="F2"/>
                <w:lang w:val="en-GB"/>
              </w:rPr>
            </w:pPr>
            <w:r w:rsidRPr="001D4E19">
              <w:rPr>
                <w:color w:val="0D0D0D" w:themeColor="text1" w:themeTint="F2"/>
                <w:lang w:val="en-GB"/>
              </w:rPr>
              <w:t xml:space="preserve">The sales in the branch transport and storage surpassed the last year’s level by 15.7% in Q2 2022. Mainly the growth of sales for land and pipe transportation had a positive </w:t>
            </w:r>
            <w:r w:rsidRPr="001D4E19">
              <w:rPr>
                <w:color w:val="0D0D0D" w:themeColor="text1" w:themeTint="F2"/>
                <w:lang w:val="en-GB"/>
              </w:rPr>
              <w:lastRenderedPageBreak/>
              <w:t xml:space="preserve">effect here </w:t>
            </w:r>
            <w:r w:rsidRPr="001D4E19">
              <w:rPr>
                <w:rFonts w:cs="Arial"/>
                <w:color w:val="0D0D0D" w:themeColor="text1" w:themeTint="F2"/>
                <w:lang w:val="en-GB"/>
              </w:rPr>
              <w:t>(11.5%)</w:t>
            </w:r>
            <w:r w:rsidRPr="001D4E19">
              <w:rPr>
                <w:rStyle w:val="Znakapoznpodarou"/>
                <w:color w:val="0D0D0D" w:themeColor="text1" w:themeTint="F2"/>
                <w:lang w:val="en-GB"/>
              </w:rPr>
              <w:footnoteReference w:id="25"/>
            </w:r>
            <w:r w:rsidRPr="001D4E19">
              <w:rPr>
                <w:rFonts w:cs="Arial"/>
                <w:color w:val="0D0D0D" w:themeColor="text1" w:themeTint="F2"/>
                <w:lang w:val="en-GB"/>
              </w:rPr>
              <w:t>, its pace nevertheless slowed down compared to the beginning of the year, which was also impacted by weaker results of domestic importers of goods. Demand for storage however remained strong and it was by more than one quarter higher in comparison to the same period of year 2019. Both air and water transportation markedly revived this year, their sales however were far from reaching their pre-crisis level. The year-on-year decrease of sales of postal and courier activities deepened this year (down to 6.6%), which was also linked to the weaker performance of the internet sellers. Branch accommodation, food service and restaurants recorded the anticipated recovery in this year‘s Q2 and its sales were by more than one half higher year-on-year</w:t>
            </w:r>
            <w:r w:rsidRPr="001D4E19">
              <w:rPr>
                <w:rStyle w:val="Znakapoznpodarou"/>
                <w:color w:val="0D0D0D" w:themeColor="text1" w:themeTint="F2"/>
                <w:lang w:val="en-GB"/>
              </w:rPr>
              <w:footnoteReference w:id="26"/>
            </w:r>
            <w:r w:rsidRPr="001D4E19">
              <w:rPr>
                <w:rFonts w:cs="Arial"/>
                <w:color w:val="0D0D0D" w:themeColor="text1" w:themeTint="F2"/>
                <w:lang w:val="en-GB"/>
              </w:rPr>
              <w:t>. While the number of overnight stays of domestic guests in mass accommodation facilities mildly exceeded the level from the “regular” year 2019 already fourth quarter in a row, for foreign clientele it still substantially lagged behind (by 36 )</w:t>
            </w:r>
            <w:r w:rsidRPr="001D4E19">
              <w:rPr>
                <w:rStyle w:val="Znakapoznpodarou"/>
                <w:color w:val="0D0D0D" w:themeColor="text1" w:themeTint="F2"/>
                <w:lang w:val="en-GB"/>
              </w:rPr>
              <w:footnoteReference w:id="27"/>
            </w:r>
            <w:r w:rsidRPr="001D4E19">
              <w:rPr>
                <w:rFonts w:cs="Arial"/>
                <w:color w:val="0D0D0D" w:themeColor="text1" w:themeTint="F2"/>
                <w:lang w:val="en-GB"/>
              </w:rPr>
              <w:t>. The formerly significant clientele from Russia or Asians states (except for Israel) was still practically absent. More than 30% slump of demand however also persisted for visitors from Italy, France, Spain, the USA or the Latin America states. Non-residents from the Central European states were partially saving the situation – number of overnight stays of Slovakians overtook the height from the pre-crisis year 2019 by 20% and the demand of weight dominant German clientele was lower already only by 15%.</w:t>
            </w:r>
          </w:p>
        </w:tc>
      </w:tr>
      <w:tr w:rsidR="001D4E19" w:rsidRPr="00A00994" w14:paraId="64AE15F9" w14:textId="77777777" w:rsidTr="00BB1209">
        <w:trPr>
          <w:trHeight w:val="145"/>
        </w:trPr>
        <w:tc>
          <w:tcPr>
            <w:tcW w:w="1695" w:type="dxa"/>
            <w:tcBorders>
              <w:top w:val="nil"/>
              <w:left w:val="nil"/>
              <w:bottom w:val="nil"/>
              <w:right w:val="nil"/>
            </w:tcBorders>
            <w:shd w:val="clear" w:color="auto" w:fill="auto"/>
            <w:tcMar>
              <w:left w:w="0" w:type="dxa"/>
            </w:tcMar>
          </w:tcPr>
          <w:p w14:paraId="14353D86" w14:textId="77777777" w:rsidR="001D4E19" w:rsidRPr="00A00994" w:rsidRDefault="001D4E19" w:rsidP="001D4E19">
            <w:pPr>
              <w:pStyle w:val="Marginlie"/>
              <w:rPr>
                <w:lang w:val="en-GB"/>
              </w:rPr>
            </w:pPr>
            <w:r w:rsidRPr="00A00994">
              <w:rPr>
                <w:lang w:val="en-GB"/>
              </w:rPr>
              <w:lastRenderedPageBreak/>
              <w:t xml:space="preserve">Demand for administrative and support service activities more strongly recovered, mainly thanks to travel agencies. </w:t>
            </w:r>
          </w:p>
          <w:p w14:paraId="598605FC" w14:textId="77777777" w:rsidR="001D4E19" w:rsidRPr="00A00994" w:rsidRDefault="001D4E19" w:rsidP="001D4E19">
            <w:pPr>
              <w:pStyle w:val="Marginlie"/>
              <w:rPr>
                <w:lang w:val="en-GB"/>
              </w:rPr>
            </w:pPr>
          </w:p>
          <w:p w14:paraId="05A086E9" w14:textId="77777777" w:rsidR="001D4E19" w:rsidRPr="00A00994" w:rsidRDefault="001D4E19" w:rsidP="001D4E19">
            <w:pPr>
              <w:pStyle w:val="Marginlie"/>
              <w:rPr>
                <w:lang w:val="en-GB"/>
              </w:rPr>
            </w:pPr>
          </w:p>
          <w:p w14:paraId="7A644B4B" w14:textId="77777777" w:rsidR="001D4E19" w:rsidRPr="00A00994" w:rsidRDefault="001D4E19" w:rsidP="001D4E19">
            <w:pPr>
              <w:pStyle w:val="Marginlie"/>
              <w:rPr>
                <w:lang w:val="en-GB"/>
              </w:rPr>
            </w:pPr>
          </w:p>
          <w:p w14:paraId="74A9745A" w14:textId="77777777" w:rsidR="001D4E19" w:rsidRPr="00A00994" w:rsidRDefault="001D4E19" w:rsidP="001D4E19">
            <w:pPr>
              <w:pStyle w:val="Marginlie"/>
              <w:rPr>
                <w:lang w:val="en-GB"/>
              </w:rPr>
            </w:pPr>
          </w:p>
          <w:p w14:paraId="23E1A77E" w14:textId="77777777" w:rsidR="001D4E19" w:rsidRPr="00A00994" w:rsidRDefault="001D4E19" w:rsidP="001D4E19">
            <w:pPr>
              <w:pStyle w:val="Marginlie"/>
              <w:rPr>
                <w:lang w:val="en-GB"/>
              </w:rPr>
            </w:pPr>
          </w:p>
          <w:p w14:paraId="22E35DEC" w14:textId="77777777" w:rsidR="001D4E19" w:rsidRPr="00A00994" w:rsidRDefault="001D4E19" w:rsidP="001D4E19">
            <w:pPr>
              <w:pStyle w:val="Marginlie"/>
              <w:rPr>
                <w:lang w:val="en-GB"/>
              </w:rPr>
            </w:pPr>
            <w:r w:rsidRPr="00A00994">
              <w:rPr>
                <w:lang w:val="en-GB"/>
              </w:rPr>
              <w:t xml:space="preserve">Growth of sales in information and communication slowed down. </w:t>
            </w:r>
          </w:p>
          <w:p w14:paraId="0796F5B6" w14:textId="77777777" w:rsidR="001D4E19" w:rsidRPr="00A00994" w:rsidRDefault="001D4E19" w:rsidP="001D4E19">
            <w:pPr>
              <w:pStyle w:val="Marginlie"/>
              <w:rPr>
                <w:lang w:val="en-GB"/>
              </w:rPr>
            </w:pPr>
          </w:p>
          <w:p w14:paraId="7C642665" w14:textId="455D0BD4" w:rsidR="001D4E19" w:rsidRPr="00A00994" w:rsidRDefault="001D4E19" w:rsidP="001D4E19">
            <w:pPr>
              <w:pStyle w:val="Marginlie"/>
              <w:rPr>
                <w:lang w:val="en-GB"/>
              </w:rPr>
            </w:pPr>
            <w:r w:rsidRPr="00A00994">
              <w:rPr>
                <w:lang w:val="en-GB"/>
              </w:rPr>
              <w:t>Demand for activities in the real estate area was growing, mainly in the segment of real estate offices.</w:t>
            </w:r>
          </w:p>
        </w:tc>
        <w:tc>
          <w:tcPr>
            <w:tcW w:w="214" w:type="dxa"/>
            <w:tcBorders>
              <w:top w:val="nil"/>
              <w:left w:val="nil"/>
              <w:bottom w:val="nil"/>
              <w:right w:val="nil"/>
            </w:tcBorders>
            <w:shd w:val="clear" w:color="auto" w:fill="auto"/>
            <w:tcMar>
              <w:left w:w="0" w:type="dxa"/>
            </w:tcMar>
          </w:tcPr>
          <w:p w14:paraId="2921DD6A"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337F491" w14:textId="7382A911" w:rsidR="001D4E19" w:rsidRPr="001D4E19" w:rsidRDefault="001D4E19" w:rsidP="001D4E19">
            <w:pPr>
              <w:spacing w:after="0"/>
              <w:rPr>
                <w:rFonts w:cs="Arial"/>
                <w:color w:val="0D0D0D" w:themeColor="text1" w:themeTint="F2"/>
                <w:lang w:val="en-GB"/>
              </w:rPr>
            </w:pPr>
            <w:r w:rsidRPr="001D4E19">
              <w:rPr>
                <w:rFonts w:cs="Arial"/>
                <w:color w:val="0D0D0D" w:themeColor="text1" w:themeTint="F2"/>
                <w:lang w:val="en-GB"/>
              </w:rPr>
              <w:t>Boost of tourism fundamentally improved the situation also for travel agencies and offices, which showed to be pivotal for the year-on-year growth of the whole branch of administrative and support services activities (21.4%). Other activities also signal higher demand here, except for the job agencies. Sales in the whole branch however stayed below the level from year 2019 so far (by 8%). This is not valid for the branch professional, scientific and technical activities (+2%), which generally provides more sophisticated services for business and demand for many of them was not overly disrupted during the pandemic period (legal and accounting activities, management consultancy activities). Architectural and engineering activities capitalising on the development in construction contributed the most to the year-on-year growth of the whole above mention branch in Q2 (7.0%). Advertising and market research (where sales fell behind by 5.4% and by 12% compared to year 2019) had an opposite effect. Growth of sales in the long time strengthening branch information and communication slowed down to 2.5% in Q2. The high demand especially for activities in the area of information technologies (e.g. programming, computer facilities management activities) still drove the performance of the branch. The growth of demand in information activities nevertheless halted after the strong last year</w:t>
            </w:r>
            <w:r w:rsidRPr="001D4E19">
              <w:rPr>
                <w:rStyle w:val="Znakapoznpodarou"/>
                <w:color w:val="0D0D0D" w:themeColor="text1" w:themeTint="F2"/>
                <w:lang w:val="en-GB"/>
              </w:rPr>
              <w:footnoteReference w:id="28"/>
            </w:r>
            <w:r w:rsidRPr="001D4E19">
              <w:rPr>
                <w:rFonts w:cs="Arial"/>
                <w:color w:val="0D0D0D" w:themeColor="text1" w:themeTint="F2"/>
                <w:lang w:val="en-GB"/>
              </w:rPr>
              <w:t>. In addition the decrease of sales for radio and television programming and broadcasting activities deepened when it perceptibly fell also behind year 2019. Brisk recovery of the motion picture and musical industry braked slightly in this year’s Q2</w:t>
            </w:r>
            <w:r w:rsidRPr="001D4E19">
              <w:rPr>
                <w:rStyle w:val="Znakapoznpodarou"/>
                <w:color w:val="0D0D0D" w:themeColor="text1" w:themeTint="F2"/>
                <w:lang w:val="en-GB"/>
              </w:rPr>
              <w:footnoteReference w:id="29"/>
            </w:r>
            <w:r w:rsidRPr="001D4E19">
              <w:rPr>
                <w:rFonts w:cs="Arial"/>
                <w:color w:val="0D0D0D" w:themeColor="text1" w:themeTint="F2"/>
                <w:lang w:val="en-GB"/>
              </w:rPr>
              <w:t xml:space="preserve">. Demand in the real estate area, which was not significantly disrupted during the pandemic period, strengthened by 2.8% year-on-year in Q2. Demand for intermediary activities of real estate agencies kept swiftly rising, while the sales for buying and selling of own real estate or their renting as well as operating were increasing by lower pace. </w:t>
            </w:r>
            <w:r w:rsidRPr="001D4E19">
              <w:rPr>
                <w:color w:val="0D0D0D" w:themeColor="text1" w:themeTint="F2"/>
                <w:lang w:val="en-GB"/>
              </w:rPr>
              <w:t xml:space="preserve"> </w:t>
            </w:r>
          </w:p>
        </w:tc>
      </w:tr>
      <w:tr w:rsidR="001D4E19" w:rsidRPr="00A00994" w14:paraId="20D30FF1" w14:textId="77777777" w:rsidTr="00BB1209">
        <w:trPr>
          <w:trHeight w:val="145"/>
        </w:trPr>
        <w:tc>
          <w:tcPr>
            <w:tcW w:w="1695" w:type="dxa"/>
            <w:tcBorders>
              <w:top w:val="nil"/>
              <w:left w:val="nil"/>
              <w:bottom w:val="nil"/>
              <w:right w:val="nil"/>
            </w:tcBorders>
            <w:shd w:val="clear" w:color="auto" w:fill="auto"/>
            <w:tcMar>
              <w:left w:w="0" w:type="dxa"/>
            </w:tcMar>
          </w:tcPr>
          <w:p w14:paraId="48ECE70A" w14:textId="53AD7005"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43684260"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1C72B41" w14:textId="453E17DD" w:rsidR="001D4E19" w:rsidRPr="002E01AD" w:rsidRDefault="001D4E19" w:rsidP="001D4E19">
            <w:pPr>
              <w:spacing w:after="0"/>
              <w:rPr>
                <w:color w:val="0D0D0D" w:themeColor="text1" w:themeTint="F2"/>
                <w:spacing w:val="-4"/>
                <w:lang w:val="en-GB"/>
              </w:rPr>
            </w:pPr>
            <w:r w:rsidRPr="002E01AD">
              <w:rPr>
                <w:b/>
                <w:spacing w:val="-4"/>
                <w:lang w:val="en-GB"/>
              </w:rPr>
              <w:t xml:space="preserve">Chart 7 Contributions of branches to year-on-year change of sales in services* </w:t>
            </w:r>
            <w:r w:rsidRPr="002E01AD">
              <w:rPr>
                <w:spacing w:val="-4"/>
                <w:lang w:val="en-GB"/>
              </w:rPr>
              <w:t xml:space="preserve">(real, in p.p.), </w:t>
            </w:r>
            <w:r w:rsidRPr="002E01AD">
              <w:rPr>
                <w:b/>
                <w:spacing w:val="-4"/>
                <w:lang w:val="en-GB"/>
              </w:rPr>
              <w:t xml:space="preserve">balance of business confidence indicator in services** </w:t>
            </w:r>
            <w:r w:rsidRPr="002E01AD">
              <w:rPr>
                <w:spacing w:val="-4"/>
                <w:lang w:val="en-GB"/>
              </w:rPr>
              <w:t>(in p.p., seasonally adjusted, right axis)</w:t>
            </w:r>
            <w:r w:rsidRPr="002E01AD">
              <w:rPr>
                <w:b/>
                <w:spacing w:val="-4"/>
                <w:lang w:val="en-GB"/>
              </w:rPr>
              <w:t xml:space="preserve"> and selected growth barriers*</w:t>
            </w:r>
            <w:r w:rsidRPr="002E01AD">
              <w:rPr>
                <w:spacing w:val="-4"/>
                <w:lang w:val="en-GB"/>
              </w:rPr>
              <w:t>* (in %, seasonally adjusted, right axis)</w:t>
            </w:r>
          </w:p>
        </w:tc>
      </w:tr>
      <w:tr w:rsidR="001D4E19" w:rsidRPr="00A00994" w14:paraId="013C03BE"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5C175449"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Pr>
          <w:p w14:paraId="06095628"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Pr>
          <w:p w14:paraId="2F3AE3A5" w14:textId="1916ABB3" w:rsidR="001D4E19" w:rsidRPr="00A00994" w:rsidRDefault="001D4E19" w:rsidP="001D4E19">
            <w:pPr>
              <w:spacing w:after="0"/>
              <w:rPr>
                <w:rFonts w:cs="Arial"/>
                <w:color w:val="0D0D0D" w:themeColor="text1" w:themeTint="F2"/>
                <w:spacing w:val="-2"/>
                <w:lang w:val="en-GB"/>
              </w:rPr>
            </w:pPr>
            <w:r>
              <w:rPr>
                <w:noProof/>
              </w:rPr>
              <w:drawing>
                <wp:inline distT="0" distB="0" distL="0" distR="0" wp14:anchorId="15C5BA1C" wp14:editId="7C2CA258">
                  <wp:extent cx="4667425" cy="3636780"/>
                  <wp:effectExtent l="0" t="0" r="0" b="190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D4E19" w:rsidRPr="00A00994" w14:paraId="5A5E0B3F" w14:textId="77777777" w:rsidTr="00BB1209">
        <w:trPr>
          <w:trHeight w:val="145"/>
        </w:trPr>
        <w:tc>
          <w:tcPr>
            <w:tcW w:w="1695" w:type="dxa"/>
            <w:tcBorders>
              <w:top w:val="nil"/>
              <w:left w:val="nil"/>
              <w:bottom w:val="nil"/>
              <w:right w:val="nil"/>
            </w:tcBorders>
            <w:shd w:val="clear" w:color="auto" w:fill="auto"/>
            <w:tcMar>
              <w:left w:w="0" w:type="dxa"/>
            </w:tcMar>
          </w:tcPr>
          <w:p w14:paraId="7668387B"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174BCA30"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F0C809E" w14:textId="77777777" w:rsidR="001D4E19" w:rsidRPr="00A00994" w:rsidRDefault="001D4E19" w:rsidP="001D4E19">
            <w:pPr>
              <w:spacing w:after="0" w:line="240" w:lineRule="auto"/>
              <w:rPr>
                <w:rFonts w:cs="Arial"/>
                <w:sz w:val="14"/>
                <w:szCs w:val="14"/>
                <w:lang w:val="en-GB"/>
              </w:rPr>
            </w:pPr>
            <w:r w:rsidRPr="00A00994">
              <w:rPr>
                <w:rFonts w:cs="Arial"/>
                <w:color w:val="0D0D0D" w:themeColor="text1" w:themeTint="F2"/>
                <w:spacing w:val="-6"/>
                <w:lang w:val="en-GB"/>
              </w:rPr>
              <w:t>*</w:t>
            </w:r>
            <w:r w:rsidRPr="00A00994">
              <w:rPr>
                <w:lang w:val="en-GB"/>
              </w:rPr>
              <w:t xml:space="preserve"> </w:t>
            </w:r>
            <w:r w:rsidRPr="00A00994">
              <w:rPr>
                <w:color w:val="0D0D0D" w:themeColor="text1" w:themeTint="F2"/>
                <w:sz w:val="14"/>
                <w:szCs w:val="14"/>
                <w:lang w:val="en-GB"/>
              </w:rPr>
              <w:t xml:space="preserve">Without branches trade, financial activities, insurance activities, science, research and public services. Sales are adjusted for calendar effects. </w:t>
            </w:r>
          </w:p>
          <w:p w14:paraId="1F927865" w14:textId="77777777" w:rsidR="001D4E19" w:rsidRDefault="001D4E19" w:rsidP="001D4E19">
            <w:pPr>
              <w:spacing w:after="0"/>
              <w:rPr>
                <w:rFonts w:cs="Arial"/>
                <w:spacing w:val="-2"/>
                <w:sz w:val="14"/>
                <w:szCs w:val="14"/>
                <w:lang w:val="en-GB"/>
              </w:rPr>
            </w:pPr>
            <w:r w:rsidRPr="00A00994">
              <w:rPr>
                <w:rFonts w:cs="Arial"/>
                <w:sz w:val="14"/>
                <w:szCs w:val="14"/>
                <w:lang w:val="en-GB"/>
              </w:rPr>
              <w:t>**Also includes the financial sector. Balance of</w:t>
            </w:r>
            <w:r>
              <w:rPr>
                <w:rFonts w:cs="Arial"/>
                <w:sz w:val="14"/>
                <w:szCs w:val="14"/>
                <w:lang w:val="en-GB"/>
              </w:rPr>
              <w:t xml:space="preserve"> </w:t>
            </w:r>
            <w:r w:rsidRPr="001E111C">
              <w:rPr>
                <w:rFonts w:cs="Arial"/>
                <w:sz w:val="14"/>
                <w:szCs w:val="14"/>
                <w:lang w:val="en-GB"/>
              </w:rPr>
              <w:t>business confidence indicator</w:t>
            </w:r>
            <w:r w:rsidRPr="00A00994">
              <w:rPr>
                <w:rFonts w:cs="Arial"/>
                <w:sz w:val="14"/>
                <w:szCs w:val="14"/>
                <w:lang w:val="en-GB"/>
              </w:rPr>
              <w:t xml:space="preserve"> as well as the barriers to growth express the level in the first </w:t>
            </w:r>
            <w:r>
              <w:rPr>
                <w:rFonts w:cs="Arial"/>
                <w:sz w:val="14"/>
                <w:szCs w:val="14"/>
                <w:lang w:val="en-GB"/>
              </w:rPr>
              <w:t>and in the</w:t>
            </w:r>
            <w:r w:rsidRPr="00A00994">
              <w:rPr>
                <w:rFonts w:cs="Arial"/>
                <w:sz w:val="14"/>
                <w:szCs w:val="14"/>
                <w:lang w:val="en-GB"/>
              </w:rPr>
              <w:t xml:space="preserve"> second month of the given </w:t>
            </w:r>
            <w:r w:rsidRPr="00FE1209">
              <w:rPr>
                <w:rFonts w:cs="Arial"/>
                <w:sz w:val="14"/>
                <w:szCs w:val="14"/>
                <w:lang w:val="en-GB"/>
              </w:rPr>
              <w:t xml:space="preserve">quarter </w:t>
            </w:r>
            <w:r w:rsidRPr="00FE1209">
              <w:rPr>
                <w:rFonts w:cs="Arial"/>
                <w:spacing w:val="-2"/>
                <w:sz w:val="14"/>
                <w:szCs w:val="14"/>
                <w:lang w:val="en-GB"/>
              </w:rPr>
              <w:t>(</w:t>
            </w:r>
            <w:r>
              <w:rPr>
                <w:rFonts w:cs="Arial"/>
                <w:spacing w:val="-2"/>
                <w:sz w:val="14"/>
                <w:szCs w:val="14"/>
                <w:lang w:val="en-GB"/>
              </w:rPr>
              <w:t xml:space="preserve">growth barriers and </w:t>
            </w:r>
            <w:r w:rsidRPr="00FE1209">
              <w:rPr>
                <w:rFonts w:cs="Arial"/>
                <w:spacing w:val="-2"/>
                <w:sz w:val="14"/>
                <w:szCs w:val="14"/>
                <w:lang w:val="en-GB"/>
              </w:rPr>
              <w:t>balance of confidence</w:t>
            </w:r>
            <w:r>
              <w:rPr>
                <w:rFonts w:cs="Arial"/>
                <w:spacing w:val="-2"/>
                <w:sz w:val="14"/>
                <w:szCs w:val="14"/>
                <w:lang w:val="en-GB"/>
              </w:rPr>
              <w:t>, respectively</w:t>
            </w:r>
            <w:r w:rsidRPr="00FE1209">
              <w:rPr>
                <w:rFonts w:cs="Arial"/>
                <w:spacing w:val="-2"/>
                <w:sz w:val="14"/>
                <w:szCs w:val="14"/>
                <w:lang w:val="en-GB"/>
              </w:rPr>
              <w:t>). Businesses</w:t>
            </w:r>
            <w:r w:rsidRPr="00A00994">
              <w:rPr>
                <w:rFonts w:cs="Arial"/>
                <w:spacing w:val="-2"/>
                <w:sz w:val="14"/>
                <w:szCs w:val="14"/>
                <w:lang w:val="en-GB"/>
              </w:rPr>
              <w:t xml:space="preserve"> could have indicated more key barriers simultaneously.</w:t>
            </w:r>
          </w:p>
          <w:p w14:paraId="51984A0F" w14:textId="64B98CAB" w:rsidR="001D4E19" w:rsidRPr="00400B87" w:rsidRDefault="001D4E19" w:rsidP="001D4E19">
            <w:pPr>
              <w:spacing w:after="200"/>
              <w:rPr>
                <w:rFonts w:cs="Arial"/>
                <w:spacing w:val="-2"/>
                <w:sz w:val="14"/>
                <w:szCs w:val="14"/>
                <w:lang w:val="en-GB"/>
              </w:rPr>
            </w:pPr>
            <w:r w:rsidRPr="00A00994">
              <w:rPr>
                <w:rFonts w:cs="Arial"/>
                <w:sz w:val="14"/>
                <w:szCs w:val="14"/>
                <w:lang w:val="en-GB"/>
              </w:rPr>
              <w:t>Source: CZSO, Eurostat</w:t>
            </w:r>
          </w:p>
        </w:tc>
      </w:tr>
      <w:tr w:rsidR="001D4E19" w:rsidRPr="00A00994" w14:paraId="5E499B95" w14:textId="77777777" w:rsidTr="00BB1209">
        <w:trPr>
          <w:trHeight w:val="145"/>
        </w:trPr>
        <w:tc>
          <w:tcPr>
            <w:tcW w:w="1695" w:type="dxa"/>
            <w:tcBorders>
              <w:top w:val="nil"/>
              <w:left w:val="nil"/>
              <w:bottom w:val="nil"/>
              <w:right w:val="nil"/>
            </w:tcBorders>
            <w:shd w:val="clear" w:color="auto" w:fill="auto"/>
            <w:tcMar>
              <w:left w:w="0" w:type="dxa"/>
            </w:tcMar>
          </w:tcPr>
          <w:p w14:paraId="54C7F76A" w14:textId="77777777" w:rsidR="001D4E19" w:rsidRPr="00A00994" w:rsidRDefault="001D4E19" w:rsidP="001D4E19">
            <w:pPr>
              <w:pStyle w:val="Marginlie"/>
              <w:rPr>
                <w:lang w:val="en-GB"/>
              </w:rPr>
            </w:pPr>
            <w:r w:rsidRPr="00A00994">
              <w:rPr>
                <w:lang w:val="en-GB"/>
              </w:rPr>
              <w:t>Trend of mild lowering of sales in retail lasted already nearly one year.</w:t>
            </w:r>
          </w:p>
          <w:p w14:paraId="16E5F049" w14:textId="418AFC23" w:rsidR="001D4E19" w:rsidRPr="00A00994" w:rsidRDefault="001D4E19" w:rsidP="001D4E19">
            <w:pPr>
              <w:pStyle w:val="Marginlie"/>
              <w:rPr>
                <w:lang w:val="en-GB"/>
              </w:rPr>
            </w:pPr>
            <w:r w:rsidRPr="00A00994">
              <w:rPr>
                <w:lang w:val="en-GB"/>
              </w:rPr>
              <w:t xml:space="preserve">Pessimism of consumers was at a record high in July. </w:t>
            </w:r>
            <w:r>
              <w:rPr>
                <w:lang w:val="en-GB"/>
              </w:rPr>
              <w:t>Business</w:t>
            </w:r>
            <w:r w:rsidRPr="00A00994">
              <w:rPr>
                <w:lang w:val="en-GB"/>
              </w:rPr>
              <w:t xml:space="preserve"> confidence was however scaled down only negligibly. Businesses maintained an optimistic outlook for H2.</w:t>
            </w:r>
          </w:p>
          <w:p w14:paraId="0E3FDBA4" w14:textId="77777777" w:rsidR="001D4E19" w:rsidRPr="00A00994" w:rsidRDefault="001D4E19" w:rsidP="001D4E19">
            <w:pPr>
              <w:pStyle w:val="Marginlie"/>
              <w:rPr>
                <w:lang w:val="en-GB"/>
              </w:rPr>
            </w:pPr>
          </w:p>
          <w:p w14:paraId="64E25C02"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5AF096AF"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93C6DB5" w14:textId="172EDE5F" w:rsidR="001D4E19" w:rsidRPr="001D4E19" w:rsidRDefault="001D4E19" w:rsidP="001D4E19">
            <w:pPr>
              <w:spacing w:after="200"/>
              <w:rPr>
                <w:rFonts w:cs="Arial"/>
                <w:color w:val="0D0D0D" w:themeColor="text1" w:themeTint="F2"/>
                <w:spacing w:val="-4"/>
                <w:szCs w:val="20"/>
                <w:lang w:val="en-GB"/>
              </w:rPr>
            </w:pPr>
            <w:r w:rsidRPr="00A00994">
              <w:rPr>
                <w:rFonts w:cs="Arial"/>
                <w:color w:val="0D0D0D" w:themeColor="text1" w:themeTint="F2"/>
                <w:spacing w:val="-4"/>
                <w:szCs w:val="20"/>
                <w:lang w:val="en-GB"/>
              </w:rPr>
              <w:t>Retail sales</w:t>
            </w:r>
            <w:r w:rsidRPr="00A00994">
              <w:rPr>
                <w:rStyle w:val="Znakapoznpodarou"/>
                <w:color w:val="0D0D0D" w:themeColor="text1" w:themeTint="F2"/>
                <w:spacing w:val="-4"/>
                <w:lang w:val="en-GB"/>
              </w:rPr>
              <w:footnoteReference w:id="30"/>
            </w:r>
            <w:r w:rsidRPr="00A00994">
              <w:rPr>
                <w:rFonts w:cs="Arial"/>
                <w:color w:val="0D0D0D" w:themeColor="text1" w:themeTint="F2"/>
                <w:spacing w:val="-4"/>
                <w:szCs w:val="20"/>
                <w:lang w:val="en-GB"/>
              </w:rPr>
              <w:t xml:space="preserve"> were after the steep boost in the last year’s May</w:t>
            </w:r>
            <w:r w:rsidRPr="00A00994">
              <w:rPr>
                <w:rStyle w:val="Znakapoznpodarou"/>
                <w:color w:val="0D0D0D" w:themeColor="text1" w:themeTint="F2"/>
                <w:spacing w:val="-4"/>
                <w:szCs w:val="20"/>
                <w:lang w:val="en-GB"/>
              </w:rPr>
              <w:footnoteReference w:id="31"/>
            </w:r>
            <w:r w:rsidRPr="00A00994">
              <w:rPr>
                <w:rFonts w:cs="Arial"/>
                <w:color w:val="0D0D0D" w:themeColor="text1" w:themeTint="F2"/>
                <w:spacing w:val="-4"/>
                <w:szCs w:val="20"/>
                <w:lang w:val="en-GB"/>
              </w:rPr>
              <w:t xml:space="preserve"> largely slightly falling month-on-month in the subsequent period and their volume attained a comparable level to November 2019. Sales for the whole Q2 2022 fell behind the preceding quarter by significant 2.3% since the decline manifested across virtually all areas of retail. This development was closely related to the gradual deterioration of the consumer confidence down to a historical minimum (in July 2022). The repeated year-on-year decrease of the average wages turned into the lower real disposable household income as well in Q1 2021 (−2%). The financial situation of households, as well as their outlook on the nearest 12 months worsened. Concerns of people regarding the growth of prices, which were at a record high at the beginning of </w:t>
            </w:r>
            <w:r>
              <w:rPr>
                <w:rFonts w:cs="Arial"/>
                <w:color w:val="0D0D0D" w:themeColor="text1" w:themeTint="F2"/>
                <w:spacing w:val="-4"/>
                <w:szCs w:val="20"/>
                <w:lang w:val="en-GB"/>
              </w:rPr>
              <w:t>s</w:t>
            </w:r>
            <w:r w:rsidRPr="00A00994">
              <w:rPr>
                <w:rFonts w:cs="Arial"/>
                <w:color w:val="0D0D0D" w:themeColor="text1" w:themeTint="F2"/>
                <w:spacing w:val="-4"/>
                <w:szCs w:val="20"/>
                <w:lang w:val="en-GB"/>
              </w:rPr>
              <w:t>pring, slightly droppe</w:t>
            </w:r>
            <w:r>
              <w:rPr>
                <w:rFonts w:cs="Arial"/>
                <w:color w:val="0D0D0D" w:themeColor="text1" w:themeTint="F2"/>
                <w:spacing w:val="-4"/>
                <w:szCs w:val="20"/>
                <w:lang w:val="en-GB"/>
              </w:rPr>
              <w:t>d in s</w:t>
            </w:r>
            <w:r w:rsidRPr="00A00994">
              <w:rPr>
                <w:rFonts w:cs="Arial"/>
                <w:color w:val="0D0D0D" w:themeColor="text1" w:themeTint="F2"/>
                <w:spacing w:val="-4"/>
                <w:szCs w:val="20"/>
                <w:lang w:val="en-GB"/>
              </w:rPr>
              <w:t>ummer. Nevertheless, the growth of consumer prices of food or fuels kept further accelerating. In these circumstances, large part of households apparently started to limit their non-essential expenditures, but also regular purchases of goods hit by high price growth. Yet the sentiment of entrepreneurs themselves stayed despite mild deterioration positive</w:t>
            </w:r>
            <w:r w:rsidRPr="00A00994">
              <w:rPr>
                <w:rStyle w:val="Znakapoznpodarou"/>
                <w:color w:val="0D0D0D" w:themeColor="text1" w:themeTint="F2"/>
                <w:spacing w:val="-4"/>
                <w:szCs w:val="20"/>
                <w:lang w:val="en-GB"/>
              </w:rPr>
              <w:footnoteReference w:id="32"/>
            </w:r>
            <w:r w:rsidRPr="00A00994">
              <w:rPr>
                <w:rFonts w:cs="Arial"/>
                <w:color w:val="0D0D0D" w:themeColor="text1" w:themeTint="F2"/>
                <w:spacing w:val="-4"/>
                <w:szCs w:val="20"/>
                <w:lang w:val="en-GB"/>
              </w:rPr>
              <w:t xml:space="preserve">. They relied also on certain inertia in the consumption behaviour of domestic households (including their utilisation of remaining part of </w:t>
            </w:r>
            <w:r>
              <w:rPr>
                <w:rFonts w:cs="Arial"/>
                <w:color w:val="0D0D0D" w:themeColor="text1" w:themeTint="F2"/>
                <w:spacing w:val="-4"/>
                <w:szCs w:val="20"/>
                <w:lang w:val="en-GB"/>
              </w:rPr>
              <w:t>“</w:t>
            </w:r>
            <w:r w:rsidRPr="00A00994">
              <w:rPr>
                <w:rFonts w:cs="Arial"/>
                <w:color w:val="0D0D0D" w:themeColor="text1" w:themeTint="F2"/>
                <w:spacing w:val="-4"/>
                <w:szCs w:val="20"/>
                <w:lang w:val="en-GB"/>
              </w:rPr>
              <w:t>withheld</w:t>
            </w:r>
            <w:r>
              <w:rPr>
                <w:rFonts w:cs="Arial"/>
                <w:color w:val="0D0D0D" w:themeColor="text1" w:themeTint="F2"/>
                <w:spacing w:val="-4"/>
                <w:szCs w:val="20"/>
                <w:lang w:val="en-GB"/>
              </w:rPr>
              <w:t>”</w:t>
            </w:r>
            <w:r w:rsidRPr="00A00994">
              <w:rPr>
                <w:rFonts w:cs="Arial"/>
                <w:color w:val="0D0D0D" w:themeColor="text1" w:themeTint="F2"/>
                <w:spacing w:val="-4"/>
                <w:szCs w:val="20"/>
                <w:lang w:val="en-GB"/>
              </w:rPr>
              <w:t xml:space="preserve"> savings from years 2020 and 2021 to current purchases) and on higher </w:t>
            </w:r>
            <w:r w:rsidRPr="00A00994">
              <w:rPr>
                <w:rFonts w:cs="Arial"/>
                <w:color w:val="0D0D0D" w:themeColor="text1" w:themeTint="F2"/>
                <w:spacing w:val="-4"/>
                <w:szCs w:val="20"/>
                <w:lang w:val="en-GB"/>
              </w:rPr>
              <w:lastRenderedPageBreak/>
              <w:t>expenditures of non-residents associated with the revival of tourism as well as the</w:t>
            </w:r>
            <w:r>
              <w:rPr>
                <w:rFonts w:cs="Arial"/>
                <w:color w:val="0D0D0D" w:themeColor="text1" w:themeTint="F2"/>
                <w:spacing w:val="-4"/>
                <w:szCs w:val="20"/>
                <w:lang w:val="en-GB"/>
              </w:rPr>
              <w:t xml:space="preserve"> refugee flow from Ukraine. </w:t>
            </w:r>
          </w:p>
        </w:tc>
      </w:tr>
      <w:tr w:rsidR="001D4E19" w:rsidRPr="00A00994" w14:paraId="6C240E80" w14:textId="77777777" w:rsidTr="00BB1209">
        <w:trPr>
          <w:trHeight w:val="145"/>
        </w:trPr>
        <w:tc>
          <w:tcPr>
            <w:tcW w:w="1695" w:type="dxa"/>
            <w:tcBorders>
              <w:top w:val="nil"/>
              <w:left w:val="nil"/>
              <w:bottom w:val="nil"/>
              <w:right w:val="nil"/>
            </w:tcBorders>
            <w:shd w:val="clear" w:color="auto" w:fill="auto"/>
            <w:tcMar>
              <w:left w:w="0" w:type="dxa"/>
            </w:tcMar>
          </w:tcPr>
          <w:p w14:paraId="1D33249D" w14:textId="77777777" w:rsidR="001D4E19" w:rsidRPr="00A00994" w:rsidRDefault="001D4E19" w:rsidP="001D4E19">
            <w:pPr>
              <w:pStyle w:val="Marginlie"/>
              <w:rPr>
                <w:lang w:val="en-GB"/>
              </w:rPr>
            </w:pPr>
            <w:r w:rsidRPr="00A00994">
              <w:rPr>
                <w:lang w:val="en-GB"/>
              </w:rPr>
              <w:lastRenderedPageBreak/>
              <w:t xml:space="preserve">Lower sales of food were mainly behind the year-on-year drop of the retail trade in Q2. Reduction of demand occurred more or less across the board within the retail trade. </w:t>
            </w:r>
          </w:p>
          <w:p w14:paraId="4E105BD9" w14:textId="77777777" w:rsidR="001D4E19" w:rsidRPr="00A00994" w:rsidRDefault="001D4E19" w:rsidP="001D4E19">
            <w:pPr>
              <w:pStyle w:val="Marginlie"/>
              <w:rPr>
                <w:lang w:val="en-GB"/>
              </w:rPr>
            </w:pPr>
          </w:p>
          <w:p w14:paraId="64A0723D" w14:textId="77777777" w:rsidR="001D4E19" w:rsidRPr="00A00994" w:rsidRDefault="001D4E19" w:rsidP="001D4E19">
            <w:pPr>
              <w:pStyle w:val="Marginlie"/>
              <w:rPr>
                <w:lang w:val="en-GB"/>
              </w:rPr>
            </w:pPr>
          </w:p>
          <w:p w14:paraId="7A4B8944" w14:textId="77777777" w:rsidR="001D4E19" w:rsidRPr="00A00994" w:rsidRDefault="001D4E19" w:rsidP="001D4E19">
            <w:pPr>
              <w:pStyle w:val="Marginlie"/>
              <w:rPr>
                <w:lang w:val="en-GB"/>
              </w:rPr>
            </w:pPr>
          </w:p>
          <w:p w14:paraId="0260E965" w14:textId="3EDDE040" w:rsidR="001D4E19" w:rsidRPr="00A00994" w:rsidRDefault="001D4E19" w:rsidP="001D4E19">
            <w:pPr>
              <w:pStyle w:val="Marginlie"/>
              <w:rPr>
                <w:lang w:val="en-GB"/>
              </w:rPr>
            </w:pPr>
            <w:r w:rsidRPr="00A00994">
              <w:rPr>
                <w:lang w:val="en-GB"/>
              </w:rPr>
              <w:t xml:space="preserve">Record prices at the petrol stations likely also participated on the lower consumption of motor fuels. </w:t>
            </w:r>
          </w:p>
        </w:tc>
        <w:tc>
          <w:tcPr>
            <w:tcW w:w="214" w:type="dxa"/>
            <w:tcBorders>
              <w:top w:val="nil"/>
              <w:left w:val="nil"/>
              <w:bottom w:val="nil"/>
              <w:right w:val="nil"/>
            </w:tcBorders>
            <w:shd w:val="clear" w:color="auto" w:fill="auto"/>
            <w:tcMar>
              <w:left w:w="0" w:type="dxa"/>
            </w:tcMar>
          </w:tcPr>
          <w:p w14:paraId="5AE6850E"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0F0DC7A" w14:textId="77777777" w:rsidR="001D4E19" w:rsidRPr="00A00994" w:rsidRDefault="001D4E19" w:rsidP="001D4E19">
            <w:pPr>
              <w:spacing w:after="0"/>
              <w:rPr>
                <w:rFonts w:cs="Arial"/>
                <w:color w:val="0D0D0D" w:themeColor="text1" w:themeTint="F2"/>
                <w:spacing w:val="-4"/>
                <w:szCs w:val="20"/>
                <w:lang w:val="en-GB"/>
              </w:rPr>
            </w:pPr>
            <w:r w:rsidRPr="00A00994">
              <w:rPr>
                <w:rFonts w:cs="Arial"/>
                <w:color w:val="0D0D0D" w:themeColor="text1" w:themeTint="F2"/>
                <w:spacing w:val="-4"/>
                <w:szCs w:val="20"/>
                <w:lang w:val="en-GB"/>
              </w:rPr>
              <w:t>The retail sales dropped by 3.0%</w:t>
            </w:r>
            <w:r w:rsidRPr="00A00994">
              <w:rPr>
                <w:rStyle w:val="Znakapoznpodarou"/>
                <w:color w:val="0D0D0D" w:themeColor="text1" w:themeTint="F2"/>
                <w:spacing w:val="-4"/>
                <w:szCs w:val="20"/>
                <w:lang w:val="en-GB"/>
              </w:rPr>
              <w:footnoteReference w:id="33"/>
            </w:r>
            <w:r w:rsidRPr="00A00994">
              <w:rPr>
                <w:rFonts w:cs="Arial"/>
                <w:color w:val="0D0D0D" w:themeColor="text1" w:themeTint="F2"/>
                <w:spacing w:val="-4"/>
                <w:szCs w:val="20"/>
                <w:lang w:val="en-GB"/>
              </w:rPr>
              <w:t xml:space="preserve"> year-on-year in Q2 (even by 6.9% in June). Mostly the sales in the retail trade of food stood behind the decrease of sales and also the retail sales via internet – these were by 8.0% lower against the extraordinary last year basis, when they still partially substituted the shut brick and mortar stores. Substantial majority of other specialised shops with non-food goods was also afflicted by milder decrease. People demanded more than last year only the wearing apparel, footwear, leather goods, pharmaceutical and medical goods or cosmetics and toiletries. Decrease of sales for food deepened to 4.0% (larger downturn occurred only in Q1 2012). Large chains recorded deeper slump, real spending rather stagnated in smaller stores. Sellers of fuels experienced lower sales by even 4%</w:t>
            </w:r>
            <w:r w:rsidRPr="00A00994">
              <w:rPr>
                <w:rStyle w:val="Znakapoznpodarou"/>
                <w:color w:val="0D0D0D" w:themeColor="text1" w:themeTint="F2"/>
                <w:spacing w:val="-4"/>
                <w:szCs w:val="20"/>
                <w:lang w:val="en-GB"/>
              </w:rPr>
              <w:footnoteReference w:id="34"/>
            </w:r>
            <w:r w:rsidRPr="00A00994">
              <w:rPr>
                <w:rFonts w:cs="Arial"/>
                <w:color w:val="0D0D0D" w:themeColor="text1" w:themeTint="F2"/>
                <w:spacing w:val="-4"/>
                <w:szCs w:val="20"/>
                <w:lang w:val="en-GB"/>
              </w:rPr>
              <w:t xml:space="preserve">. The demand shrank here by approximately one tenth compared to Q4 2019. It was also valid for the motorist segment of trade, where the decrease of sales deepened to 7.7% in Q2. Dive of demand in the area of sale of motor vehicles was more than double in comparison to the maintenance and repair of motor vehicles. </w:t>
            </w:r>
          </w:p>
          <w:p w14:paraId="761DB134" w14:textId="77777777" w:rsidR="001D4E19" w:rsidRPr="00A00994" w:rsidRDefault="001D4E19" w:rsidP="001D4E19">
            <w:pPr>
              <w:spacing w:after="0" w:line="240" w:lineRule="auto"/>
              <w:rPr>
                <w:rFonts w:cs="Arial"/>
                <w:color w:val="0D0D0D" w:themeColor="text1" w:themeTint="F2"/>
                <w:spacing w:val="-6"/>
                <w:lang w:val="en-GB"/>
              </w:rPr>
            </w:pPr>
          </w:p>
        </w:tc>
      </w:tr>
      <w:tr w:rsidR="001D4E19" w:rsidRPr="00A00994" w14:paraId="52A06E14" w14:textId="77777777" w:rsidTr="00BB1209">
        <w:trPr>
          <w:trHeight w:val="145"/>
        </w:trPr>
        <w:tc>
          <w:tcPr>
            <w:tcW w:w="1695" w:type="dxa"/>
            <w:tcBorders>
              <w:top w:val="nil"/>
              <w:left w:val="nil"/>
              <w:bottom w:val="nil"/>
              <w:right w:val="nil"/>
            </w:tcBorders>
            <w:shd w:val="clear" w:color="auto" w:fill="auto"/>
            <w:tcMar>
              <w:left w:w="0" w:type="dxa"/>
            </w:tcMar>
          </w:tcPr>
          <w:p w14:paraId="4B9396C5" w14:textId="3D7FE7DF"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780BE91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451BB2A0" w14:textId="6EEF238F" w:rsidR="001D4E19" w:rsidRPr="00A00994" w:rsidRDefault="001D4E19" w:rsidP="001D4E19">
            <w:pPr>
              <w:spacing w:after="0"/>
              <w:rPr>
                <w:rFonts w:cs="Arial"/>
                <w:color w:val="0D0D0D" w:themeColor="text1" w:themeTint="F2"/>
                <w:spacing w:val="-4"/>
                <w:szCs w:val="20"/>
                <w:lang w:val="en-GB"/>
              </w:rPr>
            </w:pPr>
            <w:r w:rsidRPr="00A00994">
              <w:rPr>
                <w:b/>
                <w:lang w:val="en-GB"/>
              </w:rPr>
              <w:t>Chart 8 Contributions of sub</w:t>
            </w:r>
            <w:r>
              <w:rPr>
                <w:b/>
                <w:lang w:val="en-GB"/>
              </w:rPr>
              <w:t>-</w:t>
            </w:r>
            <w:r w:rsidRPr="00A00994">
              <w:rPr>
                <w:b/>
                <w:lang w:val="en-GB"/>
              </w:rPr>
              <w:t>branches to year-on-year change of retail sales</w:t>
            </w:r>
            <w:r w:rsidRPr="00A00994">
              <w:rPr>
                <w:rFonts w:cs="Arial"/>
                <w:b/>
                <w:bCs/>
                <w:color w:val="0D0D0D" w:themeColor="text1" w:themeTint="F2"/>
                <w:spacing w:val="-6"/>
                <w:lang w:val="en-GB"/>
              </w:rPr>
              <w:t xml:space="preserve">* </w:t>
            </w:r>
            <w:r w:rsidRPr="00A00994">
              <w:rPr>
                <w:rFonts w:cs="Arial"/>
                <w:color w:val="0D0D0D" w:themeColor="text1" w:themeTint="F2"/>
                <w:spacing w:val="-6"/>
                <w:lang w:val="en-GB"/>
              </w:rPr>
              <w:t xml:space="preserve">(real, in p.p.), </w:t>
            </w:r>
            <w:r w:rsidRPr="00A00994">
              <w:rPr>
                <w:rFonts w:cs="Arial"/>
                <w:b/>
                <w:bCs/>
                <w:color w:val="0D0D0D" w:themeColor="text1" w:themeTint="F2"/>
                <w:spacing w:val="-6"/>
                <w:lang w:val="en-GB"/>
              </w:rPr>
              <w:t>r</w:t>
            </w:r>
            <w:r w:rsidRPr="00A00994">
              <w:rPr>
                <w:rFonts w:cs="Arial"/>
                <w:b/>
                <w:bCs/>
                <w:color w:val="0D0D0D" w:themeColor="text1" w:themeTint="F2"/>
                <w:spacing w:val="-4"/>
                <w:szCs w:val="20"/>
                <w:lang w:val="en-GB"/>
              </w:rPr>
              <w:t xml:space="preserve">etail sales and sales of motor vehicles** </w:t>
            </w:r>
            <w:r w:rsidRPr="00A00994">
              <w:rPr>
                <w:rFonts w:cs="Arial"/>
                <w:color w:val="0D0D0D" w:themeColor="text1" w:themeTint="F2"/>
                <w:spacing w:val="-4"/>
                <w:szCs w:val="20"/>
                <w:lang w:val="en-GB"/>
              </w:rPr>
              <w:t xml:space="preserve">(real, level of year 2015=100, right axis) </w:t>
            </w:r>
            <w:r w:rsidRPr="00A00994">
              <w:rPr>
                <w:rFonts w:cs="Arial"/>
                <w:b/>
                <w:color w:val="0D0D0D" w:themeColor="text1" w:themeTint="F2"/>
                <w:spacing w:val="-4"/>
                <w:szCs w:val="20"/>
                <w:lang w:val="en-GB"/>
              </w:rPr>
              <w:t xml:space="preserve">and balance of </w:t>
            </w:r>
            <w:r>
              <w:rPr>
                <w:rFonts w:cs="Arial"/>
                <w:b/>
                <w:color w:val="0D0D0D" w:themeColor="text1" w:themeTint="F2"/>
                <w:spacing w:val="-4"/>
                <w:szCs w:val="20"/>
                <w:lang w:val="en-GB"/>
              </w:rPr>
              <w:t xml:space="preserve">consumer </w:t>
            </w:r>
            <w:r w:rsidRPr="00A00994">
              <w:rPr>
                <w:rFonts w:cs="Arial"/>
                <w:b/>
                <w:color w:val="0D0D0D" w:themeColor="text1" w:themeTint="F2"/>
                <w:spacing w:val="-4"/>
                <w:szCs w:val="20"/>
                <w:lang w:val="en-GB"/>
              </w:rPr>
              <w:t>confidence indicator</w:t>
            </w:r>
            <w:r w:rsidRPr="00A00994">
              <w:rPr>
                <w:rFonts w:cs="Arial"/>
                <w:b/>
                <w:bCs/>
                <w:color w:val="0D0D0D" w:themeColor="text1" w:themeTint="F2"/>
                <w:spacing w:val="-4"/>
                <w:szCs w:val="20"/>
                <w:lang w:val="en-GB"/>
              </w:rPr>
              <w:t xml:space="preserve">*** </w:t>
            </w:r>
            <w:r w:rsidRPr="00A00994">
              <w:rPr>
                <w:rFonts w:cs="Arial"/>
                <w:color w:val="0D0D0D" w:themeColor="text1" w:themeTint="F2"/>
                <w:spacing w:val="-4"/>
                <w:szCs w:val="20"/>
                <w:lang w:val="en-GB"/>
              </w:rPr>
              <w:t>(in points, right axis)</w:t>
            </w:r>
            <w:r w:rsidRPr="00A00994">
              <w:rPr>
                <w:rFonts w:cs="Arial"/>
                <w:color w:val="0D0D0D" w:themeColor="text1" w:themeTint="F2"/>
                <w:spacing w:val="-6"/>
                <w:lang w:val="en-GB"/>
              </w:rPr>
              <w:t xml:space="preserve"> </w:t>
            </w:r>
          </w:p>
        </w:tc>
      </w:tr>
      <w:tr w:rsidR="001D4E19" w:rsidRPr="00A00994" w14:paraId="0D3A0BFF"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6FABD9D1"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Pr>
          <w:p w14:paraId="2ED01DFD"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Pr>
          <w:p w14:paraId="011B3E84" w14:textId="13C1F4B4" w:rsidR="001D4E19" w:rsidRPr="00A00994" w:rsidRDefault="001D4E19" w:rsidP="001D4E19">
            <w:pPr>
              <w:spacing w:after="0"/>
              <w:rPr>
                <w:rFonts w:cs="Arial"/>
                <w:color w:val="0D0D0D" w:themeColor="text1" w:themeTint="F2"/>
                <w:spacing w:val="-3"/>
                <w:szCs w:val="20"/>
                <w:lang w:val="en-GB"/>
              </w:rPr>
            </w:pPr>
            <w:r>
              <w:rPr>
                <w:noProof/>
              </w:rPr>
              <w:drawing>
                <wp:inline distT="0" distB="0" distL="0" distR="0" wp14:anchorId="12D566D3" wp14:editId="0BFFC73D">
                  <wp:extent cx="4814505" cy="3716118"/>
                  <wp:effectExtent l="0" t="0" r="5715"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D4E19" w:rsidRPr="00A00994" w14:paraId="3DD1D8DC" w14:textId="77777777" w:rsidTr="00BB1209">
        <w:trPr>
          <w:trHeight w:val="145"/>
        </w:trPr>
        <w:tc>
          <w:tcPr>
            <w:tcW w:w="1695" w:type="dxa"/>
            <w:tcBorders>
              <w:top w:val="nil"/>
              <w:left w:val="nil"/>
              <w:bottom w:val="nil"/>
              <w:right w:val="nil"/>
            </w:tcBorders>
            <w:shd w:val="clear" w:color="auto" w:fill="auto"/>
            <w:tcMar>
              <w:left w:w="0" w:type="dxa"/>
            </w:tcMar>
          </w:tcPr>
          <w:p w14:paraId="06EAF867"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7F484053"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04869F2" w14:textId="77777777" w:rsidR="001D4E19" w:rsidRPr="00A00994" w:rsidRDefault="001D4E19" w:rsidP="001D4E19">
            <w:pPr>
              <w:spacing w:after="0" w:line="240" w:lineRule="auto"/>
              <w:rPr>
                <w:rFonts w:cs="Arial"/>
                <w:sz w:val="14"/>
                <w:szCs w:val="14"/>
                <w:lang w:val="en-GB"/>
              </w:rPr>
            </w:pPr>
            <w:r w:rsidRPr="00A00994">
              <w:rPr>
                <w:rFonts w:cs="Arial"/>
                <w:color w:val="0D0D0D" w:themeColor="text1" w:themeTint="F2"/>
                <w:spacing w:val="-6"/>
                <w:lang w:val="en-GB"/>
              </w:rPr>
              <w:t>*</w:t>
            </w:r>
            <w:r w:rsidRPr="00A00994">
              <w:rPr>
                <w:rFonts w:cs="Arial"/>
                <w:sz w:val="14"/>
                <w:szCs w:val="14"/>
                <w:lang w:val="en-GB"/>
              </w:rPr>
              <w:t xml:space="preserve"> Sales are adjusted for calendar effects.        ** Sales are adjusted for both seasonal and calendar effects.</w:t>
            </w:r>
          </w:p>
          <w:p w14:paraId="11D89B7E" w14:textId="285266CE" w:rsidR="001D4E19" w:rsidRPr="00BB1209" w:rsidRDefault="001D4E19" w:rsidP="001D4E19">
            <w:pPr>
              <w:spacing w:after="0"/>
              <w:rPr>
                <w:rFonts w:cs="Arial"/>
                <w:color w:val="0D0D0D" w:themeColor="text1" w:themeTint="F2"/>
                <w:spacing w:val="-4"/>
                <w:sz w:val="14"/>
                <w:szCs w:val="14"/>
                <w:lang w:val="en-GB"/>
              </w:rPr>
            </w:pPr>
            <w:r w:rsidRPr="00A00994">
              <w:rPr>
                <w:rFonts w:cs="Arial"/>
                <w:color w:val="0D0D0D" w:themeColor="text1" w:themeTint="F2"/>
                <w:spacing w:val="-4"/>
                <w:sz w:val="14"/>
                <w:szCs w:val="14"/>
                <w:lang w:val="en-GB"/>
              </w:rPr>
              <w:t>*** Consumer confidence</w:t>
            </w:r>
            <w:r>
              <w:rPr>
                <w:rFonts w:cs="Arial"/>
                <w:color w:val="0D0D0D" w:themeColor="text1" w:themeTint="F2"/>
                <w:spacing w:val="-4"/>
                <w:sz w:val="14"/>
                <w:szCs w:val="14"/>
                <w:lang w:val="en-GB"/>
              </w:rPr>
              <w:t xml:space="preserve"> indicator</w:t>
            </w:r>
            <w:r w:rsidRPr="00A00994">
              <w:rPr>
                <w:rFonts w:cs="Arial"/>
                <w:color w:val="0D0D0D" w:themeColor="text1" w:themeTint="F2"/>
                <w:spacing w:val="-4"/>
                <w:sz w:val="14"/>
                <w:szCs w:val="14"/>
                <w:lang w:val="en-GB"/>
              </w:rPr>
              <w:t xml:space="preserve"> is seasonally adjusted and expresses the position in the second month of the given quar</w:t>
            </w:r>
            <w:r>
              <w:rPr>
                <w:rFonts w:cs="Arial"/>
                <w:color w:val="0D0D0D" w:themeColor="text1" w:themeTint="F2"/>
                <w:spacing w:val="-4"/>
                <w:sz w:val="14"/>
                <w:szCs w:val="14"/>
                <w:lang w:val="en-GB"/>
              </w:rPr>
              <w:t>ter.               Source: CZSO</w:t>
            </w:r>
          </w:p>
        </w:tc>
      </w:tr>
      <w:tr w:rsidR="001D4E19" w:rsidRPr="00A00994" w14:paraId="23138A7A" w14:textId="77777777" w:rsidTr="00BB1209">
        <w:trPr>
          <w:trHeight w:val="145"/>
        </w:trPr>
        <w:tc>
          <w:tcPr>
            <w:tcW w:w="1695" w:type="dxa"/>
            <w:tcBorders>
              <w:top w:val="nil"/>
              <w:left w:val="nil"/>
              <w:bottom w:val="nil"/>
              <w:right w:val="nil"/>
            </w:tcBorders>
            <w:shd w:val="clear" w:color="auto" w:fill="auto"/>
            <w:tcMar>
              <w:left w:w="0" w:type="dxa"/>
            </w:tcMar>
          </w:tcPr>
          <w:p w14:paraId="36795095"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671523BE"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440586DC" w14:textId="7118C968" w:rsidR="001D4E19" w:rsidRPr="00A00994" w:rsidRDefault="001D4E19" w:rsidP="001D4E19">
            <w:pPr>
              <w:spacing w:after="0"/>
              <w:rPr>
                <w:noProof/>
                <w:lang w:val="en-GB"/>
              </w:rPr>
            </w:pPr>
          </w:p>
        </w:tc>
      </w:tr>
    </w:tbl>
    <w:p w14:paraId="3409E2F5" w14:textId="77777777" w:rsidR="008F2E83" w:rsidRPr="00A00994" w:rsidRDefault="008F2E83" w:rsidP="008F2E83">
      <w:pPr>
        <w:pStyle w:val="Nadpis11"/>
        <w:spacing w:after="0"/>
        <w:rPr>
          <w:b w:val="0"/>
          <w:sz w:val="2"/>
          <w:szCs w:val="2"/>
          <w:lang w:val="en-GB"/>
        </w:rPr>
      </w:pPr>
      <w:bookmarkStart w:id="10" w:name="_GoBack"/>
      <w:bookmarkEnd w:id="1"/>
      <w:bookmarkEnd w:id="2"/>
      <w:bookmarkEnd w:id="3"/>
      <w:bookmarkEnd w:id="4"/>
      <w:bookmarkEnd w:id="5"/>
      <w:bookmarkEnd w:id="6"/>
      <w:bookmarkEnd w:id="7"/>
      <w:bookmarkEnd w:id="8"/>
      <w:bookmarkEnd w:id="9"/>
      <w:bookmarkEnd w:id="10"/>
    </w:p>
    <w:p w14:paraId="5BAB8EA3" w14:textId="23A06DC9" w:rsidR="000663F0" w:rsidRPr="00A00994" w:rsidRDefault="000663F0" w:rsidP="00A315D0">
      <w:pPr>
        <w:pStyle w:val="Nadpis11"/>
        <w:rPr>
          <w:b w:val="0"/>
          <w:sz w:val="2"/>
          <w:szCs w:val="2"/>
          <w:lang w:val="en-GB"/>
        </w:rPr>
      </w:pPr>
    </w:p>
    <w:sectPr w:rsidR="000663F0" w:rsidRPr="00A00994" w:rsidSect="002D66BA">
      <w:headerReference w:type="even" r:id="rId14"/>
      <w:headerReference w:type="default" r:id="rId15"/>
      <w:footerReference w:type="even" r:id="rId16"/>
      <w:footerReference w:type="default" r:id="rId17"/>
      <w:pgSz w:w="11906" w:h="16838" w:code="9"/>
      <w:pgMar w:top="1134" w:right="1134" w:bottom="1418" w:left="1134" w:header="680" w:footer="737" w:gutter="0"/>
      <w:pgNumType w:start="1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577CA" w16cid:durableId="26F13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C12B" w14:textId="77777777" w:rsidR="0034115A" w:rsidRDefault="0034115A" w:rsidP="00E71A58">
      <w:r>
        <w:separator/>
      </w:r>
    </w:p>
  </w:endnote>
  <w:endnote w:type="continuationSeparator" w:id="0">
    <w:p w14:paraId="59FAF05F" w14:textId="77777777" w:rsidR="0034115A" w:rsidRDefault="0034115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A60022D" w:rsidR="00073B58" w:rsidRPr="00932443" w:rsidRDefault="00073B58"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2D66BA">
      <w:rPr>
        <w:szCs w:val="16"/>
      </w:rPr>
      <w:t>18</w:t>
    </w:r>
    <w:r w:rsidRPr="00932443">
      <w:rPr>
        <w:szCs w:val="16"/>
      </w:rPr>
      <w:fldChar w:fldCharType="end"/>
    </w:r>
    <w:r w:rsidRPr="00932443">
      <w:rPr>
        <w:szCs w:val="16"/>
      </w:rPr>
      <w:tab/>
    </w:r>
    <w:r w:rsidRPr="00D060D1">
      <w:rPr>
        <w:szCs w:val="16"/>
        <w:lang w:val="en-GB"/>
      </w:rPr>
      <w:t>First half of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59EF2309" w:rsidR="00073B58" w:rsidRPr="00932443" w:rsidRDefault="00073B58" w:rsidP="00FA6CB6">
    <w:pPr>
      <w:pStyle w:val="Zpat"/>
      <w:rPr>
        <w:szCs w:val="16"/>
      </w:rPr>
    </w:pPr>
    <w:r w:rsidRPr="00FA6CB6">
      <w:rPr>
        <w:szCs w:val="16"/>
      </w:rPr>
      <w:tab/>
    </w:r>
    <w:r w:rsidRPr="00D060D1">
      <w:rPr>
        <w:szCs w:val="16"/>
        <w:lang w:val="en-GB"/>
      </w:rPr>
      <w:t xml:space="preserve">First </w:t>
    </w:r>
    <w:r>
      <w:rPr>
        <w:szCs w:val="16"/>
        <w:lang w:val="en-GB"/>
      </w:rPr>
      <w:t>h</w:t>
    </w:r>
    <w:r w:rsidRPr="00D060D1">
      <w:rPr>
        <w:szCs w:val="16"/>
        <w:lang w:val="en-GB"/>
      </w:rPr>
      <w:t>alf of 202</w:t>
    </w:r>
    <w:r>
      <w:rPr>
        <w:lang w:eastAsia="cs-CZ"/>
      </w:rPr>
      <w:drawing>
        <wp:anchor distT="0" distB="0" distL="114300" distR="114300" simplePos="0" relativeHeight="251670016" behindDoc="0" locked="0" layoutInCell="1" allowOverlap="1" wp14:anchorId="3E4346EB" wp14:editId="36046FDA">
          <wp:simplePos x="0" y="0"/>
          <wp:positionH relativeFrom="margin">
            <wp:posOffset>0</wp:posOffset>
          </wp:positionH>
          <wp:positionV relativeFrom="paragraph">
            <wp:posOffset>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2D66BA">
      <w:rPr>
        <w:rStyle w:val="ZpatChar"/>
        <w:szCs w:val="16"/>
      </w:rPr>
      <w:t>19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494F6" w14:textId="77777777" w:rsidR="0034115A" w:rsidRDefault="0034115A" w:rsidP="00A21B4D">
      <w:pPr>
        <w:spacing w:after="0"/>
      </w:pPr>
      <w:r>
        <w:separator/>
      </w:r>
    </w:p>
  </w:footnote>
  <w:footnote w:type="continuationSeparator" w:id="0">
    <w:p w14:paraId="57014FC8" w14:textId="77777777" w:rsidR="0034115A" w:rsidRDefault="0034115A" w:rsidP="00E71A58">
      <w:r>
        <w:continuationSeparator/>
      </w:r>
    </w:p>
  </w:footnote>
  <w:footnote w:id="1">
    <w:p w14:paraId="7F527E0F" w14:textId="684247C1" w:rsidR="00073B58" w:rsidRPr="00613BAF" w:rsidRDefault="00073B58" w:rsidP="004052EF">
      <w:pPr>
        <w:pStyle w:val="Textpoznpodarou"/>
        <w:jc w:val="both"/>
        <w:rPr>
          <w:rFonts w:cs="Arial"/>
          <w:color w:val="0D0D0D" w:themeColor="text1" w:themeTint="F2"/>
          <w:spacing w:val="-6"/>
          <w:sz w:val="16"/>
          <w:szCs w:val="16"/>
          <w:lang w:val="en-GB"/>
        </w:rPr>
      </w:pPr>
      <w:r w:rsidRPr="00CF35A7">
        <w:rPr>
          <w:rStyle w:val="Znakapoznpodarou"/>
          <w:spacing w:val="-6"/>
          <w:sz w:val="16"/>
          <w:szCs w:val="16"/>
        </w:rPr>
        <w:footnoteRef/>
      </w:r>
      <w:r w:rsidRPr="00CF35A7">
        <w:rPr>
          <w:spacing w:val="-6"/>
          <w:sz w:val="16"/>
          <w:szCs w:val="16"/>
        </w:rPr>
        <w:t xml:space="preserve"> </w:t>
      </w:r>
      <w:r w:rsidRPr="00E55F64">
        <w:rPr>
          <w:rFonts w:cs="Arial"/>
          <w:color w:val="0D0D0D" w:themeColor="text1" w:themeTint="F2"/>
          <w:spacing w:val="-2"/>
          <w:sz w:val="16"/>
          <w:szCs w:val="16"/>
          <w:lang w:val="en-GB"/>
        </w:rPr>
        <w:t>Includes branches of mining and quarrying, manufacturing and also energetics (here as activities of production and distribution of electricity, gas, heat and air conditioning supply). All year-on-year rates of growth of output (at the level of branch sections as well as divisions) are adjusted for calendar effects, quarter-on-quarter</w:t>
      </w:r>
      <w:r>
        <w:rPr>
          <w:rFonts w:cs="Arial"/>
          <w:color w:val="0D0D0D" w:themeColor="text1" w:themeTint="F2"/>
          <w:spacing w:val="-2"/>
          <w:sz w:val="16"/>
          <w:szCs w:val="16"/>
          <w:lang w:val="en-GB"/>
        </w:rPr>
        <w:t xml:space="preserve"> r</w:t>
      </w:r>
      <w:r w:rsidRPr="00E55F64">
        <w:rPr>
          <w:rFonts w:cs="Arial"/>
          <w:color w:val="0D0D0D" w:themeColor="text1" w:themeTint="F2"/>
          <w:spacing w:val="-2"/>
          <w:sz w:val="16"/>
          <w:szCs w:val="16"/>
          <w:lang w:val="en-GB"/>
        </w:rPr>
        <w:t>ates then also for seasonal effects.</w:t>
      </w:r>
    </w:p>
  </w:footnote>
  <w:footnote w:id="2">
    <w:p w14:paraId="1ABAFF83" w14:textId="1646571B" w:rsidR="00073B58" w:rsidRPr="00613BAF" w:rsidRDefault="00073B58" w:rsidP="00613BAF">
      <w:pPr>
        <w:spacing w:after="0" w:line="240" w:lineRule="auto"/>
        <w:rPr>
          <w:spacing w:val="-6"/>
          <w:sz w:val="16"/>
          <w:szCs w:val="16"/>
          <w:lang w:val="en-GB"/>
        </w:rPr>
      </w:pPr>
      <w:r w:rsidRPr="00613BAF">
        <w:rPr>
          <w:rStyle w:val="Znakapoznpodarou"/>
          <w:spacing w:val="-6"/>
          <w:sz w:val="16"/>
          <w:szCs w:val="16"/>
          <w:lang w:val="en-GB"/>
        </w:rPr>
        <w:footnoteRef/>
      </w:r>
      <w:r w:rsidRPr="00613BAF">
        <w:rPr>
          <w:spacing w:val="-6"/>
          <w:sz w:val="16"/>
          <w:szCs w:val="16"/>
          <w:lang w:val="en-GB"/>
        </w:rPr>
        <w:t xml:space="preserve"> </w:t>
      </w:r>
      <w:r>
        <w:rPr>
          <w:spacing w:val="-6"/>
          <w:sz w:val="16"/>
          <w:szCs w:val="16"/>
          <w:lang w:val="en-GB"/>
        </w:rPr>
        <w:t xml:space="preserve">Industrial output was by </w:t>
      </w:r>
      <w:r w:rsidRPr="00613BAF">
        <w:rPr>
          <w:spacing w:val="-6"/>
          <w:sz w:val="16"/>
          <w:szCs w:val="16"/>
          <w:lang w:val="en-GB"/>
        </w:rPr>
        <w:t>1</w:t>
      </w:r>
      <w:r>
        <w:rPr>
          <w:spacing w:val="-6"/>
          <w:sz w:val="16"/>
          <w:szCs w:val="16"/>
          <w:lang w:val="en-GB"/>
        </w:rPr>
        <w:t>.</w:t>
      </w:r>
      <w:r w:rsidRPr="00613BAF">
        <w:rPr>
          <w:spacing w:val="-6"/>
          <w:sz w:val="16"/>
          <w:szCs w:val="16"/>
          <w:lang w:val="en-GB"/>
        </w:rPr>
        <w:t>5%</w:t>
      </w:r>
      <w:r>
        <w:rPr>
          <w:spacing w:val="-6"/>
          <w:sz w:val="16"/>
          <w:szCs w:val="16"/>
          <w:lang w:val="en-GB"/>
        </w:rPr>
        <w:t xml:space="preserve"> below the level of so far record period </w:t>
      </w:r>
      <w:r w:rsidRPr="00613BAF">
        <w:rPr>
          <w:spacing w:val="-6"/>
          <w:sz w:val="16"/>
          <w:szCs w:val="16"/>
          <w:lang w:val="en-GB"/>
        </w:rPr>
        <w:t>(</w:t>
      </w:r>
      <w:r>
        <w:rPr>
          <w:spacing w:val="-6"/>
          <w:sz w:val="16"/>
          <w:szCs w:val="16"/>
          <w:lang w:val="en-GB"/>
        </w:rPr>
        <w:t>Q</w:t>
      </w:r>
      <w:r w:rsidRPr="00613BAF">
        <w:rPr>
          <w:spacing w:val="-6"/>
          <w:sz w:val="16"/>
          <w:szCs w:val="16"/>
          <w:lang w:val="en-GB"/>
        </w:rPr>
        <w:t>2</w:t>
      </w:r>
      <w:r>
        <w:rPr>
          <w:spacing w:val="-6"/>
          <w:sz w:val="16"/>
          <w:szCs w:val="16"/>
          <w:lang w:val="en-GB"/>
        </w:rPr>
        <w:t xml:space="preserve"> </w:t>
      </w:r>
      <w:r w:rsidRPr="00613BAF">
        <w:rPr>
          <w:spacing w:val="-6"/>
          <w:sz w:val="16"/>
          <w:szCs w:val="16"/>
          <w:lang w:val="en-GB"/>
        </w:rPr>
        <w:t xml:space="preserve">2019). </w:t>
      </w:r>
      <w:r>
        <w:rPr>
          <w:spacing w:val="-6"/>
          <w:sz w:val="16"/>
          <w:szCs w:val="16"/>
          <w:lang w:val="en-GB"/>
        </w:rPr>
        <w:t xml:space="preserve">Full two thirds of all </w:t>
      </w:r>
      <w:r w:rsidRPr="00613BAF">
        <w:rPr>
          <w:spacing w:val="-6"/>
          <w:sz w:val="16"/>
          <w:szCs w:val="16"/>
          <w:lang w:val="en-GB"/>
        </w:rPr>
        <w:t>(</w:t>
      </w:r>
      <w:r>
        <w:rPr>
          <w:spacing w:val="-6"/>
          <w:sz w:val="16"/>
          <w:szCs w:val="16"/>
          <w:lang w:val="en-GB"/>
        </w:rPr>
        <w:t>nearly thirty</w:t>
      </w:r>
      <w:r w:rsidRPr="00613BAF">
        <w:rPr>
          <w:spacing w:val="-6"/>
          <w:sz w:val="16"/>
          <w:szCs w:val="16"/>
          <w:lang w:val="en-GB"/>
        </w:rPr>
        <w:t xml:space="preserve">) </w:t>
      </w:r>
      <w:r>
        <w:rPr>
          <w:spacing w:val="-6"/>
          <w:sz w:val="16"/>
          <w:szCs w:val="16"/>
          <w:lang w:val="en-GB"/>
        </w:rPr>
        <w:t>key industrial branches stayed behind their peak from the pre-pandemic boom era so far (years 2014 till 2019)</w:t>
      </w:r>
      <w:r w:rsidRPr="00613BAF">
        <w:rPr>
          <w:spacing w:val="-6"/>
          <w:sz w:val="16"/>
          <w:szCs w:val="16"/>
          <w:lang w:val="en-GB"/>
        </w:rPr>
        <w:t xml:space="preserve">. </w:t>
      </w:r>
      <w:r>
        <w:rPr>
          <w:spacing w:val="-6"/>
          <w:sz w:val="16"/>
          <w:szCs w:val="16"/>
          <w:lang w:val="en-GB"/>
        </w:rPr>
        <w:t xml:space="preserve">It was mainly mining and processing of coal </w:t>
      </w:r>
      <w:r w:rsidRPr="00613BAF">
        <w:rPr>
          <w:spacing w:val="-6"/>
          <w:sz w:val="16"/>
          <w:szCs w:val="16"/>
          <w:lang w:val="en-GB"/>
        </w:rPr>
        <w:t>(</w:t>
      </w:r>
      <w:r>
        <w:rPr>
          <w:spacing w:val="-6"/>
          <w:sz w:val="16"/>
          <w:szCs w:val="16"/>
          <w:lang w:val="en-GB"/>
        </w:rPr>
        <w:t xml:space="preserve">by </w:t>
      </w:r>
      <w:r w:rsidRPr="00613BAF">
        <w:rPr>
          <w:spacing w:val="-6"/>
          <w:sz w:val="16"/>
          <w:szCs w:val="16"/>
          <w:lang w:val="en-GB"/>
        </w:rPr>
        <w:t xml:space="preserve">37%), </w:t>
      </w:r>
      <w:r>
        <w:rPr>
          <w:spacing w:val="-6"/>
          <w:sz w:val="16"/>
          <w:szCs w:val="16"/>
          <w:lang w:val="en-GB"/>
        </w:rPr>
        <w:t xml:space="preserve">leatherworking industry </w:t>
      </w:r>
      <w:r w:rsidRPr="00613BAF">
        <w:rPr>
          <w:spacing w:val="-6"/>
          <w:sz w:val="16"/>
          <w:szCs w:val="16"/>
          <w:lang w:val="en-GB"/>
        </w:rPr>
        <w:t>(27%),</w:t>
      </w:r>
      <w:r>
        <w:rPr>
          <w:spacing w:val="-6"/>
          <w:sz w:val="16"/>
          <w:szCs w:val="16"/>
          <w:lang w:val="en-GB"/>
        </w:rPr>
        <w:t xml:space="preserve"> manufacturing of computers, electronic and optical appliances </w:t>
      </w:r>
      <w:r w:rsidRPr="00613BAF">
        <w:rPr>
          <w:spacing w:val="-6"/>
          <w:sz w:val="16"/>
          <w:szCs w:val="16"/>
          <w:lang w:val="en-GB"/>
        </w:rPr>
        <w:t>(14%)</w:t>
      </w:r>
      <w:r>
        <w:rPr>
          <w:spacing w:val="-6"/>
          <w:sz w:val="16"/>
          <w:szCs w:val="16"/>
          <w:lang w:val="en-GB"/>
        </w:rPr>
        <w:t xml:space="preserve"> and energetics</w:t>
      </w:r>
      <w:r w:rsidRPr="00613BAF">
        <w:rPr>
          <w:spacing w:val="-6"/>
          <w:sz w:val="16"/>
          <w:szCs w:val="16"/>
          <w:lang w:val="en-GB"/>
        </w:rPr>
        <w:t xml:space="preserve"> (11%). </w:t>
      </w:r>
      <w:r>
        <w:rPr>
          <w:spacing w:val="-6"/>
          <w:sz w:val="16"/>
          <w:szCs w:val="16"/>
          <w:lang w:val="en-GB"/>
        </w:rPr>
        <w:t xml:space="preserve">On the contrary, manufacturers of electrical equipment </w:t>
      </w:r>
      <w:r w:rsidRPr="00613BAF">
        <w:rPr>
          <w:spacing w:val="-6"/>
          <w:sz w:val="16"/>
          <w:szCs w:val="16"/>
          <w:lang w:val="en-GB"/>
        </w:rPr>
        <w:t>(</w:t>
      </w:r>
      <w:r>
        <w:rPr>
          <w:spacing w:val="-6"/>
          <w:sz w:val="16"/>
          <w:szCs w:val="16"/>
          <w:lang w:val="en-GB"/>
        </w:rPr>
        <w:t xml:space="preserve">by </w:t>
      </w:r>
      <w:r w:rsidRPr="00613BAF">
        <w:rPr>
          <w:spacing w:val="-6"/>
          <w:sz w:val="16"/>
          <w:szCs w:val="16"/>
          <w:lang w:val="en-GB"/>
        </w:rPr>
        <w:t>5%)</w:t>
      </w:r>
      <w:r>
        <w:rPr>
          <w:spacing w:val="-6"/>
          <w:sz w:val="16"/>
          <w:szCs w:val="16"/>
          <w:lang w:val="en-GB"/>
        </w:rPr>
        <w:t xml:space="preserve"> or building materials </w:t>
      </w:r>
      <w:r w:rsidRPr="00613BAF">
        <w:rPr>
          <w:spacing w:val="-6"/>
          <w:sz w:val="16"/>
          <w:szCs w:val="16"/>
          <w:lang w:val="en-GB"/>
        </w:rPr>
        <w:t>(4%)</w:t>
      </w:r>
      <w:r>
        <w:rPr>
          <w:spacing w:val="-6"/>
          <w:sz w:val="16"/>
          <w:szCs w:val="16"/>
          <w:lang w:val="en-GB"/>
        </w:rPr>
        <w:t xml:space="preserve"> and food </w:t>
      </w:r>
      <w:r w:rsidRPr="00613BAF">
        <w:rPr>
          <w:spacing w:val="-6"/>
          <w:sz w:val="16"/>
          <w:szCs w:val="16"/>
          <w:lang w:val="en-GB"/>
        </w:rPr>
        <w:t>(3%)</w:t>
      </w:r>
      <w:r>
        <w:rPr>
          <w:spacing w:val="-6"/>
          <w:sz w:val="16"/>
          <w:szCs w:val="16"/>
          <w:lang w:val="en-GB"/>
        </w:rPr>
        <w:t xml:space="preserve"> already overtook the pre-crisis level</w:t>
      </w:r>
      <w:r w:rsidRPr="00613BAF">
        <w:rPr>
          <w:spacing w:val="-6"/>
          <w:sz w:val="16"/>
          <w:szCs w:val="16"/>
          <w:lang w:val="en-GB"/>
        </w:rPr>
        <w:t xml:space="preserve">. </w:t>
      </w:r>
      <w:r>
        <w:rPr>
          <w:spacing w:val="-6"/>
          <w:sz w:val="16"/>
          <w:szCs w:val="16"/>
          <w:lang w:val="en-GB"/>
        </w:rPr>
        <w:t xml:space="preserve">From the smaller activities mainly paper industry </w:t>
      </w:r>
      <w:r w:rsidRPr="00613BAF">
        <w:rPr>
          <w:spacing w:val="-6"/>
          <w:sz w:val="16"/>
          <w:szCs w:val="16"/>
          <w:lang w:val="en-GB"/>
        </w:rPr>
        <w:t>(15%),</w:t>
      </w:r>
      <w:r>
        <w:rPr>
          <w:spacing w:val="-6"/>
          <w:sz w:val="16"/>
          <w:szCs w:val="16"/>
          <w:lang w:val="en-GB"/>
        </w:rPr>
        <w:t xml:space="preserve"> pharmaceutical industry (</w:t>
      </w:r>
      <w:r w:rsidRPr="00613BAF">
        <w:rPr>
          <w:spacing w:val="-6"/>
          <w:sz w:val="16"/>
          <w:szCs w:val="16"/>
          <w:lang w:val="en-GB"/>
        </w:rPr>
        <w:t>11%),</w:t>
      </w:r>
      <w:r>
        <w:rPr>
          <w:spacing w:val="-6"/>
          <w:sz w:val="16"/>
          <w:szCs w:val="16"/>
          <w:lang w:val="en-GB"/>
        </w:rPr>
        <w:t xml:space="preserve"> manufacturing of furniture </w:t>
      </w:r>
      <w:r w:rsidRPr="00613BAF">
        <w:rPr>
          <w:spacing w:val="-6"/>
          <w:sz w:val="16"/>
          <w:szCs w:val="16"/>
          <w:lang w:val="en-GB"/>
        </w:rPr>
        <w:t>(9%)</w:t>
      </w:r>
      <w:r>
        <w:rPr>
          <w:spacing w:val="-6"/>
          <w:sz w:val="16"/>
          <w:szCs w:val="16"/>
          <w:lang w:val="en-GB"/>
        </w:rPr>
        <w:t xml:space="preserve"> and other manufacturing industry </w:t>
      </w:r>
      <w:r w:rsidRPr="00613BAF">
        <w:rPr>
          <w:spacing w:val="-6"/>
          <w:sz w:val="16"/>
          <w:szCs w:val="16"/>
          <w:lang w:val="en-GB"/>
        </w:rPr>
        <w:t xml:space="preserve">(14%), </w:t>
      </w:r>
      <w:r>
        <w:rPr>
          <w:spacing w:val="-6"/>
          <w:sz w:val="16"/>
          <w:szCs w:val="16"/>
          <w:lang w:val="en-GB"/>
        </w:rPr>
        <w:t>including for instance manufacturing of medical instruments, sport equipment, games and toys belonged into this category.</w:t>
      </w:r>
    </w:p>
  </w:footnote>
  <w:footnote w:id="3">
    <w:p w14:paraId="12E8F406" w14:textId="3734582A" w:rsidR="00073B58" w:rsidRPr="00613BAF" w:rsidRDefault="00073B58" w:rsidP="006359F7">
      <w:pPr>
        <w:pStyle w:val="Textpoznpodarou"/>
        <w:jc w:val="both"/>
        <w:rPr>
          <w:spacing w:val="-6"/>
          <w:sz w:val="16"/>
          <w:szCs w:val="16"/>
          <w:lang w:val="en-GB"/>
        </w:rPr>
      </w:pPr>
      <w:r w:rsidRPr="00613BAF">
        <w:rPr>
          <w:rStyle w:val="Znakapoznpodarou"/>
          <w:spacing w:val="-6"/>
          <w:sz w:val="16"/>
          <w:szCs w:val="16"/>
          <w:lang w:val="en-GB"/>
        </w:rPr>
        <w:footnoteRef/>
      </w:r>
      <w:r w:rsidRPr="00613BAF">
        <w:rPr>
          <w:spacing w:val="-6"/>
          <w:sz w:val="16"/>
          <w:szCs w:val="16"/>
          <w:lang w:val="en-GB"/>
        </w:rPr>
        <w:t xml:space="preserve"> </w:t>
      </w:r>
      <w:r>
        <w:rPr>
          <w:spacing w:val="-6"/>
          <w:sz w:val="16"/>
          <w:szCs w:val="16"/>
          <w:lang w:val="en-GB"/>
        </w:rPr>
        <w:t>Data of the Automotive Industry Association also depict this. There were over 120 thousand personal vehicles manufactured in the CR both in May and June this year, which made these months approach the level from the same period of years 2017 till 2019</w:t>
      </w:r>
      <w:r w:rsidRPr="00613BAF">
        <w:rPr>
          <w:spacing w:val="-6"/>
          <w:sz w:val="16"/>
          <w:szCs w:val="16"/>
          <w:lang w:val="en-GB"/>
        </w:rPr>
        <w:t xml:space="preserve">, </w:t>
      </w:r>
      <w:r>
        <w:rPr>
          <w:spacing w:val="-6"/>
          <w:sz w:val="16"/>
          <w:szCs w:val="16"/>
          <w:lang w:val="en-GB"/>
        </w:rPr>
        <w:t>when the manufacturing of motor vehicles peaked locally</w:t>
      </w:r>
      <w:r w:rsidRPr="00613BAF">
        <w:rPr>
          <w:spacing w:val="-6"/>
          <w:sz w:val="16"/>
          <w:szCs w:val="16"/>
          <w:lang w:val="en-GB"/>
        </w:rPr>
        <w:t xml:space="preserve">. </w:t>
      </w:r>
      <w:r>
        <w:rPr>
          <w:spacing w:val="-6"/>
          <w:sz w:val="16"/>
          <w:szCs w:val="16"/>
          <w:lang w:val="en-GB"/>
        </w:rPr>
        <w:t>The manufacturing of personal vehicles reached 607 thousand in total for H</w:t>
      </w:r>
      <w:r w:rsidRPr="00613BAF">
        <w:rPr>
          <w:spacing w:val="-6"/>
          <w:sz w:val="16"/>
          <w:szCs w:val="16"/>
          <w:lang w:val="en-GB"/>
        </w:rPr>
        <w:t>1</w:t>
      </w:r>
      <w:r>
        <w:rPr>
          <w:spacing w:val="-6"/>
          <w:sz w:val="16"/>
          <w:szCs w:val="16"/>
          <w:lang w:val="en-GB"/>
        </w:rPr>
        <w:t xml:space="preserve"> </w:t>
      </w:r>
      <w:r w:rsidRPr="00613BAF">
        <w:rPr>
          <w:spacing w:val="-6"/>
          <w:sz w:val="16"/>
          <w:szCs w:val="16"/>
          <w:lang w:val="en-GB"/>
        </w:rPr>
        <w:t>2022</w:t>
      </w:r>
      <w:r>
        <w:rPr>
          <w:spacing w:val="-6"/>
          <w:sz w:val="16"/>
          <w:szCs w:val="16"/>
          <w:lang w:val="en-GB"/>
        </w:rPr>
        <w:t xml:space="preserve"> </w:t>
      </w:r>
      <w:r w:rsidRPr="00613BAF">
        <w:rPr>
          <w:spacing w:val="-6"/>
          <w:sz w:val="16"/>
          <w:szCs w:val="16"/>
          <w:lang w:val="en-GB"/>
        </w:rPr>
        <w:t>(</w:t>
      </w:r>
      <w:r>
        <w:rPr>
          <w:spacing w:val="-6"/>
          <w:sz w:val="16"/>
          <w:szCs w:val="16"/>
          <w:lang w:val="en-GB"/>
        </w:rPr>
        <w:t>by 8% less year-on-year</w:t>
      </w:r>
      <w:r w:rsidRPr="00613BAF">
        <w:rPr>
          <w:spacing w:val="-6"/>
          <w:sz w:val="16"/>
          <w:szCs w:val="16"/>
          <w:lang w:val="en-GB"/>
        </w:rPr>
        <w:t>,</w:t>
      </w:r>
      <w:r>
        <w:rPr>
          <w:spacing w:val="-6"/>
          <w:sz w:val="16"/>
          <w:szCs w:val="16"/>
          <w:lang w:val="en-GB"/>
        </w:rPr>
        <w:t xml:space="preserve"> at the same time it was the third lowest value after year </w:t>
      </w:r>
      <w:r w:rsidRPr="00613BAF">
        <w:rPr>
          <w:spacing w:val="-6"/>
          <w:sz w:val="16"/>
          <w:szCs w:val="16"/>
          <w:lang w:val="en-GB"/>
        </w:rPr>
        <w:t>2010).</w:t>
      </w:r>
    </w:p>
  </w:footnote>
  <w:footnote w:id="4">
    <w:p w14:paraId="0DE63CD6" w14:textId="59166641" w:rsidR="00073B58" w:rsidRPr="00D94929" w:rsidRDefault="00073B58" w:rsidP="001A1DBF">
      <w:pPr>
        <w:pStyle w:val="Textpoznpodarou"/>
        <w:jc w:val="both"/>
        <w:rPr>
          <w:spacing w:val="-6"/>
          <w:sz w:val="16"/>
          <w:szCs w:val="16"/>
          <w:lang w:val="en-GB"/>
        </w:rPr>
      </w:pPr>
      <w:r w:rsidRPr="00CF35A7">
        <w:rPr>
          <w:rStyle w:val="Znakapoznpodarou"/>
          <w:spacing w:val="-6"/>
          <w:sz w:val="16"/>
          <w:szCs w:val="16"/>
        </w:rPr>
        <w:footnoteRef/>
      </w:r>
      <w:r w:rsidRPr="00CF35A7">
        <w:rPr>
          <w:spacing w:val="-6"/>
          <w:sz w:val="16"/>
          <w:szCs w:val="16"/>
        </w:rPr>
        <w:t xml:space="preserve"> </w:t>
      </w:r>
      <w:r w:rsidRPr="00D94929">
        <w:rPr>
          <w:spacing w:val="-6"/>
          <w:sz w:val="16"/>
          <w:szCs w:val="16"/>
          <w:lang w:val="en-GB"/>
        </w:rPr>
        <w:t xml:space="preserve">It was slightly below 80% at the beginning of both Q2 and Q3 2022. It however slightly exceeded 90% in the last boom period. </w:t>
      </w:r>
    </w:p>
  </w:footnote>
  <w:footnote w:id="5">
    <w:p w14:paraId="54B88920" w14:textId="3C2F625F" w:rsidR="00073B58" w:rsidRPr="00D94929" w:rsidRDefault="00073B58" w:rsidP="001A1DBF">
      <w:pPr>
        <w:pStyle w:val="Textpoznpodarou"/>
        <w:jc w:val="both"/>
        <w:rPr>
          <w:spacing w:val="-6"/>
          <w:sz w:val="16"/>
          <w:szCs w:val="16"/>
          <w:lang w:val="en-GB"/>
        </w:rPr>
      </w:pPr>
      <w:r w:rsidRPr="00D94929">
        <w:rPr>
          <w:rStyle w:val="Znakapoznpodarou"/>
          <w:spacing w:val="-6"/>
          <w:sz w:val="16"/>
          <w:szCs w:val="16"/>
          <w:lang w:val="en-GB"/>
        </w:rPr>
        <w:footnoteRef/>
      </w:r>
      <w:r w:rsidRPr="00D94929">
        <w:rPr>
          <w:spacing w:val="-6"/>
          <w:sz w:val="16"/>
          <w:szCs w:val="16"/>
          <w:lang w:val="en-GB"/>
        </w:rPr>
        <w:t xml:space="preserve"> Businesses could have indicated more barriers simultaneously. </w:t>
      </w:r>
    </w:p>
  </w:footnote>
  <w:footnote w:id="6">
    <w:p w14:paraId="467170FC" w14:textId="0122E1AD" w:rsidR="00073B58" w:rsidRPr="00D94929" w:rsidRDefault="00073B58" w:rsidP="001A1DBF">
      <w:pPr>
        <w:pStyle w:val="Textpoznpodarou"/>
        <w:jc w:val="both"/>
        <w:rPr>
          <w:spacing w:val="-6"/>
          <w:sz w:val="16"/>
          <w:szCs w:val="16"/>
          <w:lang w:val="en-GB"/>
        </w:rPr>
      </w:pPr>
      <w:r w:rsidRPr="00D94929">
        <w:rPr>
          <w:rStyle w:val="Znakapoznpodarou"/>
          <w:spacing w:val="-6"/>
          <w:sz w:val="16"/>
          <w:szCs w:val="16"/>
          <w:lang w:val="en-GB"/>
        </w:rPr>
        <w:footnoteRef/>
      </w:r>
      <w:r w:rsidRPr="00D94929">
        <w:rPr>
          <w:spacing w:val="-6"/>
          <w:sz w:val="16"/>
          <w:szCs w:val="16"/>
          <w:lang w:val="en-GB"/>
        </w:rPr>
        <w:t xml:space="preserve"> </w:t>
      </w:r>
      <w:r>
        <w:rPr>
          <w:spacing w:val="-6"/>
          <w:sz w:val="16"/>
          <w:szCs w:val="16"/>
          <w:lang w:val="en-GB"/>
        </w:rPr>
        <w:t>Consumption of gas reduced by 19.7% in the CR in H</w:t>
      </w:r>
      <w:r w:rsidRPr="00D94929">
        <w:rPr>
          <w:spacing w:val="-6"/>
          <w:sz w:val="16"/>
          <w:szCs w:val="16"/>
          <w:lang w:val="en-GB"/>
        </w:rPr>
        <w:t>1</w:t>
      </w:r>
      <w:r>
        <w:rPr>
          <w:spacing w:val="-6"/>
          <w:sz w:val="16"/>
          <w:szCs w:val="16"/>
          <w:lang w:val="en-GB"/>
        </w:rPr>
        <w:t xml:space="preserve"> year-on-year </w:t>
      </w:r>
      <w:r w:rsidRPr="00D94929">
        <w:rPr>
          <w:spacing w:val="-6"/>
          <w:sz w:val="16"/>
          <w:szCs w:val="16"/>
          <w:lang w:val="en-GB"/>
        </w:rPr>
        <w:t>(</w:t>
      </w:r>
      <w:r>
        <w:rPr>
          <w:spacing w:val="-6"/>
          <w:sz w:val="16"/>
          <w:szCs w:val="16"/>
          <w:lang w:val="en-GB"/>
        </w:rPr>
        <w:t xml:space="preserve">after adjustment for warmer winter by </w:t>
      </w:r>
      <w:r w:rsidRPr="00D94929">
        <w:rPr>
          <w:spacing w:val="-6"/>
          <w:sz w:val="16"/>
          <w:szCs w:val="16"/>
          <w:lang w:val="en-GB"/>
        </w:rPr>
        <w:t>14</w:t>
      </w:r>
      <w:r>
        <w:rPr>
          <w:spacing w:val="-6"/>
          <w:sz w:val="16"/>
          <w:szCs w:val="16"/>
          <w:lang w:val="en-GB"/>
        </w:rPr>
        <w:t>.</w:t>
      </w:r>
      <w:r w:rsidRPr="00D94929">
        <w:rPr>
          <w:spacing w:val="-6"/>
          <w:sz w:val="16"/>
          <w:szCs w:val="16"/>
          <w:lang w:val="en-GB"/>
        </w:rPr>
        <w:t xml:space="preserve">7%). </w:t>
      </w:r>
      <w:r>
        <w:rPr>
          <w:spacing w:val="-6"/>
          <w:sz w:val="16"/>
          <w:szCs w:val="16"/>
          <w:lang w:val="en-GB"/>
        </w:rPr>
        <w:t xml:space="preserve">Wholesale customers had the largest share on this result, nevertheless households also reduced their consumption considerably </w:t>
      </w:r>
      <w:r w:rsidRPr="00D94929">
        <w:rPr>
          <w:spacing w:val="-6"/>
          <w:sz w:val="16"/>
          <w:szCs w:val="16"/>
          <w:lang w:val="en-GB"/>
        </w:rPr>
        <w:t>(</w:t>
      </w:r>
      <w:r>
        <w:rPr>
          <w:spacing w:val="-6"/>
          <w:sz w:val="16"/>
          <w:szCs w:val="16"/>
          <w:lang w:val="en-GB"/>
        </w:rPr>
        <w:t xml:space="preserve">by </w:t>
      </w:r>
      <w:r w:rsidRPr="00D94929">
        <w:rPr>
          <w:spacing w:val="-6"/>
          <w:sz w:val="16"/>
          <w:szCs w:val="16"/>
          <w:lang w:val="en-GB"/>
        </w:rPr>
        <w:t xml:space="preserve">19%). </w:t>
      </w:r>
      <w:r>
        <w:rPr>
          <w:spacing w:val="-6"/>
          <w:sz w:val="16"/>
          <w:szCs w:val="16"/>
          <w:lang w:val="en-GB"/>
        </w:rPr>
        <w:t xml:space="preserve">Based on the fresh data, the total gross manufacturing of heat fell by </w:t>
      </w:r>
      <w:r w:rsidRPr="00D94929">
        <w:rPr>
          <w:spacing w:val="-6"/>
          <w:sz w:val="16"/>
          <w:szCs w:val="16"/>
          <w:lang w:val="en-GB"/>
        </w:rPr>
        <w:t>7</w:t>
      </w:r>
      <w:r>
        <w:rPr>
          <w:spacing w:val="-6"/>
          <w:sz w:val="16"/>
          <w:szCs w:val="16"/>
          <w:lang w:val="en-GB"/>
        </w:rPr>
        <w:t>.</w:t>
      </w:r>
      <w:r w:rsidRPr="00D94929">
        <w:rPr>
          <w:spacing w:val="-6"/>
          <w:sz w:val="16"/>
          <w:szCs w:val="16"/>
          <w:lang w:val="en-GB"/>
        </w:rPr>
        <w:t>7%</w:t>
      </w:r>
      <w:r>
        <w:rPr>
          <w:spacing w:val="-6"/>
          <w:sz w:val="16"/>
          <w:szCs w:val="16"/>
          <w:lang w:val="en-GB"/>
        </w:rPr>
        <w:t xml:space="preserve"> in Q1 this year</w:t>
      </w:r>
      <w:r w:rsidRPr="00D94929">
        <w:rPr>
          <w:spacing w:val="-6"/>
          <w:sz w:val="16"/>
          <w:szCs w:val="16"/>
          <w:lang w:val="en-GB"/>
        </w:rPr>
        <w:t xml:space="preserve">, </w:t>
      </w:r>
      <w:r>
        <w:rPr>
          <w:spacing w:val="-6"/>
          <w:sz w:val="16"/>
          <w:szCs w:val="16"/>
          <w:lang w:val="en-GB"/>
        </w:rPr>
        <w:t>mainly thanks to the lower utilisation of the natural gas</w:t>
      </w:r>
      <w:r w:rsidRPr="00D94929">
        <w:rPr>
          <w:spacing w:val="-6"/>
          <w:sz w:val="16"/>
          <w:szCs w:val="16"/>
          <w:lang w:val="en-GB"/>
        </w:rPr>
        <w:t xml:space="preserve">. </w:t>
      </w:r>
      <w:r>
        <w:rPr>
          <w:spacing w:val="-6"/>
          <w:sz w:val="16"/>
          <w:szCs w:val="16"/>
          <w:lang w:val="en-GB"/>
        </w:rPr>
        <w:t xml:space="preserve">Similarly the quantity of consumed heat also decreased, compared with the beginning of year </w:t>
      </w:r>
      <w:r w:rsidRPr="00D94929">
        <w:rPr>
          <w:spacing w:val="-6"/>
          <w:sz w:val="16"/>
          <w:szCs w:val="16"/>
          <w:lang w:val="en-GB"/>
        </w:rPr>
        <w:t>2020 (</w:t>
      </w:r>
      <w:r>
        <w:rPr>
          <w:spacing w:val="-6"/>
          <w:sz w:val="16"/>
          <w:szCs w:val="16"/>
          <w:lang w:val="en-GB"/>
        </w:rPr>
        <w:t>when similar temperature conditions arose as this year</w:t>
      </w:r>
      <w:r w:rsidRPr="00D94929">
        <w:rPr>
          <w:spacing w:val="-6"/>
          <w:sz w:val="16"/>
          <w:szCs w:val="16"/>
          <w:lang w:val="en-GB"/>
        </w:rPr>
        <w:t xml:space="preserve">) </w:t>
      </w:r>
      <w:r>
        <w:rPr>
          <w:spacing w:val="-6"/>
          <w:sz w:val="16"/>
          <w:szCs w:val="16"/>
          <w:lang w:val="en-GB"/>
        </w:rPr>
        <w:t xml:space="preserve">the decrease was </w:t>
      </w:r>
      <w:r w:rsidRPr="00D94929">
        <w:rPr>
          <w:spacing w:val="-6"/>
          <w:sz w:val="16"/>
          <w:szCs w:val="16"/>
          <w:lang w:val="en-GB"/>
        </w:rPr>
        <w:t>3% (</w:t>
      </w:r>
      <w:r>
        <w:rPr>
          <w:spacing w:val="-6"/>
          <w:sz w:val="16"/>
          <w:szCs w:val="16"/>
          <w:lang w:val="en-GB"/>
        </w:rPr>
        <w:t xml:space="preserve">in that </w:t>
      </w:r>
      <w:r w:rsidRPr="00D94929">
        <w:rPr>
          <w:spacing w:val="-6"/>
          <w:sz w:val="16"/>
          <w:szCs w:val="16"/>
          <w:lang w:val="en-GB"/>
        </w:rPr>
        <w:t>4%</w:t>
      </w:r>
      <w:r>
        <w:rPr>
          <w:spacing w:val="-6"/>
          <w:sz w:val="16"/>
          <w:szCs w:val="16"/>
          <w:lang w:val="en-GB"/>
        </w:rPr>
        <w:t xml:space="preserve"> in households</w:t>
      </w:r>
      <w:r w:rsidRPr="00D94929">
        <w:rPr>
          <w:spacing w:val="-6"/>
          <w:sz w:val="16"/>
          <w:szCs w:val="16"/>
          <w:lang w:val="en-GB"/>
        </w:rPr>
        <w:t xml:space="preserve">). </w:t>
      </w:r>
    </w:p>
  </w:footnote>
  <w:footnote w:id="7">
    <w:p w14:paraId="09083DA8" w14:textId="1BDC6E83" w:rsidR="00073B58" w:rsidRPr="00D94929" w:rsidRDefault="00073B58" w:rsidP="001A1DBF">
      <w:pPr>
        <w:pStyle w:val="Textpoznpodarou"/>
        <w:jc w:val="both"/>
        <w:rPr>
          <w:spacing w:val="-6"/>
          <w:lang w:val="en-GB"/>
        </w:rPr>
      </w:pPr>
      <w:r w:rsidRPr="00D94929">
        <w:rPr>
          <w:rStyle w:val="Znakapoznpodarou"/>
          <w:spacing w:val="-6"/>
          <w:sz w:val="16"/>
          <w:szCs w:val="16"/>
          <w:lang w:val="en-GB"/>
        </w:rPr>
        <w:footnoteRef/>
      </w:r>
      <w:r w:rsidRPr="00D94929">
        <w:rPr>
          <w:spacing w:val="-6"/>
          <w:sz w:val="16"/>
          <w:szCs w:val="16"/>
          <w:lang w:val="en-GB"/>
        </w:rPr>
        <w:t xml:space="preserve"> </w:t>
      </w:r>
      <w:r>
        <w:rPr>
          <w:spacing w:val="-6"/>
          <w:sz w:val="16"/>
          <w:szCs w:val="16"/>
          <w:lang w:val="en-GB"/>
        </w:rPr>
        <w:t xml:space="preserve">The gross domestic generated electricity totalled </w:t>
      </w:r>
      <w:r w:rsidRPr="00D94929">
        <w:rPr>
          <w:spacing w:val="-6"/>
          <w:sz w:val="16"/>
          <w:szCs w:val="16"/>
          <w:lang w:val="en-GB"/>
        </w:rPr>
        <w:t>42</w:t>
      </w:r>
      <w:r>
        <w:rPr>
          <w:spacing w:val="-6"/>
          <w:sz w:val="16"/>
          <w:szCs w:val="16"/>
          <w:lang w:val="en-GB"/>
        </w:rPr>
        <w:t>.</w:t>
      </w:r>
      <w:r w:rsidRPr="00D94929">
        <w:rPr>
          <w:spacing w:val="-6"/>
          <w:sz w:val="16"/>
          <w:szCs w:val="16"/>
          <w:lang w:val="en-GB"/>
        </w:rPr>
        <w:t xml:space="preserve">2 TWh </w:t>
      </w:r>
      <w:r>
        <w:rPr>
          <w:spacing w:val="-6"/>
          <w:sz w:val="16"/>
          <w:szCs w:val="16"/>
          <w:lang w:val="en-GB"/>
        </w:rPr>
        <w:t xml:space="preserve">in H1 2022 </w:t>
      </w:r>
      <w:r w:rsidRPr="00D94929">
        <w:rPr>
          <w:spacing w:val="-6"/>
          <w:sz w:val="16"/>
          <w:szCs w:val="16"/>
          <w:lang w:val="en-GB"/>
        </w:rPr>
        <w:t>(</w:t>
      </w:r>
      <w:r>
        <w:rPr>
          <w:spacing w:val="-6"/>
          <w:sz w:val="16"/>
          <w:szCs w:val="16"/>
          <w:lang w:val="en-GB"/>
        </w:rPr>
        <w:t xml:space="preserve">by </w:t>
      </w:r>
      <w:r w:rsidRPr="00D94929">
        <w:rPr>
          <w:spacing w:val="-6"/>
          <w:sz w:val="16"/>
          <w:szCs w:val="16"/>
          <w:lang w:val="en-GB"/>
        </w:rPr>
        <w:t>2</w:t>
      </w:r>
      <w:r>
        <w:rPr>
          <w:spacing w:val="-6"/>
          <w:sz w:val="16"/>
          <w:szCs w:val="16"/>
          <w:lang w:val="en-GB"/>
        </w:rPr>
        <w:t>.</w:t>
      </w:r>
      <w:r w:rsidRPr="00D94929">
        <w:rPr>
          <w:spacing w:val="-6"/>
          <w:sz w:val="16"/>
          <w:szCs w:val="16"/>
          <w:lang w:val="en-GB"/>
        </w:rPr>
        <w:t>2%</w:t>
      </w:r>
      <w:r>
        <w:rPr>
          <w:spacing w:val="-6"/>
          <w:sz w:val="16"/>
          <w:szCs w:val="16"/>
          <w:lang w:val="en-GB"/>
        </w:rPr>
        <w:t xml:space="preserve"> more year-on-year</w:t>
      </w:r>
      <w:r w:rsidRPr="00D94929">
        <w:rPr>
          <w:spacing w:val="-6"/>
          <w:sz w:val="16"/>
          <w:szCs w:val="16"/>
          <w:lang w:val="en-GB"/>
        </w:rPr>
        <w:t xml:space="preserve">, </w:t>
      </w:r>
      <w:r>
        <w:rPr>
          <w:spacing w:val="-6"/>
          <w:sz w:val="16"/>
          <w:szCs w:val="16"/>
          <w:lang w:val="en-GB"/>
        </w:rPr>
        <w:t xml:space="preserve">but by </w:t>
      </w:r>
      <w:r w:rsidRPr="00D94929">
        <w:rPr>
          <w:spacing w:val="-6"/>
          <w:sz w:val="16"/>
          <w:szCs w:val="16"/>
          <w:lang w:val="en-GB"/>
        </w:rPr>
        <w:t>4</w:t>
      </w:r>
      <w:r>
        <w:rPr>
          <w:spacing w:val="-6"/>
          <w:sz w:val="16"/>
          <w:szCs w:val="16"/>
          <w:lang w:val="en-GB"/>
        </w:rPr>
        <w:t>.</w:t>
      </w:r>
      <w:r w:rsidRPr="00D94929">
        <w:rPr>
          <w:spacing w:val="-6"/>
          <w:sz w:val="16"/>
          <w:szCs w:val="16"/>
          <w:lang w:val="en-GB"/>
        </w:rPr>
        <w:t>2%</w:t>
      </w:r>
      <w:r>
        <w:rPr>
          <w:spacing w:val="-6"/>
          <w:sz w:val="16"/>
          <w:szCs w:val="16"/>
          <w:lang w:val="en-GB"/>
        </w:rPr>
        <w:t xml:space="preserve"> less compared to year 2019</w:t>
      </w:r>
      <w:r w:rsidRPr="00D94929">
        <w:rPr>
          <w:spacing w:val="-6"/>
          <w:sz w:val="16"/>
          <w:szCs w:val="16"/>
          <w:lang w:val="en-GB"/>
        </w:rPr>
        <w:t xml:space="preserve">). </w:t>
      </w:r>
      <w:r>
        <w:rPr>
          <w:spacing w:val="-6"/>
          <w:sz w:val="16"/>
          <w:szCs w:val="16"/>
          <w:lang w:val="en-GB"/>
        </w:rPr>
        <w:t xml:space="preserve">The steam power plants contributed the most to the year-on-year growth of production even despite the decrease of their installed performance, specifically mainly thanks to higher utilisation of coal. The generation of electricity in nuclear power plants also mildly strengthened. In contrast the output plunged by </w:t>
      </w:r>
      <w:r w:rsidRPr="00D94929">
        <w:rPr>
          <w:spacing w:val="-6"/>
          <w:sz w:val="16"/>
          <w:szCs w:val="16"/>
          <w:lang w:val="en-GB"/>
        </w:rPr>
        <w:t xml:space="preserve">60% </w:t>
      </w:r>
      <w:r>
        <w:rPr>
          <w:spacing w:val="-6"/>
          <w:sz w:val="16"/>
          <w:szCs w:val="16"/>
          <w:lang w:val="en-GB"/>
        </w:rPr>
        <w:t xml:space="preserve">in combined gas/steam plants and by nearly one fifth also in water and pumping stations. Total gross domestic consumption of electricity mildly fell </w:t>
      </w:r>
      <w:r w:rsidRPr="00D94929">
        <w:rPr>
          <w:spacing w:val="-6"/>
          <w:sz w:val="16"/>
          <w:szCs w:val="16"/>
          <w:lang w:val="en-GB"/>
        </w:rPr>
        <w:t>(</w:t>
      </w:r>
      <w:r>
        <w:rPr>
          <w:spacing w:val="-6"/>
          <w:sz w:val="16"/>
          <w:szCs w:val="16"/>
          <w:lang w:val="en-GB"/>
        </w:rPr>
        <w:t xml:space="preserve">by </w:t>
      </w:r>
      <w:r w:rsidRPr="00D94929">
        <w:rPr>
          <w:spacing w:val="-6"/>
          <w:sz w:val="16"/>
          <w:szCs w:val="16"/>
          <w:lang w:val="en-GB"/>
        </w:rPr>
        <w:t>1</w:t>
      </w:r>
      <w:r>
        <w:rPr>
          <w:spacing w:val="-6"/>
          <w:sz w:val="16"/>
          <w:szCs w:val="16"/>
          <w:lang w:val="en-GB"/>
        </w:rPr>
        <w:t>.</w:t>
      </w:r>
      <w:r w:rsidRPr="00D94929">
        <w:rPr>
          <w:spacing w:val="-6"/>
          <w:sz w:val="16"/>
          <w:szCs w:val="16"/>
          <w:lang w:val="en-GB"/>
        </w:rPr>
        <w:t>5%,</w:t>
      </w:r>
      <w:r>
        <w:rPr>
          <w:spacing w:val="-6"/>
          <w:sz w:val="16"/>
          <w:szCs w:val="16"/>
          <w:lang w:val="en-GB"/>
        </w:rPr>
        <w:t xml:space="preserve"> nearly solely thanks to households</w:t>
      </w:r>
      <w:r w:rsidRPr="00D94929">
        <w:rPr>
          <w:spacing w:val="-6"/>
          <w:sz w:val="16"/>
          <w:szCs w:val="16"/>
          <w:lang w:val="en-GB"/>
        </w:rPr>
        <w:t xml:space="preserve">) </w:t>
      </w:r>
      <w:r>
        <w:rPr>
          <w:spacing w:val="-6"/>
          <w:sz w:val="16"/>
          <w:szCs w:val="16"/>
          <w:lang w:val="en-GB"/>
        </w:rPr>
        <w:t xml:space="preserve">to </w:t>
      </w:r>
      <w:r w:rsidRPr="00D94929">
        <w:rPr>
          <w:spacing w:val="-6"/>
          <w:sz w:val="16"/>
          <w:szCs w:val="16"/>
          <w:lang w:val="en-GB"/>
        </w:rPr>
        <w:t>36</w:t>
      </w:r>
      <w:r>
        <w:rPr>
          <w:spacing w:val="-6"/>
          <w:sz w:val="16"/>
          <w:szCs w:val="16"/>
          <w:lang w:val="en-GB"/>
        </w:rPr>
        <w:t>.</w:t>
      </w:r>
      <w:r w:rsidRPr="00D94929">
        <w:rPr>
          <w:spacing w:val="-6"/>
          <w:sz w:val="16"/>
          <w:szCs w:val="16"/>
          <w:lang w:val="en-GB"/>
        </w:rPr>
        <w:t xml:space="preserve">8 TWh – </w:t>
      </w:r>
      <w:r>
        <w:rPr>
          <w:spacing w:val="-6"/>
          <w:sz w:val="16"/>
          <w:szCs w:val="16"/>
          <w:lang w:val="en-GB"/>
        </w:rPr>
        <w:t xml:space="preserve">i.e. to the lowest value in the last six years. </w:t>
      </w:r>
    </w:p>
  </w:footnote>
  <w:footnote w:id="8">
    <w:p w14:paraId="5432B89B" w14:textId="77777777" w:rsidR="00073B58" w:rsidRPr="00C7109C" w:rsidRDefault="00073B58" w:rsidP="00C7109C">
      <w:pPr>
        <w:pStyle w:val="Textpoznpodarou"/>
        <w:jc w:val="both"/>
        <w:rPr>
          <w:spacing w:val="-6"/>
          <w:sz w:val="16"/>
          <w:szCs w:val="16"/>
          <w:lang w:val="en-GB"/>
        </w:rPr>
      </w:pPr>
      <w:r w:rsidRPr="00CF35A7">
        <w:rPr>
          <w:rStyle w:val="Znakapoznpodarou"/>
          <w:spacing w:val="-6"/>
          <w:sz w:val="16"/>
          <w:szCs w:val="16"/>
        </w:rPr>
        <w:footnoteRef/>
      </w:r>
      <w:r w:rsidRPr="00CF35A7">
        <w:rPr>
          <w:spacing w:val="-6"/>
          <w:sz w:val="16"/>
          <w:szCs w:val="16"/>
        </w:rPr>
        <w:t xml:space="preserve"> </w:t>
      </w:r>
      <w:r w:rsidRPr="00C7109C">
        <w:rPr>
          <w:spacing w:val="-6"/>
          <w:sz w:val="16"/>
          <w:szCs w:val="16"/>
          <w:lang w:val="en-GB"/>
        </w:rPr>
        <w:t xml:space="preserve">Year-on-year rates of sales are adjusted for calendar effects. </w:t>
      </w:r>
    </w:p>
  </w:footnote>
  <w:footnote w:id="9">
    <w:p w14:paraId="38E102C7" w14:textId="77777777" w:rsidR="00073B58" w:rsidRPr="00C7109C" w:rsidRDefault="00073B58" w:rsidP="00C7109C">
      <w:pPr>
        <w:pStyle w:val="Textpoznpodarou"/>
        <w:jc w:val="both"/>
        <w:rPr>
          <w:spacing w:val="-6"/>
          <w:sz w:val="16"/>
          <w:szCs w:val="16"/>
          <w:lang w:val="en-GB"/>
        </w:rPr>
      </w:pPr>
      <w:r w:rsidRPr="00C7109C">
        <w:rPr>
          <w:rStyle w:val="Znakapoznpodarou"/>
          <w:spacing w:val="-6"/>
          <w:sz w:val="16"/>
          <w:szCs w:val="16"/>
          <w:lang w:val="en-GB"/>
        </w:rPr>
        <w:footnoteRef/>
      </w:r>
      <w:r w:rsidRPr="00C7109C">
        <w:rPr>
          <w:spacing w:val="-6"/>
          <w:sz w:val="16"/>
          <w:szCs w:val="16"/>
          <w:lang w:val="en-GB"/>
        </w:rPr>
        <w:t xml:space="preserve"> </w:t>
      </w:r>
      <w:r>
        <w:rPr>
          <w:spacing w:val="-6"/>
          <w:sz w:val="16"/>
          <w:szCs w:val="16"/>
          <w:lang w:val="en-GB"/>
        </w:rPr>
        <w:t>While the sales from industrial activity in current prices exceeded the highest level from the pre-pandemic period already in Q</w:t>
      </w:r>
      <w:r w:rsidRPr="00C7109C">
        <w:rPr>
          <w:spacing w:val="-6"/>
          <w:sz w:val="16"/>
          <w:szCs w:val="16"/>
          <w:lang w:val="en-GB"/>
        </w:rPr>
        <w:t>4</w:t>
      </w:r>
      <w:r>
        <w:rPr>
          <w:spacing w:val="-6"/>
          <w:sz w:val="16"/>
          <w:szCs w:val="16"/>
          <w:lang w:val="en-GB"/>
        </w:rPr>
        <w:t xml:space="preserve"> </w:t>
      </w:r>
      <w:r w:rsidRPr="00C7109C">
        <w:rPr>
          <w:spacing w:val="-6"/>
          <w:sz w:val="16"/>
          <w:szCs w:val="16"/>
          <w:lang w:val="en-GB"/>
        </w:rPr>
        <w:t xml:space="preserve">2020, </w:t>
      </w:r>
      <w:r>
        <w:rPr>
          <w:spacing w:val="-6"/>
          <w:sz w:val="16"/>
          <w:szCs w:val="16"/>
          <w:lang w:val="en-GB"/>
        </w:rPr>
        <w:t xml:space="preserve">it has not manifested in case of industrial production (which is standardly adjusted for price effects) so far. </w:t>
      </w:r>
    </w:p>
  </w:footnote>
  <w:footnote w:id="10">
    <w:p w14:paraId="2B34586C" w14:textId="77777777" w:rsidR="00073B58" w:rsidRPr="00C7109C" w:rsidRDefault="00073B58" w:rsidP="00C7109C">
      <w:pPr>
        <w:pStyle w:val="Textpoznpodarou"/>
        <w:jc w:val="both"/>
        <w:rPr>
          <w:spacing w:val="-6"/>
          <w:sz w:val="16"/>
          <w:szCs w:val="16"/>
          <w:lang w:val="en-GB"/>
        </w:rPr>
      </w:pPr>
      <w:r w:rsidRPr="00C7109C">
        <w:rPr>
          <w:rStyle w:val="Znakapoznpodarou"/>
          <w:spacing w:val="-6"/>
          <w:sz w:val="16"/>
          <w:szCs w:val="16"/>
          <w:lang w:val="en-GB"/>
        </w:rPr>
        <w:footnoteRef/>
      </w:r>
      <w:r w:rsidRPr="00C7109C">
        <w:rPr>
          <w:spacing w:val="-6"/>
          <w:sz w:val="16"/>
          <w:szCs w:val="16"/>
          <w:lang w:val="en-GB"/>
        </w:rPr>
        <w:t xml:space="preserve"> </w:t>
      </w:r>
      <w:r>
        <w:rPr>
          <w:spacing w:val="-6"/>
          <w:sz w:val="16"/>
          <w:szCs w:val="16"/>
          <w:lang w:val="en-GB"/>
        </w:rPr>
        <w:t xml:space="preserve">It concerns export via businesses classified in other branches than industry. </w:t>
      </w:r>
    </w:p>
  </w:footnote>
  <w:footnote w:id="11">
    <w:p w14:paraId="11BD4D22" w14:textId="77777777" w:rsidR="00073B58" w:rsidRPr="00C7109C" w:rsidRDefault="00073B58" w:rsidP="00C7109C">
      <w:pPr>
        <w:pStyle w:val="Textpoznpodarou"/>
        <w:jc w:val="both"/>
        <w:rPr>
          <w:rFonts w:cs="Arial"/>
          <w:color w:val="0D0D0D" w:themeColor="text1" w:themeTint="F2"/>
          <w:spacing w:val="-2"/>
          <w:sz w:val="16"/>
          <w:szCs w:val="16"/>
          <w:lang w:val="en-GB"/>
        </w:rPr>
      </w:pPr>
      <w:r w:rsidRPr="00C7109C">
        <w:rPr>
          <w:rStyle w:val="Znakapoznpodarou"/>
          <w:rFonts w:cs="Arial"/>
          <w:color w:val="0D0D0D" w:themeColor="text1" w:themeTint="F2"/>
          <w:spacing w:val="-2"/>
          <w:sz w:val="16"/>
          <w:szCs w:val="16"/>
          <w:lang w:val="en-GB"/>
        </w:rPr>
        <w:footnoteRef/>
      </w:r>
      <w:r w:rsidRPr="00C7109C">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or orders is ongoing only in twelve manufacturing branches producing </w:t>
      </w:r>
      <w:r>
        <w:rPr>
          <w:rFonts w:cs="Arial"/>
          <w:color w:val="0D0D0D" w:themeColor="text1" w:themeTint="F2"/>
          <w:sz w:val="16"/>
          <w:szCs w:val="16"/>
          <w:lang w:val="en-GB"/>
        </w:rPr>
        <w:t xml:space="preserve">mostly custom-made products, with longer </w:t>
      </w:r>
      <w:r w:rsidRPr="00B755F7">
        <w:rPr>
          <w:rFonts w:cs="Arial"/>
          <w:color w:val="0D0D0D" w:themeColor="text1" w:themeTint="F2"/>
          <w:sz w:val="16"/>
          <w:szCs w:val="16"/>
          <w:lang w:val="en-GB"/>
        </w:rPr>
        <w:t>production cycle and larger stocks of orders.</w:t>
      </w:r>
      <w:r>
        <w:rPr>
          <w:rFonts w:cs="Arial"/>
          <w:color w:val="0D0D0D" w:themeColor="text1" w:themeTint="F2"/>
          <w:sz w:val="16"/>
          <w:szCs w:val="16"/>
          <w:lang w:val="en-GB"/>
        </w:rPr>
        <w:t xml:space="preserve"> Year-on-year growth rates of orders are adjusted for calendar effects. </w:t>
      </w:r>
    </w:p>
  </w:footnote>
  <w:footnote w:id="12">
    <w:p w14:paraId="2D213183" w14:textId="77777777" w:rsidR="00073B58" w:rsidRPr="00054C5F" w:rsidRDefault="00073B58" w:rsidP="008F00AE">
      <w:pPr>
        <w:pStyle w:val="Textpoznpodarou"/>
        <w:jc w:val="both"/>
        <w:rPr>
          <w:spacing w:val="-6"/>
          <w:sz w:val="16"/>
          <w:szCs w:val="16"/>
          <w:lang w:val="en-GB"/>
        </w:rPr>
      </w:pPr>
      <w:r w:rsidRPr="00054C5F">
        <w:rPr>
          <w:rStyle w:val="Znakapoznpodarou"/>
          <w:spacing w:val="-6"/>
          <w:sz w:val="16"/>
          <w:szCs w:val="16"/>
          <w:lang w:val="en-GB"/>
        </w:rPr>
        <w:footnoteRef/>
      </w:r>
      <w:r w:rsidRPr="00054C5F">
        <w:rPr>
          <w:spacing w:val="-6"/>
          <w:sz w:val="16"/>
          <w:szCs w:val="16"/>
          <w:lang w:val="en-GB"/>
        </w:rPr>
        <w:t xml:space="preserve"> The average registered number of employees in industry stagnated year-on-year this year in H1 (as well as </w:t>
      </w:r>
      <w:r>
        <w:rPr>
          <w:spacing w:val="-6"/>
          <w:sz w:val="16"/>
          <w:szCs w:val="16"/>
          <w:lang w:val="en-GB"/>
        </w:rPr>
        <w:t xml:space="preserve">in </w:t>
      </w:r>
      <w:r w:rsidRPr="00054C5F">
        <w:rPr>
          <w:spacing w:val="-6"/>
          <w:sz w:val="16"/>
          <w:szCs w:val="16"/>
          <w:lang w:val="en-GB"/>
        </w:rPr>
        <w:t xml:space="preserve">June itself). </w:t>
      </w:r>
    </w:p>
  </w:footnote>
  <w:footnote w:id="13">
    <w:p w14:paraId="6D753D7D" w14:textId="77777777" w:rsidR="00073B58" w:rsidRPr="00054C5F" w:rsidRDefault="00073B58" w:rsidP="008F00AE">
      <w:pPr>
        <w:pStyle w:val="Textpoznpodarou"/>
        <w:jc w:val="both"/>
        <w:rPr>
          <w:spacing w:val="-6"/>
          <w:sz w:val="16"/>
          <w:szCs w:val="16"/>
          <w:lang w:val="en-GB"/>
        </w:rPr>
      </w:pPr>
      <w:r w:rsidRPr="00054C5F">
        <w:rPr>
          <w:rStyle w:val="Znakapoznpodarou"/>
          <w:spacing w:val="-6"/>
          <w:sz w:val="16"/>
          <w:szCs w:val="16"/>
          <w:lang w:val="en-GB"/>
        </w:rPr>
        <w:footnoteRef/>
      </w:r>
      <w:r w:rsidRPr="00054C5F">
        <w:rPr>
          <w:spacing w:val="-6"/>
          <w:sz w:val="16"/>
          <w:szCs w:val="16"/>
          <w:lang w:val="en-GB"/>
        </w:rPr>
        <w:t xml:space="preserve"> </w:t>
      </w:r>
      <w:r>
        <w:rPr>
          <w:spacing w:val="-6"/>
          <w:sz w:val="16"/>
          <w:szCs w:val="16"/>
          <w:lang w:val="en-GB"/>
        </w:rPr>
        <w:t xml:space="preserve">According to the July survey, the current stock of orders provided companies with work in average on further </w:t>
      </w:r>
      <w:r w:rsidRPr="00054C5F">
        <w:rPr>
          <w:spacing w:val="-6"/>
          <w:sz w:val="16"/>
          <w:szCs w:val="16"/>
          <w:lang w:val="en-GB"/>
        </w:rPr>
        <w:t>8</w:t>
      </w:r>
      <w:r>
        <w:rPr>
          <w:spacing w:val="-6"/>
          <w:sz w:val="16"/>
          <w:szCs w:val="16"/>
          <w:lang w:val="en-GB"/>
        </w:rPr>
        <w:t>.</w:t>
      </w:r>
      <w:r w:rsidRPr="00054C5F">
        <w:rPr>
          <w:spacing w:val="-6"/>
          <w:sz w:val="16"/>
          <w:szCs w:val="16"/>
          <w:lang w:val="en-GB"/>
        </w:rPr>
        <w:t>4 m</w:t>
      </w:r>
      <w:r>
        <w:rPr>
          <w:spacing w:val="-6"/>
          <w:sz w:val="16"/>
          <w:szCs w:val="16"/>
          <w:lang w:val="en-GB"/>
        </w:rPr>
        <w:t>onths</w:t>
      </w:r>
      <w:r w:rsidRPr="00054C5F">
        <w:rPr>
          <w:spacing w:val="-6"/>
          <w:sz w:val="16"/>
          <w:szCs w:val="16"/>
          <w:lang w:val="en-GB"/>
        </w:rPr>
        <w:t xml:space="preserve">. </w:t>
      </w:r>
      <w:r>
        <w:rPr>
          <w:spacing w:val="-6"/>
          <w:sz w:val="16"/>
          <w:szCs w:val="16"/>
          <w:lang w:val="en-GB"/>
        </w:rPr>
        <w:t>It was the least since the end of year 2</w:t>
      </w:r>
      <w:r w:rsidRPr="00054C5F">
        <w:rPr>
          <w:spacing w:val="-6"/>
          <w:sz w:val="16"/>
          <w:szCs w:val="16"/>
          <w:lang w:val="en-GB"/>
        </w:rPr>
        <w:t xml:space="preserve">017. </w:t>
      </w:r>
      <w:r>
        <w:rPr>
          <w:spacing w:val="-6"/>
          <w:sz w:val="16"/>
          <w:szCs w:val="16"/>
          <w:lang w:val="en-GB"/>
        </w:rPr>
        <w:t xml:space="preserve">Still the domestic industrial businesses had at their disposal the largest stock of work among all EU states. </w:t>
      </w:r>
    </w:p>
  </w:footnote>
  <w:footnote w:id="14">
    <w:p w14:paraId="45C4C884" w14:textId="77777777" w:rsidR="00073B58" w:rsidRPr="00054C5F" w:rsidRDefault="00073B58" w:rsidP="008F00AE">
      <w:pPr>
        <w:pStyle w:val="Textpoznpodarou"/>
        <w:jc w:val="both"/>
        <w:rPr>
          <w:spacing w:val="-6"/>
          <w:sz w:val="16"/>
          <w:szCs w:val="16"/>
          <w:lang w:val="en-GB"/>
        </w:rPr>
      </w:pPr>
      <w:r w:rsidRPr="00054C5F">
        <w:rPr>
          <w:rStyle w:val="Znakapoznpodarou"/>
          <w:spacing w:val="-6"/>
          <w:sz w:val="16"/>
          <w:szCs w:val="16"/>
          <w:lang w:val="en-GB"/>
        </w:rPr>
        <w:footnoteRef/>
      </w:r>
      <w:r w:rsidRPr="00054C5F">
        <w:rPr>
          <w:spacing w:val="-6"/>
          <w:sz w:val="16"/>
          <w:szCs w:val="16"/>
          <w:lang w:val="en-GB"/>
        </w:rPr>
        <w:t xml:space="preserve"> </w:t>
      </w:r>
      <w:r>
        <w:rPr>
          <w:spacing w:val="-6"/>
          <w:sz w:val="16"/>
          <w:szCs w:val="16"/>
          <w:lang w:val="en-GB"/>
        </w:rPr>
        <w:t xml:space="preserve">Next to the manufacturing of motor vehicles (together with the main tied sub-branches) it was mainly manufacturing of computers, electronic and optical appliances </w:t>
      </w:r>
      <w:r w:rsidRPr="00054C5F">
        <w:rPr>
          <w:spacing w:val="-6"/>
          <w:sz w:val="16"/>
          <w:szCs w:val="16"/>
          <w:lang w:val="en-GB"/>
        </w:rPr>
        <w:t>(92%</w:t>
      </w:r>
      <w:r>
        <w:rPr>
          <w:spacing w:val="-6"/>
          <w:sz w:val="16"/>
          <w:szCs w:val="16"/>
          <w:lang w:val="en-GB"/>
        </w:rPr>
        <w:t xml:space="preserve"> of businesses indicated it as one of the barriers</w:t>
      </w:r>
      <w:r w:rsidRPr="00054C5F">
        <w:rPr>
          <w:spacing w:val="-6"/>
          <w:sz w:val="16"/>
          <w:szCs w:val="16"/>
          <w:lang w:val="en-GB"/>
        </w:rPr>
        <w:t>), chemic</w:t>
      </w:r>
      <w:r>
        <w:rPr>
          <w:spacing w:val="-6"/>
          <w:sz w:val="16"/>
          <w:szCs w:val="16"/>
          <w:lang w:val="en-GB"/>
        </w:rPr>
        <w:t xml:space="preserve">al industry </w:t>
      </w:r>
      <w:r w:rsidRPr="00054C5F">
        <w:rPr>
          <w:spacing w:val="-6"/>
          <w:sz w:val="16"/>
          <w:szCs w:val="16"/>
          <w:lang w:val="en-GB"/>
        </w:rPr>
        <w:t>(71%) a</w:t>
      </w:r>
      <w:r>
        <w:rPr>
          <w:spacing w:val="-6"/>
          <w:sz w:val="16"/>
          <w:szCs w:val="16"/>
          <w:lang w:val="en-GB"/>
        </w:rPr>
        <w:t xml:space="preserve">nd machinery </w:t>
      </w:r>
      <w:r w:rsidRPr="00054C5F">
        <w:rPr>
          <w:spacing w:val="-6"/>
          <w:sz w:val="16"/>
          <w:szCs w:val="16"/>
          <w:lang w:val="en-GB"/>
        </w:rPr>
        <w:t>(55%)</w:t>
      </w:r>
      <w:r>
        <w:rPr>
          <w:spacing w:val="-6"/>
          <w:sz w:val="16"/>
          <w:szCs w:val="16"/>
          <w:lang w:val="en-GB"/>
        </w:rPr>
        <w:t xml:space="preserve"> this year in July</w:t>
      </w:r>
      <w:r w:rsidRPr="00054C5F">
        <w:rPr>
          <w:spacing w:val="-6"/>
          <w:sz w:val="16"/>
          <w:szCs w:val="16"/>
          <w:lang w:val="en-GB"/>
        </w:rPr>
        <w:t>.</w:t>
      </w:r>
    </w:p>
  </w:footnote>
  <w:footnote w:id="15">
    <w:p w14:paraId="294D3D35" w14:textId="77777777" w:rsidR="00073B58" w:rsidRPr="00054C5F" w:rsidRDefault="00073B58" w:rsidP="008F00AE">
      <w:pPr>
        <w:pStyle w:val="Textpoznpodarou"/>
        <w:jc w:val="both"/>
        <w:rPr>
          <w:spacing w:val="-6"/>
          <w:sz w:val="16"/>
          <w:szCs w:val="16"/>
          <w:lang w:val="en-GB"/>
        </w:rPr>
      </w:pPr>
      <w:r w:rsidRPr="00054C5F">
        <w:rPr>
          <w:rStyle w:val="Znakapoznpodarou"/>
          <w:spacing w:val="-6"/>
          <w:sz w:val="16"/>
          <w:szCs w:val="16"/>
          <w:lang w:val="en-GB"/>
        </w:rPr>
        <w:footnoteRef/>
      </w:r>
      <w:r w:rsidRPr="00054C5F">
        <w:rPr>
          <w:spacing w:val="-6"/>
          <w:sz w:val="16"/>
          <w:szCs w:val="16"/>
          <w:lang w:val="en-GB"/>
        </w:rPr>
        <w:t xml:space="preserve"> </w:t>
      </w:r>
      <w:r>
        <w:rPr>
          <w:spacing w:val="-6"/>
          <w:sz w:val="16"/>
          <w:szCs w:val="16"/>
          <w:lang w:val="en-GB"/>
        </w:rPr>
        <w:t xml:space="preserve">It represented the key growth barrier in manufacturing of beverages </w:t>
      </w:r>
      <w:r w:rsidRPr="00054C5F">
        <w:rPr>
          <w:spacing w:val="-6"/>
          <w:sz w:val="16"/>
          <w:szCs w:val="16"/>
          <w:lang w:val="en-GB"/>
        </w:rPr>
        <w:t>(49%),</w:t>
      </w:r>
      <w:r>
        <w:rPr>
          <w:spacing w:val="-6"/>
          <w:sz w:val="16"/>
          <w:szCs w:val="16"/>
          <w:lang w:val="en-GB"/>
        </w:rPr>
        <w:t xml:space="preserve"> leatherworking industry </w:t>
      </w:r>
      <w:r w:rsidRPr="00054C5F">
        <w:rPr>
          <w:spacing w:val="-6"/>
          <w:sz w:val="16"/>
          <w:szCs w:val="16"/>
          <w:lang w:val="en-GB"/>
        </w:rPr>
        <w:t>(65%) a</w:t>
      </w:r>
      <w:r>
        <w:rPr>
          <w:spacing w:val="-6"/>
          <w:sz w:val="16"/>
          <w:szCs w:val="16"/>
          <w:lang w:val="en-GB"/>
        </w:rPr>
        <w:t xml:space="preserve">nd metalworking industry </w:t>
      </w:r>
      <w:r w:rsidRPr="00054C5F">
        <w:rPr>
          <w:spacing w:val="-6"/>
          <w:sz w:val="16"/>
          <w:szCs w:val="16"/>
          <w:lang w:val="en-GB"/>
        </w:rPr>
        <w:t>(43%),</w:t>
      </w:r>
      <w:r>
        <w:rPr>
          <w:spacing w:val="-6"/>
          <w:sz w:val="16"/>
          <w:szCs w:val="16"/>
          <w:lang w:val="en-GB"/>
        </w:rPr>
        <w:t xml:space="preserve"> manufacturing of other (especially rail) transport equipment </w:t>
      </w:r>
      <w:r w:rsidRPr="00054C5F">
        <w:rPr>
          <w:spacing w:val="-6"/>
          <w:sz w:val="16"/>
          <w:szCs w:val="16"/>
          <w:lang w:val="en-GB"/>
        </w:rPr>
        <w:t>(73%) a</w:t>
      </w:r>
      <w:r>
        <w:rPr>
          <w:spacing w:val="-6"/>
          <w:sz w:val="16"/>
          <w:szCs w:val="16"/>
          <w:lang w:val="en-GB"/>
        </w:rPr>
        <w:t xml:space="preserve">nd repairs of machinery of equipment </w:t>
      </w:r>
      <w:r w:rsidRPr="00054C5F">
        <w:rPr>
          <w:spacing w:val="-6"/>
          <w:sz w:val="16"/>
          <w:szCs w:val="16"/>
          <w:lang w:val="en-GB"/>
        </w:rPr>
        <w:t xml:space="preserve">(41%). </w:t>
      </w:r>
      <w:r>
        <w:rPr>
          <w:spacing w:val="-6"/>
          <w:sz w:val="16"/>
          <w:szCs w:val="16"/>
          <w:lang w:val="en-GB"/>
        </w:rPr>
        <w:t xml:space="preserve">The branch manufacturing of rubber and plastic products </w:t>
      </w:r>
      <w:r w:rsidRPr="00054C5F">
        <w:rPr>
          <w:spacing w:val="-6"/>
          <w:sz w:val="16"/>
          <w:szCs w:val="16"/>
          <w:lang w:val="en-GB"/>
        </w:rPr>
        <w:t>(69%) a</w:t>
      </w:r>
      <w:r>
        <w:rPr>
          <w:spacing w:val="-6"/>
          <w:sz w:val="16"/>
          <w:szCs w:val="16"/>
          <w:lang w:val="en-GB"/>
        </w:rPr>
        <w:t xml:space="preserve">nd machinery </w:t>
      </w:r>
      <w:r w:rsidRPr="00054C5F">
        <w:rPr>
          <w:spacing w:val="-6"/>
          <w:sz w:val="16"/>
          <w:szCs w:val="16"/>
          <w:lang w:val="en-GB"/>
        </w:rPr>
        <w:t>(41%)</w:t>
      </w:r>
      <w:r>
        <w:rPr>
          <w:spacing w:val="-6"/>
          <w:sz w:val="16"/>
          <w:szCs w:val="16"/>
          <w:lang w:val="en-GB"/>
        </w:rPr>
        <w:t xml:space="preserve"> than held an important role</w:t>
      </w:r>
      <w:r w:rsidRPr="00054C5F">
        <w:rPr>
          <w:spacing w:val="-6"/>
          <w:sz w:val="16"/>
          <w:szCs w:val="16"/>
          <w:lang w:val="en-GB"/>
        </w:rPr>
        <w:t xml:space="preserve">. </w:t>
      </w:r>
    </w:p>
  </w:footnote>
  <w:footnote w:id="16">
    <w:p w14:paraId="1331D826" w14:textId="77777777" w:rsidR="00073B58" w:rsidRPr="00FE5BF1" w:rsidRDefault="00073B58" w:rsidP="000230CC">
      <w:pPr>
        <w:pStyle w:val="Textpoznpodarou"/>
        <w:jc w:val="both"/>
        <w:rPr>
          <w:spacing w:val="-6"/>
          <w:lang w:val="en-GB"/>
        </w:rPr>
      </w:pPr>
      <w:r w:rsidRPr="00CF35A7">
        <w:rPr>
          <w:rStyle w:val="Znakapoznpodarou"/>
          <w:spacing w:val="-6"/>
          <w:sz w:val="16"/>
          <w:szCs w:val="16"/>
        </w:rPr>
        <w:footnoteRef/>
      </w:r>
      <w:r w:rsidRPr="00CF35A7">
        <w:rPr>
          <w:spacing w:val="-6"/>
          <w:sz w:val="16"/>
          <w:szCs w:val="16"/>
        </w:rPr>
        <w:t xml:space="preserve"> </w:t>
      </w:r>
      <w:r w:rsidRPr="00FE5BF1">
        <w:rPr>
          <w:spacing w:val="-6"/>
          <w:sz w:val="16"/>
          <w:szCs w:val="16"/>
          <w:lang w:val="en-GB"/>
        </w:rPr>
        <w:t>It formed the key barrier growth in food industry (35%), textile industry (52%), manufacturing of wearing apparel (75%), wood industry (63%) and printing industry (27%), pharmaceutical</w:t>
      </w:r>
      <w:r>
        <w:rPr>
          <w:spacing w:val="-6"/>
          <w:sz w:val="16"/>
          <w:szCs w:val="16"/>
          <w:lang w:val="en-GB"/>
        </w:rPr>
        <w:t xml:space="preserve"> industry</w:t>
      </w:r>
      <w:r w:rsidRPr="00FE5BF1">
        <w:rPr>
          <w:spacing w:val="-6"/>
          <w:sz w:val="16"/>
          <w:szCs w:val="16"/>
          <w:lang w:val="en-GB"/>
        </w:rPr>
        <w:t xml:space="preserve"> (74%), manufacturing of building materials (28%) and metallurgy and foundry industry (44%).</w:t>
      </w:r>
    </w:p>
  </w:footnote>
  <w:footnote w:id="17">
    <w:p w14:paraId="7A3DDEA0" w14:textId="77777777" w:rsidR="00073B58" w:rsidRPr="00FE5BF1" w:rsidRDefault="00073B58" w:rsidP="000230CC">
      <w:pPr>
        <w:pStyle w:val="Textpoznpodarou"/>
        <w:jc w:val="both"/>
        <w:rPr>
          <w:spacing w:val="-6"/>
          <w:sz w:val="16"/>
          <w:szCs w:val="16"/>
          <w:lang w:val="en-GB"/>
        </w:rPr>
      </w:pPr>
      <w:r w:rsidRPr="00FE5BF1">
        <w:rPr>
          <w:rStyle w:val="Znakapoznpodarou"/>
          <w:spacing w:val="-6"/>
          <w:sz w:val="16"/>
          <w:szCs w:val="16"/>
          <w:lang w:val="en-GB"/>
        </w:rPr>
        <w:footnoteRef/>
      </w:r>
      <w:r w:rsidRPr="00FE5BF1">
        <w:rPr>
          <w:spacing w:val="-6"/>
          <w:sz w:val="16"/>
          <w:szCs w:val="16"/>
          <w:lang w:val="en-GB"/>
        </w:rPr>
        <w:t xml:space="preserve"> </w:t>
      </w:r>
      <w:r>
        <w:rPr>
          <w:spacing w:val="-6"/>
          <w:sz w:val="16"/>
          <w:szCs w:val="16"/>
          <w:lang w:val="en-GB"/>
        </w:rPr>
        <w:t xml:space="preserve">Compared to the record size from April </w:t>
      </w:r>
      <w:r w:rsidRPr="00FE5BF1">
        <w:rPr>
          <w:spacing w:val="-6"/>
          <w:sz w:val="16"/>
          <w:szCs w:val="16"/>
          <w:lang w:val="en-GB"/>
        </w:rPr>
        <w:t>2022</w:t>
      </w:r>
      <w:r>
        <w:rPr>
          <w:spacing w:val="-6"/>
          <w:sz w:val="16"/>
          <w:szCs w:val="16"/>
          <w:lang w:val="en-GB"/>
        </w:rPr>
        <w:t xml:space="preserve"> it decreased only negligibly</w:t>
      </w:r>
      <w:r w:rsidRPr="00FE5BF1">
        <w:rPr>
          <w:spacing w:val="-6"/>
          <w:sz w:val="16"/>
          <w:szCs w:val="16"/>
          <w:lang w:val="en-GB"/>
        </w:rPr>
        <w:t>. 53%</w:t>
      </w:r>
      <w:r>
        <w:rPr>
          <w:spacing w:val="-6"/>
          <w:sz w:val="16"/>
          <w:szCs w:val="16"/>
          <w:lang w:val="en-GB"/>
        </w:rPr>
        <w:t xml:space="preserve"> of industrial businesses planned to raise their own sale prices in the next three months in July</w:t>
      </w:r>
      <w:r w:rsidRPr="00FE5BF1">
        <w:rPr>
          <w:spacing w:val="-6"/>
          <w:sz w:val="16"/>
          <w:szCs w:val="16"/>
          <w:lang w:val="en-GB"/>
        </w:rPr>
        <w:t xml:space="preserve">. </w:t>
      </w:r>
    </w:p>
  </w:footnote>
  <w:footnote w:id="18">
    <w:p w14:paraId="5E37D711" w14:textId="77777777" w:rsidR="00073B58" w:rsidRPr="00FE5BF1" w:rsidRDefault="00073B58" w:rsidP="000230CC">
      <w:pPr>
        <w:pStyle w:val="Textpoznpodarou"/>
        <w:jc w:val="both"/>
        <w:rPr>
          <w:spacing w:val="-6"/>
          <w:sz w:val="16"/>
          <w:szCs w:val="16"/>
          <w:lang w:val="en-GB"/>
        </w:rPr>
      </w:pPr>
      <w:r w:rsidRPr="00FE5BF1">
        <w:rPr>
          <w:rStyle w:val="Znakapoznpodarou"/>
          <w:rFonts w:cs="Arial"/>
          <w:color w:val="0D0D0D" w:themeColor="text1" w:themeTint="F2"/>
          <w:spacing w:val="-6"/>
          <w:sz w:val="16"/>
          <w:szCs w:val="16"/>
          <w:lang w:val="en-GB"/>
        </w:rPr>
        <w:footnoteRef/>
      </w:r>
      <w:r w:rsidRPr="00FE5BF1">
        <w:rPr>
          <w:rFonts w:cs="Arial"/>
          <w:color w:val="0D0D0D" w:themeColor="text1" w:themeTint="F2"/>
          <w:spacing w:val="-6"/>
          <w:sz w:val="16"/>
          <w:szCs w:val="16"/>
          <w:lang w:val="en-GB"/>
        </w:rPr>
        <w:t xml:space="preserve"> </w:t>
      </w:r>
      <w:r>
        <w:rPr>
          <w:rFonts w:cs="Arial"/>
          <w:color w:val="0D0D0D" w:themeColor="text1" w:themeTint="F2"/>
          <w:spacing w:val="-6"/>
          <w:sz w:val="16"/>
          <w:szCs w:val="16"/>
          <w:lang w:val="en-GB"/>
        </w:rPr>
        <w:t xml:space="preserve">Data related to the construction output are in constant prices, year-on-year rates are adjusted for calendar effects, quarter-on-quarter also for the seasonal effects. </w:t>
      </w:r>
    </w:p>
  </w:footnote>
  <w:footnote w:id="19">
    <w:p w14:paraId="1F428177" w14:textId="77777777" w:rsidR="00073B58" w:rsidRPr="00FE5BF1" w:rsidRDefault="00073B58" w:rsidP="000230CC">
      <w:pPr>
        <w:pStyle w:val="Textpoznpodarou"/>
        <w:jc w:val="both"/>
        <w:rPr>
          <w:spacing w:val="-6"/>
          <w:sz w:val="16"/>
          <w:szCs w:val="16"/>
          <w:lang w:val="en-GB"/>
        </w:rPr>
      </w:pPr>
      <w:r w:rsidRPr="00FE5BF1">
        <w:rPr>
          <w:rStyle w:val="Znakapoznpodarou"/>
          <w:spacing w:val="-6"/>
          <w:sz w:val="16"/>
          <w:szCs w:val="16"/>
          <w:lang w:val="en-GB"/>
        </w:rPr>
        <w:footnoteRef/>
      </w:r>
      <w:r w:rsidRPr="00FE5BF1">
        <w:rPr>
          <w:spacing w:val="-6"/>
          <w:sz w:val="16"/>
          <w:szCs w:val="16"/>
          <w:lang w:val="en-GB"/>
        </w:rPr>
        <w:t xml:space="preserve"> </w:t>
      </w:r>
      <w:r>
        <w:rPr>
          <w:spacing w:val="-6"/>
          <w:sz w:val="16"/>
          <w:szCs w:val="16"/>
          <w:lang w:val="en-GB"/>
        </w:rPr>
        <w:t>Based on data of the Czech H</w:t>
      </w:r>
      <w:r w:rsidRPr="00FE5BF1">
        <w:rPr>
          <w:spacing w:val="-6"/>
          <w:sz w:val="16"/>
          <w:szCs w:val="16"/>
          <w:lang w:val="en-GB"/>
        </w:rPr>
        <w:t>y</w:t>
      </w:r>
      <w:r w:rsidRPr="00D406C8">
        <w:rPr>
          <w:spacing w:val="-6"/>
          <w:sz w:val="16"/>
          <w:szCs w:val="16"/>
          <w:lang w:val="en-GB"/>
        </w:rPr>
        <w:t>drometeorological</w:t>
      </w:r>
      <w:r>
        <w:rPr>
          <w:spacing w:val="-6"/>
          <w:sz w:val="16"/>
          <w:szCs w:val="16"/>
          <w:lang w:val="en-GB"/>
        </w:rPr>
        <w:t xml:space="preserve"> Institute, the average air temperature was gauged at </w:t>
      </w:r>
      <w:r w:rsidRPr="00FE5BF1">
        <w:rPr>
          <w:spacing w:val="-6"/>
          <w:sz w:val="16"/>
          <w:szCs w:val="16"/>
          <w:lang w:val="en-GB"/>
        </w:rPr>
        <w:t>+2</w:t>
      </w:r>
      <w:r>
        <w:rPr>
          <w:spacing w:val="-6"/>
          <w:sz w:val="16"/>
          <w:szCs w:val="16"/>
          <w:lang w:val="en-GB"/>
        </w:rPr>
        <w:t>.</w:t>
      </w:r>
      <w:r w:rsidRPr="00FE5BF1">
        <w:rPr>
          <w:spacing w:val="-6"/>
          <w:sz w:val="16"/>
          <w:szCs w:val="16"/>
          <w:lang w:val="en-GB"/>
        </w:rPr>
        <w:t>2</w:t>
      </w:r>
      <w:r>
        <w:rPr>
          <w:spacing w:val="-6"/>
          <w:sz w:val="16"/>
          <w:szCs w:val="16"/>
          <w:lang w:val="en-GB"/>
        </w:rPr>
        <w:t xml:space="preserve"> degree this year in Q1</w:t>
      </w:r>
      <w:r w:rsidRPr="00FE5BF1">
        <w:rPr>
          <w:spacing w:val="-6"/>
          <w:sz w:val="16"/>
          <w:szCs w:val="16"/>
          <w:lang w:val="en-GB"/>
        </w:rPr>
        <w:t>,</w:t>
      </w:r>
      <w:r>
        <w:rPr>
          <w:spacing w:val="-6"/>
          <w:sz w:val="16"/>
          <w:szCs w:val="16"/>
          <w:lang w:val="en-GB"/>
        </w:rPr>
        <w:t xml:space="preserve"> i.e. by </w:t>
      </w:r>
      <w:r w:rsidRPr="00FE5BF1">
        <w:rPr>
          <w:spacing w:val="-6"/>
          <w:sz w:val="16"/>
          <w:szCs w:val="16"/>
          <w:lang w:val="en-GB"/>
        </w:rPr>
        <w:t>1</w:t>
      </w:r>
      <w:r>
        <w:rPr>
          <w:spacing w:val="-6"/>
          <w:sz w:val="16"/>
          <w:szCs w:val="16"/>
          <w:lang w:val="en-GB"/>
        </w:rPr>
        <w:t>.</w:t>
      </w:r>
      <w:r w:rsidRPr="00FE5BF1">
        <w:rPr>
          <w:spacing w:val="-6"/>
          <w:sz w:val="16"/>
          <w:szCs w:val="16"/>
          <w:lang w:val="en-GB"/>
        </w:rPr>
        <w:t>7</w:t>
      </w:r>
      <w:r>
        <w:rPr>
          <w:spacing w:val="-6"/>
          <w:sz w:val="16"/>
          <w:szCs w:val="16"/>
          <w:lang w:val="en-GB"/>
        </w:rPr>
        <w:t xml:space="preserve"> degree more than the average from period of years </w:t>
      </w:r>
      <w:r w:rsidRPr="00FE5BF1">
        <w:rPr>
          <w:spacing w:val="-6"/>
          <w:sz w:val="16"/>
          <w:szCs w:val="16"/>
          <w:lang w:val="en-GB"/>
        </w:rPr>
        <w:t>1991</w:t>
      </w:r>
      <w:r>
        <w:rPr>
          <w:spacing w:val="-6"/>
          <w:sz w:val="16"/>
          <w:szCs w:val="16"/>
          <w:lang w:val="en-GB"/>
        </w:rPr>
        <w:t xml:space="preserve"> till </w:t>
      </w:r>
      <w:r w:rsidRPr="00FE5BF1">
        <w:rPr>
          <w:spacing w:val="-6"/>
          <w:sz w:val="16"/>
          <w:szCs w:val="16"/>
          <w:lang w:val="en-GB"/>
        </w:rPr>
        <w:t xml:space="preserve">2020. </w:t>
      </w:r>
      <w:r>
        <w:rPr>
          <w:spacing w:val="-6"/>
          <w:sz w:val="16"/>
          <w:szCs w:val="16"/>
          <w:lang w:val="en-GB"/>
        </w:rPr>
        <w:t xml:space="preserve">The temperature was slightly below the long-term norm </w:t>
      </w:r>
      <w:r w:rsidRPr="00FE5BF1">
        <w:rPr>
          <w:spacing w:val="-6"/>
          <w:sz w:val="16"/>
          <w:szCs w:val="16"/>
          <w:lang w:val="en-GB"/>
        </w:rPr>
        <w:t>(</w:t>
      </w:r>
      <w:r>
        <w:rPr>
          <w:spacing w:val="-6"/>
          <w:sz w:val="16"/>
          <w:szCs w:val="16"/>
          <w:lang w:val="en-GB"/>
        </w:rPr>
        <w:t xml:space="preserve">by </w:t>
      </w:r>
      <w:r w:rsidRPr="00FE5BF1">
        <w:rPr>
          <w:spacing w:val="-6"/>
          <w:sz w:val="16"/>
          <w:szCs w:val="16"/>
          <w:lang w:val="en-GB"/>
        </w:rPr>
        <w:t>0</w:t>
      </w:r>
      <w:r>
        <w:rPr>
          <w:spacing w:val="-6"/>
          <w:sz w:val="16"/>
          <w:szCs w:val="16"/>
          <w:lang w:val="en-GB"/>
        </w:rPr>
        <w:t>.</w:t>
      </w:r>
      <w:r w:rsidRPr="00FE5BF1">
        <w:rPr>
          <w:spacing w:val="-6"/>
          <w:sz w:val="16"/>
          <w:szCs w:val="16"/>
          <w:lang w:val="en-GB"/>
        </w:rPr>
        <w:t>2°C)</w:t>
      </w:r>
      <w:r>
        <w:rPr>
          <w:spacing w:val="-6"/>
          <w:sz w:val="16"/>
          <w:szCs w:val="16"/>
          <w:lang w:val="en-GB"/>
        </w:rPr>
        <w:t xml:space="preserve"> in the same period last year</w:t>
      </w:r>
      <w:r w:rsidRPr="00FE5BF1">
        <w:rPr>
          <w:spacing w:val="-6"/>
          <w:sz w:val="16"/>
          <w:szCs w:val="16"/>
          <w:lang w:val="en-GB"/>
        </w:rPr>
        <w:t>.</w:t>
      </w:r>
    </w:p>
  </w:footnote>
  <w:footnote w:id="20">
    <w:p w14:paraId="556D8759" w14:textId="77777777" w:rsidR="00073B58" w:rsidRPr="00FE5BF1" w:rsidRDefault="00073B58" w:rsidP="000230CC">
      <w:pPr>
        <w:pStyle w:val="Textpoznpodarou"/>
        <w:jc w:val="both"/>
        <w:rPr>
          <w:spacing w:val="-6"/>
          <w:sz w:val="16"/>
          <w:szCs w:val="16"/>
          <w:lang w:val="en-GB"/>
        </w:rPr>
      </w:pPr>
      <w:r w:rsidRPr="00FE5BF1">
        <w:rPr>
          <w:rStyle w:val="Znakapoznpodarou"/>
          <w:spacing w:val="-6"/>
          <w:sz w:val="16"/>
          <w:szCs w:val="16"/>
          <w:lang w:val="en-GB"/>
        </w:rPr>
        <w:footnoteRef/>
      </w:r>
      <w:r w:rsidRPr="00FE5BF1">
        <w:rPr>
          <w:spacing w:val="-6"/>
          <w:sz w:val="16"/>
          <w:szCs w:val="16"/>
          <w:lang w:val="en-GB"/>
        </w:rPr>
        <w:t xml:space="preserve"> </w:t>
      </w:r>
      <w:r>
        <w:rPr>
          <w:spacing w:val="-6"/>
          <w:sz w:val="16"/>
          <w:szCs w:val="16"/>
          <w:lang w:val="en-GB"/>
        </w:rPr>
        <w:t>Construction was partially in downturn still in Q1 2021</w:t>
      </w:r>
      <w:r w:rsidRPr="00FE5BF1">
        <w:rPr>
          <w:spacing w:val="-6"/>
          <w:sz w:val="16"/>
          <w:szCs w:val="16"/>
          <w:lang w:val="en-GB"/>
        </w:rPr>
        <w:t xml:space="preserve">, </w:t>
      </w:r>
      <w:r>
        <w:rPr>
          <w:spacing w:val="-6"/>
          <w:sz w:val="16"/>
          <w:szCs w:val="16"/>
          <w:lang w:val="en-GB"/>
        </w:rPr>
        <w:t>since the pandemics culminated at that time</w:t>
      </w:r>
      <w:r w:rsidRPr="00FE5BF1">
        <w:rPr>
          <w:color w:val="0D0D0D" w:themeColor="text1" w:themeTint="F2"/>
          <w:spacing w:val="-6"/>
          <w:sz w:val="16"/>
          <w:szCs w:val="16"/>
          <w:lang w:val="en-GB"/>
        </w:rPr>
        <w:t xml:space="preserve">. </w:t>
      </w:r>
      <w:r>
        <w:rPr>
          <w:color w:val="0D0D0D" w:themeColor="text1" w:themeTint="F2"/>
          <w:spacing w:val="-6"/>
          <w:sz w:val="16"/>
          <w:szCs w:val="16"/>
          <w:lang w:val="en-GB"/>
        </w:rPr>
        <w:t>Heightened sickness, difficult movement of workers across the borders, domestic restriction on the total mobility of population as well as restrained performance of the construction offices substantially limited the production possibilities of construction</w:t>
      </w:r>
      <w:r w:rsidRPr="00FE5BF1">
        <w:rPr>
          <w:color w:val="0D0D0D" w:themeColor="text1" w:themeTint="F2"/>
          <w:spacing w:val="-6"/>
          <w:sz w:val="16"/>
          <w:szCs w:val="16"/>
          <w:lang w:val="en-GB"/>
        </w:rPr>
        <w:t xml:space="preserve">. </w:t>
      </w:r>
      <w:r>
        <w:rPr>
          <w:color w:val="0D0D0D" w:themeColor="text1" w:themeTint="F2"/>
          <w:spacing w:val="-6"/>
          <w:sz w:val="16"/>
          <w:szCs w:val="16"/>
          <w:lang w:val="en-GB"/>
        </w:rPr>
        <w:t>The economy swiftly commenced to return to normal during spring</w:t>
      </w:r>
      <w:r w:rsidRPr="00FE5BF1">
        <w:rPr>
          <w:color w:val="0D0D0D" w:themeColor="text1" w:themeTint="F2"/>
          <w:spacing w:val="-6"/>
          <w:sz w:val="16"/>
          <w:szCs w:val="16"/>
          <w:lang w:val="en-GB"/>
        </w:rPr>
        <w:t>,</w:t>
      </w:r>
      <w:r>
        <w:rPr>
          <w:color w:val="0D0D0D" w:themeColor="text1" w:themeTint="F2"/>
          <w:spacing w:val="-6"/>
          <w:sz w:val="16"/>
          <w:szCs w:val="16"/>
          <w:lang w:val="en-GB"/>
        </w:rPr>
        <w:t xml:space="preserve"> which was also reflected in the more perceptible revival of construction</w:t>
      </w:r>
      <w:r w:rsidRPr="00FE5BF1">
        <w:rPr>
          <w:color w:val="0D0D0D" w:themeColor="text1" w:themeTint="F2"/>
          <w:spacing w:val="-6"/>
          <w:sz w:val="16"/>
          <w:szCs w:val="16"/>
          <w:lang w:val="en-GB"/>
        </w:rPr>
        <w:t>.</w:t>
      </w:r>
    </w:p>
  </w:footnote>
  <w:footnote w:id="21">
    <w:p w14:paraId="1E9DCDDF" w14:textId="77777777" w:rsidR="00073B58" w:rsidRPr="00F458BE" w:rsidRDefault="00073B58" w:rsidP="00F458BE">
      <w:pPr>
        <w:pStyle w:val="Textpoznpodarou"/>
        <w:jc w:val="both"/>
        <w:rPr>
          <w:spacing w:val="-2"/>
          <w:sz w:val="16"/>
          <w:szCs w:val="16"/>
          <w:lang w:val="en-GB"/>
        </w:rPr>
      </w:pPr>
      <w:r w:rsidRPr="00F458BE">
        <w:rPr>
          <w:rStyle w:val="Znakapoznpodarou"/>
          <w:spacing w:val="-2"/>
          <w:sz w:val="16"/>
          <w:szCs w:val="16"/>
          <w:lang w:val="en-GB"/>
        </w:rPr>
        <w:footnoteRef/>
      </w:r>
      <w:r w:rsidRPr="00F458BE">
        <w:rPr>
          <w:spacing w:val="-2"/>
          <w:sz w:val="16"/>
          <w:szCs w:val="16"/>
          <w:lang w:val="en-GB"/>
        </w:rPr>
        <w:t xml:space="preserve"> </w:t>
      </w:r>
      <w:r>
        <w:rPr>
          <w:spacing w:val="-2"/>
          <w:sz w:val="16"/>
          <w:szCs w:val="16"/>
          <w:lang w:val="en-GB"/>
        </w:rPr>
        <w:t xml:space="preserve">It cannot be ruled out, that in the environment of strengthening cost prices </w:t>
      </w:r>
      <w:r w:rsidRPr="00F458BE">
        <w:rPr>
          <w:rFonts w:cs="Arial"/>
          <w:color w:val="0D0D0D" w:themeColor="text1" w:themeTint="F2"/>
          <w:spacing w:val="-2"/>
          <w:sz w:val="16"/>
          <w:szCs w:val="16"/>
          <w:lang w:val="en-GB"/>
        </w:rPr>
        <w:t>(</w:t>
      </w:r>
      <w:r>
        <w:rPr>
          <w:rFonts w:cs="Arial"/>
          <w:color w:val="0D0D0D" w:themeColor="text1" w:themeTint="F2"/>
          <w:spacing w:val="-2"/>
          <w:sz w:val="16"/>
          <w:szCs w:val="16"/>
          <w:lang w:val="en-GB"/>
        </w:rPr>
        <w:t>material, energy, wage</w:t>
      </w:r>
      <w:r w:rsidRPr="00F458BE">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the invoice prices after the structure completion can significantly diverge from the prices anticipated at permitting the constructions. It can happen, that businesses or capital weaker public investors terminate the construction work contract in the end </w:t>
      </w:r>
      <w:r w:rsidRPr="00F458BE">
        <w:rPr>
          <w:rFonts w:cs="Arial"/>
          <w:color w:val="0D0D0D" w:themeColor="text1" w:themeTint="F2"/>
          <w:spacing w:val="-2"/>
          <w:sz w:val="16"/>
          <w:szCs w:val="16"/>
          <w:lang w:val="en-GB"/>
        </w:rPr>
        <w:t>a</w:t>
      </w:r>
      <w:r>
        <w:rPr>
          <w:rFonts w:cs="Arial"/>
          <w:color w:val="0D0D0D" w:themeColor="text1" w:themeTint="F2"/>
          <w:spacing w:val="-2"/>
          <w:sz w:val="16"/>
          <w:szCs w:val="16"/>
          <w:lang w:val="en-GB"/>
        </w:rPr>
        <w:t>nd postpone the realisation of the order to times, when the price development is more stable and predictable.</w:t>
      </w:r>
      <w:r w:rsidRPr="00F458BE">
        <w:rPr>
          <w:rFonts w:cs="Arial"/>
          <w:color w:val="0D0D0D" w:themeColor="text1" w:themeTint="F2"/>
          <w:spacing w:val="-2"/>
          <w:sz w:val="16"/>
          <w:szCs w:val="16"/>
          <w:lang w:val="en-GB"/>
        </w:rPr>
        <w:t xml:space="preserve"> </w:t>
      </w:r>
    </w:p>
  </w:footnote>
  <w:footnote w:id="22">
    <w:p w14:paraId="29CB9EB6" w14:textId="77777777" w:rsidR="00073B58" w:rsidRPr="00C63D91" w:rsidRDefault="00073B58" w:rsidP="00C63D91">
      <w:pPr>
        <w:pStyle w:val="Textpoznpodarou"/>
        <w:jc w:val="both"/>
        <w:rPr>
          <w:spacing w:val="-2"/>
          <w:sz w:val="16"/>
          <w:szCs w:val="16"/>
          <w:lang w:val="en-GB"/>
        </w:rPr>
      </w:pPr>
      <w:r w:rsidRPr="009B56B9">
        <w:rPr>
          <w:rStyle w:val="Znakapoznpodarou"/>
          <w:spacing w:val="-2"/>
          <w:sz w:val="16"/>
          <w:szCs w:val="16"/>
        </w:rPr>
        <w:footnoteRef/>
      </w:r>
      <w:r w:rsidRPr="009B56B9">
        <w:rPr>
          <w:spacing w:val="-2"/>
          <w:sz w:val="16"/>
          <w:szCs w:val="16"/>
        </w:rPr>
        <w:t xml:space="preserve"> </w:t>
      </w:r>
      <w:r w:rsidRPr="00C63D91">
        <w:rPr>
          <w:spacing w:val="-2"/>
          <w:sz w:val="16"/>
          <w:szCs w:val="16"/>
          <w:lang w:val="en-GB"/>
        </w:rPr>
        <w:t>56%</w:t>
      </w:r>
      <w:r>
        <w:rPr>
          <w:spacing w:val="-2"/>
          <w:sz w:val="16"/>
          <w:szCs w:val="16"/>
          <w:lang w:val="en-GB"/>
        </w:rPr>
        <w:t xml:space="preserve"> of construction firms planned to raise their sale prices in July </w:t>
      </w:r>
      <w:r w:rsidRPr="00C63D91">
        <w:rPr>
          <w:spacing w:val="-2"/>
          <w:sz w:val="16"/>
          <w:szCs w:val="16"/>
          <w:lang w:val="en-GB"/>
        </w:rPr>
        <w:t>(</w:t>
      </w:r>
      <w:r>
        <w:rPr>
          <w:spacing w:val="-2"/>
          <w:sz w:val="16"/>
          <w:szCs w:val="16"/>
          <w:lang w:val="en-GB"/>
        </w:rPr>
        <w:t>higher share was in the long-term time series dating back to 2003 observed only in the previous this year</w:t>
      </w:r>
      <w:r>
        <w:rPr>
          <w:spacing w:val="-2"/>
          <w:sz w:val="16"/>
          <w:szCs w:val="16"/>
          <w:lang w:val="en-US"/>
        </w:rPr>
        <w:t>’s months</w:t>
      </w:r>
      <w:r w:rsidRPr="00C63D91">
        <w:rPr>
          <w:spacing w:val="-2"/>
          <w:sz w:val="16"/>
          <w:szCs w:val="16"/>
          <w:lang w:val="en-GB"/>
        </w:rPr>
        <w:t>).</w:t>
      </w:r>
    </w:p>
  </w:footnote>
  <w:footnote w:id="23">
    <w:p w14:paraId="30EDCFFD" w14:textId="77777777" w:rsidR="00073B58" w:rsidRPr="00C63D91" w:rsidRDefault="00073B58" w:rsidP="00C63D91">
      <w:pPr>
        <w:spacing w:after="0" w:line="240" w:lineRule="auto"/>
        <w:rPr>
          <w:spacing w:val="-6"/>
          <w:lang w:val="en-GB"/>
        </w:rPr>
      </w:pPr>
      <w:r w:rsidRPr="00C63D91">
        <w:rPr>
          <w:rStyle w:val="Znakapoznpodarou"/>
          <w:color w:val="0D0D0D" w:themeColor="text1" w:themeTint="F2"/>
          <w:spacing w:val="-6"/>
          <w:sz w:val="16"/>
          <w:szCs w:val="16"/>
          <w:lang w:val="en-GB"/>
        </w:rPr>
        <w:footnoteRef/>
      </w:r>
      <w:r w:rsidRPr="00C63D91">
        <w:rPr>
          <w:color w:val="0D0D0D" w:themeColor="text1" w:themeTint="F2"/>
          <w:spacing w:val="-6"/>
          <w:sz w:val="16"/>
          <w:szCs w:val="16"/>
          <w:lang w:val="en-GB"/>
        </w:rPr>
        <w:t xml:space="preserve"> </w:t>
      </w:r>
      <w:r>
        <w:rPr>
          <w:color w:val="0D0D0D" w:themeColor="text1" w:themeTint="F2"/>
          <w:spacing w:val="-6"/>
          <w:sz w:val="16"/>
          <w:szCs w:val="16"/>
          <w:lang w:val="en-GB"/>
        </w:rPr>
        <w:t xml:space="preserve">Without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 </w:t>
      </w:r>
    </w:p>
  </w:footnote>
  <w:footnote w:id="24">
    <w:p w14:paraId="2E50D8A1" w14:textId="77777777" w:rsidR="00073B58" w:rsidRPr="00C63D91" w:rsidRDefault="00073B58" w:rsidP="00C63D91">
      <w:pPr>
        <w:pStyle w:val="Textpoznpodarou"/>
        <w:jc w:val="both"/>
        <w:rPr>
          <w:spacing w:val="-6"/>
          <w:sz w:val="16"/>
          <w:szCs w:val="16"/>
          <w:lang w:val="en-GB"/>
        </w:rPr>
      </w:pPr>
      <w:r w:rsidRPr="00C63D91">
        <w:rPr>
          <w:rStyle w:val="Znakapoznpodarou"/>
          <w:spacing w:val="-6"/>
          <w:sz w:val="16"/>
          <w:szCs w:val="16"/>
          <w:lang w:val="en-GB"/>
        </w:rPr>
        <w:footnoteRef/>
      </w:r>
      <w:r w:rsidRPr="00C63D91">
        <w:rPr>
          <w:spacing w:val="-6"/>
          <w:sz w:val="16"/>
          <w:szCs w:val="16"/>
          <w:lang w:val="en-GB"/>
        </w:rPr>
        <w:t xml:space="preserve"> </w:t>
      </w:r>
      <w:r>
        <w:rPr>
          <w:spacing w:val="-6"/>
          <w:sz w:val="16"/>
          <w:szCs w:val="16"/>
          <w:lang w:val="en-GB"/>
        </w:rPr>
        <w:t>E.g. restrictions on the number of visitors per cinema show ended as of 1</w:t>
      </w:r>
      <w:r w:rsidRPr="000D246F">
        <w:rPr>
          <w:spacing w:val="-6"/>
          <w:sz w:val="16"/>
          <w:szCs w:val="16"/>
          <w:vertAlign w:val="superscript"/>
          <w:lang w:val="en-GB"/>
        </w:rPr>
        <w:t>st</w:t>
      </w:r>
      <w:r>
        <w:rPr>
          <w:spacing w:val="-6"/>
          <w:sz w:val="16"/>
          <w:szCs w:val="16"/>
          <w:lang w:val="en-GB"/>
        </w:rPr>
        <w:t xml:space="preserve"> March </w:t>
      </w:r>
      <w:r w:rsidRPr="00C63D91">
        <w:rPr>
          <w:spacing w:val="-6"/>
          <w:sz w:val="16"/>
          <w:szCs w:val="16"/>
          <w:lang w:val="en-GB"/>
        </w:rPr>
        <w:t xml:space="preserve">2022, </w:t>
      </w:r>
      <w:r>
        <w:rPr>
          <w:spacing w:val="-6"/>
          <w:sz w:val="16"/>
          <w:szCs w:val="16"/>
          <w:lang w:val="en-GB"/>
        </w:rPr>
        <w:t>duty to wear respirator during shows as of 14</w:t>
      </w:r>
      <w:r w:rsidRPr="000D246F">
        <w:rPr>
          <w:spacing w:val="-6"/>
          <w:sz w:val="16"/>
          <w:szCs w:val="16"/>
          <w:vertAlign w:val="superscript"/>
          <w:lang w:val="en-GB"/>
        </w:rPr>
        <w:t>th</w:t>
      </w:r>
      <w:r>
        <w:rPr>
          <w:spacing w:val="-6"/>
          <w:sz w:val="16"/>
          <w:szCs w:val="16"/>
          <w:lang w:val="en-GB"/>
        </w:rPr>
        <w:t xml:space="preserve"> March. </w:t>
      </w:r>
    </w:p>
  </w:footnote>
  <w:footnote w:id="25">
    <w:p w14:paraId="347EA81E" w14:textId="77777777" w:rsidR="00073B58" w:rsidRPr="00C63D91" w:rsidRDefault="00073B58" w:rsidP="00C63D91">
      <w:pPr>
        <w:pStyle w:val="Textpoznpodarou"/>
        <w:jc w:val="both"/>
        <w:rPr>
          <w:spacing w:val="-6"/>
          <w:sz w:val="16"/>
          <w:szCs w:val="16"/>
          <w:lang w:val="en-GB"/>
        </w:rPr>
      </w:pPr>
      <w:r w:rsidRPr="00C63D91">
        <w:rPr>
          <w:rStyle w:val="Znakapoznpodarou"/>
          <w:spacing w:val="-6"/>
          <w:sz w:val="16"/>
          <w:szCs w:val="16"/>
          <w:lang w:val="en-GB"/>
        </w:rPr>
        <w:footnoteRef/>
      </w:r>
      <w:r w:rsidRPr="00C63D91">
        <w:rPr>
          <w:spacing w:val="-6"/>
          <w:sz w:val="16"/>
          <w:szCs w:val="16"/>
          <w:lang w:val="en-GB"/>
        </w:rPr>
        <w:t xml:space="preserve"> </w:t>
      </w:r>
      <w:r>
        <w:rPr>
          <w:spacing w:val="-6"/>
          <w:sz w:val="16"/>
          <w:szCs w:val="16"/>
          <w:lang w:val="en-GB"/>
        </w:rPr>
        <w:t xml:space="preserve">Rail transportation, where the transport of persons plays a large part, thrived more than the road transport </w:t>
      </w:r>
      <w:r w:rsidRPr="00C63D91">
        <w:rPr>
          <w:spacing w:val="-6"/>
          <w:sz w:val="16"/>
          <w:szCs w:val="16"/>
          <w:lang w:val="en-GB"/>
        </w:rPr>
        <w:t>(</w:t>
      </w:r>
      <w:r>
        <w:rPr>
          <w:spacing w:val="-6"/>
          <w:sz w:val="16"/>
          <w:szCs w:val="16"/>
          <w:lang w:val="en-GB"/>
        </w:rPr>
        <w:t>the development of the domestic tourism had also likely a favourable effect here</w:t>
      </w:r>
      <w:r w:rsidRPr="00C63D91">
        <w:rPr>
          <w:spacing w:val="-6"/>
          <w:sz w:val="16"/>
          <w:szCs w:val="16"/>
          <w:lang w:val="en-GB"/>
        </w:rPr>
        <w:t>).</w:t>
      </w:r>
    </w:p>
  </w:footnote>
  <w:footnote w:id="26">
    <w:p w14:paraId="7A04514D" w14:textId="77777777" w:rsidR="00073B58" w:rsidRPr="00504BA2" w:rsidRDefault="00073B58" w:rsidP="00C63D91">
      <w:pPr>
        <w:pStyle w:val="Textpoznpodarou"/>
        <w:jc w:val="both"/>
        <w:rPr>
          <w:spacing w:val="-6"/>
          <w:sz w:val="16"/>
          <w:szCs w:val="16"/>
          <w:lang w:val="en-GB"/>
        </w:rPr>
      </w:pPr>
      <w:r w:rsidRPr="00C63D91">
        <w:rPr>
          <w:rStyle w:val="Znakapoznpodarou"/>
          <w:spacing w:val="-6"/>
          <w:sz w:val="16"/>
          <w:szCs w:val="16"/>
          <w:lang w:val="en-GB"/>
        </w:rPr>
        <w:footnoteRef/>
      </w:r>
      <w:r w:rsidRPr="00C63D91">
        <w:rPr>
          <w:spacing w:val="-6"/>
          <w:sz w:val="16"/>
          <w:szCs w:val="16"/>
          <w:lang w:val="en-GB"/>
        </w:rPr>
        <w:t xml:space="preserve"> </w:t>
      </w:r>
      <w:r>
        <w:rPr>
          <w:spacing w:val="-6"/>
          <w:sz w:val="16"/>
          <w:szCs w:val="16"/>
          <w:lang w:val="en-GB"/>
        </w:rPr>
        <w:t xml:space="preserve">Even though the most essential restrictive measures were not in place in Europe last year in spring any more, the across border tourism was still </w:t>
      </w:r>
      <w:r w:rsidRPr="00504BA2">
        <w:rPr>
          <w:spacing w:val="-6"/>
          <w:sz w:val="16"/>
          <w:szCs w:val="16"/>
          <w:lang w:val="en-GB"/>
        </w:rPr>
        <w:t xml:space="preserve">complicated by the inadequate vaccination coverage of population in the number of countries </w:t>
      </w:r>
      <w:r w:rsidRPr="00504BA2">
        <w:rPr>
          <w:rFonts w:cs="Arial"/>
          <w:color w:val="0D0D0D" w:themeColor="text1" w:themeTint="F2"/>
          <w:spacing w:val="-6"/>
          <w:sz w:val="16"/>
          <w:szCs w:val="16"/>
          <w:lang w:val="en-GB"/>
        </w:rPr>
        <w:t>(together with other administrative procedures). This year’s revival of tourism in the CR did not manage to offset the losses f</w:t>
      </w:r>
      <w:r>
        <w:rPr>
          <w:rFonts w:cs="Arial"/>
          <w:color w:val="0D0D0D" w:themeColor="text1" w:themeTint="F2"/>
          <w:spacing w:val="-6"/>
          <w:sz w:val="16"/>
          <w:szCs w:val="16"/>
          <w:lang w:val="en-GB"/>
        </w:rPr>
        <w:t>ro</w:t>
      </w:r>
      <w:r w:rsidRPr="00504BA2">
        <w:rPr>
          <w:rFonts w:cs="Arial"/>
          <w:color w:val="0D0D0D" w:themeColor="text1" w:themeTint="F2"/>
          <w:spacing w:val="-6"/>
          <w:sz w:val="16"/>
          <w:szCs w:val="16"/>
          <w:lang w:val="en-GB"/>
        </w:rPr>
        <w:t xml:space="preserve">m the previous years so far. </w:t>
      </w:r>
      <w:r>
        <w:rPr>
          <w:rFonts w:cs="Arial"/>
          <w:color w:val="0D0D0D" w:themeColor="text1" w:themeTint="F2"/>
          <w:spacing w:val="-6"/>
          <w:sz w:val="16"/>
          <w:szCs w:val="16"/>
          <w:lang w:val="en-GB"/>
        </w:rPr>
        <w:t>Accommodation providers earned by 31% less compared to Q</w:t>
      </w:r>
      <w:r w:rsidRPr="00504BA2">
        <w:rPr>
          <w:rFonts w:cs="Arial"/>
          <w:color w:val="0D0D0D" w:themeColor="text1" w:themeTint="F2"/>
          <w:spacing w:val="-6"/>
          <w:sz w:val="16"/>
          <w:szCs w:val="16"/>
          <w:lang w:val="en-GB"/>
        </w:rPr>
        <w:t>2</w:t>
      </w:r>
      <w:r>
        <w:rPr>
          <w:rFonts w:cs="Arial"/>
          <w:color w:val="0D0D0D" w:themeColor="text1" w:themeTint="F2"/>
          <w:spacing w:val="-6"/>
          <w:sz w:val="16"/>
          <w:szCs w:val="16"/>
          <w:lang w:val="en-GB"/>
        </w:rPr>
        <w:t xml:space="preserve"> </w:t>
      </w:r>
      <w:r w:rsidRPr="00504BA2">
        <w:rPr>
          <w:rFonts w:cs="Arial"/>
          <w:color w:val="0D0D0D" w:themeColor="text1" w:themeTint="F2"/>
          <w:spacing w:val="-6"/>
          <w:sz w:val="16"/>
          <w:szCs w:val="16"/>
          <w:lang w:val="en-GB"/>
        </w:rPr>
        <w:t>2019</w:t>
      </w:r>
      <w:r>
        <w:rPr>
          <w:rFonts w:cs="Arial"/>
          <w:color w:val="0D0D0D" w:themeColor="text1" w:themeTint="F2"/>
          <w:spacing w:val="-6"/>
          <w:sz w:val="16"/>
          <w:szCs w:val="16"/>
          <w:lang w:val="en-GB"/>
        </w:rPr>
        <w:t xml:space="preserve">, restaurant and food service operators by </w:t>
      </w:r>
      <w:r w:rsidRPr="00504BA2">
        <w:rPr>
          <w:rFonts w:cs="Arial"/>
          <w:color w:val="0D0D0D" w:themeColor="text1" w:themeTint="F2"/>
          <w:spacing w:val="-6"/>
          <w:sz w:val="16"/>
          <w:szCs w:val="16"/>
          <w:lang w:val="en-GB"/>
        </w:rPr>
        <w:t>9%.</w:t>
      </w:r>
    </w:p>
  </w:footnote>
  <w:footnote w:id="27">
    <w:p w14:paraId="12AFDEFA" w14:textId="77777777" w:rsidR="00073B58" w:rsidRPr="00056628" w:rsidRDefault="00073B58" w:rsidP="00B44566">
      <w:pPr>
        <w:pStyle w:val="Textpoznpodarou"/>
        <w:jc w:val="both"/>
        <w:rPr>
          <w:spacing w:val="-6"/>
          <w:sz w:val="16"/>
          <w:szCs w:val="16"/>
          <w:lang w:val="en-GB"/>
        </w:rPr>
      </w:pPr>
      <w:r w:rsidRPr="00056628">
        <w:rPr>
          <w:rStyle w:val="Znakapoznpodarou"/>
          <w:spacing w:val="-6"/>
          <w:sz w:val="16"/>
          <w:szCs w:val="16"/>
          <w:lang w:val="en-GB"/>
        </w:rPr>
        <w:footnoteRef/>
      </w:r>
      <w:r w:rsidRPr="00056628">
        <w:rPr>
          <w:spacing w:val="-6"/>
          <w:sz w:val="16"/>
          <w:szCs w:val="16"/>
          <w:lang w:val="en-GB"/>
        </w:rPr>
        <w:t xml:space="preserve"> Total demand in mass accommodation facilities already in ten regions nearly restored or even mildly surpassed the level from Q2 2019. </w:t>
      </w:r>
      <w:r>
        <w:rPr>
          <w:spacing w:val="-6"/>
          <w:sz w:val="16"/>
          <w:szCs w:val="16"/>
          <w:lang w:val="en-GB"/>
        </w:rPr>
        <w:t xml:space="preserve">Number of overnight stays fell behind more only in Prague </w:t>
      </w:r>
      <w:r w:rsidRPr="00056628">
        <w:rPr>
          <w:spacing w:val="-6"/>
          <w:sz w:val="16"/>
          <w:szCs w:val="16"/>
          <w:lang w:val="en-GB"/>
        </w:rPr>
        <w:t>(</w:t>
      </w:r>
      <w:r>
        <w:rPr>
          <w:spacing w:val="-6"/>
          <w:sz w:val="16"/>
          <w:szCs w:val="16"/>
          <w:lang w:val="en-GB"/>
        </w:rPr>
        <w:t xml:space="preserve">by </w:t>
      </w:r>
      <w:r w:rsidRPr="00056628">
        <w:rPr>
          <w:spacing w:val="-6"/>
          <w:sz w:val="16"/>
          <w:szCs w:val="16"/>
          <w:lang w:val="en-GB"/>
        </w:rPr>
        <w:t>29%), Karlov</w:t>
      </w:r>
      <w:r>
        <w:rPr>
          <w:spacing w:val="-6"/>
          <w:sz w:val="16"/>
          <w:szCs w:val="16"/>
          <w:lang w:val="en-GB"/>
        </w:rPr>
        <w:t xml:space="preserve">y Vary region </w:t>
      </w:r>
      <w:r w:rsidRPr="00056628">
        <w:rPr>
          <w:spacing w:val="-6"/>
          <w:sz w:val="16"/>
          <w:szCs w:val="16"/>
          <w:lang w:val="en-GB"/>
        </w:rPr>
        <w:t xml:space="preserve">(24%), </w:t>
      </w:r>
      <w:r>
        <w:rPr>
          <w:spacing w:val="-6"/>
          <w:sz w:val="16"/>
          <w:szCs w:val="16"/>
          <w:lang w:val="en-GB"/>
        </w:rPr>
        <w:t xml:space="preserve">South Bohemia region </w:t>
      </w:r>
      <w:r w:rsidRPr="00056628">
        <w:rPr>
          <w:spacing w:val="-6"/>
          <w:sz w:val="16"/>
          <w:szCs w:val="16"/>
          <w:lang w:val="en-GB"/>
        </w:rPr>
        <w:t>(15%) a</w:t>
      </w:r>
      <w:r>
        <w:rPr>
          <w:spacing w:val="-6"/>
          <w:sz w:val="16"/>
          <w:szCs w:val="16"/>
          <w:lang w:val="en-GB"/>
        </w:rPr>
        <w:t xml:space="preserve">nd Ústí nad Labem region </w:t>
      </w:r>
      <w:r w:rsidRPr="00056628">
        <w:rPr>
          <w:spacing w:val="-6"/>
          <w:sz w:val="16"/>
          <w:szCs w:val="16"/>
          <w:lang w:val="en-GB"/>
        </w:rPr>
        <w:t>(14%).</w:t>
      </w:r>
    </w:p>
  </w:footnote>
  <w:footnote w:id="28">
    <w:p w14:paraId="769CEF34" w14:textId="77777777" w:rsidR="00073B58" w:rsidRPr="00056628" w:rsidRDefault="00073B58" w:rsidP="00B44566">
      <w:pPr>
        <w:pStyle w:val="Textpoznpodarou"/>
        <w:jc w:val="both"/>
        <w:rPr>
          <w:spacing w:val="-6"/>
          <w:sz w:val="16"/>
          <w:szCs w:val="16"/>
          <w:lang w:val="en-GB"/>
        </w:rPr>
      </w:pPr>
      <w:r w:rsidRPr="00056628">
        <w:rPr>
          <w:rStyle w:val="Znakapoznpodarou"/>
          <w:spacing w:val="-6"/>
          <w:sz w:val="16"/>
          <w:szCs w:val="16"/>
          <w:lang w:val="en-GB"/>
        </w:rPr>
        <w:footnoteRef/>
      </w:r>
      <w:r w:rsidRPr="00056628">
        <w:rPr>
          <w:spacing w:val="-6"/>
          <w:sz w:val="16"/>
          <w:szCs w:val="16"/>
          <w:lang w:val="en-GB"/>
        </w:rPr>
        <w:t xml:space="preserve"> T</w:t>
      </w:r>
      <w:r>
        <w:rPr>
          <w:spacing w:val="-6"/>
          <w:sz w:val="16"/>
          <w:szCs w:val="16"/>
          <w:lang w:val="en-GB"/>
        </w:rPr>
        <w:t>hese consist of activities linked to the data processing and hosting</w:t>
      </w:r>
      <w:r w:rsidRPr="00056628">
        <w:rPr>
          <w:spacing w:val="-6"/>
          <w:sz w:val="16"/>
          <w:szCs w:val="16"/>
          <w:lang w:val="en-GB"/>
        </w:rPr>
        <w:t xml:space="preserve">, </w:t>
      </w:r>
      <w:r>
        <w:rPr>
          <w:spacing w:val="-6"/>
          <w:sz w:val="16"/>
          <w:szCs w:val="16"/>
          <w:lang w:val="en-GB"/>
        </w:rPr>
        <w:t>area of web portals and news press offices as well as agencies.</w:t>
      </w:r>
    </w:p>
  </w:footnote>
  <w:footnote w:id="29">
    <w:p w14:paraId="7D918BCF" w14:textId="77777777" w:rsidR="00073B58" w:rsidRPr="00056628" w:rsidRDefault="00073B58" w:rsidP="00B44566">
      <w:pPr>
        <w:pStyle w:val="Textpoznpodarou"/>
        <w:jc w:val="both"/>
        <w:rPr>
          <w:spacing w:val="-6"/>
          <w:sz w:val="16"/>
          <w:szCs w:val="16"/>
          <w:lang w:val="en-GB"/>
        </w:rPr>
      </w:pPr>
      <w:r w:rsidRPr="00056628">
        <w:rPr>
          <w:rStyle w:val="Znakapoznpodarou"/>
          <w:spacing w:val="-6"/>
          <w:sz w:val="16"/>
          <w:szCs w:val="16"/>
          <w:lang w:val="en-GB"/>
        </w:rPr>
        <w:footnoteRef/>
      </w:r>
      <w:r w:rsidRPr="00056628">
        <w:rPr>
          <w:spacing w:val="-6"/>
          <w:sz w:val="16"/>
          <w:szCs w:val="16"/>
          <w:lang w:val="en-GB"/>
        </w:rPr>
        <w:t xml:space="preserve"> </w:t>
      </w:r>
      <w:r>
        <w:rPr>
          <w:spacing w:val="-6"/>
          <w:sz w:val="16"/>
          <w:szCs w:val="16"/>
          <w:lang w:val="en-GB"/>
        </w:rPr>
        <w:t xml:space="preserve">Segment of motion picture distribution prospered more since no restrictive measures for the cinema visitors were in place this year in spring </w:t>
      </w:r>
      <w:r>
        <w:rPr>
          <w:rFonts w:cs="Arial"/>
          <w:color w:val="0D0D0D" w:themeColor="text1" w:themeTint="F2"/>
          <w:spacing w:val="-6"/>
          <w:sz w:val="16"/>
          <w:szCs w:val="16"/>
          <w:lang w:val="en-GB"/>
        </w:rPr>
        <w:t>for the first time since the commencement of pandemics</w:t>
      </w:r>
      <w:r w:rsidRPr="00056628">
        <w:rPr>
          <w:rFonts w:cs="Arial"/>
          <w:color w:val="0D0D0D" w:themeColor="text1" w:themeTint="F2"/>
          <w:spacing w:val="-6"/>
          <w:sz w:val="16"/>
          <w:szCs w:val="16"/>
          <w:lang w:val="en-GB"/>
        </w:rPr>
        <w:t>.</w:t>
      </w:r>
      <w:r>
        <w:rPr>
          <w:rFonts w:cs="Arial"/>
          <w:color w:val="0D0D0D" w:themeColor="text1" w:themeTint="F2"/>
          <w:spacing w:val="-6"/>
          <w:sz w:val="16"/>
          <w:szCs w:val="16"/>
          <w:lang w:val="en-GB"/>
        </w:rPr>
        <w:t xml:space="preserve"> Based on data form the Union of Motion Picture Distributors, this was reflected in the April attendance </w:t>
      </w:r>
      <w:r w:rsidRPr="00056628">
        <w:rPr>
          <w:spacing w:val="-6"/>
          <w:sz w:val="16"/>
          <w:szCs w:val="16"/>
          <w:lang w:val="en-GB"/>
        </w:rPr>
        <w:t>(1</w:t>
      </w:r>
      <w:r>
        <w:rPr>
          <w:spacing w:val="-6"/>
          <w:sz w:val="16"/>
          <w:szCs w:val="16"/>
          <w:lang w:val="en-GB"/>
        </w:rPr>
        <w:t>.</w:t>
      </w:r>
      <w:r w:rsidRPr="00056628">
        <w:rPr>
          <w:spacing w:val="-6"/>
          <w:sz w:val="16"/>
          <w:szCs w:val="16"/>
          <w:lang w:val="en-GB"/>
        </w:rPr>
        <w:t>67</w:t>
      </w:r>
      <w:r>
        <w:rPr>
          <w:spacing w:val="-6"/>
          <w:sz w:val="16"/>
          <w:szCs w:val="16"/>
          <w:lang w:val="en-GB"/>
        </w:rPr>
        <w:t xml:space="preserve"> mil persons, record number in this month in the comparable time series since year </w:t>
      </w:r>
      <w:r w:rsidRPr="00056628">
        <w:rPr>
          <w:spacing w:val="-6"/>
          <w:sz w:val="16"/>
          <w:szCs w:val="16"/>
          <w:lang w:val="en-GB"/>
        </w:rPr>
        <w:t>2000). 6</w:t>
      </w:r>
      <w:r>
        <w:rPr>
          <w:spacing w:val="-6"/>
          <w:sz w:val="16"/>
          <w:szCs w:val="16"/>
          <w:lang w:val="en-GB"/>
        </w:rPr>
        <w:t>.</w:t>
      </w:r>
      <w:r w:rsidRPr="00056628">
        <w:rPr>
          <w:spacing w:val="-6"/>
          <w:sz w:val="16"/>
          <w:szCs w:val="16"/>
          <w:lang w:val="en-GB"/>
        </w:rPr>
        <w:t xml:space="preserve">4 mil </w:t>
      </w:r>
      <w:r>
        <w:rPr>
          <w:spacing w:val="-6"/>
          <w:sz w:val="16"/>
          <w:szCs w:val="16"/>
          <w:lang w:val="en-GB"/>
        </w:rPr>
        <w:t>persons found way to the domestic cinemas for the entire H1</w:t>
      </w:r>
      <w:r w:rsidRPr="00056628">
        <w:rPr>
          <w:spacing w:val="-6"/>
          <w:sz w:val="16"/>
          <w:szCs w:val="16"/>
          <w:lang w:val="en-GB"/>
        </w:rPr>
        <w:t>.</w:t>
      </w:r>
      <w:r>
        <w:rPr>
          <w:spacing w:val="-6"/>
          <w:sz w:val="16"/>
          <w:szCs w:val="16"/>
          <w:lang w:val="en-GB"/>
        </w:rPr>
        <w:t xml:space="preserve"> It represented 27% decrease compared to the record number from year </w:t>
      </w:r>
      <w:r w:rsidRPr="00056628">
        <w:rPr>
          <w:spacing w:val="-6"/>
          <w:sz w:val="16"/>
          <w:szCs w:val="16"/>
          <w:lang w:val="en-GB"/>
        </w:rPr>
        <w:t>2019</w:t>
      </w:r>
      <w:r>
        <w:rPr>
          <w:spacing w:val="-6"/>
          <w:sz w:val="16"/>
          <w:szCs w:val="16"/>
          <w:lang w:val="en-GB"/>
        </w:rPr>
        <w:t xml:space="preserve"> </w:t>
      </w:r>
      <w:r w:rsidRPr="00056628">
        <w:rPr>
          <w:spacing w:val="-6"/>
          <w:sz w:val="16"/>
          <w:szCs w:val="16"/>
          <w:lang w:val="en-GB"/>
        </w:rPr>
        <w:t>(</w:t>
      </w:r>
      <w:r>
        <w:rPr>
          <w:spacing w:val="-6"/>
          <w:sz w:val="16"/>
          <w:szCs w:val="16"/>
          <w:lang w:val="en-GB"/>
        </w:rPr>
        <w:t xml:space="preserve">analogically, the number of shows dropped only by </w:t>
      </w:r>
      <w:r w:rsidRPr="00056628">
        <w:rPr>
          <w:spacing w:val="-6"/>
          <w:sz w:val="16"/>
          <w:szCs w:val="16"/>
          <w:lang w:val="en-GB"/>
        </w:rPr>
        <w:t xml:space="preserve">5%). </w:t>
      </w:r>
      <w:r>
        <w:rPr>
          <w:spacing w:val="-6"/>
          <w:sz w:val="16"/>
          <w:szCs w:val="16"/>
          <w:lang w:val="en-GB"/>
        </w:rPr>
        <w:t xml:space="preserve">Higher half-yearly attendance compared to this year was observed besides other things also in years </w:t>
      </w:r>
      <w:r w:rsidRPr="00056628">
        <w:rPr>
          <w:spacing w:val="-6"/>
          <w:sz w:val="16"/>
          <w:szCs w:val="16"/>
          <w:lang w:val="en-GB"/>
        </w:rPr>
        <w:t>2007 a</w:t>
      </w:r>
      <w:r>
        <w:rPr>
          <w:spacing w:val="-6"/>
          <w:sz w:val="16"/>
          <w:szCs w:val="16"/>
          <w:lang w:val="en-GB"/>
        </w:rPr>
        <w:t>nd</w:t>
      </w:r>
      <w:r w:rsidRPr="00056628">
        <w:rPr>
          <w:spacing w:val="-6"/>
          <w:sz w:val="16"/>
          <w:szCs w:val="16"/>
          <w:lang w:val="en-GB"/>
        </w:rPr>
        <w:t xml:space="preserve"> 2010.</w:t>
      </w:r>
    </w:p>
  </w:footnote>
  <w:footnote w:id="30">
    <w:p w14:paraId="3BC473F0" w14:textId="77777777" w:rsidR="00073B58" w:rsidRPr="00D511D8" w:rsidRDefault="00073B58" w:rsidP="00D65F61">
      <w:pPr>
        <w:spacing w:after="0" w:line="240" w:lineRule="auto"/>
        <w:rPr>
          <w:spacing w:val="-6"/>
          <w:lang w:val="en-GB"/>
        </w:rPr>
      </w:pPr>
      <w:r w:rsidRPr="00101B15">
        <w:rPr>
          <w:rStyle w:val="Znakapoznpodarou"/>
          <w:color w:val="0D0D0D" w:themeColor="text1" w:themeTint="F2"/>
          <w:spacing w:val="-6"/>
          <w:sz w:val="16"/>
          <w:szCs w:val="16"/>
        </w:rPr>
        <w:footnoteRef/>
      </w:r>
      <w:r w:rsidRPr="00101B15">
        <w:rPr>
          <w:color w:val="0D0D0D" w:themeColor="text1" w:themeTint="F2"/>
          <w:spacing w:val="-6"/>
          <w:sz w:val="16"/>
          <w:szCs w:val="16"/>
        </w:rPr>
        <w:t xml:space="preserve"> </w:t>
      </w:r>
      <w:r w:rsidRPr="00E22F57">
        <w:rPr>
          <w:color w:val="0D0D0D" w:themeColor="text1" w:themeTint="F2"/>
          <w:sz w:val="16"/>
          <w:szCs w:val="16"/>
          <w:lang w:val="en-GB"/>
        </w:rPr>
        <w:t>All year-on-year rates of growth of retail sales are stated in constant prices and adjusted for calendar effects</w:t>
      </w:r>
      <w:r>
        <w:rPr>
          <w:color w:val="0D0D0D" w:themeColor="text1" w:themeTint="F2"/>
          <w:sz w:val="16"/>
          <w:szCs w:val="16"/>
          <w:lang w:val="en-GB"/>
        </w:rPr>
        <w:t>, quarter-on-quarter as well as month-on-month rates are adjusted for seasonal effects</w:t>
      </w:r>
      <w:r w:rsidRPr="00E22F57">
        <w:rPr>
          <w:color w:val="0D0D0D" w:themeColor="text1" w:themeTint="F2"/>
          <w:sz w:val="16"/>
          <w:szCs w:val="16"/>
          <w:lang w:val="en-GB"/>
        </w:rPr>
        <w:t xml:space="preserve"> (including the number of working days). Retail includes branch CZ</w:t>
      </w:r>
      <w:r w:rsidRPr="00E22F57">
        <w:rPr>
          <w:color w:val="0D0D0D" w:themeColor="text1" w:themeTint="F2"/>
          <w:sz w:val="16"/>
          <w:szCs w:val="16"/>
          <w:lang w:val="en-GB"/>
        </w:rPr>
        <w:noBreakHyphen/>
        <w:t>NACE 47.</w:t>
      </w:r>
    </w:p>
  </w:footnote>
  <w:footnote w:id="31">
    <w:p w14:paraId="7AA08C42" w14:textId="77777777" w:rsidR="00073B58" w:rsidRPr="00D511D8" w:rsidRDefault="00073B58" w:rsidP="00D511D8">
      <w:pPr>
        <w:spacing w:after="0" w:line="240" w:lineRule="auto"/>
        <w:rPr>
          <w:rFonts w:cs="Arial"/>
          <w:bCs/>
          <w:spacing w:val="-6"/>
          <w:sz w:val="16"/>
          <w:szCs w:val="16"/>
          <w:lang w:val="en-GB"/>
        </w:rPr>
      </w:pPr>
      <w:r w:rsidRPr="00D511D8">
        <w:rPr>
          <w:rStyle w:val="Znakapoznpodarou"/>
          <w:spacing w:val="-6"/>
          <w:sz w:val="16"/>
          <w:szCs w:val="16"/>
          <w:lang w:val="en-GB"/>
        </w:rPr>
        <w:footnoteRef/>
      </w:r>
      <w:r w:rsidRPr="00D511D8">
        <w:rPr>
          <w:spacing w:val="-6"/>
          <w:sz w:val="16"/>
          <w:szCs w:val="16"/>
          <w:lang w:val="en-GB"/>
        </w:rPr>
        <w:t xml:space="preserve"> </w:t>
      </w:r>
      <w:r>
        <w:rPr>
          <w:spacing w:val="-6"/>
          <w:sz w:val="16"/>
          <w:szCs w:val="16"/>
          <w:lang w:val="en-GB"/>
        </w:rPr>
        <w:t xml:space="preserve">On </w:t>
      </w:r>
      <w:r w:rsidRPr="00D511D8">
        <w:rPr>
          <w:spacing w:val="-6"/>
          <w:sz w:val="16"/>
          <w:szCs w:val="16"/>
          <w:lang w:val="en-GB"/>
        </w:rPr>
        <w:t>11</w:t>
      </w:r>
      <w:r w:rsidRPr="006948DE">
        <w:rPr>
          <w:spacing w:val="-6"/>
          <w:sz w:val="16"/>
          <w:szCs w:val="16"/>
          <w:vertAlign w:val="superscript"/>
          <w:lang w:val="en-GB"/>
        </w:rPr>
        <w:t>th</w:t>
      </w:r>
      <w:r>
        <w:rPr>
          <w:spacing w:val="-6"/>
          <w:sz w:val="16"/>
          <w:szCs w:val="16"/>
          <w:lang w:val="en-GB"/>
        </w:rPr>
        <w:t xml:space="preserve"> May </w:t>
      </w:r>
      <w:r w:rsidRPr="00D511D8">
        <w:rPr>
          <w:spacing w:val="-6"/>
          <w:sz w:val="16"/>
          <w:szCs w:val="16"/>
          <w:lang w:val="en-GB"/>
        </w:rPr>
        <w:t>2021</w:t>
      </w:r>
      <w:r>
        <w:rPr>
          <w:spacing w:val="-6"/>
          <w:sz w:val="16"/>
          <w:szCs w:val="16"/>
          <w:lang w:val="en-GB"/>
        </w:rPr>
        <w:t xml:space="preserve">, larger shop operations were reopened (outside of shopping centres) as well as all shops in the shopping centres (except for food services) and the last more essential regulative measure terminated in retail. Further only partial restrictions were used as needed </w:t>
      </w:r>
      <w:r w:rsidRPr="00D511D8">
        <w:rPr>
          <w:rFonts w:cs="Arial"/>
          <w:bCs/>
          <w:spacing w:val="-6"/>
          <w:sz w:val="16"/>
          <w:szCs w:val="16"/>
          <w:lang w:val="en-GB"/>
        </w:rPr>
        <w:t>(</w:t>
      </w:r>
      <w:r>
        <w:rPr>
          <w:rFonts w:cs="Arial"/>
          <w:bCs/>
          <w:spacing w:val="-6"/>
          <w:sz w:val="16"/>
          <w:szCs w:val="16"/>
          <w:lang w:val="en-GB"/>
        </w:rPr>
        <w:t>number of customers per shopping area, cancelling of Christmas markets</w:t>
      </w:r>
      <w:r w:rsidRPr="00D511D8">
        <w:rPr>
          <w:rFonts w:cs="Arial"/>
          <w:bCs/>
          <w:spacing w:val="-6"/>
          <w:sz w:val="16"/>
          <w:szCs w:val="16"/>
          <w:lang w:val="en-GB"/>
        </w:rPr>
        <w:t xml:space="preserve">), </w:t>
      </w:r>
      <w:r>
        <w:rPr>
          <w:rFonts w:cs="Arial"/>
          <w:bCs/>
          <w:spacing w:val="-6"/>
          <w:sz w:val="16"/>
          <w:szCs w:val="16"/>
          <w:lang w:val="en-GB"/>
        </w:rPr>
        <w:t xml:space="preserve">which did not have a significant effect on the performance of the whole retail. </w:t>
      </w:r>
    </w:p>
  </w:footnote>
  <w:footnote w:id="32">
    <w:p w14:paraId="7C31CA84" w14:textId="77777777" w:rsidR="00073B58" w:rsidRPr="00A62CB0" w:rsidRDefault="00073B58" w:rsidP="00A62CB0">
      <w:pPr>
        <w:pStyle w:val="Textpoznpodarou"/>
        <w:jc w:val="both"/>
        <w:rPr>
          <w:spacing w:val="-2"/>
          <w:sz w:val="16"/>
          <w:szCs w:val="16"/>
          <w:lang w:val="en-GB"/>
        </w:rPr>
      </w:pPr>
      <w:r w:rsidRPr="00A62CB0">
        <w:rPr>
          <w:rStyle w:val="Znakapoznpodarou"/>
          <w:spacing w:val="-2"/>
          <w:sz w:val="16"/>
          <w:szCs w:val="16"/>
          <w:lang w:val="en-GB"/>
        </w:rPr>
        <w:footnoteRef/>
      </w:r>
      <w:r w:rsidRPr="00A62CB0">
        <w:rPr>
          <w:spacing w:val="-2"/>
          <w:sz w:val="16"/>
          <w:szCs w:val="16"/>
          <w:lang w:val="en-GB"/>
        </w:rPr>
        <w:t xml:space="preserve"> </w:t>
      </w:r>
      <w:r>
        <w:rPr>
          <w:spacing w:val="-2"/>
          <w:sz w:val="16"/>
          <w:szCs w:val="16"/>
          <w:lang w:val="en-GB"/>
        </w:rPr>
        <w:t xml:space="preserve">Business confidence balance in the trade branch was comparable to the level from time period just before the onset of pandemics this year in July. Despite mild deterioration since the beginning of the year, businesses perceived their current economic situation still positively </w:t>
      </w:r>
      <w:r w:rsidRPr="00A62CB0">
        <w:rPr>
          <w:spacing w:val="-2"/>
          <w:sz w:val="16"/>
          <w:szCs w:val="16"/>
          <w:lang w:val="en-GB"/>
        </w:rPr>
        <w:t>a</w:t>
      </w:r>
      <w:r>
        <w:rPr>
          <w:spacing w:val="-2"/>
          <w:sz w:val="16"/>
          <w:szCs w:val="16"/>
          <w:lang w:val="en-GB"/>
        </w:rPr>
        <w:t xml:space="preserve">nd the outlooks to the nearest half-year were also favourable </w:t>
      </w:r>
      <w:r w:rsidRPr="00A62CB0">
        <w:rPr>
          <w:spacing w:val="-2"/>
          <w:sz w:val="16"/>
          <w:szCs w:val="16"/>
          <w:lang w:val="en-GB"/>
        </w:rPr>
        <w:t>(35%</w:t>
      </w:r>
      <w:r>
        <w:rPr>
          <w:spacing w:val="-2"/>
          <w:sz w:val="16"/>
          <w:szCs w:val="16"/>
          <w:lang w:val="en-GB"/>
        </w:rPr>
        <w:t xml:space="preserve"> of businesses expected improvement</w:t>
      </w:r>
      <w:r w:rsidRPr="00A62CB0">
        <w:rPr>
          <w:spacing w:val="-2"/>
          <w:sz w:val="16"/>
          <w:szCs w:val="16"/>
          <w:lang w:val="en-GB"/>
        </w:rPr>
        <w:t>, 13%</w:t>
      </w:r>
      <w:r>
        <w:rPr>
          <w:spacing w:val="-2"/>
          <w:sz w:val="16"/>
          <w:szCs w:val="16"/>
          <w:lang w:val="en-GB"/>
        </w:rPr>
        <w:t xml:space="preserve"> worsening</w:t>
      </w:r>
      <w:r w:rsidRPr="00A62CB0">
        <w:rPr>
          <w:spacing w:val="-2"/>
          <w:sz w:val="16"/>
          <w:szCs w:val="16"/>
          <w:lang w:val="en-GB"/>
        </w:rPr>
        <w:t xml:space="preserve">). </w:t>
      </w:r>
      <w:r>
        <w:rPr>
          <w:spacing w:val="-2"/>
          <w:sz w:val="16"/>
          <w:szCs w:val="16"/>
          <w:lang w:val="en-GB"/>
        </w:rPr>
        <w:t>It is also substantiated by the fact, that traders also planned the recruitment of new employees</w:t>
      </w:r>
      <w:r w:rsidRPr="00A62CB0">
        <w:rPr>
          <w:spacing w:val="-2"/>
          <w:sz w:val="16"/>
          <w:szCs w:val="16"/>
          <w:lang w:val="en-GB"/>
        </w:rPr>
        <w:t>.</w:t>
      </w:r>
    </w:p>
  </w:footnote>
  <w:footnote w:id="33">
    <w:p w14:paraId="13471D5F" w14:textId="77777777" w:rsidR="00073B58" w:rsidRPr="00A62CB0" w:rsidRDefault="00073B58" w:rsidP="00A62CB0">
      <w:pPr>
        <w:pStyle w:val="Textpoznpodarou"/>
        <w:jc w:val="both"/>
        <w:rPr>
          <w:sz w:val="16"/>
          <w:szCs w:val="16"/>
          <w:lang w:val="en-GB"/>
        </w:rPr>
      </w:pPr>
      <w:r w:rsidRPr="00A62CB0">
        <w:rPr>
          <w:rStyle w:val="Znakapoznpodarou"/>
          <w:sz w:val="16"/>
          <w:szCs w:val="16"/>
          <w:lang w:val="en-GB"/>
        </w:rPr>
        <w:footnoteRef/>
      </w:r>
      <w:r w:rsidRPr="00A62CB0">
        <w:rPr>
          <w:sz w:val="16"/>
          <w:szCs w:val="16"/>
          <w:lang w:val="en-GB"/>
        </w:rPr>
        <w:t xml:space="preserve"> </w:t>
      </w:r>
      <w:r>
        <w:rPr>
          <w:sz w:val="16"/>
          <w:szCs w:val="16"/>
          <w:lang w:val="en-GB"/>
        </w:rPr>
        <w:t xml:space="preserve">Retail faced weaker consumer demand also in the EU this year. Retail sales rose by </w:t>
      </w:r>
      <w:r w:rsidRPr="00A62CB0">
        <w:rPr>
          <w:sz w:val="16"/>
          <w:szCs w:val="16"/>
          <w:lang w:val="en-GB"/>
        </w:rPr>
        <w:t>1</w:t>
      </w:r>
      <w:r>
        <w:rPr>
          <w:sz w:val="16"/>
          <w:szCs w:val="16"/>
          <w:lang w:val="en-GB"/>
        </w:rPr>
        <w:t>.</w:t>
      </w:r>
      <w:r w:rsidRPr="00A62CB0">
        <w:rPr>
          <w:sz w:val="16"/>
          <w:szCs w:val="16"/>
          <w:lang w:val="en-GB"/>
        </w:rPr>
        <w:t>3%</w:t>
      </w:r>
      <w:r>
        <w:rPr>
          <w:sz w:val="16"/>
          <w:szCs w:val="16"/>
          <w:lang w:val="en-GB"/>
        </w:rPr>
        <w:t xml:space="preserve"> in Q2 year-on-year</w:t>
      </w:r>
      <w:r w:rsidRPr="00A62CB0">
        <w:rPr>
          <w:sz w:val="16"/>
          <w:szCs w:val="16"/>
          <w:lang w:val="en-GB"/>
        </w:rPr>
        <w:t>,</w:t>
      </w:r>
      <w:r>
        <w:rPr>
          <w:sz w:val="16"/>
          <w:szCs w:val="16"/>
          <w:lang w:val="en-GB"/>
        </w:rPr>
        <w:t xml:space="preserve"> the least since half of year </w:t>
      </w:r>
      <w:r w:rsidRPr="00A62CB0">
        <w:rPr>
          <w:sz w:val="16"/>
          <w:szCs w:val="16"/>
          <w:lang w:val="en-GB"/>
        </w:rPr>
        <w:t xml:space="preserve">2020. </w:t>
      </w:r>
      <w:r>
        <w:rPr>
          <w:sz w:val="16"/>
          <w:szCs w:val="16"/>
          <w:lang w:val="en-GB"/>
        </w:rPr>
        <w:t>Euro area lone was in a worse position</w:t>
      </w:r>
      <w:r w:rsidRPr="00A62CB0">
        <w:rPr>
          <w:sz w:val="16"/>
          <w:szCs w:val="16"/>
          <w:lang w:val="en-GB"/>
        </w:rPr>
        <w:t xml:space="preserve">, </w:t>
      </w:r>
      <w:r>
        <w:rPr>
          <w:sz w:val="16"/>
          <w:szCs w:val="16"/>
          <w:lang w:val="en-GB"/>
        </w:rPr>
        <w:t xml:space="preserve">where mostly the newer members from Central and Eastern Europe contributed to the mild growth </w:t>
      </w:r>
      <w:r w:rsidRPr="00A62CB0">
        <w:rPr>
          <w:sz w:val="16"/>
          <w:szCs w:val="16"/>
          <w:lang w:val="en-GB"/>
        </w:rPr>
        <w:t>(0</w:t>
      </w:r>
      <w:r>
        <w:rPr>
          <w:sz w:val="16"/>
          <w:szCs w:val="16"/>
          <w:lang w:val="en-GB"/>
        </w:rPr>
        <w:t>.</w:t>
      </w:r>
      <w:r w:rsidRPr="00A62CB0">
        <w:rPr>
          <w:sz w:val="16"/>
          <w:szCs w:val="16"/>
          <w:lang w:val="en-GB"/>
        </w:rPr>
        <w:t xml:space="preserve">5%). </w:t>
      </w:r>
      <w:r>
        <w:rPr>
          <w:sz w:val="16"/>
          <w:szCs w:val="16"/>
          <w:lang w:val="en-GB"/>
        </w:rPr>
        <w:t xml:space="preserve">The decrease of sales afflicted </w:t>
      </w:r>
      <w:r w:rsidRPr="00A62CB0">
        <w:rPr>
          <w:sz w:val="16"/>
          <w:szCs w:val="16"/>
          <w:lang w:val="en-GB"/>
        </w:rPr>
        <w:t>11</w:t>
      </w:r>
      <w:r>
        <w:rPr>
          <w:sz w:val="16"/>
          <w:szCs w:val="16"/>
          <w:lang w:val="en-GB"/>
        </w:rPr>
        <w:t xml:space="preserve"> states of the EU</w:t>
      </w:r>
      <w:r w:rsidRPr="00A62CB0">
        <w:rPr>
          <w:sz w:val="16"/>
          <w:szCs w:val="16"/>
          <w:lang w:val="en-GB"/>
        </w:rPr>
        <w:t xml:space="preserve"> – </w:t>
      </w:r>
      <w:r>
        <w:rPr>
          <w:sz w:val="16"/>
          <w:szCs w:val="16"/>
          <w:lang w:val="en-GB"/>
        </w:rPr>
        <w:t xml:space="preserve">the most Denmark </w:t>
      </w:r>
      <w:r w:rsidRPr="00A62CB0">
        <w:rPr>
          <w:sz w:val="16"/>
          <w:szCs w:val="16"/>
          <w:lang w:val="en-GB"/>
        </w:rPr>
        <w:t>(–5</w:t>
      </w:r>
      <w:r>
        <w:rPr>
          <w:sz w:val="16"/>
          <w:szCs w:val="16"/>
          <w:lang w:val="en-GB"/>
        </w:rPr>
        <w:t>.</w:t>
      </w:r>
      <w:r w:rsidRPr="00A62CB0">
        <w:rPr>
          <w:sz w:val="16"/>
          <w:szCs w:val="16"/>
          <w:lang w:val="en-GB"/>
        </w:rPr>
        <w:t>0%) a</w:t>
      </w:r>
      <w:r>
        <w:rPr>
          <w:sz w:val="16"/>
          <w:szCs w:val="16"/>
          <w:lang w:val="en-GB"/>
        </w:rPr>
        <w:t xml:space="preserve">nd Finland </w:t>
      </w:r>
      <w:r w:rsidRPr="00A62CB0">
        <w:rPr>
          <w:sz w:val="16"/>
          <w:szCs w:val="16"/>
          <w:lang w:val="en-GB"/>
        </w:rPr>
        <w:t>(–4</w:t>
      </w:r>
      <w:r>
        <w:rPr>
          <w:sz w:val="16"/>
          <w:szCs w:val="16"/>
          <w:lang w:val="en-GB"/>
        </w:rPr>
        <w:t>.</w:t>
      </w:r>
      <w:r w:rsidRPr="00A62CB0">
        <w:rPr>
          <w:sz w:val="16"/>
          <w:szCs w:val="16"/>
          <w:lang w:val="en-GB"/>
        </w:rPr>
        <w:t xml:space="preserve">0%), </w:t>
      </w:r>
      <w:r>
        <w:rPr>
          <w:sz w:val="16"/>
          <w:szCs w:val="16"/>
          <w:lang w:val="en-GB"/>
        </w:rPr>
        <w:t xml:space="preserve">where a mild quarter-on-quarter downturn occurred already since half of the last year. Within the Central Europe, the lower output of retail in Germany </w:t>
      </w:r>
      <w:r w:rsidRPr="00A62CB0">
        <w:rPr>
          <w:sz w:val="16"/>
          <w:szCs w:val="16"/>
          <w:lang w:val="en-GB"/>
        </w:rPr>
        <w:t>(–3</w:t>
      </w:r>
      <w:r>
        <w:rPr>
          <w:sz w:val="16"/>
          <w:szCs w:val="16"/>
          <w:lang w:val="en-GB"/>
        </w:rPr>
        <w:t>.</w:t>
      </w:r>
      <w:r w:rsidRPr="00A62CB0">
        <w:rPr>
          <w:sz w:val="16"/>
          <w:szCs w:val="16"/>
          <w:lang w:val="en-GB"/>
        </w:rPr>
        <w:t xml:space="preserve">7% </w:t>
      </w:r>
      <w:r>
        <w:rPr>
          <w:sz w:val="16"/>
          <w:szCs w:val="16"/>
          <w:lang w:val="en-GB"/>
        </w:rPr>
        <w:t>year-on-year</w:t>
      </w:r>
      <w:r w:rsidRPr="00A62CB0">
        <w:rPr>
          <w:sz w:val="16"/>
          <w:szCs w:val="16"/>
          <w:lang w:val="en-GB"/>
        </w:rPr>
        <w:t>),</w:t>
      </w:r>
      <w:r>
        <w:rPr>
          <w:sz w:val="16"/>
          <w:szCs w:val="16"/>
          <w:lang w:val="en-GB"/>
        </w:rPr>
        <w:t xml:space="preserve"> the CR </w:t>
      </w:r>
      <w:r w:rsidRPr="00A62CB0">
        <w:rPr>
          <w:sz w:val="16"/>
          <w:szCs w:val="16"/>
          <w:lang w:val="en-GB"/>
        </w:rPr>
        <w:t>(–3</w:t>
      </w:r>
      <w:r>
        <w:rPr>
          <w:sz w:val="16"/>
          <w:szCs w:val="16"/>
          <w:lang w:val="en-GB"/>
        </w:rPr>
        <w:t>.</w:t>
      </w:r>
      <w:r w:rsidRPr="00A62CB0">
        <w:rPr>
          <w:sz w:val="16"/>
          <w:szCs w:val="16"/>
          <w:lang w:val="en-GB"/>
        </w:rPr>
        <w:t>0%) a</w:t>
      </w:r>
      <w:r>
        <w:rPr>
          <w:sz w:val="16"/>
          <w:szCs w:val="16"/>
          <w:lang w:val="en-GB"/>
        </w:rPr>
        <w:t xml:space="preserve">nd Austria </w:t>
      </w:r>
      <w:r w:rsidRPr="00A62CB0">
        <w:rPr>
          <w:sz w:val="16"/>
          <w:szCs w:val="16"/>
          <w:lang w:val="en-GB"/>
        </w:rPr>
        <w:t>(–2</w:t>
      </w:r>
      <w:r>
        <w:rPr>
          <w:sz w:val="16"/>
          <w:szCs w:val="16"/>
          <w:lang w:val="en-GB"/>
        </w:rPr>
        <w:t>.</w:t>
      </w:r>
      <w:r w:rsidRPr="00A62CB0">
        <w:rPr>
          <w:sz w:val="16"/>
          <w:szCs w:val="16"/>
          <w:lang w:val="en-GB"/>
        </w:rPr>
        <w:t xml:space="preserve">3%) </w:t>
      </w:r>
      <w:r>
        <w:rPr>
          <w:sz w:val="16"/>
          <w:szCs w:val="16"/>
          <w:lang w:val="en-GB"/>
        </w:rPr>
        <w:t xml:space="preserve">contrasted with the brisk pace of Poland </w:t>
      </w:r>
      <w:r w:rsidRPr="00A62CB0">
        <w:rPr>
          <w:sz w:val="16"/>
          <w:szCs w:val="16"/>
          <w:lang w:val="en-GB"/>
        </w:rPr>
        <w:t>(+12</w:t>
      </w:r>
      <w:r>
        <w:rPr>
          <w:sz w:val="16"/>
          <w:szCs w:val="16"/>
          <w:lang w:val="en-GB"/>
        </w:rPr>
        <w:t>.</w:t>
      </w:r>
      <w:r w:rsidRPr="00A62CB0">
        <w:rPr>
          <w:sz w:val="16"/>
          <w:szCs w:val="16"/>
          <w:lang w:val="en-GB"/>
        </w:rPr>
        <w:t xml:space="preserve">7%), </w:t>
      </w:r>
      <w:r>
        <w:rPr>
          <w:sz w:val="16"/>
          <w:szCs w:val="16"/>
          <w:lang w:val="en-GB"/>
        </w:rPr>
        <w:t xml:space="preserve">Hungary </w:t>
      </w:r>
      <w:r w:rsidRPr="00A62CB0">
        <w:rPr>
          <w:sz w:val="16"/>
          <w:szCs w:val="16"/>
          <w:lang w:val="en-GB"/>
        </w:rPr>
        <w:t>(+7</w:t>
      </w:r>
      <w:r>
        <w:rPr>
          <w:sz w:val="16"/>
          <w:szCs w:val="16"/>
          <w:lang w:val="en-GB"/>
        </w:rPr>
        <w:t>.</w:t>
      </w:r>
      <w:r w:rsidRPr="00A62CB0">
        <w:rPr>
          <w:sz w:val="16"/>
          <w:szCs w:val="16"/>
          <w:lang w:val="en-GB"/>
        </w:rPr>
        <w:t>9%) a</w:t>
      </w:r>
      <w:r>
        <w:rPr>
          <w:sz w:val="16"/>
          <w:szCs w:val="16"/>
          <w:lang w:val="en-GB"/>
        </w:rPr>
        <w:t xml:space="preserve">nd Slovakia </w:t>
      </w:r>
      <w:r w:rsidRPr="00A62CB0">
        <w:rPr>
          <w:sz w:val="16"/>
          <w:szCs w:val="16"/>
          <w:lang w:val="en-GB"/>
        </w:rPr>
        <w:t>(+5</w:t>
      </w:r>
      <w:r>
        <w:rPr>
          <w:sz w:val="16"/>
          <w:szCs w:val="16"/>
          <w:lang w:val="en-GB"/>
        </w:rPr>
        <w:t>.</w:t>
      </w:r>
      <w:r w:rsidRPr="00A62CB0">
        <w:rPr>
          <w:sz w:val="16"/>
          <w:szCs w:val="16"/>
          <w:lang w:val="en-GB"/>
        </w:rPr>
        <w:t xml:space="preserve">4%). </w:t>
      </w:r>
      <w:r>
        <w:rPr>
          <w:sz w:val="16"/>
          <w:szCs w:val="16"/>
          <w:lang w:val="en-GB"/>
        </w:rPr>
        <w:t xml:space="preserve">Sales for food went down by </w:t>
      </w:r>
      <w:r w:rsidRPr="00A62CB0">
        <w:rPr>
          <w:sz w:val="16"/>
          <w:szCs w:val="16"/>
          <w:lang w:val="en-GB"/>
        </w:rPr>
        <w:t>2</w:t>
      </w:r>
      <w:r>
        <w:rPr>
          <w:sz w:val="16"/>
          <w:szCs w:val="16"/>
          <w:lang w:val="en-GB"/>
        </w:rPr>
        <w:t>.</w:t>
      </w:r>
      <w:r w:rsidRPr="00A62CB0">
        <w:rPr>
          <w:sz w:val="16"/>
          <w:szCs w:val="16"/>
          <w:lang w:val="en-GB"/>
        </w:rPr>
        <w:t>3%</w:t>
      </w:r>
      <w:r>
        <w:rPr>
          <w:sz w:val="16"/>
          <w:szCs w:val="16"/>
          <w:lang w:val="en-GB"/>
        </w:rPr>
        <w:t xml:space="preserve"> in the EU</w:t>
      </w:r>
      <w:r w:rsidRPr="00A62CB0">
        <w:rPr>
          <w:sz w:val="16"/>
          <w:szCs w:val="16"/>
          <w:lang w:val="en-GB"/>
        </w:rPr>
        <w:t>,</w:t>
      </w:r>
      <w:r>
        <w:rPr>
          <w:sz w:val="16"/>
          <w:szCs w:val="16"/>
          <w:lang w:val="en-GB"/>
        </w:rPr>
        <w:t xml:space="preserve"> in contrast non-food products </w:t>
      </w:r>
      <w:r w:rsidRPr="00A62CB0">
        <w:rPr>
          <w:sz w:val="16"/>
          <w:szCs w:val="16"/>
          <w:lang w:val="en-GB"/>
        </w:rPr>
        <w:t>(+2</w:t>
      </w:r>
      <w:r>
        <w:rPr>
          <w:sz w:val="16"/>
          <w:szCs w:val="16"/>
          <w:lang w:val="en-GB"/>
        </w:rPr>
        <w:t>.</w:t>
      </w:r>
      <w:r w:rsidRPr="00A62CB0">
        <w:rPr>
          <w:sz w:val="16"/>
          <w:szCs w:val="16"/>
          <w:lang w:val="en-GB"/>
        </w:rPr>
        <w:t>8%) a</w:t>
      </w:r>
      <w:r>
        <w:rPr>
          <w:sz w:val="16"/>
          <w:szCs w:val="16"/>
          <w:lang w:val="en-GB"/>
        </w:rPr>
        <w:t xml:space="preserve">nd sale of motor fuels </w:t>
      </w:r>
      <w:r w:rsidRPr="00A62CB0">
        <w:rPr>
          <w:sz w:val="16"/>
          <w:szCs w:val="16"/>
          <w:lang w:val="en-GB"/>
        </w:rPr>
        <w:t>(+7</w:t>
      </w:r>
      <w:r>
        <w:rPr>
          <w:sz w:val="16"/>
          <w:szCs w:val="16"/>
          <w:lang w:val="en-GB"/>
        </w:rPr>
        <w:t>.</w:t>
      </w:r>
      <w:r w:rsidRPr="00A62CB0">
        <w:rPr>
          <w:sz w:val="16"/>
          <w:szCs w:val="16"/>
          <w:lang w:val="en-GB"/>
        </w:rPr>
        <w:t>8%)</w:t>
      </w:r>
      <w:r>
        <w:rPr>
          <w:sz w:val="16"/>
          <w:szCs w:val="16"/>
          <w:lang w:val="en-GB"/>
        </w:rPr>
        <w:t xml:space="preserve"> recorded considerably faster rates than in the CR.</w:t>
      </w:r>
      <w:r w:rsidRPr="00A62CB0">
        <w:rPr>
          <w:sz w:val="16"/>
          <w:szCs w:val="16"/>
          <w:lang w:val="en-GB"/>
        </w:rPr>
        <w:t xml:space="preserve"> </w:t>
      </w:r>
      <w:r>
        <w:rPr>
          <w:sz w:val="16"/>
          <w:szCs w:val="16"/>
          <w:lang w:val="en-GB"/>
        </w:rPr>
        <w:t>It belonged together with German, Denmark and Belgium to the only Union states, where the sales fell in all the above mentioned key retail segments in this year</w:t>
      </w:r>
      <w:r>
        <w:rPr>
          <w:sz w:val="16"/>
          <w:szCs w:val="16"/>
          <w:lang w:val="en-US"/>
        </w:rPr>
        <w:t>’</w:t>
      </w:r>
      <w:r>
        <w:rPr>
          <w:sz w:val="16"/>
          <w:szCs w:val="16"/>
        </w:rPr>
        <w:t>s Q</w:t>
      </w:r>
      <w:r w:rsidRPr="00A62CB0">
        <w:rPr>
          <w:sz w:val="16"/>
          <w:szCs w:val="16"/>
          <w:lang w:val="en-GB"/>
        </w:rPr>
        <w:t>2.</w:t>
      </w:r>
    </w:p>
  </w:footnote>
  <w:footnote w:id="34">
    <w:p w14:paraId="2A3E9251" w14:textId="77777777" w:rsidR="00073B58" w:rsidRPr="00913B36" w:rsidRDefault="00073B58" w:rsidP="00A62CB0">
      <w:pPr>
        <w:pStyle w:val="Textpoznpodarou"/>
        <w:jc w:val="both"/>
        <w:rPr>
          <w:spacing w:val="-7"/>
          <w:sz w:val="16"/>
          <w:szCs w:val="16"/>
        </w:rPr>
      </w:pPr>
      <w:r w:rsidRPr="00A62CB0">
        <w:rPr>
          <w:rStyle w:val="Znakapoznpodarou"/>
          <w:spacing w:val="-7"/>
          <w:sz w:val="16"/>
          <w:szCs w:val="16"/>
          <w:lang w:val="en-GB"/>
        </w:rPr>
        <w:footnoteRef/>
      </w:r>
      <w:r w:rsidRPr="00A62CB0">
        <w:rPr>
          <w:spacing w:val="-7"/>
          <w:sz w:val="16"/>
          <w:szCs w:val="16"/>
          <w:lang w:val="en-GB"/>
        </w:rPr>
        <w:t xml:space="preserve"> </w:t>
      </w:r>
      <w:r>
        <w:rPr>
          <w:spacing w:val="-7"/>
          <w:sz w:val="16"/>
          <w:szCs w:val="16"/>
          <w:lang w:val="en-GB"/>
        </w:rPr>
        <w:t xml:space="preserve">Lower consumption of motor fuels was linked to the price escalation aided by the war in Ukraine. Sales for motor fuels increased by </w:t>
      </w:r>
      <w:r w:rsidRPr="00A62CB0">
        <w:rPr>
          <w:spacing w:val="-7"/>
          <w:sz w:val="16"/>
          <w:szCs w:val="16"/>
          <w:lang w:val="en-GB"/>
        </w:rPr>
        <w:t>38</w:t>
      </w:r>
      <w:r>
        <w:rPr>
          <w:spacing w:val="-7"/>
          <w:sz w:val="16"/>
          <w:szCs w:val="16"/>
          <w:lang w:val="en-GB"/>
        </w:rPr>
        <w:t>.</w:t>
      </w:r>
      <w:r w:rsidRPr="00A62CB0">
        <w:rPr>
          <w:spacing w:val="-7"/>
          <w:sz w:val="16"/>
          <w:szCs w:val="16"/>
          <w:lang w:val="en-GB"/>
        </w:rPr>
        <w:t>1%</w:t>
      </w:r>
      <w:r>
        <w:rPr>
          <w:spacing w:val="-7"/>
          <w:sz w:val="16"/>
          <w:szCs w:val="16"/>
          <w:lang w:val="en-GB"/>
        </w:rPr>
        <w:t xml:space="preserve"> in current prices year-on-year</w:t>
      </w:r>
      <w:r w:rsidRPr="00A62CB0">
        <w:rPr>
          <w:spacing w:val="-7"/>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5496D026" w:rsidR="00073B58" w:rsidRPr="00D060D1" w:rsidRDefault="00073B58" w:rsidP="00937AE2">
    <w:pPr>
      <w:pStyle w:val="Zhlav"/>
      <w:rPr>
        <w:lang w:val="en-GB"/>
      </w:rPr>
    </w:pPr>
    <w:r w:rsidRPr="00D060D1">
      <w:rPr>
        <w:lang w:val="en-GB"/>
      </w:rPr>
      <w:t>The Czech Economy Development</w:t>
    </w:r>
  </w:p>
  <w:p w14:paraId="3E881AB3" w14:textId="77777777" w:rsidR="00073B58" w:rsidRPr="006F5416" w:rsidRDefault="00073B5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0E20256D" w:rsidR="00073B58" w:rsidRPr="00D060D1" w:rsidRDefault="00073B58" w:rsidP="00937AE2">
    <w:pPr>
      <w:pStyle w:val="Zhlav"/>
      <w:rPr>
        <w:lang w:val="en-GB"/>
      </w:rPr>
    </w:pPr>
    <w:r w:rsidRPr="00D060D1">
      <w:rPr>
        <w:lang w:val="en-GB"/>
      </w:rPr>
      <w:t>The Czech Economy Development</w:t>
    </w:r>
  </w:p>
  <w:p w14:paraId="57266714" w14:textId="77777777" w:rsidR="00073B58" w:rsidRPr="006F5416" w:rsidRDefault="00073B5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2A2B"/>
    <w:rsid w:val="0000370A"/>
    <w:rsid w:val="00003849"/>
    <w:rsid w:val="00003D02"/>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68D"/>
    <w:rsid w:val="00010702"/>
    <w:rsid w:val="00010A2C"/>
    <w:rsid w:val="0001128E"/>
    <w:rsid w:val="00011912"/>
    <w:rsid w:val="0001193B"/>
    <w:rsid w:val="00011E90"/>
    <w:rsid w:val="000129B7"/>
    <w:rsid w:val="0001387D"/>
    <w:rsid w:val="00014CE1"/>
    <w:rsid w:val="00014ED0"/>
    <w:rsid w:val="0001641E"/>
    <w:rsid w:val="00016420"/>
    <w:rsid w:val="00016BDB"/>
    <w:rsid w:val="00017B01"/>
    <w:rsid w:val="000200BE"/>
    <w:rsid w:val="000204E5"/>
    <w:rsid w:val="000205D1"/>
    <w:rsid w:val="00020F22"/>
    <w:rsid w:val="0002195D"/>
    <w:rsid w:val="00021F9B"/>
    <w:rsid w:val="000228AE"/>
    <w:rsid w:val="000230CC"/>
    <w:rsid w:val="000233D1"/>
    <w:rsid w:val="000234D6"/>
    <w:rsid w:val="00023D29"/>
    <w:rsid w:val="00024280"/>
    <w:rsid w:val="00024348"/>
    <w:rsid w:val="000243D4"/>
    <w:rsid w:val="00024449"/>
    <w:rsid w:val="00026109"/>
    <w:rsid w:val="0002622B"/>
    <w:rsid w:val="00026389"/>
    <w:rsid w:val="0002669F"/>
    <w:rsid w:val="000279E5"/>
    <w:rsid w:val="000305E0"/>
    <w:rsid w:val="00031AE0"/>
    <w:rsid w:val="00031BB2"/>
    <w:rsid w:val="000322EF"/>
    <w:rsid w:val="00032AE0"/>
    <w:rsid w:val="00033FCD"/>
    <w:rsid w:val="00034776"/>
    <w:rsid w:val="000348AF"/>
    <w:rsid w:val="00034B70"/>
    <w:rsid w:val="00034DF7"/>
    <w:rsid w:val="00034E68"/>
    <w:rsid w:val="000350C8"/>
    <w:rsid w:val="00036195"/>
    <w:rsid w:val="000374B2"/>
    <w:rsid w:val="000376C0"/>
    <w:rsid w:val="000403A7"/>
    <w:rsid w:val="00040632"/>
    <w:rsid w:val="00040A64"/>
    <w:rsid w:val="00041AFC"/>
    <w:rsid w:val="00041CEC"/>
    <w:rsid w:val="00041D02"/>
    <w:rsid w:val="00042596"/>
    <w:rsid w:val="00042A4A"/>
    <w:rsid w:val="00043A33"/>
    <w:rsid w:val="00044183"/>
    <w:rsid w:val="0004431D"/>
    <w:rsid w:val="00044AAC"/>
    <w:rsid w:val="00045426"/>
    <w:rsid w:val="0004694F"/>
    <w:rsid w:val="00046F2F"/>
    <w:rsid w:val="00047AD4"/>
    <w:rsid w:val="00047D54"/>
    <w:rsid w:val="00047EC5"/>
    <w:rsid w:val="0005054A"/>
    <w:rsid w:val="00050A87"/>
    <w:rsid w:val="00051506"/>
    <w:rsid w:val="00051A2E"/>
    <w:rsid w:val="000522E4"/>
    <w:rsid w:val="0005312A"/>
    <w:rsid w:val="00053713"/>
    <w:rsid w:val="0005434E"/>
    <w:rsid w:val="00054C5F"/>
    <w:rsid w:val="00055CB6"/>
    <w:rsid w:val="0005621E"/>
    <w:rsid w:val="00056628"/>
    <w:rsid w:val="000572DD"/>
    <w:rsid w:val="00057B1E"/>
    <w:rsid w:val="0006033F"/>
    <w:rsid w:val="000603ED"/>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65"/>
    <w:rsid w:val="000663F0"/>
    <w:rsid w:val="00066558"/>
    <w:rsid w:val="000671DB"/>
    <w:rsid w:val="00067982"/>
    <w:rsid w:val="0007053D"/>
    <w:rsid w:val="00070A87"/>
    <w:rsid w:val="000712B3"/>
    <w:rsid w:val="00071A7C"/>
    <w:rsid w:val="00071E38"/>
    <w:rsid w:val="00071E60"/>
    <w:rsid w:val="00072FF5"/>
    <w:rsid w:val="00073A5A"/>
    <w:rsid w:val="00073B58"/>
    <w:rsid w:val="000746AF"/>
    <w:rsid w:val="0007474E"/>
    <w:rsid w:val="00074988"/>
    <w:rsid w:val="0007512B"/>
    <w:rsid w:val="00075551"/>
    <w:rsid w:val="000767F5"/>
    <w:rsid w:val="00076CCB"/>
    <w:rsid w:val="00076D90"/>
    <w:rsid w:val="00077FF0"/>
    <w:rsid w:val="00081A55"/>
    <w:rsid w:val="0008263E"/>
    <w:rsid w:val="00082C19"/>
    <w:rsid w:val="00082F89"/>
    <w:rsid w:val="00083457"/>
    <w:rsid w:val="000837CD"/>
    <w:rsid w:val="00083B7F"/>
    <w:rsid w:val="00084BFF"/>
    <w:rsid w:val="00085395"/>
    <w:rsid w:val="000863DC"/>
    <w:rsid w:val="00086896"/>
    <w:rsid w:val="00086AC1"/>
    <w:rsid w:val="00086D19"/>
    <w:rsid w:val="0008729C"/>
    <w:rsid w:val="00087634"/>
    <w:rsid w:val="00087F2B"/>
    <w:rsid w:val="00090694"/>
    <w:rsid w:val="00090EE2"/>
    <w:rsid w:val="00090FC6"/>
    <w:rsid w:val="000913B1"/>
    <w:rsid w:val="0009190F"/>
    <w:rsid w:val="0009290F"/>
    <w:rsid w:val="00093241"/>
    <w:rsid w:val="00093868"/>
    <w:rsid w:val="000940BC"/>
    <w:rsid w:val="00094A84"/>
    <w:rsid w:val="00095025"/>
    <w:rsid w:val="00095135"/>
    <w:rsid w:val="0009626E"/>
    <w:rsid w:val="0009644D"/>
    <w:rsid w:val="00097191"/>
    <w:rsid w:val="000974D1"/>
    <w:rsid w:val="00097784"/>
    <w:rsid w:val="0009799E"/>
    <w:rsid w:val="00097E48"/>
    <w:rsid w:val="000A07CB"/>
    <w:rsid w:val="000A0BC0"/>
    <w:rsid w:val="000A1183"/>
    <w:rsid w:val="000A12ED"/>
    <w:rsid w:val="000A17BB"/>
    <w:rsid w:val="000A1D49"/>
    <w:rsid w:val="000A212B"/>
    <w:rsid w:val="000A242D"/>
    <w:rsid w:val="000A256D"/>
    <w:rsid w:val="000A2643"/>
    <w:rsid w:val="000A2E5F"/>
    <w:rsid w:val="000A3A2C"/>
    <w:rsid w:val="000A3D9E"/>
    <w:rsid w:val="000A4A54"/>
    <w:rsid w:val="000A4ED9"/>
    <w:rsid w:val="000A50C7"/>
    <w:rsid w:val="000A5DB7"/>
    <w:rsid w:val="000A6597"/>
    <w:rsid w:val="000A6753"/>
    <w:rsid w:val="000A6D94"/>
    <w:rsid w:val="000A7377"/>
    <w:rsid w:val="000A74A4"/>
    <w:rsid w:val="000A775A"/>
    <w:rsid w:val="000A7D63"/>
    <w:rsid w:val="000A7FF4"/>
    <w:rsid w:val="000B03CC"/>
    <w:rsid w:val="000B0842"/>
    <w:rsid w:val="000B2B79"/>
    <w:rsid w:val="000B4212"/>
    <w:rsid w:val="000B54B5"/>
    <w:rsid w:val="000B67B7"/>
    <w:rsid w:val="000B6A0A"/>
    <w:rsid w:val="000C0127"/>
    <w:rsid w:val="000C0CA6"/>
    <w:rsid w:val="000C0EA8"/>
    <w:rsid w:val="000C0EB2"/>
    <w:rsid w:val="000C13A2"/>
    <w:rsid w:val="000C21E7"/>
    <w:rsid w:val="000C23EC"/>
    <w:rsid w:val="000C26A2"/>
    <w:rsid w:val="000C290E"/>
    <w:rsid w:val="000C30C3"/>
    <w:rsid w:val="000C3408"/>
    <w:rsid w:val="000C35AB"/>
    <w:rsid w:val="000C3F7B"/>
    <w:rsid w:val="000C45A5"/>
    <w:rsid w:val="000C4769"/>
    <w:rsid w:val="000C4D56"/>
    <w:rsid w:val="000C5DFA"/>
    <w:rsid w:val="000C62C0"/>
    <w:rsid w:val="000C6306"/>
    <w:rsid w:val="000C6AFD"/>
    <w:rsid w:val="000C6C90"/>
    <w:rsid w:val="000C72B7"/>
    <w:rsid w:val="000C7A79"/>
    <w:rsid w:val="000D0A26"/>
    <w:rsid w:val="000D13CB"/>
    <w:rsid w:val="000D1ECA"/>
    <w:rsid w:val="000D2196"/>
    <w:rsid w:val="000D246F"/>
    <w:rsid w:val="000D27C9"/>
    <w:rsid w:val="000D2C2E"/>
    <w:rsid w:val="000D2F9F"/>
    <w:rsid w:val="000D3058"/>
    <w:rsid w:val="000D310A"/>
    <w:rsid w:val="000D3EF4"/>
    <w:rsid w:val="000D4761"/>
    <w:rsid w:val="000D4DC0"/>
    <w:rsid w:val="000D55BA"/>
    <w:rsid w:val="000D5637"/>
    <w:rsid w:val="000D5A03"/>
    <w:rsid w:val="000D5BED"/>
    <w:rsid w:val="000D5ED3"/>
    <w:rsid w:val="000D616C"/>
    <w:rsid w:val="000D6AD9"/>
    <w:rsid w:val="000D6F4E"/>
    <w:rsid w:val="000D6FDA"/>
    <w:rsid w:val="000D73BB"/>
    <w:rsid w:val="000E0820"/>
    <w:rsid w:val="000E0E96"/>
    <w:rsid w:val="000E298B"/>
    <w:rsid w:val="000E2C7D"/>
    <w:rsid w:val="000E3E56"/>
    <w:rsid w:val="000E440D"/>
    <w:rsid w:val="000E4AC5"/>
    <w:rsid w:val="000E6253"/>
    <w:rsid w:val="000E6A04"/>
    <w:rsid w:val="000E6AC4"/>
    <w:rsid w:val="000E6E4D"/>
    <w:rsid w:val="000E6FBD"/>
    <w:rsid w:val="000E6FCB"/>
    <w:rsid w:val="000F090B"/>
    <w:rsid w:val="000F15F7"/>
    <w:rsid w:val="000F1AA2"/>
    <w:rsid w:val="000F378E"/>
    <w:rsid w:val="000F3F3B"/>
    <w:rsid w:val="000F4721"/>
    <w:rsid w:val="000F47E8"/>
    <w:rsid w:val="000F5C59"/>
    <w:rsid w:val="000F629E"/>
    <w:rsid w:val="000F70E4"/>
    <w:rsid w:val="000F76EA"/>
    <w:rsid w:val="001002DE"/>
    <w:rsid w:val="001006AB"/>
    <w:rsid w:val="00100A8B"/>
    <w:rsid w:val="00100F5C"/>
    <w:rsid w:val="001014D9"/>
    <w:rsid w:val="00101B15"/>
    <w:rsid w:val="00101CDA"/>
    <w:rsid w:val="00102037"/>
    <w:rsid w:val="00103DCB"/>
    <w:rsid w:val="001041F2"/>
    <w:rsid w:val="00104C4C"/>
    <w:rsid w:val="00105015"/>
    <w:rsid w:val="001055D2"/>
    <w:rsid w:val="001057C2"/>
    <w:rsid w:val="00105B09"/>
    <w:rsid w:val="0010707E"/>
    <w:rsid w:val="00107124"/>
    <w:rsid w:val="0011038E"/>
    <w:rsid w:val="00111573"/>
    <w:rsid w:val="00111E98"/>
    <w:rsid w:val="001125EF"/>
    <w:rsid w:val="00112CAB"/>
    <w:rsid w:val="0011440C"/>
    <w:rsid w:val="00114C33"/>
    <w:rsid w:val="00116D3F"/>
    <w:rsid w:val="00117474"/>
    <w:rsid w:val="00117623"/>
    <w:rsid w:val="00117642"/>
    <w:rsid w:val="00117FEA"/>
    <w:rsid w:val="001200CF"/>
    <w:rsid w:val="001208E3"/>
    <w:rsid w:val="00120F97"/>
    <w:rsid w:val="00121609"/>
    <w:rsid w:val="0012192F"/>
    <w:rsid w:val="00122994"/>
    <w:rsid w:val="00123204"/>
    <w:rsid w:val="00124B46"/>
    <w:rsid w:val="001257BE"/>
    <w:rsid w:val="001257E0"/>
    <w:rsid w:val="00125D69"/>
    <w:rsid w:val="00126538"/>
    <w:rsid w:val="00126A48"/>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5DA"/>
    <w:rsid w:val="001459BC"/>
    <w:rsid w:val="00145D5C"/>
    <w:rsid w:val="00146310"/>
    <w:rsid w:val="001502B9"/>
    <w:rsid w:val="00150ECA"/>
    <w:rsid w:val="00150FA4"/>
    <w:rsid w:val="00151707"/>
    <w:rsid w:val="00152C86"/>
    <w:rsid w:val="00152F4F"/>
    <w:rsid w:val="00153264"/>
    <w:rsid w:val="0015329F"/>
    <w:rsid w:val="00153378"/>
    <w:rsid w:val="00153D54"/>
    <w:rsid w:val="001544A1"/>
    <w:rsid w:val="001553B8"/>
    <w:rsid w:val="001554C2"/>
    <w:rsid w:val="00156D04"/>
    <w:rsid w:val="001571C0"/>
    <w:rsid w:val="0015753D"/>
    <w:rsid w:val="00157984"/>
    <w:rsid w:val="00157CC9"/>
    <w:rsid w:val="00160C21"/>
    <w:rsid w:val="001612F4"/>
    <w:rsid w:val="00161553"/>
    <w:rsid w:val="0016206D"/>
    <w:rsid w:val="0016216F"/>
    <w:rsid w:val="0016256B"/>
    <w:rsid w:val="00162C26"/>
    <w:rsid w:val="00162F81"/>
    <w:rsid w:val="00163793"/>
    <w:rsid w:val="00164CA1"/>
    <w:rsid w:val="00165313"/>
    <w:rsid w:val="001665AB"/>
    <w:rsid w:val="00167485"/>
    <w:rsid w:val="001679F5"/>
    <w:rsid w:val="00167B92"/>
    <w:rsid w:val="00167CB9"/>
    <w:rsid w:val="00167DD8"/>
    <w:rsid w:val="001705AD"/>
    <w:rsid w:val="001706D6"/>
    <w:rsid w:val="001714F2"/>
    <w:rsid w:val="00171BA9"/>
    <w:rsid w:val="00171E8E"/>
    <w:rsid w:val="00171FEA"/>
    <w:rsid w:val="00173622"/>
    <w:rsid w:val="001738A5"/>
    <w:rsid w:val="00173CB7"/>
    <w:rsid w:val="001742E7"/>
    <w:rsid w:val="00174501"/>
    <w:rsid w:val="00174965"/>
    <w:rsid w:val="00175B9F"/>
    <w:rsid w:val="00176217"/>
    <w:rsid w:val="001762F4"/>
    <w:rsid w:val="001777BA"/>
    <w:rsid w:val="00181029"/>
    <w:rsid w:val="00181BBC"/>
    <w:rsid w:val="00181E9D"/>
    <w:rsid w:val="00182D3C"/>
    <w:rsid w:val="0018385F"/>
    <w:rsid w:val="00183931"/>
    <w:rsid w:val="00183BCF"/>
    <w:rsid w:val="00184017"/>
    <w:rsid w:val="0018477D"/>
    <w:rsid w:val="001847BB"/>
    <w:rsid w:val="00184B08"/>
    <w:rsid w:val="00185010"/>
    <w:rsid w:val="001854F2"/>
    <w:rsid w:val="00185C22"/>
    <w:rsid w:val="00186BA9"/>
    <w:rsid w:val="00187D50"/>
    <w:rsid w:val="00190796"/>
    <w:rsid w:val="00190B4D"/>
    <w:rsid w:val="00191298"/>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DBF"/>
    <w:rsid w:val="001A1F68"/>
    <w:rsid w:val="001A21FA"/>
    <w:rsid w:val="001A4D7C"/>
    <w:rsid w:val="001A4DC3"/>
    <w:rsid w:val="001A4EF0"/>
    <w:rsid w:val="001A552F"/>
    <w:rsid w:val="001A6015"/>
    <w:rsid w:val="001A70B1"/>
    <w:rsid w:val="001A7672"/>
    <w:rsid w:val="001B01CB"/>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44E"/>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081"/>
    <w:rsid w:val="001C544D"/>
    <w:rsid w:val="001C5A8A"/>
    <w:rsid w:val="001C5C63"/>
    <w:rsid w:val="001C5E46"/>
    <w:rsid w:val="001C69CE"/>
    <w:rsid w:val="001C6B3B"/>
    <w:rsid w:val="001C7051"/>
    <w:rsid w:val="001C7A26"/>
    <w:rsid w:val="001C7E3F"/>
    <w:rsid w:val="001D0EF1"/>
    <w:rsid w:val="001D1A44"/>
    <w:rsid w:val="001D2029"/>
    <w:rsid w:val="001D22C2"/>
    <w:rsid w:val="001D2C99"/>
    <w:rsid w:val="001D3852"/>
    <w:rsid w:val="001D3B75"/>
    <w:rsid w:val="001D452E"/>
    <w:rsid w:val="001D4E19"/>
    <w:rsid w:val="001D54C1"/>
    <w:rsid w:val="001D556E"/>
    <w:rsid w:val="001D5DF2"/>
    <w:rsid w:val="001D6175"/>
    <w:rsid w:val="001D68B2"/>
    <w:rsid w:val="001D7EFD"/>
    <w:rsid w:val="001D7F60"/>
    <w:rsid w:val="001E085B"/>
    <w:rsid w:val="001E111C"/>
    <w:rsid w:val="001E149B"/>
    <w:rsid w:val="001E15CB"/>
    <w:rsid w:val="001E3227"/>
    <w:rsid w:val="001E3306"/>
    <w:rsid w:val="001E4452"/>
    <w:rsid w:val="001E504C"/>
    <w:rsid w:val="001E56AC"/>
    <w:rsid w:val="001E5A17"/>
    <w:rsid w:val="001E74C5"/>
    <w:rsid w:val="001F1236"/>
    <w:rsid w:val="001F1CAE"/>
    <w:rsid w:val="001F2F90"/>
    <w:rsid w:val="001F406B"/>
    <w:rsid w:val="001F4597"/>
    <w:rsid w:val="001F4826"/>
    <w:rsid w:val="001F4933"/>
    <w:rsid w:val="001F59C8"/>
    <w:rsid w:val="001F6CD3"/>
    <w:rsid w:val="001F75DA"/>
    <w:rsid w:val="001F7931"/>
    <w:rsid w:val="001F7CE0"/>
    <w:rsid w:val="00200085"/>
    <w:rsid w:val="00201633"/>
    <w:rsid w:val="00203332"/>
    <w:rsid w:val="00203CD5"/>
    <w:rsid w:val="00203D8F"/>
    <w:rsid w:val="00203DA4"/>
    <w:rsid w:val="00204EA6"/>
    <w:rsid w:val="00205186"/>
    <w:rsid w:val="0020549F"/>
    <w:rsid w:val="00206516"/>
    <w:rsid w:val="00206CF4"/>
    <w:rsid w:val="002070CF"/>
    <w:rsid w:val="002071D5"/>
    <w:rsid w:val="00210941"/>
    <w:rsid w:val="002111E5"/>
    <w:rsid w:val="0021149E"/>
    <w:rsid w:val="002118B9"/>
    <w:rsid w:val="00211E4A"/>
    <w:rsid w:val="00213691"/>
    <w:rsid w:val="002142C0"/>
    <w:rsid w:val="002151B4"/>
    <w:rsid w:val="00217BED"/>
    <w:rsid w:val="00217C5B"/>
    <w:rsid w:val="002208C9"/>
    <w:rsid w:val="00220A43"/>
    <w:rsid w:val="0022139E"/>
    <w:rsid w:val="00222729"/>
    <w:rsid w:val="0022287B"/>
    <w:rsid w:val="002228DB"/>
    <w:rsid w:val="00223185"/>
    <w:rsid w:val="00223264"/>
    <w:rsid w:val="002233D6"/>
    <w:rsid w:val="002235EA"/>
    <w:rsid w:val="002243FB"/>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8C7"/>
    <w:rsid w:val="00244A15"/>
    <w:rsid w:val="002452D9"/>
    <w:rsid w:val="00246649"/>
    <w:rsid w:val="00247319"/>
    <w:rsid w:val="002474FE"/>
    <w:rsid w:val="0024799E"/>
    <w:rsid w:val="00247E60"/>
    <w:rsid w:val="00251496"/>
    <w:rsid w:val="00251B08"/>
    <w:rsid w:val="00251C53"/>
    <w:rsid w:val="00251F7A"/>
    <w:rsid w:val="00252AB9"/>
    <w:rsid w:val="002532B1"/>
    <w:rsid w:val="00253C0F"/>
    <w:rsid w:val="00253ED9"/>
    <w:rsid w:val="002558C1"/>
    <w:rsid w:val="00256207"/>
    <w:rsid w:val="002575F3"/>
    <w:rsid w:val="002603E1"/>
    <w:rsid w:val="002605FE"/>
    <w:rsid w:val="0026120E"/>
    <w:rsid w:val="002617EE"/>
    <w:rsid w:val="0026183A"/>
    <w:rsid w:val="00261C26"/>
    <w:rsid w:val="00262582"/>
    <w:rsid w:val="002626B4"/>
    <w:rsid w:val="0026288F"/>
    <w:rsid w:val="0026291D"/>
    <w:rsid w:val="00262CF3"/>
    <w:rsid w:val="002631D6"/>
    <w:rsid w:val="00264309"/>
    <w:rsid w:val="00264992"/>
    <w:rsid w:val="00264B4F"/>
    <w:rsid w:val="00264B85"/>
    <w:rsid w:val="0026564B"/>
    <w:rsid w:val="0026588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881"/>
    <w:rsid w:val="00282AD4"/>
    <w:rsid w:val="0028341F"/>
    <w:rsid w:val="002837AE"/>
    <w:rsid w:val="00283C13"/>
    <w:rsid w:val="00283F7B"/>
    <w:rsid w:val="0028431A"/>
    <w:rsid w:val="002853FA"/>
    <w:rsid w:val="00285412"/>
    <w:rsid w:val="002857D3"/>
    <w:rsid w:val="00286220"/>
    <w:rsid w:val="0029110B"/>
    <w:rsid w:val="00291640"/>
    <w:rsid w:val="00291EBD"/>
    <w:rsid w:val="0029237E"/>
    <w:rsid w:val="00292997"/>
    <w:rsid w:val="00293043"/>
    <w:rsid w:val="00293D24"/>
    <w:rsid w:val="00293FC1"/>
    <w:rsid w:val="0029461A"/>
    <w:rsid w:val="00294F74"/>
    <w:rsid w:val="0029509B"/>
    <w:rsid w:val="0029588F"/>
    <w:rsid w:val="00295E96"/>
    <w:rsid w:val="00297256"/>
    <w:rsid w:val="00297A5C"/>
    <w:rsid w:val="00297D51"/>
    <w:rsid w:val="002A0122"/>
    <w:rsid w:val="002A016B"/>
    <w:rsid w:val="002A0B40"/>
    <w:rsid w:val="002A103E"/>
    <w:rsid w:val="002A16D4"/>
    <w:rsid w:val="002A1E4F"/>
    <w:rsid w:val="002A230C"/>
    <w:rsid w:val="002A23F9"/>
    <w:rsid w:val="002A2AF7"/>
    <w:rsid w:val="002A3209"/>
    <w:rsid w:val="002A35F7"/>
    <w:rsid w:val="002A38F3"/>
    <w:rsid w:val="002A3EA2"/>
    <w:rsid w:val="002A4701"/>
    <w:rsid w:val="002A4F23"/>
    <w:rsid w:val="002A51AC"/>
    <w:rsid w:val="002A532A"/>
    <w:rsid w:val="002A5846"/>
    <w:rsid w:val="002A5D3A"/>
    <w:rsid w:val="002A5D97"/>
    <w:rsid w:val="002A603E"/>
    <w:rsid w:val="002A63B9"/>
    <w:rsid w:val="002A6FCC"/>
    <w:rsid w:val="002A7089"/>
    <w:rsid w:val="002B0692"/>
    <w:rsid w:val="002B0763"/>
    <w:rsid w:val="002B1619"/>
    <w:rsid w:val="002B3DD7"/>
    <w:rsid w:val="002B3EF4"/>
    <w:rsid w:val="002B4845"/>
    <w:rsid w:val="002B5567"/>
    <w:rsid w:val="002B5812"/>
    <w:rsid w:val="002B6545"/>
    <w:rsid w:val="002B72AA"/>
    <w:rsid w:val="002B764D"/>
    <w:rsid w:val="002B7E7F"/>
    <w:rsid w:val="002C1110"/>
    <w:rsid w:val="002C1BC2"/>
    <w:rsid w:val="002C1F09"/>
    <w:rsid w:val="002C22A4"/>
    <w:rsid w:val="002C260B"/>
    <w:rsid w:val="002C27A6"/>
    <w:rsid w:val="002C288C"/>
    <w:rsid w:val="002C2EB0"/>
    <w:rsid w:val="002C31E4"/>
    <w:rsid w:val="002C398D"/>
    <w:rsid w:val="002C40D2"/>
    <w:rsid w:val="002C43BD"/>
    <w:rsid w:val="002C5245"/>
    <w:rsid w:val="002C564A"/>
    <w:rsid w:val="002C59D8"/>
    <w:rsid w:val="002C5FEB"/>
    <w:rsid w:val="002C6494"/>
    <w:rsid w:val="002D05CB"/>
    <w:rsid w:val="002D0E59"/>
    <w:rsid w:val="002D2127"/>
    <w:rsid w:val="002D2C4F"/>
    <w:rsid w:val="002D3EBB"/>
    <w:rsid w:val="002D455C"/>
    <w:rsid w:val="002D6066"/>
    <w:rsid w:val="002D66BA"/>
    <w:rsid w:val="002D6A4C"/>
    <w:rsid w:val="002E01AD"/>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59E"/>
    <w:rsid w:val="002E792B"/>
    <w:rsid w:val="002E7AEB"/>
    <w:rsid w:val="002E7B79"/>
    <w:rsid w:val="002F0C47"/>
    <w:rsid w:val="002F1B09"/>
    <w:rsid w:val="002F1D56"/>
    <w:rsid w:val="002F1DCB"/>
    <w:rsid w:val="002F1DE4"/>
    <w:rsid w:val="002F327C"/>
    <w:rsid w:val="002F333D"/>
    <w:rsid w:val="002F351A"/>
    <w:rsid w:val="002F357F"/>
    <w:rsid w:val="002F46D6"/>
    <w:rsid w:val="002F498A"/>
    <w:rsid w:val="002F4AD8"/>
    <w:rsid w:val="002F5285"/>
    <w:rsid w:val="002F5820"/>
    <w:rsid w:val="002F58CC"/>
    <w:rsid w:val="002F5F60"/>
    <w:rsid w:val="002F616A"/>
    <w:rsid w:val="002F64BB"/>
    <w:rsid w:val="002F7D9B"/>
    <w:rsid w:val="00300C31"/>
    <w:rsid w:val="003017EC"/>
    <w:rsid w:val="00302165"/>
    <w:rsid w:val="00303BB4"/>
    <w:rsid w:val="00304194"/>
    <w:rsid w:val="00304771"/>
    <w:rsid w:val="00304F9C"/>
    <w:rsid w:val="0030521E"/>
    <w:rsid w:val="003052D4"/>
    <w:rsid w:val="00305863"/>
    <w:rsid w:val="00305FE5"/>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7C6"/>
    <w:rsid w:val="00316B3D"/>
    <w:rsid w:val="00317343"/>
    <w:rsid w:val="0032058C"/>
    <w:rsid w:val="003208D0"/>
    <w:rsid w:val="003209D6"/>
    <w:rsid w:val="003217B9"/>
    <w:rsid w:val="00321924"/>
    <w:rsid w:val="00321AF1"/>
    <w:rsid w:val="00321EB6"/>
    <w:rsid w:val="003220A5"/>
    <w:rsid w:val="00322CF6"/>
    <w:rsid w:val="003238E0"/>
    <w:rsid w:val="00323A1C"/>
    <w:rsid w:val="00323A2F"/>
    <w:rsid w:val="0032417B"/>
    <w:rsid w:val="003247E1"/>
    <w:rsid w:val="00324B59"/>
    <w:rsid w:val="00325071"/>
    <w:rsid w:val="00325E46"/>
    <w:rsid w:val="003263F9"/>
    <w:rsid w:val="0032656E"/>
    <w:rsid w:val="0032788F"/>
    <w:rsid w:val="00332190"/>
    <w:rsid w:val="00332A98"/>
    <w:rsid w:val="003334BD"/>
    <w:rsid w:val="00333973"/>
    <w:rsid w:val="00333CD0"/>
    <w:rsid w:val="0033448D"/>
    <w:rsid w:val="00334AD2"/>
    <w:rsid w:val="00334CB6"/>
    <w:rsid w:val="00336F1E"/>
    <w:rsid w:val="0033709C"/>
    <w:rsid w:val="003370C5"/>
    <w:rsid w:val="003373C6"/>
    <w:rsid w:val="0033753A"/>
    <w:rsid w:val="00340BF3"/>
    <w:rsid w:val="0034115A"/>
    <w:rsid w:val="00341D26"/>
    <w:rsid w:val="00341F05"/>
    <w:rsid w:val="0034210C"/>
    <w:rsid w:val="0034335E"/>
    <w:rsid w:val="003434C5"/>
    <w:rsid w:val="00344668"/>
    <w:rsid w:val="00344940"/>
    <w:rsid w:val="00344E77"/>
    <w:rsid w:val="00346234"/>
    <w:rsid w:val="003462D9"/>
    <w:rsid w:val="0034699F"/>
    <w:rsid w:val="0034723F"/>
    <w:rsid w:val="00347247"/>
    <w:rsid w:val="003474B6"/>
    <w:rsid w:val="00347DD4"/>
    <w:rsid w:val="00350580"/>
    <w:rsid w:val="00350B13"/>
    <w:rsid w:val="00352B43"/>
    <w:rsid w:val="00352C28"/>
    <w:rsid w:val="003541BB"/>
    <w:rsid w:val="00354F89"/>
    <w:rsid w:val="0035506D"/>
    <w:rsid w:val="0036077F"/>
    <w:rsid w:val="00360C86"/>
    <w:rsid w:val="00360F7A"/>
    <w:rsid w:val="00360FBC"/>
    <w:rsid w:val="00361537"/>
    <w:rsid w:val="00361FB7"/>
    <w:rsid w:val="0036242A"/>
    <w:rsid w:val="003627D3"/>
    <w:rsid w:val="00362C23"/>
    <w:rsid w:val="00362DCA"/>
    <w:rsid w:val="00362E90"/>
    <w:rsid w:val="00364FA0"/>
    <w:rsid w:val="003657F3"/>
    <w:rsid w:val="00365844"/>
    <w:rsid w:val="00365DA5"/>
    <w:rsid w:val="00365EF5"/>
    <w:rsid w:val="00365F61"/>
    <w:rsid w:val="0036624C"/>
    <w:rsid w:val="00366461"/>
    <w:rsid w:val="003667F6"/>
    <w:rsid w:val="00367F84"/>
    <w:rsid w:val="003712BC"/>
    <w:rsid w:val="00372164"/>
    <w:rsid w:val="003738BD"/>
    <w:rsid w:val="00374263"/>
    <w:rsid w:val="0037445E"/>
    <w:rsid w:val="003746F0"/>
    <w:rsid w:val="00374A20"/>
    <w:rsid w:val="00374B96"/>
    <w:rsid w:val="00374E21"/>
    <w:rsid w:val="0037537A"/>
    <w:rsid w:val="0037713E"/>
    <w:rsid w:val="00377B2E"/>
    <w:rsid w:val="00380C9B"/>
    <w:rsid w:val="0038102E"/>
    <w:rsid w:val="003810F0"/>
    <w:rsid w:val="003815D4"/>
    <w:rsid w:val="003818DC"/>
    <w:rsid w:val="003820ED"/>
    <w:rsid w:val="00382513"/>
    <w:rsid w:val="00382D80"/>
    <w:rsid w:val="00383388"/>
    <w:rsid w:val="003834F8"/>
    <w:rsid w:val="003838D0"/>
    <w:rsid w:val="003840C2"/>
    <w:rsid w:val="00384327"/>
    <w:rsid w:val="00384A89"/>
    <w:rsid w:val="00385086"/>
    <w:rsid w:val="00385D98"/>
    <w:rsid w:val="003866AA"/>
    <w:rsid w:val="00390306"/>
    <w:rsid w:val="003908A6"/>
    <w:rsid w:val="00390CE5"/>
    <w:rsid w:val="0039109D"/>
    <w:rsid w:val="00391989"/>
    <w:rsid w:val="00391A6C"/>
    <w:rsid w:val="003927F6"/>
    <w:rsid w:val="0039398D"/>
    <w:rsid w:val="00393B3F"/>
    <w:rsid w:val="0039402D"/>
    <w:rsid w:val="003962CA"/>
    <w:rsid w:val="00396739"/>
    <w:rsid w:val="003978B1"/>
    <w:rsid w:val="003A04F6"/>
    <w:rsid w:val="003A0837"/>
    <w:rsid w:val="003A2B4D"/>
    <w:rsid w:val="003A2D12"/>
    <w:rsid w:val="003A2E46"/>
    <w:rsid w:val="003A2EBA"/>
    <w:rsid w:val="003A3343"/>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C8D"/>
    <w:rsid w:val="003B1EA8"/>
    <w:rsid w:val="003B1F9D"/>
    <w:rsid w:val="003B2A8D"/>
    <w:rsid w:val="003B2AD1"/>
    <w:rsid w:val="003B2D2E"/>
    <w:rsid w:val="003B3135"/>
    <w:rsid w:val="003B376A"/>
    <w:rsid w:val="003B42C7"/>
    <w:rsid w:val="003B461F"/>
    <w:rsid w:val="003B483F"/>
    <w:rsid w:val="003B4998"/>
    <w:rsid w:val="003B5A32"/>
    <w:rsid w:val="003B5B59"/>
    <w:rsid w:val="003B709D"/>
    <w:rsid w:val="003B7B50"/>
    <w:rsid w:val="003C0B07"/>
    <w:rsid w:val="003C2284"/>
    <w:rsid w:val="003C2CE7"/>
    <w:rsid w:val="003C2DB8"/>
    <w:rsid w:val="003C3490"/>
    <w:rsid w:val="003C3608"/>
    <w:rsid w:val="003C3AE8"/>
    <w:rsid w:val="003C3D2C"/>
    <w:rsid w:val="003C4058"/>
    <w:rsid w:val="003C4E13"/>
    <w:rsid w:val="003C53AB"/>
    <w:rsid w:val="003C58A5"/>
    <w:rsid w:val="003C6221"/>
    <w:rsid w:val="003C63D7"/>
    <w:rsid w:val="003C672E"/>
    <w:rsid w:val="003C68CC"/>
    <w:rsid w:val="003C7D39"/>
    <w:rsid w:val="003C7E62"/>
    <w:rsid w:val="003D12B9"/>
    <w:rsid w:val="003D1A33"/>
    <w:rsid w:val="003D1E7A"/>
    <w:rsid w:val="003D242B"/>
    <w:rsid w:val="003D2492"/>
    <w:rsid w:val="003D29AA"/>
    <w:rsid w:val="003D2A99"/>
    <w:rsid w:val="003D4EFE"/>
    <w:rsid w:val="003D55EA"/>
    <w:rsid w:val="003D6920"/>
    <w:rsid w:val="003E0249"/>
    <w:rsid w:val="003E08A4"/>
    <w:rsid w:val="003E1EF8"/>
    <w:rsid w:val="003E2DFB"/>
    <w:rsid w:val="003E4466"/>
    <w:rsid w:val="003E4C91"/>
    <w:rsid w:val="003E52D8"/>
    <w:rsid w:val="003E585F"/>
    <w:rsid w:val="003E5FA9"/>
    <w:rsid w:val="003E62F1"/>
    <w:rsid w:val="003E6F84"/>
    <w:rsid w:val="003F0148"/>
    <w:rsid w:val="003F313C"/>
    <w:rsid w:val="003F33B1"/>
    <w:rsid w:val="003F33B9"/>
    <w:rsid w:val="003F37FC"/>
    <w:rsid w:val="003F3E76"/>
    <w:rsid w:val="003F4318"/>
    <w:rsid w:val="003F4B2C"/>
    <w:rsid w:val="003F551C"/>
    <w:rsid w:val="003F5A2B"/>
    <w:rsid w:val="003F5B3D"/>
    <w:rsid w:val="003F626D"/>
    <w:rsid w:val="003F72ED"/>
    <w:rsid w:val="003F778A"/>
    <w:rsid w:val="003F79B6"/>
    <w:rsid w:val="003F7D23"/>
    <w:rsid w:val="00400050"/>
    <w:rsid w:val="004002C8"/>
    <w:rsid w:val="00400468"/>
    <w:rsid w:val="0040099D"/>
    <w:rsid w:val="00400B87"/>
    <w:rsid w:val="004016CB"/>
    <w:rsid w:val="00401B23"/>
    <w:rsid w:val="00402ADB"/>
    <w:rsid w:val="0040368D"/>
    <w:rsid w:val="00403D1D"/>
    <w:rsid w:val="00403F57"/>
    <w:rsid w:val="00404398"/>
    <w:rsid w:val="004046BD"/>
    <w:rsid w:val="0040488D"/>
    <w:rsid w:val="00404BAB"/>
    <w:rsid w:val="004052EF"/>
    <w:rsid w:val="00405318"/>
    <w:rsid w:val="004059D2"/>
    <w:rsid w:val="00405FFC"/>
    <w:rsid w:val="004060C9"/>
    <w:rsid w:val="004066D0"/>
    <w:rsid w:val="00406B0D"/>
    <w:rsid w:val="00406C2E"/>
    <w:rsid w:val="00406CDA"/>
    <w:rsid w:val="00406EB0"/>
    <w:rsid w:val="00407711"/>
    <w:rsid w:val="0040772C"/>
    <w:rsid w:val="00407C13"/>
    <w:rsid w:val="004103F6"/>
    <w:rsid w:val="00410638"/>
    <w:rsid w:val="00412511"/>
    <w:rsid w:val="004125C2"/>
    <w:rsid w:val="00412DFA"/>
    <w:rsid w:val="00413465"/>
    <w:rsid w:val="004149AC"/>
    <w:rsid w:val="0041501E"/>
    <w:rsid w:val="00415452"/>
    <w:rsid w:val="004159C3"/>
    <w:rsid w:val="00415A57"/>
    <w:rsid w:val="00416730"/>
    <w:rsid w:val="00416DAC"/>
    <w:rsid w:val="00417068"/>
    <w:rsid w:val="00417106"/>
    <w:rsid w:val="00420792"/>
    <w:rsid w:val="00420880"/>
    <w:rsid w:val="00421179"/>
    <w:rsid w:val="004225D7"/>
    <w:rsid w:val="004227DA"/>
    <w:rsid w:val="00423623"/>
    <w:rsid w:val="0042425A"/>
    <w:rsid w:val="0042470E"/>
    <w:rsid w:val="00424B72"/>
    <w:rsid w:val="00425352"/>
    <w:rsid w:val="00425734"/>
    <w:rsid w:val="00426C99"/>
    <w:rsid w:val="004272BE"/>
    <w:rsid w:val="00427654"/>
    <w:rsid w:val="004305E4"/>
    <w:rsid w:val="00430C96"/>
    <w:rsid w:val="0043174F"/>
    <w:rsid w:val="00431BFF"/>
    <w:rsid w:val="00432199"/>
    <w:rsid w:val="00432A58"/>
    <w:rsid w:val="004331C3"/>
    <w:rsid w:val="00433C17"/>
    <w:rsid w:val="00434617"/>
    <w:rsid w:val="00434DE9"/>
    <w:rsid w:val="00435051"/>
    <w:rsid w:val="00435C69"/>
    <w:rsid w:val="004360FB"/>
    <w:rsid w:val="00437701"/>
    <w:rsid w:val="00437CED"/>
    <w:rsid w:val="004407BF"/>
    <w:rsid w:val="00440900"/>
    <w:rsid w:val="0044121D"/>
    <w:rsid w:val="00441BF6"/>
    <w:rsid w:val="00441D2B"/>
    <w:rsid w:val="00441F8B"/>
    <w:rsid w:val="00442085"/>
    <w:rsid w:val="0044279E"/>
    <w:rsid w:val="004441A0"/>
    <w:rsid w:val="00444618"/>
    <w:rsid w:val="00444C8C"/>
    <w:rsid w:val="00445861"/>
    <w:rsid w:val="00445A8E"/>
    <w:rsid w:val="00446D44"/>
    <w:rsid w:val="0045078A"/>
    <w:rsid w:val="0045086D"/>
    <w:rsid w:val="00450DAB"/>
    <w:rsid w:val="0045125B"/>
    <w:rsid w:val="00451E25"/>
    <w:rsid w:val="00451EF1"/>
    <w:rsid w:val="004521DF"/>
    <w:rsid w:val="00452E60"/>
    <w:rsid w:val="0045321B"/>
    <w:rsid w:val="00456FE5"/>
    <w:rsid w:val="00457490"/>
    <w:rsid w:val="00457744"/>
    <w:rsid w:val="0045778B"/>
    <w:rsid w:val="0045786C"/>
    <w:rsid w:val="00457953"/>
    <w:rsid w:val="0046011D"/>
    <w:rsid w:val="004604D8"/>
    <w:rsid w:val="00460656"/>
    <w:rsid w:val="00460FB3"/>
    <w:rsid w:val="00463205"/>
    <w:rsid w:val="00463D3C"/>
    <w:rsid w:val="00464851"/>
    <w:rsid w:val="00464990"/>
    <w:rsid w:val="00464BF5"/>
    <w:rsid w:val="00466595"/>
    <w:rsid w:val="00466B3E"/>
    <w:rsid w:val="0046746A"/>
    <w:rsid w:val="00467B14"/>
    <w:rsid w:val="004706ED"/>
    <w:rsid w:val="004707FE"/>
    <w:rsid w:val="00470EDC"/>
    <w:rsid w:val="00471533"/>
    <w:rsid w:val="00471D6A"/>
    <w:rsid w:val="00472418"/>
    <w:rsid w:val="0047276D"/>
    <w:rsid w:val="00472AF6"/>
    <w:rsid w:val="00473482"/>
    <w:rsid w:val="00473491"/>
    <w:rsid w:val="00474646"/>
    <w:rsid w:val="004748E0"/>
    <w:rsid w:val="00474A04"/>
    <w:rsid w:val="00476240"/>
    <w:rsid w:val="00476439"/>
    <w:rsid w:val="00476450"/>
    <w:rsid w:val="004764B7"/>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880"/>
    <w:rsid w:val="00484ECE"/>
    <w:rsid w:val="00485145"/>
    <w:rsid w:val="00485E4D"/>
    <w:rsid w:val="00485E82"/>
    <w:rsid w:val="00486132"/>
    <w:rsid w:val="0048686D"/>
    <w:rsid w:val="004868F4"/>
    <w:rsid w:val="00486A4D"/>
    <w:rsid w:val="00487FC3"/>
    <w:rsid w:val="004915CB"/>
    <w:rsid w:val="004924DC"/>
    <w:rsid w:val="00492879"/>
    <w:rsid w:val="00493E85"/>
    <w:rsid w:val="00494464"/>
    <w:rsid w:val="00495145"/>
    <w:rsid w:val="0049531F"/>
    <w:rsid w:val="00496A39"/>
    <w:rsid w:val="004979A5"/>
    <w:rsid w:val="004A0144"/>
    <w:rsid w:val="004A0328"/>
    <w:rsid w:val="004A036E"/>
    <w:rsid w:val="004A0498"/>
    <w:rsid w:val="004A06B0"/>
    <w:rsid w:val="004A0D0E"/>
    <w:rsid w:val="004A14E4"/>
    <w:rsid w:val="004A204E"/>
    <w:rsid w:val="004A2642"/>
    <w:rsid w:val="004A26A5"/>
    <w:rsid w:val="004A27F0"/>
    <w:rsid w:val="004A3212"/>
    <w:rsid w:val="004A37CD"/>
    <w:rsid w:val="004A40D9"/>
    <w:rsid w:val="004A49A5"/>
    <w:rsid w:val="004A4F8A"/>
    <w:rsid w:val="004A52AB"/>
    <w:rsid w:val="004A5494"/>
    <w:rsid w:val="004A5D4E"/>
    <w:rsid w:val="004A61C5"/>
    <w:rsid w:val="004A62A0"/>
    <w:rsid w:val="004A77B8"/>
    <w:rsid w:val="004A77DF"/>
    <w:rsid w:val="004B0A56"/>
    <w:rsid w:val="004B1417"/>
    <w:rsid w:val="004B18DF"/>
    <w:rsid w:val="004B1D3D"/>
    <w:rsid w:val="004B305C"/>
    <w:rsid w:val="004B31B8"/>
    <w:rsid w:val="004B339A"/>
    <w:rsid w:val="004B3BD0"/>
    <w:rsid w:val="004B4C83"/>
    <w:rsid w:val="004B55B7"/>
    <w:rsid w:val="004B5BFA"/>
    <w:rsid w:val="004B6005"/>
    <w:rsid w:val="004B619E"/>
    <w:rsid w:val="004B6468"/>
    <w:rsid w:val="004B6AC1"/>
    <w:rsid w:val="004B6EF8"/>
    <w:rsid w:val="004B7125"/>
    <w:rsid w:val="004B756A"/>
    <w:rsid w:val="004B7A0C"/>
    <w:rsid w:val="004B7FB1"/>
    <w:rsid w:val="004C06D6"/>
    <w:rsid w:val="004C0970"/>
    <w:rsid w:val="004C0B3F"/>
    <w:rsid w:val="004C0F87"/>
    <w:rsid w:val="004C1178"/>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438"/>
    <w:rsid w:val="004C6E0E"/>
    <w:rsid w:val="004C70DC"/>
    <w:rsid w:val="004C7100"/>
    <w:rsid w:val="004D0211"/>
    <w:rsid w:val="004D0794"/>
    <w:rsid w:val="004D07B9"/>
    <w:rsid w:val="004D0822"/>
    <w:rsid w:val="004D108E"/>
    <w:rsid w:val="004D122F"/>
    <w:rsid w:val="004D2A9A"/>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22B"/>
    <w:rsid w:val="004F3272"/>
    <w:rsid w:val="004F33A0"/>
    <w:rsid w:val="004F3873"/>
    <w:rsid w:val="004F3BD2"/>
    <w:rsid w:val="004F46ED"/>
    <w:rsid w:val="004F49A3"/>
    <w:rsid w:val="004F4C99"/>
    <w:rsid w:val="004F5358"/>
    <w:rsid w:val="004F55FA"/>
    <w:rsid w:val="004F6339"/>
    <w:rsid w:val="004F6484"/>
    <w:rsid w:val="004F6539"/>
    <w:rsid w:val="005021F1"/>
    <w:rsid w:val="00503D54"/>
    <w:rsid w:val="005040D3"/>
    <w:rsid w:val="005048E2"/>
    <w:rsid w:val="00504BA2"/>
    <w:rsid w:val="00505FC8"/>
    <w:rsid w:val="00506603"/>
    <w:rsid w:val="0050686E"/>
    <w:rsid w:val="0050689D"/>
    <w:rsid w:val="005077F5"/>
    <w:rsid w:val="005108C0"/>
    <w:rsid w:val="0051094F"/>
    <w:rsid w:val="00511217"/>
    <w:rsid w:val="00511873"/>
    <w:rsid w:val="0051190D"/>
    <w:rsid w:val="00511BAF"/>
    <w:rsid w:val="00512461"/>
    <w:rsid w:val="00512501"/>
    <w:rsid w:val="00512585"/>
    <w:rsid w:val="00512A2F"/>
    <w:rsid w:val="00513B7E"/>
    <w:rsid w:val="00513E9D"/>
    <w:rsid w:val="0051475D"/>
    <w:rsid w:val="00514B11"/>
    <w:rsid w:val="00514DED"/>
    <w:rsid w:val="0051500A"/>
    <w:rsid w:val="00515485"/>
    <w:rsid w:val="00515BE9"/>
    <w:rsid w:val="00515C74"/>
    <w:rsid w:val="00515CEB"/>
    <w:rsid w:val="0051630F"/>
    <w:rsid w:val="00516337"/>
    <w:rsid w:val="00517113"/>
    <w:rsid w:val="00517615"/>
    <w:rsid w:val="0052007E"/>
    <w:rsid w:val="0052032E"/>
    <w:rsid w:val="00520F4A"/>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728"/>
    <w:rsid w:val="00530A68"/>
    <w:rsid w:val="00530AD4"/>
    <w:rsid w:val="0053129F"/>
    <w:rsid w:val="00531C5A"/>
    <w:rsid w:val="00532CE7"/>
    <w:rsid w:val="00532D8B"/>
    <w:rsid w:val="0053324C"/>
    <w:rsid w:val="00533A8D"/>
    <w:rsid w:val="00534A28"/>
    <w:rsid w:val="00535018"/>
    <w:rsid w:val="0053595E"/>
    <w:rsid w:val="00537571"/>
    <w:rsid w:val="00540056"/>
    <w:rsid w:val="0054101E"/>
    <w:rsid w:val="005410E2"/>
    <w:rsid w:val="00541508"/>
    <w:rsid w:val="00541AE3"/>
    <w:rsid w:val="00542748"/>
    <w:rsid w:val="00543498"/>
    <w:rsid w:val="00544011"/>
    <w:rsid w:val="005441A8"/>
    <w:rsid w:val="00544BE5"/>
    <w:rsid w:val="005453A3"/>
    <w:rsid w:val="005455F6"/>
    <w:rsid w:val="0054582F"/>
    <w:rsid w:val="00546FC7"/>
    <w:rsid w:val="005500D6"/>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57EFC"/>
    <w:rsid w:val="00560825"/>
    <w:rsid w:val="00560C41"/>
    <w:rsid w:val="00560CAC"/>
    <w:rsid w:val="00561751"/>
    <w:rsid w:val="00561F44"/>
    <w:rsid w:val="00562015"/>
    <w:rsid w:val="005621B9"/>
    <w:rsid w:val="00562B4D"/>
    <w:rsid w:val="00562DB1"/>
    <w:rsid w:val="00563EB8"/>
    <w:rsid w:val="005647BF"/>
    <w:rsid w:val="00564AF1"/>
    <w:rsid w:val="005655DB"/>
    <w:rsid w:val="00565E88"/>
    <w:rsid w:val="005662F5"/>
    <w:rsid w:val="00567339"/>
    <w:rsid w:val="005678EE"/>
    <w:rsid w:val="00567910"/>
    <w:rsid w:val="00570270"/>
    <w:rsid w:val="00570464"/>
    <w:rsid w:val="00570BC3"/>
    <w:rsid w:val="0057182A"/>
    <w:rsid w:val="00571E59"/>
    <w:rsid w:val="00572079"/>
    <w:rsid w:val="00572900"/>
    <w:rsid w:val="00572C04"/>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D30"/>
    <w:rsid w:val="00590608"/>
    <w:rsid w:val="00590B28"/>
    <w:rsid w:val="00591187"/>
    <w:rsid w:val="005911BE"/>
    <w:rsid w:val="00591273"/>
    <w:rsid w:val="005915EA"/>
    <w:rsid w:val="00591E9E"/>
    <w:rsid w:val="005927A4"/>
    <w:rsid w:val="00593152"/>
    <w:rsid w:val="00593389"/>
    <w:rsid w:val="00593FE6"/>
    <w:rsid w:val="005956A3"/>
    <w:rsid w:val="00595958"/>
    <w:rsid w:val="00595CAB"/>
    <w:rsid w:val="0059622E"/>
    <w:rsid w:val="00597671"/>
    <w:rsid w:val="00597BBF"/>
    <w:rsid w:val="005A040C"/>
    <w:rsid w:val="005A0443"/>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2756"/>
    <w:rsid w:val="005B41C9"/>
    <w:rsid w:val="005B44E6"/>
    <w:rsid w:val="005B4853"/>
    <w:rsid w:val="005B62D1"/>
    <w:rsid w:val="005B6CA1"/>
    <w:rsid w:val="005B6F04"/>
    <w:rsid w:val="005B770C"/>
    <w:rsid w:val="005C06ED"/>
    <w:rsid w:val="005C0CE1"/>
    <w:rsid w:val="005C11B8"/>
    <w:rsid w:val="005C181B"/>
    <w:rsid w:val="005C19E3"/>
    <w:rsid w:val="005C216C"/>
    <w:rsid w:val="005C230A"/>
    <w:rsid w:val="005C2609"/>
    <w:rsid w:val="005C2B30"/>
    <w:rsid w:val="005C412B"/>
    <w:rsid w:val="005C43EC"/>
    <w:rsid w:val="005C45DD"/>
    <w:rsid w:val="005C4704"/>
    <w:rsid w:val="005C4CB1"/>
    <w:rsid w:val="005C70AB"/>
    <w:rsid w:val="005C771D"/>
    <w:rsid w:val="005D015C"/>
    <w:rsid w:val="005D1117"/>
    <w:rsid w:val="005D3F06"/>
    <w:rsid w:val="005D4608"/>
    <w:rsid w:val="005D4B73"/>
    <w:rsid w:val="005D533D"/>
    <w:rsid w:val="005D5645"/>
    <w:rsid w:val="005D5802"/>
    <w:rsid w:val="005D5AA9"/>
    <w:rsid w:val="005D66E6"/>
    <w:rsid w:val="005D7119"/>
    <w:rsid w:val="005D7508"/>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CB0"/>
    <w:rsid w:val="005F6D7F"/>
    <w:rsid w:val="005F6DFE"/>
    <w:rsid w:val="005F7174"/>
    <w:rsid w:val="005F724F"/>
    <w:rsid w:val="0060120D"/>
    <w:rsid w:val="006017C1"/>
    <w:rsid w:val="00601ADE"/>
    <w:rsid w:val="00601EEF"/>
    <w:rsid w:val="0060255A"/>
    <w:rsid w:val="00602998"/>
    <w:rsid w:val="00602EB3"/>
    <w:rsid w:val="00604307"/>
    <w:rsid w:val="0060487F"/>
    <w:rsid w:val="00604EAD"/>
    <w:rsid w:val="0060513F"/>
    <w:rsid w:val="006063BB"/>
    <w:rsid w:val="006065E2"/>
    <w:rsid w:val="0060694B"/>
    <w:rsid w:val="006104FB"/>
    <w:rsid w:val="0061176D"/>
    <w:rsid w:val="0061200F"/>
    <w:rsid w:val="00612756"/>
    <w:rsid w:val="00612A2F"/>
    <w:rsid w:val="00612AAE"/>
    <w:rsid w:val="00612B07"/>
    <w:rsid w:val="00612FD9"/>
    <w:rsid w:val="006139E0"/>
    <w:rsid w:val="00613A32"/>
    <w:rsid w:val="00613BAF"/>
    <w:rsid w:val="00614D35"/>
    <w:rsid w:val="006156B4"/>
    <w:rsid w:val="00615DAF"/>
    <w:rsid w:val="00616254"/>
    <w:rsid w:val="0061672A"/>
    <w:rsid w:val="00616E05"/>
    <w:rsid w:val="00617174"/>
    <w:rsid w:val="00617985"/>
    <w:rsid w:val="00620B77"/>
    <w:rsid w:val="00621190"/>
    <w:rsid w:val="0062131B"/>
    <w:rsid w:val="00621E26"/>
    <w:rsid w:val="006224EA"/>
    <w:rsid w:val="0062263A"/>
    <w:rsid w:val="006227DF"/>
    <w:rsid w:val="006234A0"/>
    <w:rsid w:val="006235CD"/>
    <w:rsid w:val="006236C8"/>
    <w:rsid w:val="00624093"/>
    <w:rsid w:val="006240A3"/>
    <w:rsid w:val="00625A19"/>
    <w:rsid w:val="00625A84"/>
    <w:rsid w:val="00626079"/>
    <w:rsid w:val="006305F7"/>
    <w:rsid w:val="00630741"/>
    <w:rsid w:val="00631698"/>
    <w:rsid w:val="00631E44"/>
    <w:rsid w:val="00632B4B"/>
    <w:rsid w:val="0063476C"/>
    <w:rsid w:val="00634C57"/>
    <w:rsid w:val="00634CE7"/>
    <w:rsid w:val="006350D5"/>
    <w:rsid w:val="006359F7"/>
    <w:rsid w:val="00635C51"/>
    <w:rsid w:val="0063642C"/>
    <w:rsid w:val="00636492"/>
    <w:rsid w:val="0063714C"/>
    <w:rsid w:val="006376B3"/>
    <w:rsid w:val="00637858"/>
    <w:rsid w:val="006404A7"/>
    <w:rsid w:val="00640A38"/>
    <w:rsid w:val="00640E6B"/>
    <w:rsid w:val="0064123E"/>
    <w:rsid w:val="00641787"/>
    <w:rsid w:val="0064179B"/>
    <w:rsid w:val="00642489"/>
    <w:rsid w:val="0064341F"/>
    <w:rsid w:val="00644055"/>
    <w:rsid w:val="00644137"/>
    <w:rsid w:val="0064478C"/>
    <w:rsid w:val="0064513D"/>
    <w:rsid w:val="00645160"/>
    <w:rsid w:val="006451E4"/>
    <w:rsid w:val="0064574B"/>
    <w:rsid w:val="006459DF"/>
    <w:rsid w:val="00645B33"/>
    <w:rsid w:val="00646B42"/>
    <w:rsid w:val="006516CB"/>
    <w:rsid w:val="00652E30"/>
    <w:rsid w:val="00653BD0"/>
    <w:rsid w:val="00654110"/>
    <w:rsid w:val="00654604"/>
    <w:rsid w:val="00656C5D"/>
    <w:rsid w:val="00656CFB"/>
    <w:rsid w:val="00656D25"/>
    <w:rsid w:val="00657E87"/>
    <w:rsid w:val="00660D2D"/>
    <w:rsid w:val="00661C41"/>
    <w:rsid w:val="00661E03"/>
    <w:rsid w:val="00661EC9"/>
    <w:rsid w:val="00661EF8"/>
    <w:rsid w:val="00662469"/>
    <w:rsid w:val="0066411C"/>
    <w:rsid w:val="00664205"/>
    <w:rsid w:val="00664647"/>
    <w:rsid w:val="00664803"/>
    <w:rsid w:val="0066502F"/>
    <w:rsid w:val="006653CC"/>
    <w:rsid w:val="00665982"/>
    <w:rsid w:val="00665A05"/>
    <w:rsid w:val="00665BA4"/>
    <w:rsid w:val="00666BF3"/>
    <w:rsid w:val="00667856"/>
    <w:rsid w:val="00667AF2"/>
    <w:rsid w:val="00670489"/>
    <w:rsid w:val="006710C9"/>
    <w:rsid w:val="00671D85"/>
    <w:rsid w:val="00672586"/>
    <w:rsid w:val="006727BC"/>
    <w:rsid w:val="006741CD"/>
    <w:rsid w:val="00674D89"/>
    <w:rsid w:val="0067514E"/>
    <w:rsid w:val="00675E37"/>
    <w:rsid w:val="0067623E"/>
    <w:rsid w:val="0067635D"/>
    <w:rsid w:val="00676736"/>
    <w:rsid w:val="006769A4"/>
    <w:rsid w:val="006769C6"/>
    <w:rsid w:val="00676D76"/>
    <w:rsid w:val="00676F9F"/>
    <w:rsid w:val="00677519"/>
    <w:rsid w:val="00677591"/>
    <w:rsid w:val="00677594"/>
    <w:rsid w:val="0067794F"/>
    <w:rsid w:val="00677FA3"/>
    <w:rsid w:val="0068032F"/>
    <w:rsid w:val="00680D37"/>
    <w:rsid w:val="00681060"/>
    <w:rsid w:val="0068174E"/>
    <w:rsid w:val="0068177E"/>
    <w:rsid w:val="00681DCE"/>
    <w:rsid w:val="00682110"/>
    <w:rsid w:val="0068260E"/>
    <w:rsid w:val="00683CE6"/>
    <w:rsid w:val="006846B3"/>
    <w:rsid w:val="00684B9B"/>
    <w:rsid w:val="00684D59"/>
    <w:rsid w:val="00684E25"/>
    <w:rsid w:val="006858A4"/>
    <w:rsid w:val="00685C08"/>
    <w:rsid w:val="00686718"/>
    <w:rsid w:val="00686A63"/>
    <w:rsid w:val="00686BFA"/>
    <w:rsid w:val="00686DED"/>
    <w:rsid w:val="00686DFB"/>
    <w:rsid w:val="006875A0"/>
    <w:rsid w:val="006878C6"/>
    <w:rsid w:val="00687D27"/>
    <w:rsid w:val="00691943"/>
    <w:rsid w:val="00691FB9"/>
    <w:rsid w:val="0069212C"/>
    <w:rsid w:val="00693550"/>
    <w:rsid w:val="00694622"/>
    <w:rsid w:val="006948DE"/>
    <w:rsid w:val="00695065"/>
    <w:rsid w:val="00695BEF"/>
    <w:rsid w:val="00696251"/>
    <w:rsid w:val="006966C7"/>
    <w:rsid w:val="006968C1"/>
    <w:rsid w:val="00696DBC"/>
    <w:rsid w:val="0069752C"/>
    <w:rsid w:val="006977B8"/>
    <w:rsid w:val="006977F6"/>
    <w:rsid w:val="00697A13"/>
    <w:rsid w:val="006A0DD4"/>
    <w:rsid w:val="006A109C"/>
    <w:rsid w:val="006A30E5"/>
    <w:rsid w:val="006A39A7"/>
    <w:rsid w:val="006A4E91"/>
    <w:rsid w:val="006A5F4B"/>
    <w:rsid w:val="006A6114"/>
    <w:rsid w:val="006A6565"/>
    <w:rsid w:val="006A7665"/>
    <w:rsid w:val="006A7691"/>
    <w:rsid w:val="006A7E73"/>
    <w:rsid w:val="006A7EE2"/>
    <w:rsid w:val="006B0514"/>
    <w:rsid w:val="006B0F92"/>
    <w:rsid w:val="006B2785"/>
    <w:rsid w:val="006B27C7"/>
    <w:rsid w:val="006B3006"/>
    <w:rsid w:val="006B344A"/>
    <w:rsid w:val="006B3B51"/>
    <w:rsid w:val="006B3EF1"/>
    <w:rsid w:val="006B4485"/>
    <w:rsid w:val="006B58C9"/>
    <w:rsid w:val="006B60ED"/>
    <w:rsid w:val="006B6CC5"/>
    <w:rsid w:val="006B74AC"/>
    <w:rsid w:val="006B757F"/>
    <w:rsid w:val="006B78D8"/>
    <w:rsid w:val="006B79EA"/>
    <w:rsid w:val="006C0C5D"/>
    <w:rsid w:val="006C113F"/>
    <w:rsid w:val="006C123E"/>
    <w:rsid w:val="006C15A1"/>
    <w:rsid w:val="006C1752"/>
    <w:rsid w:val="006C1DDC"/>
    <w:rsid w:val="006C28CA"/>
    <w:rsid w:val="006C2BBF"/>
    <w:rsid w:val="006C2FBD"/>
    <w:rsid w:val="006C3336"/>
    <w:rsid w:val="006C3495"/>
    <w:rsid w:val="006C36E1"/>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04D"/>
    <w:rsid w:val="006D18B3"/>
    <w:rsid w:val="006D1E89"/>
    <w:rsid w:val="006D26CE"/>
    <w:rsid w:val="006D2A74"/>
    <w:rsid w:val="006D317E"/>
    <w:rsid w:val="006D3E8A"/>
    <w:rsid w:val="006D47D9"/>
    <w:rsid w:val="006D61F6"/>
    <w:rsid w:val="006E1081"/>
    <w:rsid w:val="006E1332"/>
    <w:rsid w:val="006E19CB"/>
    <w:rsid w:val="006E2364"/>
    <w:rsid w:val="006E2589"/>
    <w:rsid w:val="006E279A"/>
    <w:rsid w:val="006E313B"/>
    <w:rsid w:val="006E34B2"/>
    <w:rsid w:val="006E3A45"/>
    <w:rsid w:val="006E4078"/>
    <w:rsid w:val="006E4F68"/>
    <w:rsid w:val="006E51C4"/>
    <w:rsid w:val="006E53AD"/>
    <w:rsid w:val="006E58CB"/>
    <w:rsid w:val="006E6A93"/>
    <w:rsid w:val="006E7227"/>
    <w:rsid w:val="006E7410"/>
    <w:rsid w:val="006E761A"/>
    <w:rsid w:val="006F0646"/>
    <w:rsid w:val="006F0741"/>
    <w:rsid w:val="006F0EE2"/>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448"/>
    <w:rsid w:val="007008A9"/>
    <w:rsid w:val="00700E8A"/>
    <w:rsid w:val="0070398A"/>
    <w:rsid w:val="00705242"/>
    <w:rsid w:val="007055E0"/>
    <w:rsid w:val="007056ED"/>
    <w:rsid w:val="00705C47"/>
    <w:rsid w:val="00705F4E"/>
    <w:rsid w:val="0070658E"/>
    <w:rsid w:val="007065C5"/>
    <w:rsid w:val="007068E1"/>
    <w:rsid w:val="00706AA0"/>
    <w:rsid w:val="00706AD4"/>
    <w:rsid w:val="00707150"/>
    <w:rsid w:val="00711CF9"/>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504"/>
    <w:rsid w:val="00721601"/>
    <w:rsid w:val="00722777"/>
    <w:rsid w:val="00723435"/>
    <w:rsid w:val="00723436"/>
    <w:rsid w:val="007240E2"/>
    <w:rsid w:val="0072454C"/>
    <w:rsid w:val="0072583E"/>
    <w:rsid w:val="00725BB5"/>
    <w:rsid w:val="00726978"/>
    <w:rsid w:val="00727C02"/>
    <w:rsid w:val="0073008E"/>
    <w:rsid w:val="00730A8B"/>
    <w:rsid w:val="00730AE8"/>
    <w:rsid w:val="00730F1B"/>
    <w:rsid w:val="007310AC"/>
    <w:rsid w:val="0073186D"/>
    <w:rsid w:val="0073261D"/>
    <w:rsid w:val="0073333D"/>
    <w:rsid w:val="007335AE"/>
    <w:rsid w:val="00733EF2"/>
    <w:rsid w:val="007343D9"/>
    <w:rsid w:val="00734F71"/>
    <w:rsid w:val="00735448"/>
    <w:rsid w:val="00736F07"/>
    <w:rsid w:val="007377BD"/>
    <w:rsid w:val="00737DEC"/>
    <w:rsid w:val="0074004D"/>
    <w:rsid w:val="00741493"/>
    <w:rsid w:val="007434E5"/>
    <w:rsid w:val="00743DB7"/>
    <w:rsid w:val="0074499B"/>
    <w:rsid w:val="0074501E"/>
    <w:rsid w:val="007450BF"/>
    <w:rsid w:val="0074599A"/>
    <w:rsid w:val="00746F45"/>
    <w:rsid w:val="007471A1"/>
    <w:rsid w:val="0074744D"/>
    <w:rsid w:val="007477BD"/>
    <w:rsid w:val="007477DA"/>
    <w:rsid w:val="00747EE9"/>
    <w:rsid w:val="007511CD"/>
    <w:rsid w:val="007520B6"/>
    <w:rsid w:val="007520F6"/>
    <w:rsid w:val="00752180"/>
    <w:rsid w:val="00752323"/>
    <w:rsid w:val="0075291E"/>
    <w:rsid w:val="007532B7"/>
    <w:rsid w:val="00753CAB"/>
    <w:rsid w:val="00754A70"/>
    <w:rsid w:val="00754BC9"/>
    <w:rsid w:val="00755202"/>
    <w:rsid w:val="00755D3A"/>
    <w:rsid w:val="00757140"/>
    <w:rsid w:val="00757241"/>
    <w:rsid w:val="0075751D"/>
    <w:rsid w:val="0075763E"/>
    <w:rsid w:val="007578D3"/>
    <w:rsid w:val="0076029B"/>
    <w:rsid w:val="007602CF"/>
    <w:rsid w:val="00760391"/>
    <w:rsid w:val="007609C6"/>
    <w:rsid w:val="007615F3"/>
    <w:rsid w:val="0076175D"/>
    <w:rsid w:val="00761CB5"/>
    <w:rsid w:val="007622B7"/>
    <w:rsid w:val="007629D5"/>
    <w:rsid w:val="007635F8"/>
    <w:rsid w:val="00763B85"/>
    <w:rsid w:val="00763DB7"/>
    <w:rsid w:val="007644A2"/>
    <w:rsid w:val="00764932"/>
    <w:rsid w:val="00764974"/>
    <w:rsid w:val="00764C76"/>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0D"/>
    <w:rsid w:val="00771972"/>
    <w:rsid w:val="007721AD"/>
    <w:rsid w:val="00772279"/>
    <w:rsid w:val="00772DAB"/>
    <w:rsid w:val="00772FF9"/>
    <w:rsid w:val="0077348B"/>
    <w:rsid w:val="007734F5"/>
    <w:rsid w:val="007743DB"/>
    <w:rsid w:val="00774D2C"/>
    <w:rsid w:val="007759C8"/>
    <w:rsid w:val="00775E00"/>
    <w:rsid w:val="0077605B"/>
    <w:rsid w:val="00776169"/>
    <w:rsid w:val="00776527"/>
    <w:rsid w:val="00777040"/>
    <w:rsid w:val="00777CE6"/>
    <w:rsid w:val="00777D57"/>
    <w:rsid w:val="00780EF1"/>
    <w:rsid w:val="00781A91"/>
    <w:rsid w:val="00781AD3"/>
    <w:rsid w:val="00781F36"/>
    <w:rsid w:val="00783576"/>
    <w:rsid w:val="00784492"/>
    <w:rsid w:val="00785778"/>
    <w:rsid w:val="00785890"/>
    <w:rsid w:val="00786C87"/>
    <w:rsid w:val="0078755E"/>
    <w:rsid w:val="007877C9"/>
    <w:rsid w:val="0079058A"/>
    <w:rsid w:val="00790764"/>
    <w:rsid w:val="0079085F"/>
    <w:rsid w:val="00790E96"/>
    <w:rsid w:val="00791005"/>
    <w:rsid w:val="00792007"/>
    <w:rsid w:val="007924BF"/>
    <w:rsid w:val="007932D3"/>
    <w:rsid w:val="00793597"/>
    <w:rsid w:val="00793D78"/>
    <w:rsid w:val="0079420B"/>
    <w:rsid w:val="0079453C"/>
    <w:rsid w:val="00794677"/>
    <w:rsid w:val="00794925"/>
    <w:rsid w:val="00795759"/>
    <w:rsid w:val="007971DC"/>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A7A92"/>
    <w:rsid w:val="007A7B13"/>
    <w:rsid w:val="007B04B0"/>
    <w:rsid w:val="007B0834"/>
    <w:rsid w:val="007B0E83"/>
    <w:rsid w:val="007B11FA"/>
    <w:rsid w:val="007B12AF"/>
    <w:rsid w:val="007B1396"/>
    <w:rsid w:val="007B16D6"/>
    <w:rsid w:val="007B1D1B"/>
    <w:rsid w:val="007B2011"/>
    <w:rsid w:val="007B2CFE"/>
    <w:rsid w:val="007B309B"/>
    <w:rsid w:val="007B3D5E"/>
    <w:rsid w:val="007B3DCB"/>
    <w:rsid w:val="007B54AE"/>
    <w:rsid w:val="007B561F"/>
    <w:rsid w:val="007B5725"/>
    <w:rsid w:val="007B5C1F"/>
    <w:rsid w:val="007B60D7"/>
    <w:rsid w:val="007B6689"/>
    <w:rsid w:val="007B66AD"/>
    <w:rsid w:val="007B6747"/>
    <w:rsid w:val="007B6F72"/>
    <w:rsid w:val="007B74AA"/>
    <w:rsid w:val="007B75E8"/>
    <w:rsid w:val="007C0069"/>
    <w:rsid w:val="007C06AF"/>
    <w:rsid w:val="007C09FB"/>
    <w:rsid w:val="007C10BD"/>
    <w:rsid w:val="007C162D"/>
    <w:rsid w:val="007C1EC4"/>
    <w:rsid w:val="007C1F0C"/>
    <w:rsid w:val="007C1FFB"/>
    <w:rsid w:val="007C289D"/>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171"/>
    <w:rsid w:val="007D42E5"/>
    <w:rsid w:val="007D4458"/>
    <w:rsid w:val="007D6A9F"/>
    <w:rsid w:val="007D6AF9"/>
    <w:rsid w:val="007D7763"/>
    <w:rsid w:val="007E0535"/>
    <w:rsid w:val="007E07F2"/>
    <w:rsid w:val="007E0D4A"/>
    <w:rsid w:val="007E0D64"/>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2DE"/>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4D33"/>
    <w:rsid w:val="0080559E"/>
    <w:rsid w:val="00805AF3"/>
    <w:rsid w:val="00806C9C"/>
    <w:rsid w:val="0080734C"/>
    <w:rsid w:val="00807C82"/>
    <w:rsid w:val="00810BD0"/>
    <w:rsid w:val="008117CC"/>
    <w:rsid w:val="00811FF8"/>
    <w:rsid w:val="0081294E"/>
    <w:rsid w:val="008129AC"/>
    <w:rsid w:val="00813D58"/>
    <w:rsid w:val="00813DCA"/>
    <w:rsid w:val="0081402B"/>
    <w:rsid w:val="008161A6"/>
    <w:rsid w:val="008165B8"/>
    <w:rsid w:val="00816905"/>
    <w:rsid w:val="00816D98"/>
    <w:rsid w:val="00816E42"/>
    <w:rsid w:val="00817040"/>
    <w:rsid w:val="00817A17"/>
    <w:rsid w:val="00817EC1"/>
    <w:rsid w:val="008207D1"/>
    <w:rsid w:val="00820D2A"/>
    <w:rsid w:val="0082112D"/>
    <w:rsid w:val="00821624"/>
    <w:rsid w:val="00821FF6"/>
    <w:rsid w:val="00822490"/>
    <w:rsid w:val="00822574"/>
    <w:rsid w:val="00822980"/>
    <w:rsid w:val="00822F08"/>
    <w:rsid w:val="0082371F"/>
    <w:rsid w:val="00824BA6"/>
    <w:rsid w:val="00825120"/>
    <w:rsid w:val="00825C4D"/>
    <w:rsid w:val="00826A08"/>
    <w:rsid w:val="00826AC0"/>
    <w:rsid w:val="00827094"/>
    <w:rsid w:val="00827186"/>
    <w:rsid w:val="00827C8E"/>
    <w:rsid w:val="00830569"/>
    <w:rsid w:val="00830AEA"/>
    <w:rsid w:val="00830E86"/>
    <w:rsid w:val="0083143E"/>
    <w:rsid w:val="008315B8"/>
    <w:rsid w:val="008315D5"/>
    <w:rsid w:val="00831CDE"/>
    <w:rsid w:val="00831F2B"/>
    <w:rsid w:val="008320CF"/>
    <w:rsid w:val="008324A3"/>
    <w:rsid w:val="00832B76"/>
    <w:rsid w:val="00832F77"/>
    <w:rsid w:val="008331B4"/>
    <w:rsid w:val="00834304"/>
    <w:rsid w:val="00834336"/>
    <w:rsid w:val="00834FAA"/>
    <w:rsid w:val="008354FB"/>
    <w:rsid w:val="00835FF1"/>
    <w:rsid w:val="00836086"/>
    <w:rsid w:val="0083630F"/>
    <w:rsid w:val="008369DA"/>
    <w:rsid w:val="00836A06"/>
    <w:rsid w:val="008374BC"/>
    <w:rsid w:val="0083785E"/>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669"/>
    <w:rsid w:val="00850E83"/>
    <w:rsid w:val="0085114D"/>
    <w:rsid w:val="00851163"/>
    <w:rsid w:val="008520A8"/>
    <w:rsid w:val="00852210"/>
    <w:rsid w:val="00852217"/>
    <w:rsid w:val="00853282"/>
    <w:rsid w:val="0085334C"/>
    <w:rsid w:val="00854291"/>
    <w:rsid w:val="00855408"/>
    <w:rsid w:val="00855D03"/>
    <w:rsid w:val="00856D65"/>
    <w:rsid w:val="00856FA4"/>
    <w:rsid w:val="00860943"/>
    <w:rsid w:val="00860D79"/>
    <w:rsid w:val="00861289"/>
    <w:rsid w:val="00861B41"/>
    <w:rsid w:val="00861B9F"/>
    <w:rsid w:val="00861BE3"/>
    <w:rsid w:val="008625D3"/>
    <w:rsid w:val="008627B1"/>
    <w:rsid w:val="00862C0A"/>
    <w:rsid w:val="00863434"/>
    <w:rsid w:val="0086344F"/>
    <w:rsid w:val="00863949"/>
    <w:rsid w:val="008641AC"/>
    <w:rsid w:val="00865E4C"/>
    <w:rsid w:val="00866074"/>
    <w:rsid w:val="0086720C"/>
    <w:rsid w:val="00867546"/>
    <w:rsid w:val="0086781C"/>
    <w:rsid w:val="00867934"/>
    <w:rsid w:val="0086796D"/>
    <w:rsid w:val="00867DAB"/>
    <w:rsid w:val="0087000B"/>
    <w:rsid w:val="008701E4"/>
    <w:rsid w:val="008704E9"/>
    <w:rsid w:val="008705FB"/>
    <w:rsid w:val="00870ECD"/>
    <w:rsid w:val="008710A4"/>
    <w:rsid w:val="0087186F"/>
    <w:rsid w:val="008726F0"/>
    <w:rsid w:val="0087347C"/>
    <w:rsid w:val="008734E7"/>
    <w:rsid w:val="0087368D"/>
    <w:rsid w:val="008740CC"/>
    <w:rsid w:val="0087442A"/>
    <w:rsid w:val="00874578"/>
    <w:rsid w:val="00874FE8"/>
    <w:rsid w:val="00875A32"/>
    <w:rsid w:val="00875CC1"/>
    <w:rsid w:val="00876086"/>
    <w:rsid w:val="00876297"/>
    <w:rsid w:val="00876651"/>
    <w:rsid w:val="00876E83"/>
    <w:rsid w:val="008772BC"/>
    <w:rsid w:val="00880A0E"/>
    <w:rsid w:val="00880C61"/>
    <w:rsid w:val="00880D68"/>
    <w:rsid w:val="008817FE"/>
    <w:rsid w:val="00881CD7"/>
    <w:rsid w:val="00882911"/>
    <w:rsid w:val="00882F6E"/>
    <w:rsid w:val="00883202"/>
    <w:rsid w:val="00884E02"/>
    <w:rsid w:val="0088502B"/>
    <w:rsid w:val="008851D8"/>
    <w:rsid w:val="008854EB"/>
    <w:rsid w:val="00885D40"/>
    <w:rsid w:val="008869C4"/>
    <w:rsid w:val="008873D4"/>
    <w:rsid w:val="00890CB1"/>
    <w:rsid w:val="00891D31"/>
    <w:rsid w:val="00891EDF"/>
    <w:rsid w:val="00892872"/>
    <w:rsid w:val="0089296D"/>
    <w:rsid w:val="00893E85"/>
    <w:rsid w:val="00893EBE"/>
    <w:rsid w:val="00893F40"/>
    <w:rsid w:val="00894029"/>
    <w:rsid w:val="00894031"/>
    <w:rsid w:val="00894C5D"/>
    <w:rsid w:val="00895508"/>
    <w:rsid w:val="008964BB"/>
    <w:rsid w:val="008967E9"/>
    <w:rsid w:val="00896A5C"/>
    <w:rsid w:val="00896AA1"/>
    <w:rsid w:val="00896E33"/>
    <w:rsid w:val="008972D2"/>
    <w:rsid w:val="0089754C"/>
    <w:rsid w:val="00897CFA"/>
    <w:rsid w:val="008A0659"/>
    <w:rsid w:val="008A0ADD"/>
    <w:rsid w:val="008A0D27"/>
    <w:rsid w:val="008A1A58"/>
    <w:rsid w:val="008A1C59"/>
    <w:rsid w:val="008A29A7"/>
    <w:rsid w:val="008A37E2"/>
    <w:rsid w:val="008A388E"/>
    <w:rsid w:val="008A394E"/>
    <w:rsid w:val="008A3CBA"/>
    <w:rsid w:val="008A4B59"/>
    <w:rsid w:val="008A58DB"/>
    <w:rsid w:val="008A63E1"/>
    <w:rsid w:val="008A66B7"/>
    <w:rsid w:val="008A68BB"/>
    <w:rsid w:val="008A6AA5"/>
    <w:rsid w:val="008A7127"/>
    <w:rsid w:val="008B0CBA"/>
    <w:rsid w:val="008B0E9E"/>
    <w:rsid w:val="008B2639"/>
    <w:rsid w:val="008B3537"/>
    <w:rsid w:val="008B3690"/>
    <w:rsid w:val="008B3A80"/>
    <w:rsid w:val="008B3AEC"/>
    <w:rsid w:val="008B3C07"/>
    <w:rsid w:val="008B3F7B"/>
    <w:rsid w:val="008B43CA"/>
    <w:rsid w:val="008B5068"/>
    <w:rsid w:val="008B50AC"/>
    <w:rsid w:val="008B5324"/>
    <w:rsid w:val="008B5C99"/>
    <w:rsid w:val="008B6106"/>
    <w:rsid w:val="008B7C02"/>
    <w:rsid w:val="008B7D2B"/>
    <w:rsid w:val="008B7EF9"/>
    <w:rsid w:val="008C0049"/>
    <w:rsid w:val="008C0314"/>
    <w:rsid w:val="008C0900"/>
    <w:rsid w:val="008C0E88"/>
    <w:rsid w:val="008C0EBE"/>
    <w:rsid w:val="008C1717"/>
    <w:rsid w:val="008C17F0"/>
    <w:rsid w:val="008C1CB5"/>
    <w:rsid w:val="008C3B05"/>
    <w:rsid w:val="008C3B6A"/>
    <w:rsid w:val="008C4A3C"/>
    <w:rsid w:val="008C4B50"/>
    <w:rsid w:val="008C5A37"/>
    <w:rsid w:val="008C5AB8"/>
    <w:rsid w:val="008C7132"/>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709"/>
    <w:rsid w:val="008D3ACD"/>
    <w:rsid w:val="008D6C3A"/>
    <w:rsid w:val="008D70E2"/>
    <w:rsid w:val="008D7BFE"/>
    <w:rsid w:val="008D7F47"/>
    <w:rsid w:val="008E0001"/>
    <w:rsid w:val="008E039E"/>
    <w:rsid w:val="008E0C88"/>
    <w:rsid w:val="008E292B"/>
    <w:rsid w:val="008E2C57"/>
    <w:rsid w:val="008E31FF"/>
    <w:rsid w:val="008E3287"/>
    <w:rsid w:val="008E36AE"/>
    <w:rsid w:val="008E38E4"/>
    <w:rsid w:val="008E3DFA"/>
    <w:rsid w:val="008E51EB"/>
    <w:rsid w:val="008E5746"/>
    <w:rsid w:val="008E5925"/>
    <w:rsid w:val="008E5997"/>
    <w:rsid w:val="008E64D7"/>
    <w:rsid w:val="008E6DCB"/>
    <w:rsid w:val="008E6F06"/>
    <w:rsid w:val="008E7000"/>
    <w:rsid w:val="008E723E"/>
    <w:rsid w:val="008E7B8E"/>
    <w:rsid w:val="008E7FC9"/>
    <w:rsid w:val="008F00AE"/>
    <w:rsid w:val="008F0107"/>
    <w:rsid w:val="008F029B"/>
    <w:rsid w:val="008F04BA"/>
    <w:rsid w:val="008F0589"/>
    <w:rsid w:val="008F0FBC"/>
    <w:rsid w:val="008F2A5D"/>
    <w:rsid w:val="008F2BC7"/>
    <w:rsid w:val="008F2E83"/>
    <w:rsid w:val="008F3636"/>
    <w:rsid w:val="008F3AD4"/>
    <w:rsid w:val="008F3FC9"/>
    <w:rsid w:val="008F509F"/>
    <w:rsid w:val="008F5383"/>
    <w:rsid w:val="008F585B"/>
    <w:rsid w:val="008F7FB0"/>
    <w:rsid w:val="009003A8"/>
    <w:rsid w:val="009005E4"/>
    <w:rsid w:val="0090081B"/>
    <w:rsid w:val="00900977"/>
    <w:rsid w:val="009011BB"/>
    <w:rsid w:val="00901C7F"/>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2C6"/>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66E"/>
    <w:rsid w:val="00920EC4"/>
    <w:rsid w:val="0092180B"/>
    <w:rsid w:val="00921F14"/>
    <w:rsid w:val="00922443"/>
    <w:rsid w:val="0092276B"/>
    <w:rsid w:val="0092292F"/>
    <w:rsid w:val="00922D28"/>
    <w:rsid w:val="00923970"/>
    <w:rsid w:val="00923CB0"/>
    <w:rsid w:val="00923D8C"/>
    <w:rsid w:val="00924871"/>
    <w:rsid w:val="00924AC8"/>
    <w:rsid w:val="00924D6B"/>
    <w:rsid w:val="00925429"/>
    <w:rsid w:val="00925615"/>
    <w:rsid w:val="0092597A"/>
    <w:rsid w:val="00926520"/>
    <w:rsid w:val="009266A3"/>
    <w:rsid w:val="00926CF0"/>
    <w:rsid w:val="009273A9"/>
    <w:rsid w:val="009301B5"/>
    <w:rsid w:val="00930251"/>
    <w:rsid w:val="0093033E"/>
    <w:rsid w:val="009305FC"/>
    <w:rsid w:val="00930A99"/>
    <w:rsid w:val="00930FB1"/>
    <w:rsid w:val="0093139F"/>
    <w:rsid w:val="009318C3"/>
    <w:rsid w:val="00932239"/>
    <w:rsid w:val="00932443"/>
    <w:rsid w:val="00932B32"/>
    <w:rsid w:val="0093305E"/>
    <w:rsid w:val="00933BFC"/>
    <w:rsid w:val="00933F4A"/>
    <w:rsid w:val="009341F1"/>
    <w:rsid w:val="00934FF2"/>
    <w:rsid w:val="009358D7"/>
    <w:rsid w:val="00935BD4"/>
    <w:rsid w:val="00935DFE"/>
    <w:rsid w:val="00935F70"/>
    <w:rsid w:val="0093648B"/>
    <w:rsid w:val="00937017"/>
    <w:rsid w:val="009373B2"/>
    <w:rsid w:val="00937AE2"/>
    <w:rsid w:val="009400F5"/>
    <w:rsid w:val="0094061F"/>
    <w:rsid w:val="00940F0F"/>
    <w:rsid w:val="00941912"/>
    <w:rsid w:val="00942393"/>
    <w:rsid w:val="0094416B"/>
    <w:rsid w:val="0094427A"/>
    <w:rsid w:val="009449C6"/>
    <w:rsid w:val="00944A17"/>
    <w:rsid w:val="00944C7C"/>
    <w:rsid w:val="00945245"/>
    <w:rsid w:val="00945523"/>
    <w:rsid w:val="00946C43"/>
    <w:rsid w:val="00950921"/>
    <w:rsid w:val="009513F7"/>
    <w:rsid w:val="00951D68"/>
    <w:rsid w:val="00951E5B"/>
    <w:rsid w:val="00952050"/>
    <w:rsid w:val="00952315"/>
    <w:rsid w:val="009523D9"/>
    <w:rsid w:val="00952B7B"/>
    <w:rsid w:val="0095357B"/>
    <w:rsid w:val="009538B3"/>
    <w:rsid w:val="00953B93"/>
    <w:rsid w:val="00954F39"/>
    <w:rsid w:val="009555FD"/>
    <w:rsid w:val="00955BAD"/>
    <w:rsid w:val="0095664B"/>
    <w:rsid w:val="009568DC"/>
    <w:rsid w:val="00956F60"/>
    <w:rsid w:val="00957140"/>
    <w:rsid w:val="00957445"/>
    <w:rsid w:val="0095759C"/>
    <w:rsid w:val="00960F4F"/>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928"/>
    <w:rsid w:val="00965A10"/>
    <w:rsid w:val="00965AD0"/>
    <w:rsid w:val="009670A3"/>
    <w:rsid w:val="009674BE"/>
    <w:rsid w:val="00967675"/>
    <w:rsid w:val="00970FB5"/>
    <w:rsid w:val="009715F2"/>
    <w:rsid w:val="00971710"/>
    <w:rsid w:val="00971B87"/>
    <w:rsid w:val="00971C77"/>
    <w:rsid w:val="0097203A"/>
    <w:rsid w:val="00972FCD"/>
    <w:rsid w:val="00973324"/>
    <w:rsid w:val="009736DF"/>
    <w:rsid w:val="009741AE"/>
    <w:rsid w:val="009741FC"/>
    <w:rsid w:val="00974475"/>
    <w:rsid w:val="00974782"/>
    <w:rsid w:val="00974923"/>
    <w:rsid w:val="009757EA"/>
    <w:rsid w:val="00975909"/>
    <w:rsid w:val="0097737B"/>
    <w:rsid w:val="009774CA"/>
    <w:rsid w:val="00977C3D"/>
    <w:rsid w:val="00980C28"/>
    <w:rsid w:val="00980D3D"/>
    <w:rsid w:val="0098103E"/>
    <w:rsid w:val="0098157D"/>
    <w:rsid w:val="00983101"/>
    <w:rsid w:val="00983E41"/>
    <w:rsid w:val="009845E1"/>
    <w:rsid w:val="00984D1B"/>
    <w:rsid w:val="00986246"/>
    <w:rsid w:val="00987A30"/>
    <w:rsid w:val="00987F57"/>
    <w:rsid w:val="00990312"/>
    <w:rsid w:val="0099182E"/>
    <w:rsid w:val="00991957"/>
    <w:rsid w:val="00991D45"/>
    <w:rsid w:val="00992BB3"/>
    <w:rsid w:val="00992CF3"/>
    <w:rsid w:val="00993194"/>
    <w:rsid w:val="0099321E"/>
    <w:rsid w:val="00994171"/>
    <w:rsid w:val="00994868"/>
    <w:rsid w:val="00994976"/>
    <w:rsid w:val="00994D28"/>
    <w:rsid w:val="00994F2C"/>
    <w:rsid w:val="00995720"/>
    <w:rsid w:val="009957CC"/>
    <w:rsid w:val="009968D6"/>
    <w:rsid w:val="00996BD9"/>
    <w:rsid w:val="00997213"/>
    <w:rsid w:val="009974E8"/>
    <w:rsid w:val="00997953"/>
    <w:rsid w:val="00997D55"/>
    <w:rsid w:val="009A0349"/>
    <w:rsid w:val="009A0BFF"/>
    <w:rsid w:val="009A10A0"/>
    <w:rsid w:val="009A1CAB"/>
    <w:rsid w:val="009A2359"/>
    <w:rsid w:val="009A24F1"/>
    <w:rsid w:val="009A27E0"/>
    <w:rsid w:val="009A2DBB"/>
    <w:rsid w:val="009A4D57"/>
    <w:rsid w:val="009A5049"/>
    <w:rsid w:val="009A51A5"/>
    <w:rsid w:val="009A5309"/>
    <w:rsid w:val="009A5759"/>
    <w:rsid w:val="009A60D1"/>
    <w:rsid w:val="009A6225"/>
    <w:rsid w:val="009A64F5"/>
    <w:rsid w:val="009B00D2"/>
    <w:rsid w:val="009B05B3"/>
    <w:rsid w:val="009B0CAF"/>
    <w:rsid w:val="009B1324"/>
    <w:rsid w:val="009B2558"/>
    <w:rsid w:val="009B284F"/>
    <w:rsid w:val="009B35A0"/>
    <w:rsid w:val="009B3764"/>
    <w:rsid w:val="009B3840"/>
    <w:rsid w:val="009B52AC"/>
    <w:rsid w:val="009B553D"/>
    <w:rsid w:val="009B59EA"/>
    <w:rsid w:val="009B66CE"/>
    <w:rsid w:val="009B6A37"/>
    <w:rsid w:val="009B6FD3"/>
    <w:rsid w:val="009B72BE"/>
    <w:rsid w:val="009B78A4"/>
    <w:rsid w:val="009B7DB2"/>
    <w:rsid w:val="009C03DB"/>
    <w:rsid w:val="009C15AF"/>
    <w:rsid w:val="009C1750"/>
    <w:rsid w:val="009C1E76"/>
    <w:rsid w:val="009C243F"/>
    <w:rsid w:val="009C2E29"/>
    <w:rsid w:val="009C3032"/>
    <w:rsid w:val="009C3170"/>
    <w:rsid w:val="009C37BD"/>
    <w:rsid w:val="009C3E8F"/>
    <w:rsid w:val="009C554B"/>
    <w:rsid w:val="009C5E83"/>
    <w:rsid w:val="009C6AE5"/>
    <w:rsid w:val="009C7126"/>
    <w:rsid w:val="009C719E"/>
    <w:rsid w:val="009C7238"/>
    <w:rsid w:val="009C7799"/>
    <w:rsid w:val="009D07A9"/>
    <w:rsid w:val="009D0AE2"/>
    <w:rsid w:val="009D0D9F"/>
    <w:rsid w:val="009D0EBB"/>
    <w:rsid w:val="009D2890"/>
    <w:rsid w:val="009D2C46"/>
    <w:rsid w:val="009D3ACD"/>
    <w:rsid w:val="009D3F73"/>
    <w:rsid w:val="009D4254"/>
    <w:rsid w:val="009D4847"/>
    <w:rsid w:val="009D4F21"/>
    <w:rsid w:val="009D587D"/>
    <w:rsid w:val="009D6EA6"/>
    <w:rsid w:val="009D7731"/>
    <w:rsid w:val="009D7C31"/>
    <w:rsid w:val="009E1120"/>
    <w:rsid w:val="009E1393"/>
    <w:rsid w:val="009E1922"/>
    <w:rsid w:val="009E1A3D"/>
    <w:rsid w:val="009E3EA1"/>
    <w:rsid w:val="009E4715"/>
    <w:rsid w:val="009E4A58"/>
    <w:rsid w:val="009E5273"/>
    <w:rsid w:val="009E57A8"/>
    <w:rsid w:val="009E5B85"/>
    <w:rsid w:val="009E5DDB"/>
    <w:rsid w:val="009E74B3"/>
    <w:rsid w:val="009F1CA6"/>
    <w:rsid w:val="009F2921"/>
    <w:rsid w:val="009F42CF"/>
    <w:rsid w:val="009F4982"/>
    <w:rsid w:val="009F4CA7"/>
    <w:rsid w:val="009F4F6A"/>
    <w:rsid w:val="009F55BA"/>
    <w:rsid w:val="009F7541"/>
    <w:rsid w:val="009F7D36"/>
    <w:rsid w:val="009F7D61"/>
    <w:rsid w:val="009F7DF4"/>
    <w:rsid w:val="00A00994"/>
    <w:rsid w:val="00A009B0"/>
    <w:rsid w:val="00A00E71"/>
    <w:rsid w:val="00A0187B"/>
    <w:rsid w:val="00A02E8B"/>
    <w:rsid w:val="00A0306F"/>
    <w:rsid w:val="00A03511"/>
    <w:rsid w:val="00A03B10"/>
    <w:rsid w:val="00A03E2E"/>
    <w:rsid w:val="00A04616"/>
    <w:rsid w:val="00A04717"/>
    <w:rsid w:val="00A05D8F"/>
    <w:rsid w:val="00A05EB1"/>
    <w:rsid w:val="00A05EE4"/>
    <w:rsid w:val="00A06F99"/>
    <w:rsid w:val="00A1004C"/>
    <w:rsid w:val="00A1053B"/>
    <w:rsid w:val="00A106E6"/>
    <w:rsid w:val="00A10D66"/>
    <w:rsid w:val="00A113A4"/>
    <w:rsid w:val="00A11E70"/>
    <w:rsid w:val="00A12A8E"/>
    <w:rsid w:val="00A12CAD"/>
    <w:rsid w:val="00A12D93"/>
    <w:rsid w:val="00A133F9"/>
    <w:rsid w:val="00A14114"/>
    <w:rsid w:val="00A1576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1ED3"/>
    <w:rsid w:val="00A22073"/>
    <w:rsid w:val="00A2229E"/>
    <w:rsid w:val="00A22361"/>
    <w:rsid w:val="00A223E0"/>
    <w:rsid w:val="00A22418"/>
    <w:rsid w:val="00A22959"/>
    <w:rsid w:val="00A2312C"/>
    <w:rsid w:val="00A23158"/>
    <w:rsid w:val="00A232D7"/>
    <w:rsid w:val="00A237C6"/>
    <w:rsid w:val="00A23847"/>
    <w:rsid w:val="00A23E43"/>
    <w:rsid w:val="00A24726"/>
    <w:rsid w:val="00A24DEB"/>
    <w:rsid w:val="00A24ED9"/>
    <w:rsid w:val="00A251DB"/>
    <w:rsid w:val="00A25216"/>
    <w:rsid w:val="00A252AC"/>
    <w:rsid w:val="00A2597D"/>
    <w:rsid w:val="00A2628E"/>
    <w:rsid w:val="00A264E0"/>
    <w:rsid w:val="00A264F5"/>
    <w:rsid w:val="00A266BF"/>
    <w:rsid w:val="00A26777"/>
    <w:rsid w:val="00A2731E"/>
    <w:rsid w:val="00A309AC"/>
    <w:rsid w:val="00A30F65"/>
    <w:rsid w:val="00A315D0"/>
    <w:rsid w:val="00A3279E"/>
    <w:rsid w:val="00A33DB1"/>
    <w:rsid w:val="00A33EEB"/>
    <w:rsid w:val="00A35900"/>
    <w:rsid w:val="00A35982"/>
    <w:rsid w:val="00A35F33"/>
    <w:rsid w:val="00A36E9D"/>
    <w:rsid w:val="00A401A3"/>
    <w:rsid w:val="00A4064D"/>
    <w:rsid w:val="00A40EAC"/>
    <w:rsid w:val="00A418BC"/>
    <w:rsid w:val="00A419FF"/>
    <w:rsid w:val="00A41FCF"/>
    <w:rsid w:val="00A42593"/>
    <w:rsid w:val="00A42936"/>
    <w:rsid w:val="00A433ED"/>
    <w:rsid w:val="00A43CF8"/>
    <w:rsid w:val="00A43DF2"/>
    <w:rsid w:val="00A445A8"/>
    <w:rsid w:val="00A44ADE"/>
    <w:rsid w:val="00A44B0D"/>
    <w:rsid w:val="00A44D21"/>
    <w:rsid w:val="00A45087"/>
    <w:rsid w:val="00A45489"/>
    <w:rsid w:val="00A45858"/>
    <w:rsid w:val="00A45988"/>
    <w:rsid w:val="00A45CED"/>
    <w:rsid w:val="00A465E9"/>
    <w:rsid w:val="00A468E7"/>
    <w:rsid w:val="00A46DE0"/>
    <w:rsid w:val="00A478BA"/>
    <w:rsid w:val="00A50D73"/>
    <w:rsid w:val="00A518BB"/>
    <w:rsid w:val="00A52A88"/>
    <w:rsid w:val="00A52CAD"/>
    <w:rsid w:val="00A53340"/>
    <w:rsid w:val="00A53FC7"/>
    <w:rsid w:val="00A55569"/>
    <w:rsid w:val="00A55C36"/>
    <w:rsid w:val="00A5661B"/>
    <w:rsid w:val="00A566A0"/>
    <w:rsid w:val="00A571D8"/>
    <w:rsid w:val="00A600E7"/>
    <w:rsid w:val="00A601E7"/>
    <w:rsid w:val="00A60AC1"/>
    <w:rsid w:val="00A626FF"/>
    <w:rsid w:val="00A62CB0"/>
    <w:rsid w:val="00A62CE1"/>
    <w:rsid w:val="00A65469"/>
    <w:rsid w:val="00A65528"/>
    <w:rsid w:val="00A655D3"/>
    <w:rsid w:val="00A662D9"/>
    <w:rsid w:val="00A6630C"/>
    <w:rsid w:val="00A6741E"/>
    <w:rsid w:val="00A67E29"/>
    <w:rsid w:val="00A7016A"/>
    <w:rsid w:val="00A7018D"/>
    <w:rsid w:val="00A7191D"/>
    <w:rsid w:val="00A722F9"/>
    <w:rsid w:val="00A72D42"/>
    <w:rsid w:val="00A73DB6"/>
    <w:rsid w:val="00A746C9"/>
    <w:rsid w:val="00A74C2A"/>
    <w:rsid w:val="00A75E40"/>
    <w:rsid w:val="00A76818"/>
    <w:rsid w:val="00A777FE"/>
    <w:rsid w:val="00A77D1D"/>
    <w:rsid w:val="00A77E6B"/>
    <w:rsid w:val="00A81652"/>
    <w:rsid w:val="00A82BF0"/>
    <w:rsid w:val="00A82C91"/>
    <w:rsid w:val="00A83150"/>
    <w:rsid w:val="00A83398"/>
    <w:rsid w:val="00A8394B"/>
    <w:rsid w:val="00A83D6E"/>
    <w:rsid w:val="00A83FD5"/>
    <w:rsid w:val="00A8521A"/>
    <w:rsid w:val="00A85323"/>
    <w:rsid w:val="00A853BF"/>
    <w:rsid w:val="00A857C0"/>
    <w:rsid w:val="00A85ACB"/>
    <w:rsid w:val="00A85DE3"/>
    <w:rsid w:val="00A85F12"/>
    <w:rsid w:val="00A86FEF"/>
    <w:rsid w:val="00A9036F"/>
    <w:rsid w:val="00A9092B"/>
    <w:rsid w:val="00A90F2C"/>
    <w:rsid w:val="00A90FED"/>
    <w:rsid w:val="00A91482"/>
    <w:rsid w:val="00A9189D"/>
    <w:rsid w:val="00A91E71"/>
    <w:rsid w:val="00A925B1"/>
    <w:rsid w:val="00A92A3E"/>
    <w:rsid w:val="00A934F9"/>
    <w:rsid w:val="00A938E0"/>
    <w:rsid w:val="00A940E3"/>
    <w:rsid w:val="00A942B7"/>
    <w:rsid w:val="00A94983"/>
    <w:rsid w:val="00A94DF9"/>
    <w:rsid w:val="00A9532C"/>
    <w:rsid w:val="00A95A5C"/>
    <w:rsid w:val="00A95F1A"/>
    <w:rsid w:val="00A96116"/>
    <w:rsid w:val="00A9614E"/>
    <w:rsid w:val="00A96422"/>
    <w:rsid w:val="00A96C0F"/>
    <w:rsid w:val="00A97075"/>
    <w:rsid w:val="00A970D7"/>
    <w:rsid w:val="00AA0A80"/>
    <w:rsid w:val="00AA0E80"/>
    <w:rsid w:val="00AA16F4"/>
    <w:rsid w:val="00AA17CD"/>
    <w:rsid w:val="00AA1D85"/>
    <w:rsid w:val="00AA212B"/>
    <w:rsid w:val="00AA212F"/>
    <w:rsid w:val="00AA2130"/>
    <w:rsid w:val="00AA2648"/>
    <w:rsid w:val="00AA26A9"/>
    <w:rsid w:val="00AA28FC"/>
    <w:rsid w:val="00AA2996"/>
    <w:rsid w:val="00AA2AF4"/>
    <w:rsid w:val="00AA3B9F"/>
    <w:rsid w:val="00AA4282"/>
    <w:rsid w:val="00AA43F2"/>
    <w:rsid w:val="00AA4790"/>
    <w:rsid w:val="00AA52BF"/>
    <w:rsid w:val="00AA559A"/>
    <w:rsid w:val="00AA67D6"/>
    <w:rsid w:val="00AA6C31"/>
    <w:rsid w:val="00AA7752"/>
    <w:rsid w:val="00AA7CE8"/>
    <w:rsid w:val="00AB1457"/>
    <w:rsid w:val="00AB2AF1"/>
    <w:rsid w:val="00AB32CB"/>
    <w:rsid w:val="00AB348F"/>
    <w:rsid w:val="00AB3AD7"/>
    <w:rsid w:val="00AB3BA7"/>
    <w:rsid w:val="00AB3EC7"/>
    <w:rsid w:val="00AB5A64"/>
    <w:rsid w:val="00AB5CA1"/>
    <w:rsid w:val="00AB6395"/>
    <w:rsid w:val="00AB6456"/>
    <w:rsid w:val="00AB75C5"/>
    <w:rsid w:val="00AC044E"/>
    <w:rsid w:val="00AC2118"/>
    <w:rsid w:val="00AC2395"/>
    <w:rsid w:val="00AC271D"/>
    <w:rsid w:val="00AC2960"/>
    <w:rsid w:val="00AC2AC4"/>
    <w:rsid w:val="00AC4284"/>
    <w:rsid w:val="00AC45BD"/>
    <w:rsid w:val="00AC50BB"/>
    <w:rsid w:val="00AC5256"/>
    <w:rsid w:val="00AC5AA9"/>
    <w:rsid w:val="00AC78F1"/>
    <w:rsid w:val="00AD0B22"/>
    <w:rsid w:val="00AD0EE7"/>
    <w:rsid w:val="00AD168E"/>
    <w:rsid w:val="00AD2530"/>
    <w:rsid w:val="00AD306C"/>
    <w:rsid w:val="00AD3A14"/>
    <w:rsid w:val="00AD44CD"/>
    <w:rsid w:val="00AD47A7"/>
    <w:rsid w:val="00AD5AD2"/>
    <w:rsid w:val="00AD6462"/>
    <w:rsid w:val="00AD66C5"/>
    <w:rsid w:val="00AD68C4"/>
    <w:rsid w:val="00AD71F9"/>
    <w:rsid w:val="00AE09B3"/>
    <w:rsid w:val="00AE1311"/>
    <w:rsid w:val="00AE18FB"/>
    <w:rsid w:val="00AE1A83"/>
    <w:rsid w:val="00AE2C25"/>
    <w:rsid w:val="00AE30BE"/>
    <w:rsid w:val="00AE3858"/>
    <w:rsid w:val="00AE3DAA"/>
    <w:rsid w:val="00AE3E6A"/>
    <w:rsid w:val="00AE417E"/>
    <w:rsid w:val="00AE56EE"/>
    <w:rsid w:val="00AE6414"/>
    <w:rsid w:val="00AE6A0F"/>
    <w:rsid w:val="00AE7269"/>
    <w:rsid w:val="00AE7739"/>
    <w:rsid w:val="00AE797C"/>
    <w:rsid w:val="00AE7CE7"/>
    <w:rsid w:val="00AE7FAB"/>
    <w:rsid w:val="00AF0DE4"/>
    <w:rsid w:val="00AF12A0"/>
    <w:rsid w:val="00AF1E87"/>
    <w:rsid w:val="00AF436B"/>
    <w:rsid w:val="00AF50DD"/>
    <w:rsid w:val="00AF5179"/>
    <w:rsid w:val="00AF5CC2"/>
    <w:rsid w:val="00AF660D"/>
    <w:rsid w:val="00AF6776"/>
    <w:rsid w:val="00AF6D54"/>
    <w:rsid w:val="00AF6F98"/>
    <w:rsid w:val="00AF7277"/>
    <w:rsid w:val="00B00550"/>
    <w:rsid w:val="00B00913"/>
    <w:rsid w:val="00B00D4D"/>
    <w:rsid w:val="00B01593"/>
    <w:rsid w:val="00B018DF"/>
    <w:rsid w:val="00B01D0F"/>
    <w:rsid w:val="00B01FF9"/>
    <w:rsid w:val="00B023F2"/>
    <w:rsid w:val="00B026FE"/>
    <w:rsid w:val="00B0271F"/>
    <w:rsid w:val="00B038CA"/>
    <w:rsid w:val="00B049A5"/>
    <w:rsid w:val="00B05F00"/>
    <w:rsid w:val="00B06DB4"/>
    <w:rsid w:val="00B07132"/>
    <w:rsid w:val="00B0750D"/>
    <w:rsid w:val="00B07674"/>
    <w:rsid w:val="00B07850"/>
    <w:rsid w:val="00B0799C"/>
    <w:rsid w:val="00B102CE"/>
    <w:rsid w:val="00B108C1"/>
    <w:rsid w:val="00B10A4D"/>
    <w:rsid w:val="00B10B82"/>
    <w:rsid w:val="00B10C90"/>
    <w:rsid w:val="00B11002"/>
    <w:rsid w:val="00B1114F"/>
    <w:rsid w:val="00B11A78"/>
    <w:rsid w:val="00B11B59"/>
    <w:rsid w:val="00B121B2"/>
    <w:rsid w:val="00B12B59"/>
    <w:rsid w:val="00B131B1"/>
    <w:rsid w:val="00B13671"/>
    <w:rsid w:val="00B141B6"/>
    <w:rsid w:val="00B14BC1"/>
    <w:rsid w:val="00B14E93"/>
    <w:rsid w:val="00B154DE"/>
    <w:rsid w:val="00B162C3"/>
    <w:rsid w:val="00B16DD1"/>
    <w:rsid w:val="00B16EB8"/>
    <w:rsid w:val="00B1700A"/>
    <w:rsid w:val="00B17E71"/>
    <w:rsid w:val="00B17FDE"/>
    <w:rsid w:val="00B20632"/>
    <w:rsid w:val="00B22210"/>
    <w:rsid w:val="00B22DD8"/>
    <w:rsid w:val="00B233BF"/>
    <w:rsid w:val="00B2379C"/>
    <w:rsid w:val="00B23D5D"/>
    <w:rsid w:val="00B23E6E"/>
    <w:rsid w:val="00B2450C"/>
    <w:rsid w:val="00B2464B"/>
    <w:rsid w:val="00B2501C"/>
    <w:rsid w:val="00B2687D"/>
    <w:rsid w:val="00B276F5"/>
    <w:rsid w:val="00B3108D"/>
    <w:rsid w:val="00B310AC"/>
    <w:rsid w:val="00B32DDB"/>
    <w:rsid w:val="00B32F31"/>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496"/>
    <w:rsid w:val="00B439DA"/>
    <w:rsid w:val="00B44097"/>
    <w:rsid w:val="00B4411A"/>
    <w:rsid w:val="00B44504"/>
    <w:rsid w:val="00B44566"/>
    <w:rsid w:val="00B45FE8"/>
    <w:rsid w:val="00B46604"/>
    <w:rsid w:val="00B47089"/>
    <w:rsid w:val="00B47587"/>
    <w:rsid w:val="00B5150A"/>
    <w:rsid w:val="00B51B36"/>
    <w:rsid w:val="00B52151"/>
    <w:rsid w:val="00B52188"/>
    <w:rsid w:val="00B530CD"/>
    <w:rsid w:val="00B53639"/>
    <w:rsid w:val="00B53C7D"/>
    <w:rsid w:val="00B53E56"/>
    <w:rsid w:val="00B55311"/>
    <w:rsid w:val="00B5597E"/>
    <w:rsid w:val="00B55A97"/>
    <w:rsid w:val="00B55F5E"/>
    <w:rsid w:val="00B5601B"/>
    <w:rsid w:val="00B56196"/>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67CA1"/>
    <w:rsid w:val="00B71FBF"/>
    <w:rsid w:val="00B734A0"/>
    <w:rsid w:val="00B73A14"/>
    <w:rsid w:val="00B73B91"/>
    <w:rsid w:val="00B74306"/>
    <w:rsid w:val="00B748BD"/>
    <w:rsid w:val="00B74FD7"/>
    <w:rsid w:val="00B754D6"/>
    <w:rsid w:val="00B76100"/>
    <w:rsid w:val="00B7680F"/>
    <w:rsid w:val="00B76B48"/>
    <w:rsid w:val="00B76D1E"/>
    <w:rsid w:val="00B77543"/>
    <w:rsid w:val="00B77584"/>
    <w:rsid w:val="00B77D23"/>
    <w:rsid w:val="00B77E34"/>
    <w:rsid w:val="00B80D44"/>
    <w:rsid w:val="00B80D89"/>
    <w:rsid w:val="00B80EC6"/>
    <w:rsid w:val="00B81288"/>
    <w:rsid w:val="00B8128A"/>
    <w:rsid w:val="00B81D70"/>
    <w:rsid w:val="00B81EBC"/>
    <w:rsid w:val="00B833B9"/>
    <w:rsid w:val="00B83AAF"/>
    <w:rsid w:val="00B83E07"/>
    <w:rsid w:val="00B84CF6"/>
    <w:rsid w:val="00B85016"/>
    <w:rsid w:val="00B8561A"/>
    <w:rsid w:val="00B86628"/>
    <w:rsid w:val="00B86643"/>
    <w:rsid w:val="00B868F7"/>
    <w:rsid w:val="00B86EB1"/>
    <w:rsid w:val="00B871A7"/>
    <w:rsid w:val="00B8792C"/>
    <w:rsid w:val="00B90131"/>
    <w:rsid w:val="00B9215C"/>
    <w:rsid w:val="00B9225C"/>
    <w:rsid w:val="00B92951"/>
    <w:rsid w:val="00B92D1D"/>
    <w:rsid w:val="00B92D7E"/>
    <w:rsid w:val="00B930CE"/>
    <w:rsid w:val="00B938C5"/>
    <w:rsid w:val="00B940A8"/>
    <w:rsid w:val="00B9554A"/>
    <w:rsid w:val="00B95940"/>
    <w:rsid w:val="00B95ACA"/>
    <w:rsid w:val="00B95C12"/>
    <w:rsid w:val="00B96035"/>
    <w:rsid w:val="00B96D74"/>
    <w:rsid w:val="00B9720E"/>
    <w:rsid w:val="00B973A0"/>
    <w:rsid w:val="00B97ACC"/>
    <w:rsid w:val="00B97FE2"/>
    <w:rsid w:val="00BA0E0B"/>
    <w:rsid w:val="00BA201A"/>
    <w:rsid w:val="00BA21DF"/>
    <w:rsid w:val="00BA2C4A"/>
    <w:rsid w:val="00BA361D"/>
    <w:rsid w:val="00BA3787"/>
    <w:rsid w:val="00BA403A"/>
    <w:rsid w:val="00BA4085"/>
    <w:rsid w:val="00BA4287"/>
    <w:rsid w:val="00BA46E8"/>
    <w:rsid w:val="00BA49DB"/>
    <w:rsid w:val="00BA4AE9"/>
    <w:rsid w:val="00BA4E19"/>
    <w:rsid w:val="00BA6436"/>
    <w:rsid w:val="00BA64F2"/>
    <w:rsid w:val="00BA684E"/>
    <w:rsid w:val="00BA6C2B"/>
    <w:rsid w:val="00BA7B64"/>
    <w:rsid w:val="00BB02A3"/>
    <w:rsid w:val="00BB0351"/>
    <w:rsid w:val="00BB0D48"/>
    <w:rsid w:val="00BB1209"/>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60A"/>
    <w:rsid w:val="00BC0930"/>
    <w:rsid w:val="00BC1537"/>
    <w:rsid w:val="00BC327F"/>
    <w:rsid w:val="00BC3512"/>
    <w:rsid w:val="00BC4A8C"/>
    <w:rsid w:val="00BC4B35"/>
    <w:rsid w:val="00BC50BE"/>
    <w:rsid w:val="00BC5332"/>
    <w:rsid w:val="00BC5715"/>
    <w:rsid w:val="00BC5C12"/>
    <w:rsid w:val="00BC641B"/>
    <w:rsid w:val="00BC69C7"/>
    <w:rsid w:val="00BC7154"/>
    <w:rsid w:val="00BC731E"/>
    <w:rsid w:val="00BC7614"/>
    <w:rsid w:val="00BC7BCB"/>
    <w:rsid w:val="00BC7EFA"/>
    <w:rsid w:val="00BD041B"/>
    <w:rsid w:val="00BD25BB"/>
    <w:rsid w:val="00BD2AF8"/>
    <w:rsid w:val="00BD366B"/>
    <w:rsid w:val="00BD3C09"/>
    <w:rsid w:val="00BD410B"/>
    <w:rsid w:val="00BD41DB"/>
    <w:rsid w:val="00BD4A73"/>
    <w:rsid w:val="00BD4EDD"/>
    <w:rsid w:val="00BD4EF4"/>
    <w:rsid w:val="00BD4EFA"/>
    <w:rsid w:val="00BD5822"/>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0AF"/>
    <w:rsid w:val="00BE7F5F"/>
    <w:rsid w:val="00BF02C8"/>
    <w:rsid w:val="00BF1481"/>
    <w:rsid w:val="00BF1578"/>
    <w:rsid w:val="00BF15CA"/>
    <w:rsid w:val="00BF1D12"/>
    <w:rsid w:val="00BF1D3A"/>
    <w:rsid w:val="00BF2B5B"/>
    <w:rsid w:val="00BF2D41"/>
    <w:rsid w:val="00BF3274"/>
    <w:rsid w:val="00BF32DC"/>
    <w:rsid w:val="00BF35C9"/>
    <w:rsid w:val="00BF4329"/>
    <w:rsid w:val="00BF4E43"/>
    <w:rsid w:val="00BF53D9"/>
    <w:rsid w:val="00BF5C4C"/>
    <w:rsid w:val="00BF765C"/>
    <w:rsid w:val="00BF77FC"/>
    <w:rsid w:val="00C000A4"/>
    <w:rsid w:val="00C006D6"/>
    <w:rsid w:val="00C00BD7"/>
    <w:rsid w:val="00C01410"/>
    <w:rsid w:val="00C015C0"/>
    <w:rsid w:val="00C02D23"/>
    <w:rsid w:val="00C03D4D"/>
    <w:rsid w:val="00C044F4"/>
    <w:rsid w:val="00C04B78"/>
    <w:rsid w:val="00C052AA"/>
    <w:rsid w:val="00C06EE3"/>
    <w:rsid w:val="00C07279"/>
    <w:rsid w:val="00C07749"/>
    <w:rsid w:val="00C07C67"/>
    <w:rsid w:val="00C102FB"/>
    <w:rsid w:val="00C107F8"/>
    <w:rsid w:val="00C11244"/>
    <w:rsid w:val="00C118A9"/>
    <w:rsid w:val="00C11D48"/>
    <w:rsid w:val="00C12304"/>
    <w:rsid w:val="00C12316"/>
    <w:rsid w:val="00C1234A"/>
    <w:rsid w:val="00C1246C"/>
    <w:rsid w:val="00C139F8"/>
    <w:rsid w:val="00C141AD"/>
    <w:rsid w:val="00C1493E"/>
    <w:rsid w:val="00C15708"/>
    <w:rsid w:val="00C15DBD"/>
    <w:rsid w:val="00C161C5"/>
    <w:rsid w:val="00C16DD1"/>
    <w:rsid w:val="00C172F7"/>
    <w:rsid w:val="00C2010D"/>
    <w:rsid w:val="00C20CB5"/>
    <w:rsid w:val="00C20DE9"/>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B76"/>
    <w:rsid w:val="00C31F21"/>
    <w:rsid w:val="00C32631"/>
    <w:rsid w:val="00C33301"/>
    <w:rsid w:val="00C33311"/>
    <w:rsid w:val="00C33B68"/>
    <w:rsid w:val="00C34430"/>
    <w:rsid w:val="00C34AD4"/>
    <w:rsid w:val="00C35570"/>
    <w:rsid w:val="00C3566B"/>
    <w:rsid w:val="00C35A2A"/>
    <w:rsid w:val="00C36A79"/>
    <w:rsid w:val="00C37234"/>
    <w:rsid w:val="00C401A9"/>
    <w:rsid w:val="00C401D2"/>
    <w:rsid w:val="00C4031A"/>
    <w:rsid w:val="00C405D4"/>
    <w:rsid w:val="00C419D5"/>
    <w:rsid w:val="00C41D54"/>
    <w:rsid w:val="00C42EBB"/>
    <w:rsid w:val="00C44644"/>
    <w:rsid w:val="00C4513B"/>
    <w:rsid w:val="00C475E8"/>
    <w:rsid w:val="00C50E79"/>
    <w:rsid w:val="00C5197D"/>
    <w:rsid w:val="00C525FB"/>
    <w:rsid w:val="00C5390B"/>
    <w:rsid w:val="00C53E99"/>
    <w:rsid w:val="00C54257"/>
    <w:rsid w:val="00C54697"/>
    <w:rsid w:val="00C550CE"/>
    <w:rsid w:val="00C553A5"/>
    <w:rsid w:val="00C55402"/>
    <w:rsid w:val="00C5603B"/>
    <w:rsid w:val="00C60AE3"/>
    <w:rsid w:val="00C61299"/>
    <w:rsid w:val="00C61F47"/>
    <w:rsid w:val="00C62828"/>
    <w:rsid w:val="00C63D91"/>
    <w:rsid w:val="00C655DA"/>
    <w:rsid w:val="00C672C1"/>
    <w:rsid w:val="00C706D2"/>
    <w:rsid w:val="00C7109C"/>
    <w:rsid w:val="00C715CC"/>
    <w:rsid w:val="00C719A3"/>
    <w:rsid w:val="00C71D2F"/>
    <w:rsid w:val="00C71D71"/>
    <w:rsid w:val="00C723DE"/>
    <w:rsid w:val="00C72984"/>
    <w:rsid w:val="00C73885"/>
    <w:rsid w:val="00C73C93"/>
    <w:rsid w:val="00C7435A"/>
    <w:rsid w:val="00C747B1"/>
    <w:rsid w:val="00C74FD1"/>
    <w:rsid w:val="00C753DD"/>
    <w:rsid w:val="00C75510"/>
    <w:rsid w:val="00C755F9"/>
    <w:rsid w:val="00C75752"/>
    <w:rsid w:val="00C75B60"/>
    <w:rsid w:val="00C761EC"/>
    <w:rsid w:val="00C76C2F"/>
    <w:rsid w:val="00C7704F"/>
    <w:rsid w:val="00C770C9"/>
    <w:rsid w:val="00C8090B"/>
    <w:rsid w:val="00C81070"/>
    <w:rsid w:val="00C8174E"/>
    <w:rsid w:val="00C8182D"/>
    <w:rsid w:val="00C82191"/>
    <w:rsid w:val="00C83134"/>
    <w:rsid w:val="00C831E7"/>
    <w:rsid w:val="00C832F3"/>
    <w:rsid w:val="00C84307"/>
    <w:rsid w:val="00C845A4"/>
    <w:rsid w:val="00C85545"/>
    <w:rsid w:val="00C855B5"/>
    <w:rsid w:val="00C85F0E"/>
    <w:rsid w:val="00C867F9"/>
    <w:rsid w:val="00C872AA"/>
    <w:rsid w:val="00C87817"/>
    <w:rsid w:val="00C87C6B"/>
    <w:rsid w:val="00C90357"/>
    <w:rsid w:val="00C90CF4"/>
    <w:rsid w:val="00C91C20"/>
    <w:rsid w:val="00C922DE"/>
    <w:rsid w:val="00C92843"/>
    <w:rsid w:val="00C92EB6"/>
    <w:rsid w:val="00C93389"/>
    <w:rsid w:val="00C948E6"/>
    <w:rsid w:val="00C94CDD"/>
    <w:rsid w:val="00C95123"/>
    <w:rsid w:val="00C95CB1"/>
    <w:rsid w:val="00C97588"/>
    <w:rsid w:val="00CA0346"/>
    <w:rsid w:val="00CA0BD5"/>
    <w:rsid w:val="00CA0DA1"/>
    <w:rsid w:val="00CA1BD6"/>
    <w:rsid w:val="00CA37FF"/>
    <w:rsid w:val="00CA423A"/>
    <w:rsid w:val="00CA47BC"/>
    <w:rsid w:val="00CA5EAD"/>
    <w:rsid w:val="00CA5EBE"/>
    <w:rsid w:val="00CA6AB4"/>
    <w:rsid w:val="00CA7255"/>
    <w:rsid w:val="00CA79E2"/>
    <w:rsid w:val="00CB0E4A"/>
    <w:rsid w:val="00CB111E"/>
    <w:rsid w:val="00CB1BEE"/>
    <w:rsid w:val="00CB2351"/>
    <w:rsid w:val="00CB2AA2"/>
    <w:rsid w:val="00CB4022"/>
    <w:rsid w:val="00CB4930"/>
    <w:rsid w:val="00CB4BA9"/>
    <w:rsid w:val="00CB4C48"/>
    <w:rsid w:val="00CB4C63"/>
    <w:rsid w:val="00CB5A48"/>
    <w:rsid w:val="00CB5E10"/>
    <w:rsid w:val="00CB613B"/>
    <w:rsid w:val="00CB6152"/>
    <w:rsid w:val="00CB64E1"/>
    <w:rsid w:val="00CB6C6F"/>
    <w:rsid w:val="00CB6E4D"/>
    <w:rsid w:val="00CB7D69"/>
    <w:rsid w:val="00CC009B"/>
    <w:rsid w:val="00CC0834"/>
    <w:rsid w:val="00CC0AEA"/>
    <w:rsid w:val="00CC20FE"/>
    <w:rsid w:val="00CC225C"/>
    <w:rsid w:val="00CC2E7D"/>
    <w:rsid w:val="00CC469E"/>
    <w:rsid w:val="00CC5BE8"/>
    <w:rsid w:val="00CC612B"/>
    <w:rsid w:val="00CC655F"/>
    <w:rsid w:val="00CC66F9"/>
    <w:rsid w:val="00CC6C2A"/>
    <w:rsid w:val="00CC6E69"/>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AF5"/>
    <w:rsid w:val="00CD2B78"/>
    <w:rsid w:val="00CD3866"/>
    <w:rsid w:val="00CD3FAB"/>
    <w:rsid w:val="00CD5456"/>
    <w:rsid w:val="00CD5C3E"/>
    <w:rsid w:val="00CD5C57"/>
    <w:rsid w:val="00CD6331"/>
    <w:rsid w:val="00CD7E9E"/>
    <w:rsid w:val="00CE03DD"/>
    <w:rsid w:val="00CE14BE"/>
    <w:rsid w:val="00CE17A4"/>
    <w:rsid w:val="00CE1BA9"/>
    <w:rsid w:val="00CE2D8F"/>
    <w:rsid w:val="00CE3532"/>
    <w:rsid w:val="00CE3E48"/>
    <w:rsid w:val="00CE46C0"/>
    <w:rsid w:val="00CE47B8"/>
    <w:rsid w:val="00CE4DAB"/>
    <w:rsid w:val="00CE4F15"/>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2E1"/>
    <w:rsid w:val="00D03A72"/>
    <w:rsid w:val="00D03BAE"/>
    <w:rsid w:val="00D040DD"/>
    <w:rsid w:val="00D04134"/>
    <w:rsid w:val="00D05C65"/>
    <w:rsid w:val="00D060D1"/>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0B69"/>
    <w:rsid w:val="00D214EF"/>
    <w:rsid w:val="00D215B0"/>
    <w:rsid w:val="00D21D6D"/>
    <w:rsid w:val="00D21D83"/>
    <w:rsid w:val="00D22A47"/>
    <w:rsid w:val="00D23331"/>
    <w:rsid w:val="00D235B7"/>
    <w:rsid w:val="00D23A99"/>
    <w:rsid w:val="00D23FAE"/>
    <w:rsid w:val="00D2455B"/>
    <w:rsid w:val="00D25F28"/>
    <w:rsid w:val="00D26071"/>
    <w:rsid w:val="00D260C7"/>
    <w:rsid w:val="00D269B9"/>
    <w:rsid w:val="00D273F7"/>
    <w:rsid w:val="00D2793E"/>
    <w:rsid w:val="00D27973"/>
    <w:rsid w:val="00D27F3A"/>
    <w:rsid w:val="00D3008B"/>
    <w:rsid w:val="00D31537"/>
    <w:rsid w:val="00D31E1E"/>
    <w:rsid w:val="00D31F1F"/>
    <w:rsid w:val="00D322A0"/>
    <w:rsid w:val="00D32824"/>
    <w:rsid w:val="00D334E2"/>
    <w:rsid w:val="00D350B1"/>
    <w:rsid w:val="00D35123"/>
    <w:rsid w:val="00D355CB"/>
    <w:rsid w:val="00D35AD6"/>
    <w:rsid w:val="00D35BBB"/>
    <w:rsid w:val="00D35E1A"/>
    <w:rsid w:val="00D36B0A"/>
    <w:rsid w:val="00D36DFB"/>
    <w:rsid w:val="00D36E1C"/>
    <w:rsid w:val="00D373AF"/>
    <w:rsid w:val="00D40556"/>
    <w:rsid w:val="00D406C8"/>
    <w:rsid w:val="00D40824"/>
    <w:rsid w:val="00D41829"/>
    <w:rsid w:val="00D41F74"/>
    <w:rsid w:val="00D42250"/>
    <w:rsid w:val="00D428C8"/>
    <w:rsid w:val="00D43034"/>
    <w:rsid w:val="00D43ED2"/>
    <w:rsid w:val="00D45649"/>
    <w:rsid w:val="00D47ED6"/>
    <w:rsid w:val="00D50100"/>
    <w:rsid w:val="00D50C95"/>
    <w:rsid w:val="00D50F46"/>
    <w:rsid w:val="00D511D8"/>
    <w:rsid w:val="00D5130D"/>
    <w:rsid w:val="00D5133A"/>
    <w:rsid w:val="00D526FA"/>
    <w:rsid w:val="00D5302A"/>
    <w:rsid w:val="00D533C4"/>
    <w:rsid w:val="00D5384E"/>
    <w:rsid w:val="00D544E7"/>
    <w:rsid w:val="00D5499F"/>
    <w:rsid w:val="00D5560A"/>
    <w:rsid w:val="00D559D2"/>
    <w:rsid w:val="00D56FBF"/>
    <w:rsid w:val="00D57677"/>
    <w:rsid w:val="00D5781F"/>
    <w:rsid w:val="00D60415"/>
    <w:rsid w:val="00D60E3C"/>
    <w:rsid w:val="00D60FA7"/>
    <w:rsid w:val="00D61FAB"/>
    <w:rsid w:val="00D63BE5"/>
    <w:rsid w:val="00D64685"/>
    <w:rsid w:val="00D6475F"/>
    <w:rsid w:val="00D655D4"/>
    <w:rsid w:val="00D65F61"/>
    <w:rsid w:val="00D66223"/>
    <w:rsid w:val="00D667B8"/>
    <w:rsid w:val="00D67D55"/>
    <w:rsid w:val="00D70289"/>
    <w:rsid w:val="00D7041F"/>
    <w:rsid w:val="00D70700"/>
    <w:rsid w:val="00D70800"/>
    <w:rsid w:val="00D70822"/>
    <w:rsid w:val="00D72076"/>
    <w:rsid w:val="00D721B4"/>
    <w:rsid w:val="00D726A9"/>
    <w:rsid w:val="00D728D5"/>
    <w:rsid w:val="00D72DBA"/>
    <w:rsid w:val="00D73D48"/>
    <w:rsid w:val="00D743E0"/>
    <w:rsid w:val="00D7469D"/>
    <w:rsid w:val="00D7490C"/>
    <w:rsid w:val="00D75AC1"/>
    <w:rsid w:val="00D77252"/>
    <w:rsid w:val="00D8084C"/>
    <w:rsid w:val="00D81809"/>
    <w:rsid w:val="00D82119"/>
    <w:rsid w:val="00D82EF1"/>
    <w:rsid w:val="00D84CC9"/>
    <w:rsid w:val="00D84F43"/>
    <w:rsid w:val="00D85114"/>
    <w:rsid w:val="00D85821"/>
    <w:rsid w:val="00D8598C"/>
    <w:rsid w:val="00D86677"/>
    <w:rsid w:val="00D87C06"/>
    <w:rsid w:val="00D9140D"/>
    <w:rsid w:val="00D915EA"/>
    <w:rsid w:val="00D919ED"/>
    <w:rsid w:val="00D922A1"/>
    <w:rsid w:val="00D928BE"/>
    <w:rsid w:val="00D932B8"/>
    <w:rsid w:val="00D932F0"/>
    <w:rsid w:val="00D933F2"/>
    <w:rsid w:val="00D94929"/>
    <w:rsid w:val="00D95302"/>
    <w:rsid w:val="00D95889"/>
    <w:rsid w:val="00D95C5D"/>
    <w:rsid w:val="00D96424"/>
    <w:rsid w:val="00D97400"/>
    <w:rsid w:val="00D97D00"/>
    <w:rsid w:val="00DA096C"/>
    <w:rsid w:val="00DA0DFB"/>
    <w:rsid w:val="00DA1445"/>
    <w:rsid w:val="00DA1AB6"/>
    <w:rsid w:val="00DA273D"/>
    <w:rsid w:val="00DA2E65"/>
    <w:rsid w:val="00DA37DE"/>
    <w:rsid w:val="00DA3ADF"/>
    <w:rsid w:val="00DA4174"/>
    <w:rsid w:val="00DA4F0A"/>
    <w:rsid w:val="00DA5241"/>
    <w:rsid w:val="00DA544C"/>
    <w:rsid w:val="00DA5F8E"/>
    <w:rsid w:val="00DA6364"/>
    <w:rsid w:val="00DA6938"/>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5FDA"/>
    <w:rsid w:val="00DB613B"/>
    <w:rsid w:val="00DB657E"/>
    <w:rsid w:val="00DB7342"/>
    <w:rsid w:val="00DB7489"/>
    <w:rsid w:val="00DB75A6"/>
    <w:rsid w:val="00DB791E"/>
    <w:rsid w:val="00DC0B4D"/>
    <w:rsid w:val="00DC0CBB"/>
    <w:rsid w:val="00DC17D0"/>
    <w:rsid w:val="00DC1A3D"/>
    <w:rsid w:val="00DC1DD1"/>
    <w:rsid w:val="00DC1E5D"/>
    <w:rsid w:val="00DC2B41"/>
    <w:rsid w:val="00DC2EA7"/>
    <w:rsid w:val="00DC3128"/>
    <w:rsid w:val="00DC435B"/>
    <w:rsid w:val="00DC4AC4"/>
    <w:rsid w:val="00DC53D8"/>
    <w:rsid w:val="00DC56FE"/>
    <w:rsid w:val="00DC5AB0"/>
    <w:rsid w:val="00DC5B3B"/>
    <w:rsid w:val="00DC5F11"/>
    <w:rsid w:val="00DC6C2D"/>
    <w:rsid w:val="00DC6D72"/>
    <w:rsid w:val="00DC7ABB"/>
    <w:rsid w:val="00DC7B1A"/>
    <w:rsid w:val="00DD04B0"/>
    <w:rsid w:val="00DD129F"/>
    <w:rsid w:val="00DD13FC"/>
    <w:rsid w:val="00DD1A3F"/>
    <w:rsid w:val="00DD29B5"/>
    <w:rsid w:val="00DD32DD"/>
    <w:rsid w:val="00DD33E8"/>
    <w:rsid w:val="00DD3CC0"/>
    <w:rsid w:val="00DD5287"/>
    <w:rsid w:val="00DD5B36"/>
    <w:rsid w:val="00DD5C58"/>
    <w:rsid w:val="00DD6191"/>
    <w:rsid w:val="00DD68F3"/>
    <w:rsid w:val="00DD7849"/>
    <w:rsid w:val="00DE03DE"/>
    <w:rsid w:val="00DE0D8B"/>
    <w:rsid w:val="00DE1237"/>
    <w:rsid w:val="00DE140F"/>
    <w:rsid w:val="00DE17E9"/>
    <w:rsid w:val="00DE2491"/>
    <w:rsid w:val="00DE3E5D"/>
    <w:rsid w:val="00DE450F"/>
    <w:rsid w:val="00DE4865"/>
    <w:rsid w:val="00DE5A0C"/>
    <w:rsid w:val="00DE5CA6"/>
    <w:rsid w:val="00DE5E55"/>
    <w:rsid w:val="00DE622F"/>
    <w:rsid w:val="00DE6E29"/>
    <w:rsid w:val="00DE7156"/>
    <w:rsid w:val="00DE7AC8"/>
    <w:rsid w:val="00DF0830"/>
    <w:rsid w:val="00DF2C5D"/>
    <w:rsid w:val="00DF2CD3"/>
    <w:rsid w:val="00DF3643"/>
    <w:rsid w:val="00DF42FF"/>
    <w:rsid w:val="00DF4369"/>
    <w:rsid w:val="00DF4423"/>
    <w:rsid w:val="00DF4ADF"/>
    <w:rsid w:val="00DF57D6"/>
    <w:rsid w:val="00DF5D1E"/>
    <w:rsid w:val="00DF63B5"/>
    <w:rsid w:val="00DF77E4"/>
    <w:rsid w:val="00DF7F88"/>
    <w:rsid w:val="00E00B88"/>
    <w:rsid w:val="00E00CB7"/>
    <w:rsid w:val="00E010D9"/>
    <w:rsid w:val="00E01C0E"/>
    <w:rsid w:val="00E0368F"/>
    <w:rsid w:val="00E03805"/>
    <w:rsid w:val="00E03D73"/>
    <w:rsid w:val="00E03F9A"/>
    <w:rsid w:val="00E040DA"/>
    <w:rsid w:val="00E04694"/>
    <w:rsid w:val="00E05333"/>
    <w:rsid w:val="00E1168B"/>
    <w:rsid w:val="00E119E9"/>
    <w:rsid w:val="00E11C7E"/>
    <w:rsid w:val="00E12191"/>
    <w:rsid w:val="00E129E7"/>
    <w:rsid w:val="00E12ABE"/>
    <w:rsid w:val="00E12B1E"/>
    <w:rsid w:val="00E135EB"/>
    <w:rsid w:val="00E13995"/>
    <w:rsid w:val="00E1444C"/>
    <w:rsid w:val="00E156FE"/>
    <w:rsid w:val="00E1690C"/>
    <w:rsid w:val="00E16FC8"/>
    <w:rsid w:val="00E17262"/>
    <w:rsid w:val="00E17F36"/>
    <w:rsid w:val="00E20016"/>
    <w:rsid w:val="00E2009B"/>
    <w:rsid w:val="00E20BB9"/>
    <w:rsid w:val="00E20BCC"/>
    <w:rsid w:val="00E2251C"/>
    <w:rsid w:val="00E2363D"/>
    <w:rsid w:val="00E23C6A"/>
    <w:rsid w:val="00E2484B"/>
    <w:rsid w:val="00E25304"/>
    <w:rsid w:val="00E253A2"/>
    <w:rsid w:val="00E260F6"/>
    <w:rsid w:val="00E2665E"/>
    <w:rsid w:val="00E27127"/>
    <w:rsid w:val="00E27233"/>
    <w:rsid w:val="00E274BB"/>
    <w:rsid w:val="00E30601"/>
    <w:rsid w:val="00E30F15"/>
    <w:rsid w:val="00E31771"/>
    <w:rsid w:val="00E3186D"/>
    <w:rsid w:val="00E31A3E"/>
    <w:rsid w:val="00E32080"/>
    <w:rsid w:val="00E32426"/>
    <w:rsid w:val="00E32778"/>
    <w:rsid w:val="00E3309D"/>
    <w:rsid w:val="00E34E3F"/>
    <w:rsid w:val="00E350B1"/>
    <w:rsid w:val="00E35A53"/>
    <w:rsid w:val="00E35D83"/>
    <w:rsid w:val="00E3634A"/>
    <w:rsid w:val="00E3656B"/>
    <w:rsid w:val="00E3712B"/>
    <w:rsid w:val="00E3724A"/>
    <w:rsid w:val="00E378B1"/>
    <w:rsid w:val="00E41179"/>
    <w:rsid w:val="00E411F9"/>
    <w:rsid w:val="00E417BE"/>
    <w:rsid w:val="00E41CD5"/>
    <w:rsid w:val="00E42054"/>
    <w:rsid w:val="00E42D94"/>
    <w:rsid w:val="00E4372D"/>
    <w:rsid w:val="00E43A9E"/>
    <w:rsid w:val="00E44243"/>
    <w:rsid w:val="00E453F9"/>
    <w:rsid w:val="00E45D7D"/>
    <w:rsid w:val="00E4623F"/>
    <w:rsid w:val="00E4665D"/>
    <w:rsid w:val="00E467E3"/>
    <w:rsid w:val="00E47854"/>
    <w:rsid w:val="00E478E2"/>
    <w:rsid w:val="00E47EBA"/>
    <w:rsid w:val="00E50156"/>
    <w:rsid w:val="00E504EB"/>
    <w:rsid w:val="00E5076C"/>
    <w:rsid w:val="00E50D2E"/>
    <w:rsid w:val="00E50D7D"/>
    <w:rsid w:val="00E50E8A"/>
    <w:rsid w:val="00E51EF0"/>
    <w:rsid w:val="00E53470"/>
    <w:rsid w:val="00E5368D"/>
    <w:rsid w:val="00E539F6"/>
    <w:rsid w:val="00E54698"/>
    <w:rsid w:val="00E54BE9"/>
    <w:rsid w:val="00E54FB4"/>
    <w:rsid w:val="00E55046"/>
    <w:rsid w:val="00E5539A"/>
    <w:rsid w:val="00E55791"/>
    <w:rsid w:val="00E55AB2"/>
    <w:rsid w:val="00E55E1A"/>
    <w:rsid w:val="00E578A2"/>
    <w:rsid w:val="00E579ED"/>
    <w:rsid w:val="00E60043"/>
    <w:rsid w:val="00E61740"/>
    <w:rsid w:val="00E61EB5"/>
    <w:rsid w:val="00E62287"/>
    <w:rsid w:val="00E62EDE"/>
    <w:rsid w:val="00E6324D"/>
    <w:rsid w:val="00E636EC"/>
    <w:rsid w:val="00E65084"/>
    <w:rsid w:val="00E6519D"/>
    <w:rsid w:val="00E657C8"/>
    <w:rsid w:val="00E66062"/>
    <w:rsid w:val="00E6660E"/>
    <w:rsid w:val="00E66768"/>
    <w:rsid w:val="00E67305"/>
    <w:rsid w:val="00E673BD"/>
    <w:rsid w:val="00E67696"/>
    <w:rsid w:val="00E700B4"/>
    <w:rsid w:val="00E709AF"/>
    <w:rsid w:val="00E70A85"/>
    <w:rsid w:val="00E70C5F"/>
    <w:rsid w:val="00E71A58"/>
    <w:rsid w:val="00E728D7"/>
    <w:rsid w:val="00E72A26"/>
    <w:rsid w:val="00E72A7A"/>
    <w:rsid w:val="00E7335A"/>
    <w:rsid w:val="00E73986"/>
    <w:rsid w:val="00E73D21"/>
    <w:rsid w:val="00E7467D"/>
    <w:rsid w:val="00E747DC"/>
    <w:rsid w:val="00E74A2D"/>
    <w:rsid w:val="00E74FE4"/>
    <w:rsid w:val="00E75C94"/>
    <w:rsid w:val="00E76A08"/>
    <w:rsid w:val="00E76B9B"/>
    <w:rsid w:val="00E76E61"/>
    <w:rsid w:val="00E76EE4"/>
    <w:rsid w:val="00E77CC0"/>
    <w:rsid w:val="00E77E8B"/>
    <w:rsid w:val="00E77F50"/>
    <w:rsid w:val="00E80B3D"/>
    <w:rsid w:val="00E80CA3"/>
    <w:rsid w:val="00E8184F"/>
    <w:rsid w:val="00E81AAA"/>
    <w:rsid w:val="00E82618"/>
    <w:rsid w:val="00E82A0F"/>
    <w:rsid w:val="00E82A42"/>
    <w:rsid w:val="00E832F4"/>
    <w:rsid w:val="00E846B0"/>
    <w:rsid w:val="00E84E09"/>
    <w:rsid w:val="00E87CE2"/>
    <w:rsid w:val="00E90CA8"/>
    <w:rsid w:val="00E91113"/>
    <w:rsid w:val="00E911C6"/>
    <w:rsid w:val="00E920DE"/>
    <w:rsid w:val="00E930A1"/>
    <w:rsid w:val="00E93820"/>
    <w:rsid w:val="00E94A86"/>
    <w:rsid w:val="00E951AB"/>
    <w:rsid w:val="00E953F6"/>
    <w:rsid w:val="00E9580F"/>
    <w:rsid w:val="00E95882"/>
    <w:rsid w:val="00E95C3B"/>
    <w:rsid w:val="00E96143"/>
    <w:rsid w:val="00E96833"/>
    <w:rsid w:val="00E96869"/>
    <w:rsid w:val="00E97506"/>
    <w:rsid w:val="00E97BB5"/>
    <w:rsid w:val="00E97D5B"/>
    <w:rsid w:val="00E97F14"/>
    <w:rsid w:val="00EA02FE"/>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5E3D"/>
    <w:rsid w:val="00EA7419"/>
    <w:rsid w:val="00EB0203"/>
    <w:rsid w:val="00EB0E32"/>
    <w:rsid w:val="00EB1786"/>
    <w:rsid w:val="00EB1CDC"/>
    <w:rsid w:val="00EB1D89"/>
    <w:rsid w:val="00EB2693"/>
    <w:rsid w:val="00EB3E60"/>
    <w:rsid w:val="00EB4511"/>
    <w:rsid w:val="00EB48D7"/>
    <w:rsid w:val="00EB49F1"/>
    <w:rsid w:val="00EB4A8E"/>
    <w:rsid w:val="00EB4BC5"/>
    <w:rsid w:val="00EB5BF7"/>
    <w:rsid w:val="00EB5E79"/>
    <w:rsid w:val="00EB6788"/>
    <w:rsid w:val="00EB6FAC"/>
    <w:rsid w:val="00EB7BAC"/>
    <w:rsid w:val="00EB7CC9"/>
    <w:rsid w:val="00EC03D7"/>
    <w:rsid w:val="00EC0749"/>
    <w:rsid w:val="00EC0B86"/>
    <w:rsid w:val="00EC13A7"/>
    <w:rsid w:val="00EC1D31"/>
    <w:rsid w:val="00EC2EB6"/>
    <w:rsid w:val="00EC3F49"/>
    <w:rsid w:val="00EC4FFF"/>
    <w:rsid w:val="00EC5517"/>
    <w:rsid w:val="00EC6E8C"/>
    <w:rsid w:val="00EC729D"/>
    <w:rsid w:val="00ED0702"/>
    <w:rsid w:val="00ED0962"/>
    <w:rsid w:val="00ED0EF0"/>
    <w:rsid w:val="00ED112D"/>
    <w:rsid w:val="00ED12B9"/>
    <w:rsid w:val="00ED16B8"/>
    <w:rsid w:val="00ED1959"/>
    <w:rsid w:val="00ED1A00"/>
    <w:rsid w:val="00ED1DF0"/>
    <w:rsid w:val="00ED2386"/>
    <w:rsid w:val="00ED25F5"/>
    <w:rsid w:val="00ED2EA1"/>
    <w:rsid w:val="00ED3851"/>
    <w:rsid w:val="00ED39D7"/>
    <w:rsid w:val="00ED3E51"/>
    <w:rsid w:val="00ED3F10"/>
    <w:rsid w:val="00ED3F9B"/>
    <w:rsid w:val="00ED3FB3"/>
    <w:rsid w:val="00ED4D04"/>
    <w:rsid w:val="00ED566D"/>
    <w:rsid w:val="00ED5907"/>
    <w:rsid w:val="00ED5F5B"/>
    <w:rsid w:val="00ED62C6"/>
    <w:rsid w:val="00ED64C1"/>
    <w:rsid w:val="00ED72E7"/>
    <w:rsid w:val="00ED74BD"/>
    <w:rsid w:val="00ED781F"/>
    <w:rsid w:val="00EE0E7E"/>
    <w:rsid w:val="00EE2236"/>
    <w:rsid w:val="00EE249F"/>
    <w:rsid w:val="00EE2EB4"/>
    <w:rsid w:val="00EE3446"/>
    <w:rsid w:val="00EE3E78"/>
    <w:rsid w:val="00EE41FD"/>
    <w:rsid w:val="00EE460E"/>
    <w:rsid w:val="00EE4B1B"/>
    <w:rsid w:val="00EE5FBA"/>
    <w:rsid w:val="00EE601C"/>
    <w:rsid w:val="00EE6E06"/>
    <w:rsid w:val="00EE7179"/>
    <w:rsid w:val="00EE762D"/>
    <w:rsid w:val="00EF0D90"/>
    <w:rsid w:val="00EF150D"/>
    <w:rsid w:val="00EF1916"/>
    <w:rsid w:val="00EF1F5A"/>
    <w:rsid w:val="00EF22E2"/>
    <w:rsid w:val="00EF23B5"/>
    <w:rsid w:val="00EF326A"/>
    <w:rsid w:val="00EF3898"/>
    <w:rsid w:val="00EF47BF"/>
    <w:rsid w:val="00EF52F7"/>
    <w:rsid w:val="00EF59B1"/>
    <w:rsid w:val="00EF5A13"/>
    <w:rsid w:val="00EF5FF9"/>
    <w:rsid w:val="00EF600F"/>
    <w:rsid w:val="00EF77D4"/>
    <w:rsid w:val="00EF7CC7"/>
    <w:rsid w:val="00F00535"/>
    <w:rsid w:val="00F00853"/>
    <w:rsid w:val="00F00866"/>
    <w:rsid w:val="00F00EC8"/>
    <w:rsid w:val="00F0160B"/>
    <w:rsid w:val="00F0193E"/>
    <w:rsid w:val="00F028B4"/>
    <w:rsid w:val="00F02A91"/>
    <w:rsid w:val="00F03E2F"/>
    <w:rsid w:val="00F03F8D"/>
    <w:rsid w:val="00F04811"/>
    <w:rsid w:val="00F0488C"/>
    <w:rsid w:val="00F04955"/>
    <w:rsid w:val="00F06203"/>
    <w:rsid w:val="00F073ED"/>
    <w:rsid w:val="00F07C4C"/>
    <w:rsid w:val="00F07E45"/>
    <w:rsid w:val="00F10F11"/>
    <w:rsid w:val="00F11159"/>
    <w:rsid w:val="00F1146D"/>
    <w:rsid w:val="00F115E4"/>
    <w:rsid w:val="00F11AC4"/>
    <w:rsid w:val="00F11C1D"/>
    <w:rsid w:val="00F11D01"/>
    <w:rsid w:val="00F120A5"/>
    <w:rsid w:val="00F12CFB"/>
    <w:rsid w:val="00F13E60"/>
    <w:rsid w:val="00F13F81"/>
    <w:rsid w:val="00F13FDB"/>
    <w:rsid w:val="00F15653"/>
    <w:rsid w:val="00F15AAA"/>
    <w:rsid w:val="00F15BEF"/>
    <w:rsid w:val="00F16F10"/>
    <w:rsid w:val="00F17898"/>
    <w:rsid w:val="00F17FBF"/>
    <w:rsid w:val="00F204BF"/>
    <w:rsid w:val="00F207C2"/>
    <w:rsid w:val="00F21337"/>
    <w:rsid w:val="00F219A1"/>
    <w:rsid w:val="00F235B2"/>
    <w:rsid w:val="00F23E20"/>
    <w:rsid w:val="00F24407"/>
    <w:rsid w:val="00F249CE"/>
    <w:rsid w:val="00F24FAA"/>
    <w:rsid w:val="00F25040"/>
    <w:rsid w:val="00F269D7"/>
    <w:rsid w:val="00F26D1F"/>
    <w:rsid w:val="00F27071"/>
    <w:rsid w:val="00F27331"/>
    <w:rsid w:val="00F276D3"/>
    <w:rsid w:val="00F27EE5"/>
    <w:rsid w:val="00F27FB1"/>
    <w:rsid w:val="00F27FD6"/>
    <w:rsid w:val="00F307CB"/>
    <w:rsid w:val="00F30C0C"/>
    <w:rsid w:val="00F30C65"/>
    <w:rsid w:val="00F3148E"/>
    <w:rsid w:val="00F31E10"/>
    <w:rsid w:val="00F321D2"/>
    <w:rsid w:val="00F32649"/>
    <w:rsid w:val="00F33523"/>
    <w:rsid w:val="00F3364D"/>
    <w:rsid w:val="00F33914"/>
    <w:rsid w:val="00F340B2"/>
    <w:rsid w:val="00F349BF"/>
    <w:rsid w:val="00F34DDC"/>
    <w:rsid w:val="00F36191"/>
    <w:rsid w:val="00F3629F"/>
    <w:rsid w:val="00F36DF3"/>
    <w:rsid w:val="00F371A2"/>
    <w:rsid w:val="00F37362"/>
    <w:rsid w:val="00F375CB"/>
    <w:rsid w:val="00F37EDC"/>
    <w:rsid w:val="00F40205"/>
    <w:rsid w:val="00F437CC"/>
    <w:rsid w:val="00F43A4E"/>
    <w:rsid w:val="00F44537"/>
    <w:rsid w:val="00F458BE"/>
    <w:rsid w:val="00F46185"/>
    <w:rsid w:val="00F46423"/>
    <w:rsid w:val="00F4696A"/>
    <w:rsid w:val="00F47067"/>
    <w:rsid w:val="00F47234"/>
    <w:rsid w:val="00F50451"/>
    <w:rsid w:val="00F51ADD"/>
    <w:rsid w:val="00F525AB"/>
    <w:rsid w:val="00F525EB"/>
    <w:rsid w:val="00F52BFA"/>
    <w:rsid w:val="00F52CB5"/>
    <w:rsid w:val="00F53378"/>
    <w:rsid w:val="00F53A68"/>
    <w:rsid w:val="00F53D2E"/>
    <w:rsid w:val="00F54934"/>
    <w:rsid w:val="00F55A92"/>
    <w:rsid w:val="00F5615B"/>
    <w:rsid w:val="00F5635E"/>
    <w:rsid w:val="00F5657D"/>
    <w:rsid w:val="00F57427"/>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113"/>
    <w:rsid w:val="00F71393"/>
    <w:rsid w:val="00F7150B"/>
    <w:rsid w:val="00F7162D"/>
    <w:rsid w:val="00F717E4"/>
    <w:rsid w:val="00F71DE6"/>
    <w:rsid w:val="00F72C79"/>
    <w:rsid w:val="00F72D71"/>
    <w:rsid w:val="00F7381C"/>
    <w:rsid w:val="00F73A0C"/>
    <w:rsid w:val="00F73AA6"/>
    <w:rsid w:val="00F7467F"/>
    <w:rsid w:val="00F752DC"/>
    <w:rsid w:val="00F7549F"/>
    <w:rsid w:val="00F756DB"/>
    <w:rsid w:val="00F766BE"/>
    <w:rsid w:val="00F767A8"/>
    <w:rsid w:val="00F77590"/>
    <w:rsid w:val="00F77A50"/>
    <w:rsid w:val="00F77E95"/>
    <w:rsid w:val="00F809C0"/>
    <w:rsid w:val="00F81B0F"/>
    <w:rsid w:val="00F822CE"/>
    <w:rsid w:val="00F823E4"/>
    <w:rsid w:val="00F82D14"/>
    <w:rsid w:val="00F842EB"/>
    <w:rsid w:val="00F84E7D"/>
    <w:rsid w:val="00F85066"/>
    <w:rsid w:val="00F8670E"/>
    <w:rsid w:val="00F867A2"/>
    <w:rsid w:val="00F874F8"/>
    <w:rsid w:val="00F87A4D"/>
    <w:rsid w:val="00F90A3E"/>
    <w:rsid w:val="00F90C68"/>
    <w:rsid w:val="00F90EEB"/>
    <w:rsid w:val="00F91B66"/>
    <w:rsid w:val="00F93688"/>
    <w:rsid w:val="00F939F3"/>
    <w:rsid w:val="00F93C6E"/>
    <w:rsid w:val="00F93F2C"/>
    <w:rsid w:val="00F947E9"/>
    <w:rsid w:val="00F962AD"/>
    <w:rsid w:val="00F9644E"/>
    <w:rsid w:val="00F96EE8"/>
    <w:rsid w:val="00FA0105"/>
    <w:rsid w:val="00FA05A0"/>
    <w:rsid w:val="00FA0AEF"/>
    <w:rsid w:val="00FA12B0"/>
    <w:rsid w:val="00FA17CC"/>
    <w:rsid w:val="00FA1CFE"/>
    <w:rsid w:val="00FA1EE7"/>
    <w:rsid w:val="00FA1F01"/>
    <w:rsid w:val="00FA26DF"/>
    <w:rsid w:val="00FA32BC"/>
    <w:rsid w:val="00FA3E13"/>
    <w:rsid w:val="00FA3FA8"/>
    <w:rsid w:val="00FA4059"/>
    <w:rsid w:val="00FA4574"/>
    <w:rsid w:val="00FA48A4"/>
    <w:rsid w:val="00FA4CB7"/>
    <w:rsid w:val="00FA5112"/>
    <w:rsid w:val="00FA5526"/>
    <w:rsid w:val="00FA5D48"/>
    <w:rsid w:val="00FA5D4D"/>
    <w:rsid w:val="00FA6122"/>
    <w:rsid w:val="00FA6CB6"/>
    <w:rsid w:val="00FA70D3"/>
    <w:rsid w:val="00FA792A"/>
    <w:rsid w:val="00FA7AEC"/>
    <w:rsid w:val="00FB0AEA"/>
    <w:rsid w:val="00FB0EE2"/>
    <w:rsid w:val="00FB1A79"/>
    <w:rsid w:val="00FB1B48"/>
    <w:rsid w:val="00FB208B"/>
    <w:rsid w:val="00FB2B2D"/>
    <w:rsid w:val="00FB542E"/>
    <w:rsid w:val="00FB5580"/>
    <w:rsid w:val="00FB564F"/>
    <w:rsid w:val="00FB7DBB"/>
    <w:rsid w:val="00FC05F8"/>
    <w:rsid w:val="00FC077B"/>
    <w:rsid w:val="00FC0BE0"/>
    <w:rsid w:val="00FC0E5F"/>
    <w:rsid w:val="00FC1070"/>
    <w:rsid w:val="00FC1266"/>
    <w:rsid w:val="00FC1A95"/>
    <w:rsid w:val="00FC1ED4"/>
    <w:rsid w:val="00FC35BF"/>
    <w:rsid w:val="00FC3BEC"/>
    <w:rsid w:val="00FC42C5"/>
    <w:rsid w:val="00FC440B"/>
    <w:rsid w:val="00FC4F4B"/>
    <w:rsid w:val="00FC56DE"/>
    <w:rsid w:val="00FC63D9"/>
    <w:rsid w:val="00FC64DE"/>
    <w:rsid w:val="00FC6785"/>
    <w:rsid w:val="00FC684B"/>
    <w:rsid w:val="00FC7136"/>
    <w:rsid w:val="00FC7D98"/>
    <w:rsid w:val="00FC7EB2"/>
    <w:rsid w:val="00FD1135"/>
    <w:rsid w:val="00FD3265"/>
    <w:rsid w:val="00FD3BFE"/>
    <w:rsid w:val="00FD3CF7"/>
    <w:rsid w:val="00FD4124"/>
    <w:rsid w:val="00FD4916"/>
    <w:rsid w:val="00FD4D12"/>
    <w:rsid w:val="00FD4F73"/>
    <w:rsid w:val="00FD595E"/>
    <w:rsid w:val="00FD62E6"/>
    <w:rsid w:val="00FD7802"/>
    <w:rsid w:val="00FD7D3B"/>
    <w:rsid w:val="00FD7F83"/>
    <w:rsid w:val="00FD7FBE"/>
    <w:rsid w:val="00FE0292"/>
    <w:rsid w:val="00FE1209"/>
    <w:rsid w:val="00FE27C7"/>
    <w:rsid w:val="00FE2814"/>
    <w:rsid w:val="00FE2C7E"/>
    <w:rsid w:val="00FE2F78"/>
    <w:rsid w:val="00FE3137"/>
    <w:rsid w:val="00FE346B"/>
    <w:rsid w:val="00FE346F"/>
    <w:rsid w:val="00FE431E"/>
    <w:rsid w:val="00FE460E"/>
    <w:rsid w:val="00FE48E4"/>
    <w:rsid w:val="00FE5466"/>
    <w:rsid w:val="00FE5BF1"/>
    <w:rsid w:val="00FE633D"/>
    <w:rsid w:val="00FE634C"/>
    <w:rsid w:val="00FE6E69"/>
    <w:rsid w:val="00FE6F59"/>
    <w:rsid w:val="00FF01B6"/>
    <w:rsid w:val="00FF0989"/>
    <w:rsid w:val="00FF0F79"/>
    <w:rsid w:val="00FF1136"/>
    <w:rsid w:val="00FF3D76"/>
    <w:rsid w:val="00FF445B"/>
    <w:rsid w:val="00FF5B8C"/>
    <w:rsid w:val="00FF63E6"/>
    <w:rsid w:val="00FF649C"/>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A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npsmoodstavce"/>
    <w:rsid w:val="002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384443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10364054111668E-2"/>
          <c:y val="1.6203544707895996E-2"/>
          <c:w val="0.83332110970003193"/>
          <c:h val="0.70160207211475611"/>
        </c:manualLayout>
      </c:layout>
      <c:barChart>
        <c:barDir val="col"/>
        <c:grouping val="stacked"/>
        <c:varyColors val="0"/>
        <c:ser>
          <c:idx val="0"/>
          <c:order val="0"/>
          <c:tx>
            <c:strRef>
              <c:f>'GRAF příspěvky IPP'!$A$27</c:f>
              <c:strCache>
                <c:ptCount val="1"/>
                <c:pt idx="0">
                  <c:v>Manufacture of transport equip. (29, 30)</c:v>
                </c:pt>
              </c:strCache>
            </c:strRef>
          </c:tx>
          <c:spPr>
            <a:solidFill>
              <a:srgbClr val="E8AFB2"/>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IPP'!$R$27:$AU$27</c:f>
              <c:numCache>
                <c:formatCode>0.0</c:formatCode>
                <c:ptCount val="30"/>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-1.5402455662309271</c:v>
                </c:pt>
                <c:pt idx="21">
                  <c:v>-9.3904500983178529</c:v>
                </c:pt>
                <c:pt idx="22">
                  <c:v>-0.18484894361250637</c:v>
                </c:pt>
                <c:pt idx="23">
                  <c:v>2.0392469803827944</c:v>
                </c:pt>
                <c:pt idx="24">
                  <c:v>1.8923744068071238</c:v>
                </c:pt>
                <c:pt idx="25">
                  <c:v>11.014405395295928</c:v>
                </c:pt>
                <c:pt idx="26">
                  <c:v>-3.7911198727699187</c:v>
                </c:pt>
                <c:pt idx="27">
                  <c:v>-3.2574437128264524</c:v>
                </c:pt>
                <c:pt idx="28">
                  <c:v>-1.9456280417370344</c:v>
                </c:pt>
                <c:pt idx="29">
                  <c:v>-4.4814901435994925E-2</c:v>
                </c:pt>
              </c:numCache>
            </c:numRef>
          </c:val>
          <c:extLst>
            <c:ext xmlns:c16="http://schemas.microsoft.com/office/drawing/2014/chart" uri="{C3380CC4-5D6E-409C-BE32-E72D297353CC}">
              <c16:uniqueId val="{00000000-5C1D-4AC6-B0BF-AFD9FC8B5F33}"/>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IPP'!$R$28:$AU$28</c:f>
              <c:numCache>
                <c:formatCode>0.0</c:formatCode>
                <c:ptCount val="30"/>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-0.53386769400704515</c:v>
                </c:pt>
                <c:pt idx="21">
                  <c:v>-4.0551444930052307</c:v>
                </c:pt>
                <c:pt idx="22">
                  <c:v>-0.43167140643618573</c:v>
                </c:pt>
                <c:pt idx="23">
                  <c:v>0.57148883598763711</c:v>
                </c:pt>
                <c:pt idx="24">
                  <c:v>0.71769230327060185</c:v>
                </c:pt>
                <c:pt idx="25">
                  <c:v>5.5195370424373298</c:v>
                </c:pt>
                <c:pt idx="26">
                  <c:v>0.62878637219110189</c:v>
                </c:pt>
                <c:pt idx="27">
                  <c:v>-0.40393350982488374</c:v>
                </c:pt>
                <c:pt idx="28">
                  <c:v>5.5499001897766242E-2</c:v>
                </c:pt>
                <c:pt idx="29">
                  <c:v>3.5003887840017373E-2</c:v>
                </c:pt>
              </c:numCache>
            </c:numRef>
          </c:val>
          <c:extLst>
            <c:ext xmlns:c16="http://schemas.microsoft.com/office/drawing/2014/chart" uri="{C3380CC4-5D6E-409C-BE32-E72D297353CC}">
              <c16:uniqueId val="{00000001-5C1D-4AC6-B0BF-AFD9FC8B5F33}"/>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IPP'!$R$29:$AU$29</c:f>
              <c:numCache>
                <c:formatCode>0.0</c:formatCode>
                <c:ptCount val="30"/>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-0.70070857290029465</c:v>
                </c:pt>
                <c:pt idx="21">
                  <c:v>-2.1439518127357715</c:v>
                </c:pt>
                <c:pt idx="22">
                  <c:v>-0.79742744226132456</c:v>
                </c:pt>
                <c:pt idx="23">
                  <c:v>-0.53363467705880407</c:v>
                </c:pt>
                <c:pt idx="24">
                  <c:v>7.442127362308941E-2</c:v>
                </c:pt>
                <c:pt idx="25">
                  <c:v>2.0988525377286416</c:v>
                </c:pt>
                <c:pt idx="26">
                  <c:v>0.54425225953070189</c:v>
                </c:pt>
                <c:pt idx="27">
                  <c:v>0.28388210671185432</c:v>
                </c:pt>
                <c:pt idx="28">
                  <c:v>0.36150831154348245</c:v>
                </c:pt>
                <c:pt idx="29">
                  <c:v>7.8750693448340181E-2</c:v>
                </c:pt>
              </c:numCache>
            </c:numRef>
          </c:val>
          <c:extLst>
            <c:ext xmlns:c16="http://schemas.microsoft.com/office/drawing/2014/chart" uri="{C3380CC4-5D6E-409C-BE32-E72D297353CC}">
              <c16:uniqueId val="{00000002-5C1D-4AC6-B0BF-AFD9FC8B5F33}"/>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IPP'!$R$30:$AU$30</c:f>
              <c:numCache>
                <c:formatCode>0.0</c:formatCode>
                <c:ptCount val="30"/>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-0.60281049456131075</c:v>
                </c:pt>
                <c:pt idx="21">
                  <c:v>-2.0861954788425607</c:v>
                </c:pt>
                <c:pt idx="22">
                  <c:v>-0.54448462883764237</c:v>
                </c:pt>
                <c:pt idx="23">
                  <c:v>0.14163094411535945</c:v>
                </c:pt>
                <c:pt idx="24">
                  <c:v>0.49125024176554588</c:v>
                </c:pt>
                <c:pt idx="25">
                  <c:v>3.0223090191369923</c:v>
                </c:pt>
                <c:pt idx="26">
                  <c:v>0.73330319150061429</c:v>
                </c:pt>
                <c:pt idx="27">
                  <c:v>-5.3025724220086883E-2</c:v>
                </c:pt>
                <c:pt idx="28">
                  <c:v>-4.6415274400140923E-3</c:v>
                </c:pt>
                <c:pt idx="29">
                  <c:v>-0.60372071421962681</c:v>
                </c:pt>
              </c:numCache>
            </c:numRef>
          </c:val>
          <c:extLst>
            <c:ext xmlns:c16="http://schemas.microsoft.com/office/drawing/2014/chart" uri="{C3380CC4-5D6E-409C-BE32-E72D297353CC}">
              <c16:uniqueId val="{00000003-5C1D-4AC6-B0BF-AFD9FC8B5F33}"/>
            </c:ext>
          </c:extLst>
        </c:ser>
        <c:ser>
          <c:idx val="4"/>
          <c:order val="4"/>
          <c:tx>
            <c:strRef>
              <c:f>'GRAF příspěvky IPP'!$A$31</c:f>
              <c:strCache>
                <c:ptCount val="1"/>
                <c:pt idx="0">
                  <c:v>PC, electronic and optical products (26)</c:v>
                </c:pt>
              </c:strCache>
            </c:strRef>
          </c:tx>
          <c:spPr>
            <a:solidFill>
              <a:srgbClr val="FDDEB3"/>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IPP'!$R$31:$AU$31</c:f>
              <c:numCache>
                <c:formatCode>0.0</c:formatCode>
                <c:ptCount val="30"/>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-9.3038606014309314E-2</c:v>
                </c:pt>
                <c:pt idx="21">
                  <c:v>-0.28123947830113627</c:v>
                </c:pt>
                <c:pt idx="22">
                  <c:v>4.928216360451528E-3</c:v>
                </c:pt>
                <c:pt idx="23">
                  <c:v>-6.4929215180494207E-3</c:v>
                </c:pt>
                <c:pt idx="24">
                  <c:v>0.12384333164341847</c:v>
                </c:pt>
                <c:pt idx="25">
                  <c:v>0.16463834361694596</c:v>
                </c:pt>
                <c:pt idx="26">
                  <c:v>0.21897710943271029</c:v>
                </c:pt>
                <c:pt idx="27">
                  <c:v>-0.21799141876560071</c:v>
                </c:pt>
                <c:pt idx="28">
                  <c:v>1.2964209575405533E-2</c:v>
                </c:pt>
                <c:pt idx="29">
                  <c:v>-1.6198412459303771E-2</c:v>
                </c:pt>
              </c:numCache>
            </c:numRef>
          </c:val>
          <c:extLst>
            <c:ext xmlns:c16="http://schemas.microsoft.com/office/drawing/2014/chart" uri="{C3380CC4-5D6E-409C-BE32-E72D297353CC}">
              <c16:uniqueId val="{00000004-5C1D-4AC6-B0BF-AFD9FC8B5F33}"/>
            </c:ext>
          </c:extLst>
        </c:ser>
        <c:ser>
          <c:idx val="5"/>
          <c:order val="5"/>
          <c:tx>
            <c:strRef>
              <c:f>'GRAF příspěvky IPP'!$A$32</c:f>
              <c:strCache>
                <c:ptCount val="1"/>
                <c:pt idx="0">
                  <c:v>Chemical, pharmaceutical ind. (20, 21)</c:v>
                </c:pt>
              </c:strCache>
            </c:strRef>
          </c:tx>
          <c:spPr>
            <a:solidFill>
              <a:srgbClr val="F8A124"/>
            </a:solidFill>
            <a:ln>
              <a:noFill/>
            </a:ln>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IPP'!$R$32:$AU$32</c:f>
              <c:numCache>
                <c:formatCode>0.0</c:formatCode>
                <c:ptCount val="30"/>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-3.2282293071107387E-2</c:v>
                </c:pt>
                <c:pt idx="21">
                  <c:v>-0.54854126720456842</c:v>
                </c:pt>
                <c:pt idx="22">
                  <c:v>-0.213470084635413</c:v>
                </c:pt>
                <c:pt idx="23">
                  <c:v>0.43258721577895853</c:v>
                </c:pt>
                <c:pt idx="24">
                  <c:v>0.2893088160243944</c:v>
                </c:pt>
                <c:pt idx="25">
                  <c:v>0.79587603601576418</c:v>
                </c:pt>
                <c:pt idx="26">
                  <c:v>0.31345423832215419</c:v>
                </c:pt>
                <c:pt idx="27">
                  <c:v>7.1322982247029793E-2</c:v>
                </c:pt>
                <c:pt idx="28">
                  <c:v>0.2614169033202951</c:v>
                </c:pt>
                <c:pt idx="29">
                  <c:v>0.21976140840423855</c:v>
                </c:pt>
              </c:numCache>
            </c:numRef>
          </c:val>
          <c:extLst>
            <c:ext xmlns:c16="http://schemas.microsoft.com/office/drawing/2014/chart" uri="{C3380CC4-5D6E-409C-BE32-E72D297353CC}">
              <c16:uniqueId val="{00000005-5C1D-4AC6-B0BF-AFD9FC8B5F33}"/>
            </c:ext>
          </c:extLst>
        </c:ser>
        <c:ser>
          <c:idx val="6"/>
          <c:order val="6"/>
          <c:tx>
            <c:strRef>
              <c:f>'GRAF příspěvky IPP'!$A$33</c:f>
              <c:strCache>
                <c:ptCount val="1"/>
                <c:pt idx="0">
                  <c:v>Remaining manufacturing industry</c:v>
                </c:pt>
              </c:strCache>
            </c:strRef>
          </c:tx>
          <c:spPr>
            <a:solidFill>
              <a:schemeClr val="bg1">
                <a:lumMod val="85000"/>
              </a:schemeClr>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IPP'!$R$33:$AU$33</c:f>
              <c:numCache>
                <c:formatCode>0.0</c:formatCode>
                <c:ptCount val="30"/>
                <c:pt idx="0">
                  <c:v>0.99790191745106926</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7.6609618916825523E-2</c:v>
                </c:pt>
                <c:pt idx="21">
                  <c:v>-2.8303696478855001</c:v>
                </c:pt>
                <c:pt idx="22">
                  <c:v>8.2080517943730724E-2</c:v>
                </c:pt>
                <c:pt idx="23">
                  <c:v>9.7914848543596444E-2</c:v>
                </c:pt>
                <c:pt idx="24">
                  <c:v>0.23842276191980138</c:v>
                </c:pt>
                <c:pt idx="25">
                  <c:v>5.2056180943468355</c:v>
                </c:pt>
                <c:pt idx="26">
                  <c:v>1.0250381880628026</c:v>
                </c:pt>
                <c:pt idx="27">
                  <c:v>0.88803923654215866</c:v>
                </c:pt>
                <c:pt idx="28">
                  <c:v>1.0961632273711253</c:v>
                </c:pt>
                <c:pt idx="29">
                  <c:v>-1.3435453646883248E-2</c:v>
                </c:pt>
              </c:numCache>
            </c:numRef>
          </c:val>
          <c:extLst>
            <c:ext xmlns:c16="http://schemas.microsoft.com/office/drawing/2014/chart" uri="{C3380CC4-5D6E-409C-BE32-E72D297353CC}">
              <c16:uniqueId val="{00000006-5C1D-4AC6-B0BF-AFD9FC8B5F33}"/>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IPP'!$R$34:$AU$34</c:f>
              <c:numCache>
                <c:formatCode>0.0</c:formatCode>
                <c:ptCount val="30"/>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-0.97349792913183197</c:v>
                </c:pt>
                <c:pt idx="21">
                  <c:v>-1.5874257911073824</c:v>
                </c:pt>
                <c:pt idx="22">
                  <c:v>-0.71569130332110786</c:v>
                </c:pt>
                <c:pt idx="23">
                  <c:v>-0.69509435773149675</c:v>
                </c:pt>
                <c:pt idx="24">
                  <c:v>0.48072783684602372</c:v>
                </c:pt>
                <c:pt idx="25">
                  <c:v>0.46348041122155126</c:v>
                </c:pt>
                <c:pt idx="26">
                  <c:v>0.22194542102983081</c:v>
                </c:pt>
                <c:pt idx="27">
                  <c:v>0.81362518103598558</c:v>
                </c:pt>
                <c:pt idx="28">
                  <c:v>-0.2397779840310221</c:v>
                </c:pt>
                <c:pt idx="29">
                  <c:v>0.21110565216920887</c:v>
                </c:pt>
              </c:numCache>
            </c:numRef>
          </c:val>
          <c:extLst>
            <c:ext xmlns:c16="http://schemas.microsoft.com/office/drawing/2014/chart" uri="{C3380CC4-5D6E-409C-BE32-E72D297353CC}">
              <c16:uniqueId val="{00000007-5C1D-4AC6-B0BF-AFD9FC8B5F33}"/>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output in industry (NACE B to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IPP'!$R$35:$AU$35</c:f>
              <c:numCache>
                <c:formatCode>0.0</c:formatCode>
                <c:ptCount val="30"/>
                <c:pt idx="0">
                  <c:v>4.8680422143000044</c:v>
                </c:pt>
                <c:pt idx="1">
                  <c:v>5.3061961757999967</c:v>
                </c:pt>
                <c:pt idx="2">
                  <c:v>5.6206823339000067</c:v>
                </c:pt>
                <c:pt idx="3">
                  <c:v>2.3853754886000047</c:v>
                </c:pt>
                <c:pt idx="4">
                  <c:v>4.4725174610999971</c:v>
                </c:pt>
                <c:pt idx="5">
                  <c:v>2.6060872329999967</c:v>
                </c:pt>
                <c:pt idx="6">
                  <c:v>1.6853621782999966</c:v>
                </c:pt>
                <c:pt idx="7">
                  <c:v>3.5082011612000059</c:v>
                </c:pt>
                <c:pt idx="8">
                  <c:v>4.7795069544999933</c:v>
                </c:pt>
                <c:pt idx="9">
                  <c:v>8.0197279076000001</c:v>
                </c:pt>
                <c:pt idx="10">
                  <c:v>6.5554667266000024</c:v>
                </c:pt>
                <c:pt idx="11">
                  <c:v>7.5425890917999965</c:v>
                </c:pt>
                <c:pt idx="12">
                  <c:v>4.2592401254999999</c:v>
                </c:pt>
                <c:pt idx="13">
                  <c:v>2.4107410409999943</c:v>
                </c:pt>
                <c:pt idx="14">
                  <c:v>3.7310032274999969</c:v>
                </c:pt>
                <c:pt idx="15">
                  <c:v>1.964924632000006</c:v>
                </c:pt>
                <c:pt idx="16">
                  <c:v>0.8561743111999931</c:v>
                </c:pt>
                <c:pt idx="17">
                  <c:v>0.96967285750000087</c:v>
                </c:pt>
                <c:pt idx="18">
                  <c:v>-1.1387464505999958</c:v>
                </c:pt>
                <c:pt idx="19">
                  <c:v>-2.0704594092999997</c:v>
                </c:pt>
                <c:pt idx="20">
                  <c:v>-4.3895227027000061</c:v>
                </c:pt>
                <c:pt idx="21">
                  <c:v>-22.944354622899994</c:v>
                </c:pt>
                <c:pt idx="22">
                  <c:v>-2.8132525742999945</c:v>
                </c:pt>
                <c:pt idx="23">
                  <c:v>2.0498311354999998</c:v>
                </c:pt>
                <c:pt idx="24">
                  <c:v>4.3072188157999989</c:v>
                </c:pt>
                <c:pt idx="25">
                  <c:v>28.285538922799986</c:v>
                </c:pt>
                <c:pt idx="26">
                  <c:v>-0.10536309270000309</c:v>
                </c:pt>
                <c:pt idx="27">
                  <c:v>-1.875524859099996</c:v>
                </c:pt>
                <c:pt idx="28">
                  <c:v>-0.40249589949999631</c:v>
                </c:pt>
                <c:pt idx="29">
                  <c:v>-0.13354783990000385</c:v>
                </c:pt>
              </c:numCache>
            </c:numRef>
          </c:val>
          <c:smooth val="0"/>
          <c:extLst>
            <c:ext xmlns:c16="http://schemas.microsoft.com/office/drawing/2014/chart" uri="{C3380CC4-5D6E-409C-BE32-E72D297353CC}">
              <c16:uniqueId val="{00000008-5C1D-4AC6-B0BF-AFD9FC8B5F33}"/>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IPP'!$R$36:$AU$36</c:f>
              <c:numCache>
                <c:formatCode>General</c:formatCode>
                <c:ptCount val="30"/>
              </c:numCache>
            </c:numRef>
          </c:val>
          <c:smooth val="0"/>
          <c:extLst>
            <c:ext xmlns:c16="http://schemas.microsoft.com/office/drawing/2014/chart" uri="{C3380CC4-5D6E-409C-BE32-E72D297353CC}">
              <c16:uniqueId val="{00000009-5C1D-4AC6-B0BF-AFD9FC8B5F33}"/>
            </c:ext>
          </c:extLst>
        </c:ser>
        <c:ser>
          <c:idx val="10"/>
          <c:order val="10"/>
          <c:tx>
            <c:strRef>
              <c:f>'GRAF příspěvky IPP'!$A$37</c:f>
              <c:strCache>
                <c:ptCount val="1"/>
                <c:pt idx="0">
                  <c:v>Output, total industry (basis 2015=100)</c:v>
                </c:pt>
              </c:strCache>
            </c:strRef>
          </c:tx>
          <c:spPr>
            <a:ln w="15875">
              <a:solidFill>
                <a:schemeClr val="tx1">
                  <a:lumMod val="95000"/>
                  <a:lumOff val="5000"/>
                </a:schemeClr>
              </a:solidFill>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IPP'!$R$37:$AU$37</c:f>
              <c:numCache>
                <c:formatCode>##0.0</c:formatCode>
                <c:ptCount val="30"/>
                <c:pt idx="0">
                  <c:v>98.574612999999999</c:v>
                </c:pt>
                <c:pt idx="1">
                  <c:v>100.2847516667</c:v>
                </c:pt>
                <c:pt idx="2">
                  <c:v>101.35576500000001</c:v>
                </c:pt>
                <c:pt idx="3">
                  <c:v>100.49027700000001</c:v>
                </c:pt>
                <c:pt idx="4">
                  <c:v>102.93201833329999</c:v>
                </c:pt>
                <c:pt idx="5">
                  <c:v>102.6976626667</c:v>
                </c:pt>
                <c:pt idx="6">
                  <c:v>102.9735696667</c:v>
                </c:pt>
                <c:pt idx="7">
                  <c:v>104.036576</c:v>
                </c:pt>
                <c:pt idx="8">
                  <c:v>107.47989200000001</c:v>
                </c:pt>
                <c:pt idx="9">
                  <c:v>110.71636599999999</c:v>
                </c:pt>
                <c:pt idx="10">
                  <c:v>110.16904433329999</c:v>
                </c:pt>
                <c:pt idx="11">
                  <c:v>112.0549596667</c:v>
                </c:pt>
                <c:pt idx="12">
                  <c:v>112.30386300000001</c:v>
                </c:pt>
                <c:pt idx="13">
                  <c:v>113.5290806667</c:v>
                </c:pt>
                <c:pt idx="14">
                  <c:v>114.5448653333</c:v>
                </c:pt>
                <c:pt idx="15">
                  <c:v>113.75430799999999</c:v>
                </c:pt>
                <c:pt idx="16">
                  <c:v>113.2837286667</c:v>
                </c:pt>
                <c:pt idx="17">
                  <c:v>115.0417716667</c:v>
                </c:pt>
                <c:pt idx="18">
                  <c:v>112.92627733330001</c:v>
                </c:pt>
                <c:pt idx="19">
                  <c:v>111.2318066667</c:v>
                </c:pt>
                <c:pt idx="20">
                  <c:v>108.62233999999999</c:v>
                </c:pt>
                <c:pt idx="21">
                  <c:v>89.012085333300007</c:v>
                </c:pt>
                <c:pt idx="22">
                  <c:v>109.83611233329999</c:v>
                </c:pt>
                <c:pt idx="23">
                  <c:v>113.58640990329999</c:v>
                </c:pt>
                <c:pt idx="24">
                  <c:v>112.38678738669999</c:v>
                </c:pt>
                <c:pt idx="25">
                  <c:v>113.2188147033</c:v>
                </c:pt>
                <c:pt idx="26">
                  <c:v>110.50113561329999</c:v>
                </c:pt>
                <c:pt idx="27">
                  <c:v>111.05576473000001</c:v>
                </c:pt>
                <c:pt idx="28">
                  <c:v>112.41407472669999</c:v>
                </c:pt>
                <c:pt idx="29">
                  <c:v>113.36403853</c:v>
                </c:pt>
              </c:numCache>
            </c:numRef>
          </c:val>
          <c:smooth val="0"/>
          <c:extLst>
            <c:ext xmlns:c16="http://schemas.microsoft.com/office/drawing/2014/chart" uri="{C3380CC4-5D6E-409C-BE32-E72D297353CC}">
              <c16:uniqueId val="{0000000A-5C1D-4AC6-B0BF-AFD9FC8B5F33}"/>
            </c:ext>
          </c:extLst>
        </c:ser>
        <c:ser>
          <c:idx val="11"/>
          <c:order val="11"/>
          <c:tx>
            <c:strRef>
              <c:f>'GRAF příspěvky IPP'!$A$38</c:f>
              <c:strCache>
                <c:ptCount val="1"/>
                <c:pt idx="0">
                  <c:v>Sales, total industry (basis 2015=100)</c:v>
                </c:pt>
              </c:strCache>
            </c:strRef>
          </c:tx>
          <c:spPr>
            <a:ln w="15875">
              <a:solidFill>
                <a:schemeClr val="tx1">
                  <a:lumMod val="50000"/>
                  <a:lumOff val="50000"/>
                </a:schemeClr>
              </a:solidFill>
              <a:prstDash val="sysDash"/>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IPP'!$R$38:$AU$38</c:f>
              <c:numCache>
                <c:formatCode>##0.0</c:formatCode>
                <c:ptCount val="30"/>
                <c:pt idx="0">
                  <c:v>98.907043999999999</c:v>
                </c:pt>
                <c:pt idx="1">
                  <c:v>100.54670466669999</c:v>
                </c:pt>
                <c:pt idx="2">
                  <c:v>100.773518</c:v>
                </c:pt>
                <c:pt idx="3">
                  <c:v>99.772733333299996</c:v>
                </c:pt>
                <c:pt idx="4">
                  <c:v>100.10357233329999</c:v>
                </c:pt>
                <c:pt idx="5">
                  <c:v>99.118572666700004</c:v>
                </c:pt>
                <c:pt idx="6">
                  <c:v>100.72800933329999</c:v>
                </c:pt>
                <c:pt idx="7">
                  <c:v>103.334605</c:v>
                </c:pt>
                <c:pt idx="8">
                  <c:v>106.6903113333</c:v>
                </c:pt>
                <c:pt idx="9">
                  <c:v>109.487612</c:v>
                </c:pt>
                <c:pt idx="10">
                  <c:v>107.757486</c:v>
                </c:pt>
                <c:pt idx="11">
                  <c:v>109.0894736667</c:v>
                </c:pt>
                <c:pt idx="12">
                  <c:v>109.80780633329999</c:v>
                </c:pt>
                <c:pt idx="13">
                  <c:v>110.94641900000001</c:v>
                </c:pt>
                <c:pt idx="14">
                  <c:v>113.397482</c:v>
                </c:pt>
                <c:pt idx="15">
                  <c:v>114.4444003333</c:v>
                </c:pt>
                <c:pt idx="16">
                  <c:v>113.07990866670001</c:v>
                </c:pt>
                <c:pt idx="17">
                  <c:v>115.1605773333</c:v>
                </c:pt>
                <c:pt idx="18">
                  <c:v>112.71459033329999</c:v>
                </c:pt>
                <c:pt idx="19">
                  <c:v>111.6593636667</c:v>
                </c:pt>
                <c:pt idx="20">
                  <c:v>108.8700823333</c:v>
                </c:pt>
                <c:pt idx="21">
                  <c:v>88.635897666700004</c:v>
                </c:pt>
                <c:pt idx="22">
                  <c:v>111.65176</c:v>
                </c:pt>
                <c:pt idx="23">
                  <c:v>116.71428941000001</c:v>
                </c:pt>
                <c:pt idx="24">
                  <c:v>115.62027859</c:v>
                </c:pt>
                <c:pt idx="25">
                  <c:v>117.77609879000001</c:v>
                </c:pt>
                <c:pt idx="26">
                  <c:v>116.1443720133</c:v>
                </c:pt>
                <c:pt idx="27">
                  <c:v>120.6537618333</c:v>
                </c:pt>
                <c:pt idx="28">
                  <c:v>126.51249093</c:v>
                </c:pt>
                <c:pt idx="29">
                  <c:v>132.41450436330001</c:v>
                </c:pt>
              </c:numCache>
            </c:numRef>
          </c:val>
          <c:smooth val="0"/>
          <c:extLst>
            <c:ext xmlns:c16="http://schemas.microsoft.com/office/drawing/2014/chart" uri="{C3380CC4-5D6E-409C-BE32-E72D297353CC}">
              <c16:uniqueId val="{0000000B-5C1D-4AC6-B0BF-AFD9FC8B5F33}"/>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5"/>
          <c:min val="-25"/>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Contribution to change of industrial output</a:t>
                </a:r>
              </a:p>
            </c:rich>
          </c:tx>
          <c:layout>
            <c:manualLayout>
              <c:xMode val="edge"/>
              <c:yMode val="edge"/>
              <c:x val="0"/>
              <c:y val="0.10763465309085851"/>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35"/>
          <c:min val="75"/>
        </c:scaling>
        <c:delete val="0"/>
        <c:axPos val="r"/>
        <c:title>
          <c:tx>
            <c:rich>
              <a:bodyPr/>
              <a:lstStyle/>
              <a:p>
                <a:pPr>
                  <a:defRPr sz="700" b="0" i="1">
                    <a:latin typeface="Arial" panose="020B0604020202020204" pitchFamily="34" charset="0"/>
                    <a:cs typeface="Arial" panose="020B0604020202020204" pitchFamily="34" charset="0"/>
                  </a:defRPr>
                </a:pPr>
                <a:r>
                  <a:rPr lang="en-GB" sz="700" b="0" i="1" u="none" strike="noStrike" baseline="0">
                    <a:effectLst/>
                  </a:rPr>
                  <a:t>Output, </a:t>
                </a:r>
                <a:r>
                  <a:rPr lang="cs-CZ" sz="700" b="0" i="1" u="none" strike="noStrike" baseline="0">
                    <a:effectLst/>
                  </a:rPr>
                  <a:t>S</a:t>
                </a:r>
                <a:r>
                  <a:rPr lang="en-GB" sz="700" b="0" i="1" u="none" strike="noStrike" baseline="0">
                    <a:effectLst/>
                  </a:rPr>
                  <a:t>ales in the entire industry (basis 2015=100)</a:t>
                </a:r>
                <a:endParaRPr lang="cs-CZ" sz="700" b="0" i="1">
                  <a:latin typeface="Arial" panose="020B0604020202020204" pitchFamily="34" charset="0"/>
                  <a:cs typeface="Arial" panose="020B0604020202020204" pitchFamily="34" charset="0"/>
                </a:endParaRPr>
              </a:p>
            </c:rich>
          </c:tx>
          <c:layout>
            <c:manualLayout>
              <c:xMode val="edge"/>
              <c:yMode val="edge"/>
              <c:x val="0.97073906692287293"/>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24E-3"/>
          <c:y val="0.80683051052190613"/>
          <c:w val="0.98595611758534796"/>
          <c:h val="0.1861646296497515"/>
        </c:manualLayout>
      </c:layout>
      <c:overlay val="0"/>
      <c:spPr>
        <a:ln w="6350">
          <a:solidFill>
            <a:prstClr val="black">
              <a:lumMod val="95000"/>
              <a:lumOff val="5000"/>
            </a:prstClr>
          </a:solidFill>
        </a:ln>
      </c:spPr>
      <c:txPr>
        <a:bodyPr/>
        <a:lstStyle/>
        <a:p>
          <a:pPr>
            <a:defRPr sz="78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79531769997223E-2"/>
          <c:y val="1.6197410346103062E-2"/>
          <c:w val="0.8551583511827231"/>
          <c:h val="0.77626889638420915"/>
        </c:manualLayout>
      </c:layout>
      <c:barChart>
        <c:barDir val="col"/>
        <c:grouping val="clustered"/>
        <c:varyColors val="0"/>
        <c:ser>
          <c:idx val="0"/>
          <c:order val="0"/>
          <c:tx>
            <c:strRef>
              <c:f>'výkonnost odvětví 2'!$A$36</c:f>
              <c:strCache>
                <c:ptCount val="1"/>
                <c:pt idx="0">
                  <c:v>Total orders (all industry)</c:v>
                </c:pt>
              </c:strCache>
            </c:strRef>
          </c:tx>
          <c:spPr>
            <a:solidFill>
              <a:schemeClr val="bg1">
                <a:lumMod val="75000"/>
              </a:schemeClr>
            </a:solidFill>
            <a:ln>
              <a:noFill/>
            </a:ln>
          </c:spPr>
          <c:invertIfNegative val="0"/>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2'!$R$36:$AV$36</c:f>
              <c:numCache>
                <c:formatCode>##0.0</c:formatCode>
                <c:ptCount val="31"/>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7.153462935099995</c:v>
                </c:pt>
                <c:pt idx="24">
                  <c:v>8.3618521875999932</c:v>
                </c:pt>
                <c:pt idx="25">
                  <c:v>47.915211444400001</c:v>
                </c:pt>
                <c:pt idx="26">
                  <c:v>7.3046118512999954</c:v>
                </c:pt>
                <c:pt idx="27">
                  <c:v>3.5894517538000059</c:v>
                </c:pt>
                <c:pt idx="28">
                  <c:v>5.6042060614000064</c:v>
                </c:pt>
                <c:pt idx="29">
                  <c:v>9.2735155486000025</c:v>
                </c:pt>
              </c:numCache>
            </c:numRef>
          </c:val>
          <c:extLst>
            <c:ext xmlns:c16="http://schemas.microsoft.com/office/drawing/2014/chart" uri="{C3380CC4-5D6E-409C-BE32-E72D297353CC}">
              <c16:uniqueId val="{00000000-9BB8-4188-81AF-8740143235AB}"/>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2'!$R$37:$AV$37</c:f>
              <c:numCache>
                <c:formatCode>##0.0</c:formatCode>
                <c:ptCount val="31"/>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6.9104797819999959</c:v>
                </c:pt>
                <c:pt idx="24">
                  <c:v>-2.8581604621000025</c:v>
                </c:pt>
                <c:pt idx="25">
                  <c:v>43.489576627600002</c:v>
                </c:pt>
                <c:pt idx="26">
                  <c:v>9.2735181054000009</c:v>
                </c:pt>
                <c:pt idx="27">
                  <c:v>5.408635117299994</c:v>
                </c:pt>
                <c:pt idx="28">
                  <c:v>7.1754980175000043</c:v>
                </c:pt>
                <c:pt idx="29">
                  <c:v>14.123119904199996</c:v>
                </c:pt>
              </c:numCache>
            </c:numRef>
          </c:val>
          <c:smooth val="0"/>
          <c:extLst>
            <c:ext xmlns:c16="http://schemas.microsoft.com/office/drawing/2014/chart" uri="{C3380CC4-5D6E-409C-BE32-E72D297353CC}">
              <c16:uniqueId val="{00000001-9BB8-4188-81AF-8740143235AB}"/>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Utilisation of prod. capacities (all industry)</c:v>
                </c:pt>
              </c:strCache>
            </c:strRef>
          </c:tx>
          <c:spPr>
            <a:ln w="15875">
              <a:solidFill>
                <a:schemeClr val="accent6">
                  <a:lumMod val="75000"/>
                </a:schemeClr>
              </a:solidFill>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2'!$R$38:$AV$38</c:f>
              <c:numCache>
                <c:formatCode>##0.0</c:formatCode>
                <c:ptCount val="31"/>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numCache>
            </c:numRef>
          </c:val>
          <c:smooth val="0"/>
          <c:extLst>
            <c:ext xmlns:c16="http://schemas.microsoft.com/office/drawing/2014/chart" uri="{C3380CC4-5D6E-409C-BE32-E72D297353CC}">
              <c16:uniqueId val="{00000002-9BB8-4188-81AF-8740143235AB}"/>
            </c:ext>
          </c:extLst>
        </c:ser>
        <c:ser>
          <c:idx val="3"/>
          <c:order val="3"/>
          <c:tx>
            <c:strRef>
              <c:f>'výkonnost odvětví 2'!$A$39</c:f>
              <c:strCache>
                <c:ptCount val="1"/>
                <c:pt idx="0">
                  <c:v>Utilisation of capacities (motor vehicles ind.)</c:v>
                </c:pt>
              </c:strCache>
            </c:strRef>
          </c:tx>
          <c:spPr>
            <a:ln w="15875">
              <a:solidFill>
                <a:schemeClr val="accent6">
                  <a:lumMod val="75000"/>
                </a:schemeClr>
              </a:solidFill>
              <a:prstDash val="sys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2'!$R$39:$AV$39</c:f>
              <c:numCache>
                <c:formatCode>##0.0</c:formatCode>
                <c:ptCount val="31"/>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numCache>
            </c:numRef>
          </c:val>
          <c:smooth val="0"/>
          <c:extLst>
            <c:ext xmlns:c16="http://schemas.microsoft.com/office/drawing/2014/chart" uri="{C3380CC4-5D6E-409C-BE32-E72D297353CC}">
              <c16:uniqueId val="{00000003-9BB8-4188-81AF-8740143235AB}"/>
            </c:ext>
          </c:extLst>
        </c:ser>
        <c:ser>
          <c:idx val="4"/>
          <c:order val="4"/>
          <c:tx>
            <c:strRef>
              <c:f>'výkonnost odvětví 2'!$A$40</c:f>
              <c:strCache>
                <c:ptCount val="1"/>
                <c:pt idx="0">
                  <c:v>Growth barrier: inadequate demand</c:v>
                </c:pt>
              </c:strCache>
            </c:strRef>
          </c:tx>
          <c:spPr>
            <a:ln w="15875">
              <a:solidFill>
                <a:srgbClr val="00B050"/>
              </a:solidFill>
              <a:prstDash val="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2'!$R$40:$AV$40</c:f>
              <c:numCache>
                <c:formatCode>#\ ##0.0</c:formatCode>
                <c:ptCount val="31"/>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numCache>
            </c:numRef>
          </c:val>
          <c:smooth val="0"/>
          <c:extLst>
            <c:ext xmlns:c16="http://schemas.microsoft.com/office/drawing/2014/chart" uri="{C3380CC4-5D6E-409C-BE32-E72D297353CC}">
              <c16:uniqueId val="{00000004-9BB8-4188-81AF-8740143235AB}"/>
            </c:ext>
          </c:extLst>
        </c:ser>
        <c:ser>
          <c:idx val="5"/>
          <c:order val="5"/>
          <c:tx>
            <c:strRef>
              <c:f>'výkonnost odvětví 2'!$A$41</c:f>
              <c:strCache>
                <c:ptCount val="1"/>
                <c:pt idx="0">
                  <c:v>Growth barrier: lack of workers</c:v>
                </c:pt>
              </c:strCache>
            </c:strRef>
          </c:tx>
          <c:spPr>
            <a:ln w="15875">
              <a:solidFill>
                <a:srgbClr val="92D050"/>
              </a:solidFill>
              <a:prstDash val="sys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2'!$R$41:$AV$41</c:f>
              <c:numCache>
                <c:formatCode>#\ ##0.0</c:formatCode>
                <c:ptCount val="31"/>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numCache>
            </c:numRef>
          </c:val>
          <c:smooth val="0"/>
          <c:extLst>
            <c:ext xmlns:c16="http://schemas.microsoft.com/office/drawing/2014/chart" uri="{C3380CC4-5D6E-409C-BE32-E72D297353CC}">
              <c16:uniqueId val="{00000005-9BB8-4188-81AF-8740143235AB}"/>
            </c:ext>
          </c:extLst>
        </c:ser>
        <c:ser>
          <c:idx val="6"/>
          <c:order val="6"/>
          <c:tx>
            <c:strRef>
              <c:f>'výkonnost odvětví 2'!$A$42</c:f>
              <c:strCache>
                <c:ptCount val="1"/>
                <c:pt idx="0">
                  <c:v>Growth barrier: shortage of material/equip.</c:v>
                </c:pt>
              </c:strCache>
            </c:strRef>
          </c:tx>
          <c:spPr>
            <a:ln w="15875">
              <a:solidFill>
                <a:srgbClr val="00B050"/>
              </a:solidFill>
              <a:prstDash val="solid"/>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2'!$R$42:$AV$42</c:f>
              <c:numCache>
                <c:formatCode>#\ ##0.0</c:formatCode>
                <c:ptCount val="31"/>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numCache>
            </c:numRef>
          </c:val>
          <c:smooth val="0"/>
          <c:extLst>
            <c:ext xmlns:c16="http://schemas.microsoft.com/office/drawing/2014/chart" uri="{C3380CC4-5D6E-409C-BE32-E72D297353CC}">
              <c16:uniqueId val="{00000006-9BB8-4188-81AF-8740143235AB}"/>
            </c:ext>
          </c:extLst>
        </c:ser>
        <c:ser>
          <c:idx val="7"/>
          <c:order val="7"/>
          <c:tx>
            <c:strRef>
              <c:f>'výkonnost odvětví 2'!$A$43</c:f>
              <c:strCache>
                <c:ptCount val="1"/>
                <c:pt idx="0">
                  <c:v>Total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2'!$R$43:$AV$43</c:f>
              <c:numCache>
                <c:formatCode>#\ ##0.0</c:formatCode>
                <c:ptCount val="31"/>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numCache>
            </c:numRef>
          </c:val>
          <c:smooth val="0"/>
          <c:extLst>
            <c:ext xmlns:c16="http://schemas.microsoft.com/office/drawing/2014/chart" uri="{C3380CC4-5D6E-409C-BE32-E72D297353CC}">
              <c16:uniqueId val="{00000007-9BB8-4188-81AF-8740143235AB}"/>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w="6350">
              <a:solidFill>
                <a:schemeClr val="bg1">
                  <a:lumMod val="75000"/>
                </a:schemeClr>
              </a:solidFill>
            </a:ln>
          </c:spPr>
        </c:majorGridlines>
        <c:title>
          <c:tx>
            <c:rich>
              <a:bodyPr/>
              <a:lstStyle/>
              <a:p>
                <a:pPr>
                  <a:defRPr sz="700" b="0" i="1"/>
                </a:pPr>
                <a:r>
                  <a:rPr lang="cs-CZ" sz="700" b="0" i="1"/>
                  <a:t>Orders</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i="1">
                    <a:effectLst/>
                  </a:rPr>
                  <a:t>Utilisation of prod. capacities, Growth barriers, Confidence indicator</a:t>
                </a: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4033402047895E-2"/>
          <c:y val="0.87518792015610813"/>
          <c:w val="0.98342327494608206"/>
          <c:h val="0.1214495071315666"/>
        </c:manualLayout>
      </c:layout>
      <c:overlay val="0"/>
      <c:spPr>
        <a:ln w="6350">
          <a:solidFill>
            <a:prstClr val="black">
              <a:lumMod val="95000"/>
              <a:lumOff val="5000"/>
            </a:prstClr>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Building construction (contribution)</c:v>
                </c:pt>
              </c:strCache>
            </c:strRef>
          </c:tx>
          <c:spPr>
            <a:solidFill>
              <a:srgbClr val="A6CDE9"/>
            </a:solidFill>
            <a:ln>
              <a:noFill/>
            </a:ln>
          </c:spPr>
          <c:invertIfNegative val="0"/>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3'!$Y$31:$Y$61</c:f>
              <c:numCache>
                <c:formatCode>0.0</c:formatCode>
                <c:ptCount val="31"/>
                <c:pt idx="0">
                  <c:v>6.1308568518511448</c:v>
                </c:pt>
                <c:pt idx="1">
                  <c:v>5.1607018747060769</c:v>
                </c:pt>
                <c:pt idx="2">
                  <c:v>0.83732221166829823</c:v>
                </c:pt>
                <c:pt idx="3">
                  <c:v>-1.7965809449797592</c:v>
                </c:pt>
                <c:pt idx="4">
                  <c:v>-5.0554353718564</c:v>
                </c:pt>
                <c:pt idx="5">
                  <c:v>-5.0997154609815611</c:v>
                </c:pt>
                <c:pt idx="6">
                  <c:v>0.80416326897207957</c:v>
                </c:pt>
                <c:pt idx="7">
                  <c:v>4.0227938260413483</c:v>
                </c:pt>
                <c:pt idx="8">
                  <c:v>2.3492102404454331</c:v>
                </c:pt>
                <c:pt idx="9">
                  <c:v>10.148433192468758</c:v>
                </c:pt>
                <c:pt idx="10">
                  <c:v>3.5041123802431988</c:v>
                </c:pt>
                <c:pt idx="11">
                  <c:v>2.7003043634714752</c:v>
                </c:pt>
                <c:pt idx="12">
                  <c:v>13.605896032750319</c:v>
                </c:pt>
                <c:pt idx="13">
                  <c:v>6.2914622667002371</c:v>
                </c:pt>
                <c:pt idx="14">
                  <c:v>7.7044737794970466</c:v>
                </c:pt>
                <c:pt idx="15">
                  <c:v>2.5958937852329327</c:v>
                </c:pt>
                <c:pt idx="16">
                  <c:v>2.9033079599696401</c:v>
                </c:pt>
                <c:pt idx="17">
                  <c:v>2.4302292749395131</c:v>
                </c:pt>
                <c:pt idx="18">
                  <c:v>-0.70910271480086584</c:v>
                </c:pt>
                <c:pt idx="19">
                  <c:v>2.432342690784179</c:v>
                </c:pt>
                <c:pt idx="20">
                  <c:v>-0.35805378459096415</c:v>
                </c:pt>
                <c:pt idx="21">
                  <c:v>-7.4199834128867339</c:v>
                </c:pt>
                <c:pt idx="22">
                  <c:v>-7.1641797842898178</c:v>
                </c:pt>
                <c:pt idx="23">
                  <c:v>-8.6176211223371109</c:v>
                </c:pt>
                <c:pt idx="24">
                  <c:v>-5.1389920833934806</c:v>
                </c:pt>
                <c:pt idx="25">
                  <c:v>3.2580268805464572</c:v>
                </c:pt>
                <c:pt idx="26">
                  <c:v>2.986661113555916</c:v>
                </c:pt>
                <c:pt idx="27">
                  <c:v>6.057583029951866</c:v>
                </c:pt>
                <c:pt idx="28">
                  <c:v>6.6222201648172856</c:v>
                </c:pt>
                <c:pt idx="29">
                  <c:v>3.1159656867406014</c:v>
                </c:pt>
              </c:numCache>
            </c:numRef>
          </c:val>
          <c:extLst>
            <c:ext xmlns:c16="http://schemas.microsoft.com/office/drawing/2014/chart" uri="{C3380CC4-5D6E-409C-BE32-E72D297353CC}">
              <c16:uniqueId val="{00000000-D999-42F7-A196-E355055E4933}"/>
            </c:ext>
          </c:extLst>
        </c:ser>
        <c:ser>
          <c:idx val="2"/>
          <c:order val="2"/>
          <c:tx>
            <c:strRef>
              <c:f>'výkonnost odvětví 3'!$Z$10</c:f>
              <c:strCache>
                <c:ptCount val="1"/>
                <c:pt idx="0">
                  <c:v>Civil engineering works (contribution)</c:v>
                </c:pt>
              </c:strCache>
            </c:strRef>
          </c:tx>
          <c:spPr>
            <a:solidFill>
              <a:srgbClr val="E8AFB2"/>
            </a:solidFill>
            <a:ln>
              <a:noFill/>
            </a:ln>
          </c:spPr>
          <c:invertIfNegative val="0"/>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3'!$Z$31:$Z$61</c:f>
              <c:numCache>
                <c:formatCode>0.0</c:formatCode>
                <c:ptCount val="31"/>
                <c:pt idx="0">
                  <c:v>3.0630580809132377</c:v>
                </c:pt>
                <c:pt idx="1">
                  <c:v>6.8176109939388247</c:v>
                </c:pt>
                <c:pt idx="2">
                  <c:v>7.0251452781808128</c:v>
                </c:pt>
                <c:pt idx="3">
                  <c:v>2.7276419848972755</c:v>
                </c:pt>
                <c:pt idx="4">
                  <c:v>-1.205227141283097</c:v>
                </c:pt>
                <c:pt idx="5">
                  <c:v>-5.1481596916982086</c:v>
                </c:pt>
                <c:pt idx="6">
                  <c:v>-6.7102047822986526</c:v>
                </c:pt>
                <c:pt idx="7">
                  <c:v>-5.6729778140324045</c:v>
                </c:pt>
                <c:pt idx="8">
                  <c:v>-3.2133606526027174</c:v>
                </c:pt>
                <c:pt idx="9">
                  <c:v>-1.1291534248956654</c:v>
                </c:pt>
                <c:pt idx="10">
                  <c:v>-1.4416251874947317</c:v>
                </c:pt>
                <c:pt idx="11">
                  <c:v>0.23547548081532094</c:v>
                </c:pt>
                <c:pt idx="12">
                  <c:v>1.7597078207679104</c:v>
                </c:pt>
                <c:pt idx="13">
                  <c:v>1.2027115222385714</c:v>
                </c:pt>
                <c:pt idx="14">
                  <c:v>4.7042342586933934</c:v>
                </c:pt>
                <c:pt idx="15">
                  <c:v>1.7013650015145463</c:v>
                </c:pt>
                <c:pt idx="16">
                  <c:v>0.73361885474343291</c:v>
                </c:pt>
                <c:pt idx="17">
                  <c:v>1.8774662818610086</c:v>
                </c:pt>
                <c:pt idx="18">
                  <c:v>0.74664987633445457</c:v>
                </c:pt>
                <c:pt idx="19">
                  <c:v>0.84906917828074113</c:v>
                </c:pt>
                <c:pt idx="20">
                  <c:v>3.2008253112792797</c:v>
                </c:pt>
                <c:pt idx="21">
                  <c:v>1.2154449034817973</c:v>
                </c:pt>
                <c:pt idx="22">
                  <c:v>-1.8671941662302614</c:v>
                </c:pt>
                <c:pt idx="23">
                  <c:v>0.34669524681719183</c:v>
                </c:pt>
                <c:pt idx="24">
                  <c:v>-4.1024810773948261E-2</c:v>
                </c:pt>
                <c:pt idx="25">
                  <c:v>1.0222923467595346</c:v>
                </c:pt>
                <c:pt idx="26">
                  <c:v>-0.24106264769568905</c:v>
                </c:pt>
                <c:pt idx="27">
                  <c:v>-0.88541356545604932</c:v>
                </c:pt>
                <c:pt idx="28">
                  <c:v>3.2297306621058293</c:v>
                </c:pt>
                <c:pt idx="29">
                  <c:v>-0.1217954966883496</c:v>
                </c:pt>
              </c:numCache>
            </c:numRef>
          </c:val>
          <c:extLst>
            <c:ext xmlns:c16="http://schemas.microsoft.com/office/drawing/2014/chart" uri="{C3380CC4-5D6E-409C-BE32-E72D297353CC}">
              <c16:uniqueId val="{00000001-D999-42F7-A196-E355055E4933}"/>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3'!$X$31:$X$61</c:f>
              <c:numCache>
                <c:formatCode>0.0</c:formatCode>
                <c:ptCount val="31"/>
                <c:pt idx="0">
                  <c:v>9.1939149327643861</c:v>
                </c:pt>
                <c:pt idx="1">
                  <c:v>11.978312868644906</c:v>
                </c:pt>
                <c:pt idx="2">
                  <c:v>7.8624674898491094</c:v>
                </c:pt>
                <c:pt idx="3">
                  <c:v>0.93106103991749478</c:v>
                </c:pt>
                <c:pt idx="4">
                  <c:v>-6.2606625131395077</c:v>
                </c:pt>
                <c:pt idx="5">
                  <c:v>-10.247875152679768</c:v>
                </c:pt>
                <c:pt idx="6">
                  <c:v>-5.9060415133265707</c:v>
                </c:pt>
                <c:pt idx="7">
                  <c:v>-1.6501839879910563</c:v>
                </c:pt>
                <c:pt idx="8">
                  <c:v>-0.86415041215724386</c:v>
                </c:pt>
                <c:pt idx="9">
                  <c:v>9.0192797675730816</c:v>
                </c:pt>
                <c:pt idx="10">
                  <c:v>2.0624871927484918</c:v>
                </c:pt>
                <c:pt idx="11">
                  <c:v>2.9357798442867846</c:v>
                </c:pt>
                <c:pt idx="12">
                  <c:v>15.365603853518238</c:v>
                </c:pt>
                <c:pt idx="13">
                  <c:v>7.4941737889388236</c:v>
                </c:pt>
                <c:pt idx="14">
                  <c:v>12.408708038190426</c:v>
                </c:pt>
                <c:pt idx="15">
                  <c:v>4.2972587867474914</c:v>
                </c:pt>
                <c:pt idx="16">
                  <c:v>3.6369268147130356</c:v>
                </c:pt>
                <c:pt idx="17">
                  <c:v>4.3076955568005104</c:v>
                </c:pt>
                <c:pt idx="18">
                  <c:v>3.7547161533595386E-2</c:v>
                </c:pt>
                <c:pt idx="19">
                  <c:v>3.2814118690648968</c:v>
                </c:pt>
                <c:pt idx="20">
                  <c:v>2.8427715266883524</c:v>
                </c:pt>
                <c:pt idx="21">
                  <c:v>-6.2045385094049266</c:v>
                </c:pt>
                <c:pt idx="22">
                  <c:v>-9.0313739505200772</c:v>
                </c:pt>
                <c:pt idx="23">
                  <c:v>-8.2709258755199357</c:v>
                </c:pt>
                <c:pt idx="24">
                  <c:v>-5.1800168941674514</c:v>
                </c:pt>
                <c:pt idx="25">
                  <c:v>4.2803192273059665</c:v>
                </c:pt>
                <c:pt idx="26">
                  <c:v>2.7455984658602404</c:v>
                </c:pt>
                <c:pt idx="27">
                  <c:v>5.1721694644958092</c:v>
                </c:pt>
                <c:pt idx="28">
                  <c:v>9.8519508269231437</c:v>
                </c:pt>
                <c:pt idx="29">
                  <c:v>2.9941701900522304</c:v>
                </c:pt>
              </c:numCache>
            </c:numRef>
          </c:val>
          <c:smooth val="0"/>
          <c:extLst>
            <c:ext xmlns:c16="http://schemas.microsoft.com/office/drawing/2014/chart" uri="{C3380CC4-5D6E-409C-BE32-E72D297353CC}">
              <c16:uniqueId val="{00000002-D999-42F7-A196-E355055E4933}"/>
            </c:ext>
          </c:extLst>
        </c:ser>
        <c:ser>
          <c:idx val="3"/>
          <c:order val="3"/>
          <c:tx>
            <c:strRef>
              <c:f>'výkonnost odvětví 3'!$AA$10</c:f>
              <c:strCache>
                <c:ptCount val="1"/>
                <c:pt idx="0">
                  <c:v>New domestic construction orders</c:v>
                </c:pt>
              </c:strCache>
            </c:strRef>
          </c:tx>
          <c:spPr>
            <a:ln w="15875">
              <a:solidFill>
                <a:srgbClr val="984807"/>
              </a:solidFill>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3'!$AA$31:$AA$61</c:f>
              <c:numCache>
                <c:formatCode>0.0</c:formatCode>
                <c:ptCount val="31"/>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13.060554636931542</c:v>
                </c:pt>
                <c:pt idx="29">
                  <c:v>16.270833674648699</c:v>
                </c:pt>
              </c:numCache>
            </c:numRef>
          </c:val>
          <c:smooth val="0"/>
          <c:extLst>
            <c:ext xmlns:c16="http://schemas.microsoft.com/office/drawing/2014/chart" uri="{C3380CC4-5D6E-409C-BE32-E72D297353CC}">
              <c16:uniqueId val="{00000003-D999-42F7-A196-E355055E4933}"/>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Barrier: inadequate demand</c:v>
                </c:pt>
              </c:strCache>
            </c:strRef>
          </c:tx>
          <c:spPr>
            <a:ln w="15875">
              <a:solidFill>
                <a:srgbClr val="92D050"/>
              </a:solidFill>
              <a:prstDash val="dash"/>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3'!$AB$31:$AB$61</c:f>
              <c:numCache>
                <c:formatCode>#\ ##0.0</c:formatCode>
                <c:ptCount val="31"/>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numCache>
            </c:numRef>
          </c:val>
          <c:smooth val="0"/>
          <c:extLst>
            <c:ext xmlns:c16="http://schemas.microsoft.com/office/drawing/2014/chart" uri="{C3380CC4-5D6E-409C-BE32-E72D297353CC}">
              <c16:uniqueId val="{00000004-D999-42F7-A196-E355055E4933}"/>
            </c:ext>
          </c:extLst>
        </c:ser>
        <c:ser>
          <c:idx val="5"/>
          <c:order val="5"/>
          <c:tx>
            <c:strRef>
              <c:f>'výkonnost odvětví 3'!$AC$10</c:f>
              <c:strCache>
                <c:ptCount val="1"/>
                <c:pt idx="0">
                  <c:v>Growth barrier: lack of workers</c:v>
                </c:pt>
              </c:strCache>
            </c:strRef>
          </c:tx>
          <c:spPr>
            <a:ln w="15875">
              <a:solidFill>
                <a:srgbClr val="00B050"/>
              </a:solidFill>
              <a:prstDash val="solid"/>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3'!$AC$31:$AC$61</c:f>
              <c:numCache>
                <c:formatCode>#\ ##0.0</c:formatCode>
                <c:ptCount val="31"/>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42.2</c:v>
                </c:pt>
                <c:pt idx="28">
                  <c:v>57.8</c:v>
                </c:pt>
                <c:pt idx="29">
                  <c:v>44.3</c:v>
                </c:pt>
                <c:pt idx="30">
                  <c:v>39</c:v>
                </c:pt>
              </c:numCache>
            </c:numRef>
          </c:val>
          <c:smooth val="0"/>
          <c:extLst>
            <c:ext xmlns:c16="http://schemas.microsoft.com/office/drawing/2014/chart" uri="{C3380CC4-5D6E-409C-BE32-E72D297353CC}">
              <c16:uniqueId val="{00000005-D999-42F7-A196-E355055E4933}"/>
            </c:ext>
          </c:extLst>
        </c:ser>
        <c:ser>
          <c:idx val="6"/>
          <c:order val="6"/>
          <c:tx>
            <c:strRef>
              <c:f>'výkonnost odvětví 3'!$AD$10</c:f>
              <c:strCache>
                <c:ptCount val="1"/>
                <c:pt idx="0">
                  <c:v>Barrier: shortage of material/equipment</c:v>
                </c:pt>
              </c:strCache>
            </c:strRef>
          </c:tx>
          <c:spPr>
            <a:ln w="15875">
              <a:solidFill>
                <a:srgbClr val="00B050"/>
              </a:solidFill>
              <a:prstDash val="sysDash"/>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3'!$AD$31:$AD$61</c:f>
              <c:numCache>
                <c:formatCode>#\ ##0.0</c:formatCode>
                <c:ptCount val="31"/>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41.3</c:v>
                </c:pt>
                <c:pt idx="30">
                  <c:v>38.6</c:v>
                </c:pt>
              </c:numCache>
            </c:numRef>
          </c:val>
          <c:smooth val="0"/>
          <c:extLst>
            <c:ext xmlns:c16="http://schemas.microsoft.com/office/drawing/2014/chart" uri="{C3380CC4-5D6E-409C-BE32-E72D297353CC}">
              <c16:uniqueId val="{00000006-D999-42F7-A196-E355055E4933}"/>
            </c:ext>
          </c:extLst>
        </c:ser>
        <c:ser>
          <c:idx val="7"/>
          <c:order val="7"/>
          <c:tx>
            <c:strRef>
              <c:f>'výkonnost odvětví 3'!$AE$10</c:f>
              <c:strCache>
                <c:ptCount val="1"/>
                <c:pt idx="0">
                  <c:v>Confidence indicator in construction</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3'!$AE$31:$AE$61</c:f>
              <c:numCache>
                <c:formatCode>0.0</c:formatCode>
                <c:ptCount val="31"/>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numCache>
            </c:numRef>
          </c:val>
          <c:smooth val="0"/>
          <c:extLst>
            <c:ext xmlns:c16="http://schemas.microsoft.com/office/drawing/2014/chart" uri="{C3380CC4-5D6E-409C-BE32-E72D297353CC}">
              <c16:uniqueId val="{00000007-D999-42F7-A196-E355055E4933}"/>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70"/>
          <c:min val="-3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Orders, Contribution to change of construction output</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C</a:t>
                </a:r>
                <a:r>
                  <a:rPr lang="en-GB" sz="700" b="0" i="1" u="none" strike="noStrike" baseline="0">
                    <a:effectLst/>
                  </a:rPr>
                  <a:t>onfidence indicator, </a:t>
                </a:r>
                <a:r>
                  <a:rPr lang="cs-CZ" sz="700" b="0" i="1" u="none" strike="noStrike" baseline="0">
                    <a:effectLst/>
                  </a:rPr>
                  <a:t>G</a:t>
                </a:r>
                <a:r>
                  <a:rPr lang="en-GB" sz="700" b="0" i="1" u="none" strike="noStrike" baseline="0">
                    <a:effectLst/>
                  </a:rPr>
                  <a:t>rowth barriers</a:t>
                </a:r>
                <a:endParaRPr lang="cs-CZ" sz="70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3.7481722274227379E-2"/>
          <c:y val="0.85936703322638608"/>
          <c:w val="0.95027476375612385"/>
          <c:h val="0.13362821778942557"/>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19797523957974E-2"/>
          <c:y val="1.5803328678987455E-2"/>
          <c:w val="0.85012606751933062"/>
          <c:h val="0.72431849053283404"/>
        </c:manualLayout>
      </c:layout>
      <c:barChart>
        <c:barDir val="col"/>
        <c:grouping val="stacked"/>
        <c:varyColors val="0"/>
        <c:ser>
          <c:idx val="0"/>
          <c:order val="1"/>
          <c:tx>
            <c:strRef>
              <c:f>'Služby-příspěvkyk růstu-4'!$D$33</c:f>
              <c:strCache>
                <c:ptCount val="1"/>
                <c:pt idx="0">
                  <c:v>Transportation and storage </c:v>
                </c:pt>
              </c:strCache>
            </c:strRef>
          </c:tx>
          <c:spPr>
            <a:solidFill>
              <a:srgbClr val="92D05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růstu-4'!$D$46:$D$76</c:f>
              <c:numCache>
                <c:formatCode>0.0</c:formatCode>
                <c:ptCount val="31"/>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-0.1569416952537</c:v>
                </c:pt>
                <c:pt idx="25">
                  <c:v>6.9452061820127984</c:v>
                </c:pt>
                <c:pt idx="26">
                  <c:v>4.1021141164383979</c:v>
                </c:pt>
                <c:pt idx="27">
                  <c:v>4.5411081672439781</c:v>
                </c:pt>
                <c:pt idx="28">
                  <c:v>4.7644195859015745</c:v>
                </c:pt>
                <c:pt idx="29">
                  <c:v>4.8807410884687661</c:v>
                </c:pt>
              </c:numCache>
            </c:numRef>
          </c:val>
          <c:extLst>
            <c:ext xmlns:c16="http://schemas.microsoft.com/office/drawing/2014/chart" uri="{C3380CC4-5D6E-409C-BE32-E72D297353CC}">
              <c16:uniqueId val="{00000000-6AC0-410C-A16B-8F47CE0D1ACA}"/>
            </c:ext>
          </c:extLst>
        </c:ser>
        <c:ser>
          <c:idx val="1"/>
          <c:order val="2"/>
          <c:tx>
            <c:strRef>
              <c:f>'Služby-příspěvkyk růstu-4'!$E$33</c:f>
              <c:strCache>
                <c:ptCount val="1"/>
                <c:pt idx="0">
                  <c:v>Accommodation, food service activities</c:v>
                </c:pt>
              </c:strCache>
            </c:strRef>
          </c:tx>
          <c:spPr>
            <a:solidFill>
              <a:srgbClr val="00B0F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růstu-4'!$E$46:$E$76</c:f>
              <c:numCache>
                <c:formatCode>0.0</c:formatCode>
                <c:ptCount val="31"/>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-3.6938923324187498</c:v>
                </c:pt>
                <c:pt idx="25">
                  <c:v>1.3740162264831814</c:v>
                </c:pt>
                <c:pt idx="26">
                  <c:v>0.63496524511919994</c:v>
                </c:pt>
                <c:pt idx="27">
                  <c:v>2.8400409946004515</c:v>
                </c:pt>
                <c:pt idx="28">
                  <c:v>2.9304756297654868</c:v>
                </c:pt>
                <c:pt idx="29">
                  <c:v>2.6719167515898263</c:v>
                </c:pt>
              </c:numCache>
            </c:numRef>
          </c:val>
          <c:extLst>
            <c:ext xmlns:c16="http://schemas.microsoft.com/office/drawing/2014/chart" uri="{C3380CC4-5D6E-409C-BE32-E72D297353CC}">
              <c16:uniqueId val="{00000001-6AC0-410C-A16B-8F47CE0D1ACA}"/>
            </c:ext>
          </c:extLst>
        </c:ser>
        <c:ser>
          <c:idx val="2"/>
          <c:order val="3"/>
          <c:tx>
            <c:strRef>
              <c:f>'Služby-příspěvkyk růstu-4'!$F$33</c:f>
              <c:strCache>
                <c:ptCount val="1"/>
                <c:pt idx="0">
                  <c:v>Information and communication</c:v>
                </c:pt>
              </c:strCache>
            </c:strRef>
          </c:tx>
          <c:spPr>
            <a:solidFill>
              <a:srgbClr val="E6E10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růstu-4'!$F$46:$F$76</c:f>
              <c:numCache>
                <c:formatCode>0.0</c:formatCode>
                <c:ptCount val="31"/>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0.71345327861799956</c:v>
                </c:pt>
                <c:pt idx="25">
                  <c:v>1.5468236089918046</c:v>
                </c:pt>
                <c:pt idx="26">
                  <c:v>1.4415115757943988</c:v>
                </c:pt>
                <c:pt idx="27">
                  <c:v>1.9056402188684927</c:v>
                </c:pt>
                <c:pt idx="28">
                  <c:v>1.0161120213997294</c:v>
                </c:pt>
                <c:pt idx="29">
                  <c:v>0.61657254430834951</c:v>
                </c:pt>
              </c:numCache>
            </c:numRef>
          </c:val>
          <c:extLst>
            <c:ext xmlns:c16="http://schemas.microsoft.com/office/drawing/2014/chart" uri="{C3380CC4-5D6E-409C-BE32-E72D297353CC}">
              <c16:uniqueId val="{00000002-6AC0-410C-A16B-8F47CE0D1ACA}"/>
            </c:ext>
          </c:extLst>
        </c:ser>
        <c:ser>
          <c:idx val="4"/>
          <c:order val="4"/>
          <c:tx>
            <c:strRef>
              <c:f>'Služby-příspěvkyk růstu-4'!$G$33</c:f>
              <c:strCache>
                <c:ptCount val="1"/>
                <c:pt idx="0">
                  <c:v>Real estate activities</c:v>
                </c:pt>
              </c:strCache>
            </c:strRef>
          </c:tx>
          <c:spPr>
            <a:solidFill>
              <a:schemeClr val="accent5">
                <a:lumMod val="60000"/>
                <a:lumOff val="40000"/>
              </a:schemeClr>
            </a:solidFill>
            <a:ln>
              <a:noFill/>
              <a:prstDash val="sysDash"/>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růstu-4'!$G$46:$G$76</c:f>
              <c:numCache>
                <c:formatCode>0.0</c:formatCode>
                <c:ptCount val="31"/>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-0.20088632198500025</c:v>
                </c:pt>
                <c:pt idx="25">
                  <c:v>0.43472502460904949</c:v>
                </c:pt>
                <c:pt idx="26">
                  <c:v>2.7135230949999569E-3</c:v>
                </c:pt>
                <c:pt idx="27">
                  <c:v>0.23850631303799988</c:v>
                </c:pt>
                <c:pt idx="28">
                  <c:v>0.31632818692015208</c:v>
                </c:pt>
                <c:pt idx="29">
                  <c:v>0.20658249210979571</c:v>
                </c:pt>
              </c:numCache>
            </c:numRef>
          </c:val>
          <c:extLst>
            <c:ext xmlns:c16="http://schemas.microsoft.com/office/drawing/2014/chart" uri="{C3380CC4-5D6E-409C-BE32-E72D297353CC}">
              <c16:uniqueId val="{00000003-6AC0-410C-A16B-8F47CE0D1ACA}"/>
            </c:ext>
          </c:extLst>
        </c:ser>
        <c:ser>
          <c:idx val="5"/>
          <c:order val="5"/>
          <c:tx>
            <c:strRef>
              <c:f>'Služby-příspěvkyk růstu-4'!$H$33</c:f>
              <c:strCache>
                <c:ptCount val="1"/>
                <c:pt idx="0">
                  <c:v>Professional, scientific &amp; technic. activities</c:v>
                </c:pt>
              </c:strCache>
            </c:strRef>
          </c:tx>
          <c:spPr>
            <a:solidFill>
              <a:schemeClr val="accent6">
                <a:lumMod val="60000"/>
                <a:lumOff val="40000"/>
              </a:schemeClr>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růstu-4'!$H$46:$H$76</c:f>
              <c:numCache>
                <c:formatCode>0.0</c:formatCode>
                <c:ptCount val="31"/>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-1.5895367811931036</c:v>
                </c:pt>
                <c:pt idx="25">
                  <c:v>2.7169285281228999</c:v>
                </c:pt>
                <c:pt idx="26">
                  <c:v>1.7632854739205988</c:v>
                </c:pt>
                <c:pt idx="27">
                  <c:v>2.0934710358268047</c:v>
                </c:pt>
                <c:pt idx="28">
                  <c:v>2.4156122741333581</c:v>
                </c:pt>
                <c:pt idx="29">
                  <c:v>1.559342152977379</c:v>
                </c:pt>
              </c:numCache>
            </c:numRef>
          </c:val>
          <c:extLst>
            <c:ext xmlns:c16="http://schemas.microsoft.com/office/drawing/2014/chart" uri="{C3380CC4-5D6E-409C-BE32-E72D297353CC}">
              <c16:uniqueId val="{00000004-6AC0-410C-A16B-8F47CE0D1ACA}"/>
            </c:ext>
          </c:extLst>
        </c:ser>
        <c:ser>
          <c:idx val="6"/>
          <c:order val="6"/>
          <c:tx>
            <c:strRef>
              <c:f>'Služby-příspěvkyk růstu-4'!$I$33</c:f>
              <c:strCache>
                <c:ptCount val="1"/>
                <c:pt idx="0">
                  <c:v>Administrative &amp; support service activities</c:v>
                </c:pt>
              </c:strCache>
            </c:strRef>
          </c:tx>
          <c:spPr>
            <a:solidFill>
              <a:schemeClr val="accent1">
                <a:lumMod val="20000"/>
                <a:lumOff val="80000"/>
              </a:schemeClr>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růstu-4'!$I$46:$I$76</c:f>
              <c:numCache>
                <c:formatCode>0.0</c:formatCode>
                <c:ptCount val="31"/>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-1.4736020338190001</c:v>
                </c:pt>
                <c:pt idx="25">
                  <c:v>1.7704532307217178</c:v>
                </c:pt>
                <c:pt idx="26">
                  <c:v>1.8501751321200004</c:v>
                </c:pt>
                <c:pt idx="27">
                  <c:v>1.0500907454198474</c:v>
                </c:pt>
                <c:pt idx="28">
                  <c:v>1.6931114455002154</c:v>
                </c:pt>
                <c:pt idx="29">
                  <c:v>2.1036580102008617</c:v>
                </c:pt>
              </c:numCache>
            </c:numRef>
          </c:val>
          <c:extLst>
            <c:ext xmlns:c16="http://schemas.microsoft.com/office/drawing/2014/chart" uri="{C3380CC4-5D6E-409C-BE32-E72D297353CC}">
              <c16:uniqueId val="{00000005-6AC0-410C-A16B-8F47CE0D1ACA}"/>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Total services sales</c:v>
                </c:pt>
              </c:strCache>
            </c:strRef>
          </c:tx>
          <c:spPr>
            <a:ln>
              <a:noFill/>
            </a:ln>
          </c:spPr>
          <c:marker>
            <c:symbol val="dash"/>
            <c:size val="9"/>
            <c:spPr>
              <a:solidFill>
                <a:schemeClr val="tx1">
                  <a:lumMod val="95000"/>
                  <a:lumOff val="5000"/>
                </a:schemeClr>
              </a:solidFill>
              <a:ln>
                <a:noFill/>
              </a:ln>
            </c:spPr>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růstu-4'!$C$46:$C$76</c:f>
              <c:numCache>
                <c:formatCode>0.0</c:formatCode>
                <c:ptCount val="31"/>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-6.4084553470000003</c:v>
                </c:pt>
                <c:pt idx="25">
                  <c:v>14.780549300900006</c:v>
                </c:pt>
                <c:pt idx="26">
                  <c:v>9.8381160276999964</c:v>
                </c:pt>
                <c:pt idx="27">
                  <c:v>12.662339231000004</c:v>
                </c:pt>
                <c:pt idx="28">
                  <c:v>13.140737031900002</c:v>
                </c:pt>
                <c:pt idx="29">
                  <c:v>12.063343865799993</c:v>
                </c:pt>
              </c:numCache>
            </c:numRef>
          </c:val>
          <c:smooth val="0"/>
          <c:extLst>
            <c:ext xmlns:c16="http://schemas.microsoft.com/office/drawing/2014/chart" uri="{C3380CC4-5D6E-409C-BE32-E72D297353CC}">
              <c16:uniqueId val="{00000006-6AC0-410C-A16B-8F47CE0D1ACA}"/>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Confidence indicator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růstu-4'!$J$46:$J$76</c:f>
              <c:numCache>
                <c:formatCode>0.0</c:formatCode>
                <c:ptCount val="31"/>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numCache>
            </c:numRef>
          </c:val>
          <c:smooth val="0"/>
          <c:extLst>
            <c:ext xmlns:c16="http://schemas.microsoft.com/office/drawing/2014/chart" uri="{C3380CC4-5D6E-409C-BE32-E72D297353CC}">
              <c16:uniqueId val="{00000007-6AC0-410C-A16B-8F47CE0D1ACA}"/>
            </c:ext>
          </c:extLst>
        </c:ser>
        <c:ser>
          <c:idx val="8"/>
          <c:order val="8"/>
          <c:tx>
            <c:strRef>
              <c:f>'Služby-příspěvkyk růstu-4'!$K$33</c:f>
              <c:strCache>
                <c:ptCount val="1"/>
                <c:pt idx="0">
                  <c:v>Growth barrier: inadequate demand</c:v>
                </c:pt>
              </c:strCache>
            </c:strRef>
          </c:tx>
          <c:spPr>
            <a:ln w="15875">
              <a:solidFill>
                <a:srgbClr val="984807"/>
              </a:solidFill>
            </a:ln>
          </c:spPr>
          <c:marker>
            <c:symbol val="none"/>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růstu-4'!$K$46:$K$76</c:f>
              <c:numCache>
                <c:formatCode>#\ ##0.0</c:formatCode>
                <c:ptCount val="31"/>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numCache>
            </c:numRef>
          </c:val>
          <c:smooth val="0"/>
          <c:extLst>
            <c:ext xmlns:c16="http://schemas.microsoft.com/office/drawing/2014/chart" uri="{C3380CC4-5D6E-409C-BE32-E72D297353CC}">
              <c16:uniqueId val="{00000008-6AC0-410C-A16B-8F47CE0D1ACA}"/>
            </c:ext>
          </c:extLst>
        </c:ser>
        <c:ser>
          <c:idx val="9"/>
          <c:order val="9"/>
          <c:tx>
            <c:strRef>
              <c:f>'Služby-příspěvkyk růstu-4'!$L$33</c:f>
              <c:strCache>
                <c:ptCount val="1"/>
                <c:pt idx="0">
                  <c:v>Growth barrier: lack of workers</c:v>
                </c:pt>
              </c:strCache>
            </c:strRef>
          </c:tx>
          <c:spPr>
            <a:ln w="15875">
              <a:solidFill>
                <a:srgbClr val="984807"/>
              </a:solidFill>
              <a:prstDash val="sysDash"/>
            </a:ln>
          </c:spPr>
          <c:marker>
            <c:symbol val="none"/>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růstu-4'!$L$46:$L$76</c:f>
              <c:numCache>
                <c:formatCode>#\ ##0.0</c:formatCode>
                <c:ptCount val="31"/>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numCache>
            </c:numRef>
          </c:val>
          <c:smooth val="0"/>
          <c:extLst>
            <c:ext xmlns:c16="http://schemas.microsoft.com/office/drawing/2014/chart" uri="{C3380CC4-5D6E-409C-BE32-E72D297353CC}">
              <c16:uniqueId val="{00000009-6AC0-410C-A16B-8F47CE0D1ACA}"/>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change of sales in services</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Balance of confidence indicator, Growth barriers</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1.0962178457031388E-2"/>
          <c:y val="0.82519921468991808"/>
          <c:w val="0.97833537764399003"/>
          <c:h val="0.17117269183021638"/>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873459472988389"/>
          <c:h val="0.75876761717469687"/>
        </c:manualLayout>
      </c:layout>
      <c:barChart>
        <c:barDir val="col"/>
        <c:grouping val="stacked"/>
        <c:varyColors val="0"/>
        <c:ser>
          <c:idx val="0"/>
          <c:order val="1"/>
          <c:tx>
            <c:strRef>
              <c:f>'výkonnost odvětví 5a'!$E$66</c:f>
              <c:strCache>
                <c:ptCount val="1"/>
                <c:pt idx="0">
                  <c:v>Retail with food (contribution)</c:v>
                </c:pt>
              </c:strCache>
            </c:strRef>
          </c:tx>
          <c:spPr>
            <a:solidFill>
              <a:srgbClr val="92D050"/>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5a'!$E$67:$E$97</c:f>
              <c:numCache>
                <c:formatCode>#\ ##0.0</c:formatCode>
                <c:ptCount val="31"/>
                <c:pt idx="0">
                  <c:v>1.7954327905527792</c:v>
                </c:pt>
                <c:pt idx="1">
                  <c:v>1.1808546019719848</c:v>
                </c:pt>
                <c:pt idx="2">
                  <c:v>1.8980626361950699</c:v>
                </c:pt>
                <c:pt idx="3">
                  <c:v>1.4512639246986698</c:v>
                </c:pt>
                <c:pt idx="4">
                  <c:v>1.7579883859404466</c:v>
                </c:pt>
                <c:pt idx="5">
                  <c:v>1.4597731408051364</c:v>
                </c:pt>
                <c:pt idx="6">
                  <c:v>0.98265625342777962</c:v>
                </c:pt>
                <c:pt idx="7">
                  <c:v>-8.3656474326988126E-2</c:v>
                </c:pt>
                <c:pt idx="8">
                  <c:v>0.72062441913635855</c:v>
                </c:pt>
                <c:pt idx="9">
                  <c:v>1.3316246689651579</c:v>
                </c:pt>
                <c:pt idx="10">
                  <c:v>1.1433353439469673</c:v>
                </c:pt>
                <c:pt idx="11">
                  <c:v>0.89977373461403121</c:v>
                </c:pt>
                <c:pt idx="12">
                  <c:v>1.5115509798562692</c:v>
                </c:pt>
                <c:pt idx="13">
                  <c:v>0.54228532610479807</c:v>
                </c:pt>
                <c:pt idx="14">
                  <c:v>0.9848486498674448</c:v>
                </c:pt>
                <c:pt idx="15">
                  <c:v>0.4620082520491276</c:v>
                </c:pt>
                <c:pt idx="16">
                  <c:v>0.67301078642127354</c:v>
                </c:pt>
                <c:pt idx="17">
                  <c:v>1.197574945306275</c:v>
                </c:pt>
                <c:pt idx="18">
                  <c:v>0.63652202044636175</c:v>
                </c:pt>
                <c:pt idx="19">
                  <c:v>0.62331153305833609</c:v>
                </c:pt>
                <c:pt idx="20">
                  <c:v>0.96372431228354527</c:v>
                </c:pt>
                <c:pt idx="21">
                  <c:v>-1.1892501717063559</c:v>
                </c:pt>
                <c:pt idx="22">
                  <c:v>-0.41434295303021201</c:v>
                </c:pt>
                <c:pt idx="23">
                  <c:v>0.25231590998316533</c:v>
                </c:pt>
                <c:pt idx="24">
                  <c:v>-0.46029259261204264</c:v>
                </c:pt>
                <c:pt idx="25">
                  <c:v>0.43815667431682553</c:v>
                </c:pt>
                <c:pt idx="26">
                  <c:v>-0.29857278249894137</c:v>
                </c:pt>
                <c:pt idx="27">
                  <c:v>-0.18898421559510256</c:v>
                </c:pt>
                <c:pt idx="28">
                  <c:v>-0.51702427462715028</c:v>
                </c:pt>
                <c:pt idx="29">
                  <c:v>-1.4589117343544662</c:v>
                </c:pt>
              </c:numCache>
            </c:numRef>
          </c:val>
          <c:extLst>
            <c:ext xmlns:c16="http://schemas.microsoft.com/office/drawing/2014/chart" uri="{C3380CC4-5D6E-409C-BE32-E72D297353CC}">
              <c16:uniqueId val="{00000000-1907-4C08-9E2F-2DAC4E90BBC2}"/>
            </c:ext>
          </c:extLst>
        </c:ser>
        <c:ser>
          <c:idx val="1"/>
          <c:order val="2"/>
          <c:tx>
            <c:strRef>
              <c:f>'výkonnost odvětví 5a'!$F$66</c:f>
              <c:strCache>
                <c:ptCount val="1"/>
                <c:pt idx="0">
                  <c:v>Retail with non-food goods (contribution)</c:v>
                </c:pt>
              </c:strCache>
            </c:strRef>
          </c:tx>
          <c:spPr>
            <a:solidFill>
              <a:schemeClr val="accent1">
                <a:lumMod val="40000"/>
                <a:lumOff val="60000"/>
              </a:schemeClr>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5a'!$F$67:$F$97</c:f>
              <c:numCache>
                <c:formatCode>#\ ##0.0</c:formatCode>
                <c:ptCount val="31"/>
                <c:pt idx="0">
                  <c:v>3.5348176440085202</c:v>
                </c:pt>
                <c:pt idx="1">
                  <c:v>4.0403927957890904</c:v>
                </c:pt>
                <c:pt idx="2">
                  <c:v>2.8491583908636735</c:v>
                </c:pt>
                <c:pt idx="3">
                  <c:v>3.7649034189564579</c:v>
                </c:pt>
                <c:pt idx="4">
                  <c:v>2.9159862756005075</c:v>
                </c:pt>
                <c:pt idx="5">
                  <c:v>2.6692840179601967</c:v>
                </c:pt>
                <c:pt idx="6">
                  <c:v>3.351758458558816</c:v>
                </c:pt>
                <c:pt idx="7">
                  <c:v>3.6403131961317063</c:v>
                </c:pt>
                <c:pt idx="8">
                  <c:v>4.2755993300345949</c:v>
                </c:pt>
                <c:pt idx="9">
                  <c:v>4.6181656067499972</c:v>
                </c:pt>
                <c:pt idx="10">
                  <c:v>4.1974804776960797</c:v>
                </c:pt>
                <c:pt idx="11">
                  <c:v>4.8260964478037458</c:v>
                </c:pt>
                <c:pt idx="12">
                  <c:v>4.1871547212750038</c:v>
                </c:pt>
                <c:pt idx="13">
                  <c:v>3.5059801620938762</c:v>
                </c:pt>
                <c:pt idx="14">
                  <c:v>2.8195561267975422</c:v>
                </c:pt>
                <c:pt idx="15">
                  <c:v>3.9521324238297022</c:v>
                </c:pt>
                <c:pt idx="16">
                  <c:v>4.4423302425101463</c:v>
                </c:pt>
                <c:pt idx="17">
                  <c:v>3.3722130230140674</c:v>
                </c:pt>
                <c:pt idx="18">
                  <c:v>3.7144530757170515</c:v>
                </c:pt>
                <c:pt idx="19">
                  <c:v>3.4471029244431421</c:v>
                </c:pt>
                <c:pt idx="20">
                  <c:v>4.0056202134999976E-2</c:v>
                </c:pt>
                <c:pt idx="21">
                  <c:v>0.37119654560078302</c:v>
                </c:pt>
                <c:pt idx="22">
                  <c:v>1.7563841704982455</c:v>
                </c:pt>
                <c:pt idx="23">
                  <c:v>-1.063599515621104</c:v>
                </c:pt>
                <c:pt idx="24">
                  <c:v>1.0548245743778293</c:v>
                </c:pt>
                <c:pt idx="25">
                  <c:v>5.7172797743838517</c:v>
                </c:pt>
                <c:pt idx="26">
                  <c:v>3.8090295600505146</c:v>
                </c:pt>
                <c:pt idx="27">
                  <c:v>5.2450081246721751</c:v>
                </c:pt>
                <c:pt idx="28">
                  <c:v>5.4624396036347154</c:v>
                </c:pt>
                <c:pt idx="29">
                  <c:v>-1.083114681317632</c:v>
                </c:pt>
              </c:numCache>
            </c:numRef>
          </c:val>
          <c:extLst>
            <c:ext xmlns:c16="http://schemas.microsoft.com/office/drawing/2014/chart" uri="{C3380CC4-5D6E-409C-BE32-E72D297353CC}">
              <c16:uniqueId val="{00000001-1907-4C08-9E2F-2DAC4E90BBC2}"/>
            </c:ext>
          </c:extLst>
        </c:ser>
        <c:ser>
          <c:idx val="4"/>
          <c:order val="3"/>
          <c:tx>
            <c:strRef>
              <c:f>'výkonnost odvětví 5a'!$G$66</c:f>
              <c:strCache>
                <c:ptCount val="1"/>
                <c:pt idx="0">
                  <c:v>Retail sale of fuels (contribution)</c:v>
                </c:pt>
              </c:strCache>
            </c:strRef>
          </c:tx>
          <c:spPr>
            <a:solidFill>
              <a:srgbClr val="FFFF00"/>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5a'!$G$67:$G$97</c:f>
              <c:numCache>
                <c:formatCode>#\ ##0.0</c:formatCode>
                <c:ptCount val="31"/>
                <c:pt idx="0">
                  <c:v>0.75373799686577747</c:v>
                </c:pt>
                <c:pt idx="1">
                  <c:v>0.58821059894444772</c:v>
                </c:pt>
                <c:pt idx="2">
                  <c:v>0.79387895299348521</c:v>
                </c:pt>
                <c:pt idx="3">
                  <c:v>0.93965372963044991</c:v>
                </c:pt>
                <c:pt idx="4">
                  <c:v>0.67343888771248017</c:v>
                </c:pt>
                <c:pt idx="5">
                  <c:v>0.7046260190280581</c:v>
                </c:pt>
                <c:pt idx="6">
                  <c:v>0.62808372581017557</c:v>
                </c:pt>
                <c:pt idx="7">
                  <c:v>0.62560948668929184</c:v>
                </c:pt>
                <c:pt idx="8">
                  <c:v>0.53739987511050791</c:v>
                </c:pt>
                <c:pt idx="9">
                  <c:v>0.77313131276884206</c:v>
                </c:pt>
                <c:pt idx="10">
                  <c:v>0.84835732550660725</c:v>
                </c:pt>
                <c:pt idx="11">
                  <c:v>0.68455496519870973</c:v>
                </c:pt>
                <c:pt idx="12">
                  <c:v>0.67556451520783956</c:v>
                </c:pt>
                <c:pt idx="13">
                  <c:v>0.59080209268699757</c:v>
                </c:pt>
                <c:pt idx="14">
                  <c:v>0.37399638976140798</c:v>
                </c:pt>
                <c:pt idx="15">
                  <c:v>0.42680859486818856</c:v>
                </c:pt>
                <c:pt idx="16">
                  <c:v>0.55628133832534898</c:v>
                </c:pt>
                <c:pt idx="17">
                  <c:v>0.2629025576100007</c:v>
                </c:pt>
                <c:pt idx="18">
                  <c:v>0.19439517076933396</c:v>
                </c:pt>
                <c:pt idx="19">
                  <c:v>5.585559339908714E-2</c:v>
                </c:pt>
                <c:pt idx="20">
                  <c:v>-0.76759105911378023</c:v>
                </c:pt>
                <c:pt idx="21">
                  <c:v>-2.052563665806848</c:v>
                </c:pt>
                <c:pt idx="22">
                  <c:v>-4.8190566908999956E-2</c:v>
                </c:pt>
                <c:pt idx="23">
                  <c:v>-1.2030433768320992</c:v>
                </c:pt>
                <c:pt idx="24">
                  <c:v>-0.80173294024312114</c:v>
                </c:pt>
                <c:pt idx="25">
                  <c:v>1.0365202081257165</c:v>
                </c:pt>
                <c:pt idx="26">
                  <c:v>0.38874836650999922</c:v>
                </c:pt>
                <c:pt idx="27">
                  <c:v>0.99453062190738506</c:v>
                </c:pt>
                <c:pt idx="28">
                  <c:v>1.4252508871040921</c:v>
                </c:pt>
                <c:pt idx="29">
                  <c:v>-0.42459225653701288</c:v>
                </c:pt>
              </c:numCache>
            </c:numRef>
          </c:val>
          <c:extLst>
            <c:ext xmlns:c16="http://schemas.microsoft.com/office/drawing/2014/chart" uri="{C3380CC4-5D6E-409C-BE32-E72D297353CC}">
              <c16:uniqueId val="{00000002-1907-4C08-9E2F-2DAC4E90BBC2}"/>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Total retail sales (y-o-y growth)</c:v>
                </c:pt>
              </c:strCache>
            </c:strRef>
          </c:tx>
          <c:spPr>
            <a:ln>
              <a:noFill/>
            </a:ln>
          </c:spPr>
          <c:marker>
            <c:symbol val="dash"/>
            <c:size val="7"/>
            <c:spPr>
              <a:solidFill>
                <a:schemeClr val="tx1">
                  <a:lumMod val="85000"/>
                  <a:lumOff val="15000"/>
                </a:schemeClr>
              </a:solidFill>
              <a:ln w="6350">
                <a:noFill/>
              </a:ln>
            </c:spPr>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5a'!$D$67:$D$97</c:f>
              <c:numCache>
                <c:formatCode>#\ ##0.0</c:formatCode>
                <c:ptCount val="31"/>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0.12908217749999551</c:v>
                </c:pt>
                <c:pt idx="21">
                  <c:v>-2.8976566630000065</c:v>
                </c:pt>
                <c:pt idx="22">
                  <c:v>1.3167079119999983</c:v>
                </c:pt>
                <c:pt idx="23">
                  <c:v>-2.0203436960999994</c:v>
                </c:pt>
                <c:pt idx="24">
                  <c:v>-0.23059238929999992</c:v>
                </c:pt>
                <c:pt idx="25">
                  <c:v>7.2760971838000046</c:v>
                </c:pt>
                <c:pt idx="26">
                  <c:v>3.9161442860000051</c:v>
                </c:pt>
                <c:pt idx="27">
                  <c:v>6.1636950233999954</c:v>
                </c:pt>
                <c:pt idx="28">
                  <c:v>6.3636928732999962</c:v>
                </c:pt>
                <c:pt idx="29">
                  <c:v>-2.9653516660000037</c:v>
                </c:pt>
              </c:numCache>
            </c:numRef>
          </c:val>
          <c:smooth val="0"/>
          <c:extLst>
            <c:ext xmlns:c16="http://schemas.microsoft.com/office/drawing/2014/chart" uri="{C3380CC4-5D6E-409C-BE32-E72D297353CC}">
              <c16:uniqueId val="{00000003-1907-4C08-9E2F-2DAC4E90BBC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Retail, without motor vehicles (2015=100)</c:v>
                </c:pt>
              </c:strCache>
            </c:strRef>
          </c:tx>
          <c:spPr>
            <a:ln w="15875">
              <a:solidFill>
                <a:schemeClr val="tx1">
                  <a:lumMod val="95000"/>
                  <a:lumOff val="5000"/>
                </a:schemeClr>
              </a:solidFill>
              <a:prstDash val="solid"/>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5a'!$H$67:$H$97</c:f>
              <c:numCache>
                <c:formatCode>#\ ##0.0</c:formatCode>
                <c:ptCount val="31"/>
                <c:pt idx="0">
                  <c:v>98.182102983299998</c:v>
                </c:pt>
                <c:pt idx="1">
                  <c:v>99.137603143299998</c:v>
                </c:pt>
                <c:pt idx="2">
                  <c:v>100.17900292</c:v>
                </c:pt>
                <c:pt idx="3">
                  <c:v>102.5012909667</c:v>
                </c:pt>
                <c:pt idx="4">
                  <c:v>103.1357140333</c:v>
                </c:pt>
                <c:pt idx="5">
                  <c:v>103.9351803667</c:v>
                </c:pt>
                <c:pt idx="6">
                  <c:v>105.1890714</c:v>
                </c:pt>
                <c:pt idx="7">
                  <c:v>106.6400906667</c:v>
                </c:pt>
                <c:pt idx="8">
                  <c:v>108.2930209</c:v>
                </c:pt>
                <c:pt idx="9">
                  <c:v>110.5603038667</c:v>
                </c:pt>
                <c:pt idx="10">
                  <c:v>111.7185620333</c:v>
                </c:pt>
                <c:pt idx="11">
                  <c:v>113.10479650000001</c:v>
                </c:pt>
                <c:pt idx="12">
                  <c:v>114.79604070000001</c:v>
                </c:pt>
                <c:pt idx="13">
                  <c:v>115.93791803329999</c:v>
                </c:pt>
                <c:pt idx="14">
                  <c:v>116.7740435</c:v>
                </c:pt>
                <c:pt idx="15">
                  <c:v>118.4401407667</c:v>
                </c:pt>
                <c:pt idx="16">
                  <c:v>120.8630658333</c:v>
                </c:pt>
                <c:pt idx="17">
                  <c:v>121.79026133000001</c:v>
                </c:pt>
                <c:pt idx="18">
                  <c:v>122.36688694670001</c:v>
                </c:pt>
                <c:pt idx="19">
                  <c:v>123.29103059329999</c:v>
                </c:pt>
                <c:pt idx="20">
                  <c:v>120.69862361</c:v>
                </c:pt>
                <c:pt idx="21">
                  <c:v>118.79257757000001</c:v>
                </c:pt>
                <c:pt idx="22">
                  <c:v>124.45742695</c:v>
                </c:pt>
                <c:pt idx="23">
                  <c:v>120.35418919999999</c:v>
                </c:pt>
                <c:pt idx="24">
                  <c:v>118.8138527567</c:v>
                </c:pt>
                <c:pt idx="25" formatCode="##0.0">
                  <c:v>127.7186480567</c:v>
                </c:pt>
                <c:pt idx="26" formatCode="##0.0">
                  <c:v>130.09234629669999</c:v>
                </c:pt>
                <c:pt idx="27" formatCode="##0.0">
                  <c:v>127.8071996667</c:v>
                </c:pt>
                <c:pt idx="28" formatCode="##0.0">
                  <c:v>126.9435093267</c:v>
                </c:pt>
                <c:pt idx="29" formatCode="##0.0">
                  <c:v>124.04372931</c:v>
                </c:pt>
              </c:numCache>
            </c:numRef>
          </c:val>
          <c:smooth val="0"/>
          <c:extLst>
            <c:ext xmlns:c16="http://schemas.microsoft.com/office/drawing/2014/chart" uri="{C3380CC4-5D6E-409C-BE32-E72D297353CC}">
              <c16:uniqueId val="{00000004-1907-4C08-9E2F-2DAC4E90BBC2}"/>
            </c:ext>
          </c:extLst>
        </c:ser>
        <c:ser>
          <c:idx val="2"/>
          <c:order val="5"/>
          <c:tx>
            <c:strRef>
              <c:f>'výkonnost odvětví 5a'!$I$66</c:f>
              <c:strCache>
                <c:ptCount val="1"/>
                <c:pt idx="0">
                  <c:v>Retail sale of fuels (2015=100)</c:v>
                </c:pt>
              </c:strCache>
            </c:strRef>
          </c:tx>
          <c:spPr>
            <a:ln w="15875">
              <a:solidFill>
                <a:schemeClr val="bg2">
                  <a:lumMod val="50000"/>
                </a:schemeClr>
              </a:solidFill>
              <a:prstDash val="sysDash"/>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5a'!$I$67:$I$97</c:f>
              <c:numCache>
                <c:formatCode>#\ ##0.0</c:formatCode>
                <c:ptCount val="31"/>
                <c:pt idx="0">
                  <c:v>99.513139306699998</c:v>
                </c:pt>
                <c:pt idx="1">
                  <c:v>98.324028400000003</c:v>
                </c:pt>
                <c:pt idx="2">
                  <c:v>99.345746030000001</c:v>
                </c:pt>
                <c:pt idx="3">
                  <c:v>102.8170862667</c:v>
                </c:pt>
                <c:pt idx="4">
                  <c:v>104.4080196</c:v>
                </c:pt>
                <c:pt idx="5">
                  <c:v>103.7612565667</c:v>
                </c:pt>
                <c:pt idx="6">
                  <c:v>103.8894186</c:v>
                </c:pt>
                <c:pt idx="7">
                  <c:v>108.06889986669999</c:v>
                </c:pt>
                <c:pt idx="8">
                  <c:v>108.9125654667</c:v>
                </c:pt>
                <c:pt idx="9">
                  <c:v>110.0281492667</c:v>
                </c:pt>
                <c:pt idx="10">
                  <c:v>110.2481697333</c:v>
                </c:pt>
                <c:pt idx="11">
                  <c:v>114.9077460667</c:v>
                </c:pt>
                <c:pt idx="12">
                  <c:v>115.15612109999999</c:v>
                </c:pt>
                <c:pt idx="13">
                  <c:v>115.32029416669999</c:v>
                </c:pt>
                <c:pt idx="14">
                  <c:v>113.3013183333</c:v>
                </c:pt>
                <c:pt idx="15">
                  <c:v>118.5502795</c:v>
                </c:pt>
                <c:pt idx="16">
                  <c:v>120.6878189267</c:v>
                </c:pt>
                <c:pt idx="17">
                  <c:v>117.99417203</c:v>
                </c:pt>
                <c:pt idx="18">
                  <c:v>114.4818178733</c:v>
                </c:pt>
                <c:pt idx="19">
                  <c:v>119.4088204933</c:v>
                </c:pt>
                <c:pt idx="20">
                  <c:v>113.0155670067</c:v>
                </c:pt>
                <c:pt idx="21">
                  <c:v>97.645228860000003</c:v>
                </c:pt>
                <c:pt idx="22">
                  <c:v>113.35676879330001</c:v>
                </c:pt>
                <c:pt idx="23">
                  <c:v>105.9359390533</c:v>
                </c:pt>
                <c:pt idx="24">
                  <c:v>104.1611650867</c:v>
                </c:pt>
                <c:pt idx="25" formatCode="##0.0">
                  <c:v>110.8272422733</c:v>
                </c:pt>
                <c:pt idx="26" formatCode="##0.0">
                  <c:v>117.33346090000001</c:v>
                </c:pt>
                <c:pt idx="27" formatCode="##0.0">
                  <c:v>114.9772695333</c:v>
                </c:pt>
                <c:pt idx="28" formatCode="##0.0">
                  <c:v>116.0249363967</c:v>
                </c:pt>
                <c:pt idx="29" formatCode="##0.0">
                  <c:v>106.64345805329999</c:v>
                </c:pt>
              </c:numCache>
            </c:numRef>
          </c:val>
          <c:smooth val="0"/>
          <c:extLst>
            <c:ext xmlns:c16="http://schemas.microsoft.com/office/drawing/2014/chart" uri="{C3380CC4-5D6E-409C-BE32-E72D297353CC}">
              <c16:uniqueId val="{00000005-1907-4C08-9E2F-2DAC4E90BBC2}"/>
            </c:ext>
          </c:extLst>
        </c:ser>
        <c:ser>
          <c:idx val="6"/>
          <c:order val="6"/>
          <c:tx>
            <c:strRef>
              <c:f>'výkonnost odvětví 5a'!$J$66</c:f>
              <c:strCache>
                <c:ptCount val="1"/>
                <c:pt idx="0">
                  <c:v>Sale and repair of motor vehicles (2015=100)</c:v>
                </c:pt>
              </c:strCache>
            </c:strRef>
          </c:tx>
          <c:spPr>
            <a:ln w="15875">
              <a:solidFill>
                <a:srgbClr val="984807"/>
              </a:solidFill>
              <a:prstDash val="solid"/>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5a'!$J$67:$J$97</c:f>
              <c:numCache>
                <c:formatCode>#\ ##0.0</c:formatCode>
                <c:ptCount val="31"/>
                <c:pt idx="0">
                  <c:v>95.697367796699993</c:v>
                </c:pt>
                <c:pt idx="1">
                  <c:v>98.531720309999997</c:v>
                </c:pt>
                <c:pt idx="2">
                  <c:v>101.3260702667</c:v>
                </c:pt>
                <c:pt idx="3">
                  <c:v>104.4448416333</c:v>
                </c:pt>
                <c:pt idx="4">
                  <c:v>105.1626406667</c:v>
                </c:pt>
                <c:pt idx="5">
                  <c:v>106.8068112</c:v>
                </c:pt>
                <c:pt idx="6">
                  <c:v>108.91789203330001</c:v>
                </c:pt>
                <c:pt idx="7">
                  <c:v>109.8263580333</c:v>
                </c:pt>
                <c:pt idx="8">
                  <c:v>111.08373136669999</c:v>
                </c:pt>
                <c:pt idx="9">
                  <c:v>111.3580627667</c:v>
                </c:pt>
                <c:pt idx="10">
                  <c:v>109.57350293330001</c:v>
                </c:pt>
                <c:pt idx="11">
                  <c:v>112.0391699333</c:v>
                </c:pt>
                <c:pt idx="12">
                  <c:v>110.5959055333</c:v>
                </c:pt>
                <c:pt idx="13">
                  <c:v>109.9283487667</c:v>
                </c:pt>
                <c:pt idx="14">
                  <c:v>108.9107659</c:v>
                </c:pt>
                <c:pt idx="15">
                  <c:v>106.41696349999999</c:v>
                </c:pt>
                <c:pt idx="16">
                  <c:v>109.54775435329999</c:v>
                </c:pt>
                <c:pt idx="17">
                  <c:v>110.8073262667</c:v>
                </c:pt>
                <c:pt idx="18">
                  <c:v>109.5778583733</c:v>
                </c:pt>
                <c:pt idx="19">
                  <c:v>110.06150255670001</c:v>
                </c:pt>
                <c:pt idx="20">
                  <c:v>96.457729993300006</c:v>
                </c:pt>
                <c:pt idx="21">
                  <c:v>77.460500006700002</c:v>
                </c:pt>
                <c:pt idx="22">
                  <c:v>100.4926849</c:v>
                </c:pt>
                <c:pt idx="23">
                  <c:v>102.1841167867</c:v>
                </c:pt>
                <c:pt idx="24">
                  <c:v>102.6393273067</c:v>
                </c:pt>
                <c:pt idx="25" formatCode="##0.0">
                  <c:v>105.26432622999999</c:v>
                </c:pt>
                <c:pt idx="26" formatCode="##0.0">
                  <c:v>99.32742159</c:v>
                </c:pt>
                <c:pt idx="27" formatCode="##0.0">
                  <c:v>97.737005273299999</c:v>
                </c:pt>
                <c:pt idx="28" formatCode="##0.0">
                  <c:v>98.482088253300006</c:v>
                </c:pt>
                <c:pt idx="29" formatCode="##0.0">
                  <c:v>97.105387289999996</c:v>
                </c:pt>
              </c:numCache>
            </c:numRef>
          </c:val>
          <c:smooth val="0"/>
          <c:extLst>
            <c:ext xmlns:c16="http://schemas.microsoft.com/office/drawing/2014/chart" uri="{C3380CC4-5D6E-409C-BE32-E72D297353CC}">
              <c16:uniqueId val="{00000006-1907-4C08-9E2F-2DAC4E90BBC2}"/>
            </c:ext>
          </c:extLst>
        </c:ser>
        <c:ser>
          <c:idx val="7"/>
          <c:order val="7"/>
          <c:tx>
            <c:strRef>
              <c:f>'výkonnost odvětví 5a'!$K$66</c:f>
              <c:strCache>
                <c:ptCount val="1"/>
                <c:pt idx="0">
                  <c:v>Consumer confidence indicator</c:v>
                </c:pt>
              </c:strCache>
            </c:strRef>
          </c:tx>
          <c:spPr>
            <a:ln w="3175">
              <a:solidFill>
                <a:schemeClr val="bg1">
                  <a:lumMod val="50000"/>
                </a:schemeClr>
              </a:solidFill>
              <a:prstDash val="sysDash"/>
            </a:ln>
          </c:spPr>
          <c:marker>
            <c:symbol val="diamond"/>
            <c:size val="5"/>
            <c:spPr>
              <a:solidFill>
                <a:srgbClr val="FFFF00"/>
              </a:solidFill>
              <a:ln w="3175">
                <a:solidFill>
                  <a:schemeClr val="bg1">
                    <a:lumMod val="50000"/>
                  </a:schemeClr>
                </a:solidFill>
              </a:ln>
            </c:spPr>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5a'!$K$67:$K$97</c:f>
              <c:numCache>
                <c:formatCode>0.0</c:formatCode>
                <c:ptCount val="31"/>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numCache>
            </c:numRef>
          </c:val>
          <c:smooth val="0"/>
          <c:extLst>
            <c:ext xmlns:c16="http://schemas.microsoft.com/office/drawing/2014/chart" uri="{C3380CC4-5D6E-409C-BE32-E72D297353CC}">
              <c16:uniqueId val="{00000007-1907-4C08-9E2F-2DAC4E90BBC2}"/>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8"/>
          <c:min val="-9"/>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Contribution to year-on-year change of sales in retail</a:t>
                </a:r>
                <a:endParaRPr lang="cs-CZ" sz="700">
                  <a:effectLst/>
                </a:endParaRPr>
              </a:p>
            </c:rich>
          </c:tx>
          <c:layout>
            <c:manualLayout>
              <c:xMode val="edge"/>
              <c:yMode val="edge"/>
              <c:x val="2.6086048454469508E-3"/>
              <c:y val="0.12035382084207227"/>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875563695"/>
        <c:scaling>
          <c:orientation val="minMax"/>
          <c:min val="-4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b="0" i="1">
                    <a:effectLst/>
                  </a:rPr>
                  <a:t>Sales (year 2015=100), Confidence of consumers</a:t>
                </a:r>
                <a:endParaRPr lang="cs-CZ" sz="700" b="0" i="1">
                  <a:effectLst/>
                </a:endParaRPr>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2.5853125087625835E-3"/>
          <c:y val="0.85801365833915932"/>
          <c:w val="0.98947721520696308"/>
          <c:h val="0.13836320590465642"/>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92E3-D75D-4EE9-9125-5663989B3EA2}">
  <ds:schemaRefs>
    <ds:schemaRef ds:uri="http://schemas.openxmlformats.org/officeDocument/2006/bibliography"/>
  </ds:schemaRefs>
</ds:datastoreItem>
</file>

<file path=customXml/itemProps2.xml><?xml version="1.0" encoding="utf-8"?>
<ds:datastoreItem xmlns:ds="http://schemas.openxmlformats.org/officeDocument/2006/customXml" ds:itemID="{873FCF00-EF12-4467-AD1D-05AF4BBB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9</Pages>
  <Words>4127</Words>
  <Characters>24350</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28421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3</cp:revision>
  <cp:lastPrinted>2019-04-08T10:52:00Z</cp:lastPrinted>
  <dcterms:created xsi:type="dcterms:W3CDTF">2022-10-14T10:28:00Z</dcterms:created>
  <dcterms:modified xsi:type="dcterms:W3CDTF">2022-10-14T10:37:00Z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2022-09-16T14:37:11Z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c768a867-054a-4443-ae84-aa18391251d8</vt:lpwstr>
  </property>
  <property fmtid="{D5CDD505-2E9C-101B-9397-08002B2CF9AE}" pid="8" name="MSIP_Label_29db9e61-aac5-4f6e-805d-ceb8cb9983a1_ContentBits">
    <vt:lpwstr>0</vt:lpwstr>
  </property>
</Properties>
</file>