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F41D" w14:textId="1F01B3F4" w:rsidR="007A6A6E" w:rsidRPr="00D160FB" w:rsidRDefault="007A6A6E" w:rsidP="007A6A6E">
      <w:pPr>
        <w:pStyle w:val="Nadpis11"/>
        <w:spacing w:after="120"/>
        <w:rPr>
          <w:lang w:val="en-GB"/>
        </w:rPr>
      </w:pPr>
      <w:bookmarkStart w:id="0" w:name="_Toc132874251"/>
      <w:r w:rsidRPr="00D160FB">
        <w:rPr>
          <w:lang w:val="en-GB"/>
        </w:rPr>
        <w:t>7. M</w:t>
      </w:r>
      <w:r w:rsidR="001B10F0" w:rsidRPr="00D160FB">
        <w:rPr>
          <w:lang w:val="en-GB"/>
        </w:rPr>
        <w:t>onetary Conditions</w:t>
      </w:r>
      <w:bookmarkEnd w:id="0"/>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7A6A6E" w:rsidRPr="00D160FB" w14:paraId="092920EF" w14:textId="77777777" w:rsidTr="00435DE8">
        <w:trPr>
          <w:trHeight w:val="145"/>
        </w:trPr>
        <w:tc>
          <w:tcPr>
            <w:tcW w:w="1802" w:type="dxa"/>
          </w:tcPr>
          <w:p w14:paraId="65F9D27A" w14:textId="3D330E72" w:rsidR="007A6A6E" w:rsidRPr="00D160FB" w:rsidRDefault="002C5463" w:rsidP="00163868">
            <w:pPr>
              <w:pStyle w:val="Marginlie"/>
              <w:rPr>
                <w:lang w:val="en-GB" w:eastAsia="en-US"/>
              </w:rPr>
            </w:pPr>
            <w:r w:rsidRPr="00D160FB">
              <w:rPr>
                <w:lang w:val="en-GB" w:eastAsia="en-US"/>
              </w:rPr>
              <w:t>Set up of monetary policy-relevant rates was not changed in H2</w:t>
            </w:r>
            <w:r w:rsidR="007A6A6E" w:rsidRPr="00D160FB">
              <w:rPr>
                <w:lang w:val="en-GB" w:eastAsia="en-US"/>
              </w:rPr>
              <w:t>.</w:t>
            </w:r>
          </w:p>
        </w:tc>
        <w:tc>
          <w:tcPr>
            <w:tcW w:w="229" w:type="dxa"/>
          </w:tcPr>
          <w:p w14:paraId="3C0C7946" w14:textId="77777777" w:rsidR="007A6A6E" w:rsidRPr="00D160FB" w:rsidRDefault="007A6A6E" w:rsidP="00163868">
            <w:pPr>
              <w:pStyle w:val="Textpoznpodarou"/>
              <w:jc w:val="both"/>
              <w:rPr>
                <w:spacing w:val="-4"/>
                <w:lang w:val="en-GB" w:eastAsia="en-US"/>
              </w:rPr>
            </w:pPr>
          </w:p>
        </w:tc>
        <w:tc>
          <w:tcPr>
            <w:tcW w:w="7610" w:type="dxa"/>
          </w:tcPr>
          <w:p w14:paraId="45953BEF" w14:textId="37AEA98B" w:rsidR="007A6A6E" w:rsidRPr="00D160FB" w:rsidRDefault="00E76BA9" w:rsidP="00163868">
            <w:pPr>
              <w:rPr>
                <w:spacing w:val="-2"/>
                <w:lang w:val="en-GB" w:eastAsia="en-US"/>
              </w:rPr>
            </w:pPr>
            <w:r w:rsidRPr="00D160FB">
              <w:rPr>
                <w:spacing w:val="-2"/>
                <w:lang w:val="en-GB" w:eastAsia="en-US"/>
              </w:rPr>
              <w:t>Level of the basic monetary policy-relevant rates did not change in Q</w:t>
            </w:r>
            <w:r w:rsidR="007A6A6E" w:rsidRPr="00D160FB">
              <w:rPr>
                <w:spacing w:val="-2"/>
                <w:lang w:val="en-GB" w:eastAsia="en-US"/>
              </w:rPr>
              <w:t>4.</w:t>
            </w:r>
            <w:r w:rsidRPr="00D160FB">
              <w:rPr>
                <w:spacing w:val="-2"/>
                <w:lang w:val="en-GB" w:eastAsia="en-US"/>
              </w:rPr>
              <w:t xml:space="preserve"> </w:t>
            </w:r>
            <w:r w:rsidR="00867B7B" w:rsidRPr="00D160FB">
              <w:rPr>
                <w:spacing w:val="-2"/>
                <w:lang w:val="en-GB" w:eastAsia="en-US"/>
              </w:rPr>
              <w:t>After the fast increase in H</w:t>
            </w:r>
            <w:r w:rsidR="007A6A6E" w:rsidRPr="00D160FB">
              <w:rPr>
                <w:spacing w:val="-2"/>
                <w:lang w:val="en-GB" w:eastAsia="en-US"/>
              </w:rPr>
              <w:t>1</w:t>
            </w:r>
            <w:r w:rsidR="00867B7B" w:rsidRPr="00D160FB">
              <w:rPr>
                <w:spacing w:val="-2"/>
                <w:lang w:val="en-GB" w:eastAsia="en-US"/>
              </w:rPr>
              <w:t xml:space="preserve">, </w:t>
            </w:r>
            <w:r w:rsidR="00D840AF" w:rsidRPr="00D160FB">
              <w:rPr>
                <w:spacing w:val="-2"/>
                <w:lang w:val="en-GB" w:eastAsia="en-US"/>
              </w:rPr>
              <w:t>two-week</w:t>
            </w:r>
            <w:r w:rsidR="00867B7B" w:rsidRPr="00D160FB">
              <w:rPr>
                <w:spacing w:val="-2"/>
                <w:lang w:val="en-GB" w:eastAsia="en-US"/>
              </w:rPr>
              <w:t xml:space="preserve"> repo rate remained at </w:t>
            </w:r>
            <w:r w:rsidR="007A6A6E" w:rsidRPr="00D160FB">
              <w:rPr>
                <w:spacing w:val="-2"/>
                <w:lang w:val="en-GB" w:eastAsia="en-US"/>
              </w:rPr>
              <w:t>7</w:t>
            </w:r>
            <w:r w:rsidR="00867B7B" w:rsidRPr="00D160FB">
              <w:rPr>
                <w:spacing w:val="-2"/>
                <w:lang w:val="en-GB" w:eastAsia="en-US"/>
              </w:rPr>
              <w:t>.</w:t>
            </w:r>
            <w:r w:rsidR="007A6A6E" w:rsidRPr="00D160FB">
              <w:rPr>
                <w:spacing w:val="-2"/>
                <w:lang w:val="en-GB" w:eastAsia="en-US"/>
              </w:rPr>
              <w:t>00%, dis</w:t>
            </w:r>
            <w:r w:rsidR="00867B7B" w:rsidRPr="00D160FB">
              <w:rPr>
                <w:spacing w:val="-2"/>
                <w:lang w:val="en-GB" w:eastAsia="en-US"/>
              </w:rPr>
              <w:t xml:space="preserve">count rate at </w:t>
            </w:r>
            <w:r w:rsidR="007A6A6E" w:rsidRPr="00D160FB">
              <w:rPr>
                <w:spacing w:val="-2"/>
                <w:lang w:val="en-GB" w:eastAsia="en-US"/>
              </w:rPr>
              <w:t>6</w:t>
            </w:r>
            <w:r w:rsidR="00867B7B" w:rsidRPr="00D160FB">
              <w:rPr>
                <w:spacing w:val="-2"/>
                <w:lang w:val="en-GB" w:eastAsia="en-US"/>
              </w:rPr>
              <w:t>.</w:t>
            </w:r>
            <w:r w:rsidR="007A6A6E" w:rsidRPr="00D160FB">
              <w:rPr>
                <w:spacing w:val="-2"/>
                <w:lang w:val="en-GB" w:eastAsia="en-US"/>
              </w:rPr>
              <w:t>00% a</w:t>
            </w:r>
            <w:r w:rsidR="00867B7B" w:rsidRPr="00D160FB">
              <w:rPr>
                <w:spacing w:val="-2"/>
                <w:lang w:val="en-GB" w:eastAsia="en-US"/>
              </w:rPr>
              <w:t xml:space="preserve">nd Lombard rate at </w:t>
            </w:r>
            <w:r w:rsidR="007A6A6E" w:rsidRPr="00D160FB">
              <w:rPr>
                <w:spacing w:val="-2"/>
                <w:lang w:val="en-GB" w:eastAsia="en-US"/>
              </w:rPr>
              <w:t>8</w:t>
            </w:r>
            <w:r w:rsidR="00867B7B" w:rsidRPr="00D160FB">
              <w:rPr>
                <w:spacing w:val="-2"/>
                <w:lang w:val="en-GB" w:eastAsia="en-US"/>
              </w:rPr>
              <w:t>.</w:t>
            </w:r>
            <w:r w:rsidR="007A6A6E" w:rsidRPr="00D160FB">
              <w:rPr>
                <w:spacing w:val="-2"/>
                <w:lang w:val="en-GB" w:eastAsia="en-US"/>
              </w:rPr>
              <w:t>00%</w:t>
            </w:r>
            <w:r w:rsidR="00867B7B" w:rsidRPr="00D160FB">
              <w:rPr>
                <w:spacing w:val="-2"/>
                <w:lang w:val="en-GB" w:eastAsia="en-US"/>
              </w:rPr>
              <w:t xml:space="preserve"> till the end of the year</w:t>
            </w:r>
            <w:r w:rsidR="007A6A6E" w:rsidRPr="00D160FB">
              <w:rPr>
                <w:spacing w:val="-2"/>
                <w:lang w:val="en-GB" w:eastAsia="en-US"/>
              </w:rPr>
              <w:t>.</w:t>
            </w:r>
            <w:r w:rsidR="007A6A6E" w:rsidRPr="00D160FB">
              <w:rPr>
                <w:rStyle w:val="Znakapoznpodarou"/>
                <w:spacing w:val="-2"/>
                <w:lang w:val="en-GB" w:eastAsia="en-US"/>
              </w:rPr>
              <w:footnoteReference w:id="1"/>
            </w:r>
            <w:r w:rsidR="007A6A6E" w:rsidRPr="00D160FB">
              <w:rPr>
                <w:spacing w:val="-2"/>
                <w:lang w:val="en-GB" w:eastAsia="en-US"/>
              </w:rPr>
              <w:t xml:space="preserve"> </w:t>
            </w:r>
            <w:r w:rsidR="00074959" w:rsidRPr="00D160FB">
              <w:rPr>
                <w:spacing w:val="-2"/>
                <w:lang w:val="en-GB" w:eastAsia="en-US"/>
              </w:rPr>
              <w:t xml:space="preserve">In case of </w:t>
            </w:r>
            <w:r w:rsidR="00C63B2C" w:rsidRPr="00D160FB">
              <w:rPr>
                <w:spacing w:val="-2"/>
                <w:lang w:val="en-GB" w:eastAsia="en-US"/>
              </w:rPr>
              <w:t xml:space="preserve">koruna foreign exchange per euro, the development was affected by the forex interventions against depreciation last year, which the CNB launched since half of May. </w:t>
            </w:r>
            <w:r w:rsidR="00054B9B" w:rsidRPr="00D160FB">
              <w:rPr>
                <w:spacing w:val="-2"/>
                <w:lang w:val="en-GB" w:eastAsia="en-US"/>
              </w:rPr>
              <w:t>The interventions manifested on the ridged exchange rate the most clearly in May and June</w:t>
            </w:r>
            <w:r w:rsidR="007A6A6E" w:rsidRPr="00D160FB">
              <w:rPr>
                <w:spacing w:val="-2"/>
                <w:lang w:val="en-GB" w:eastAsia="en-US"/>
              </w:rPr>
              <w:t xml:space="preserve">, </w:t>
            </w:r>
            <w:r w:rsidR="00054B9B" w:rsidRPr="00D160FB">
              <w:rPr>
                <w:spacing w:val="-2"/>
                <w:lang w:val="en-GB" w:eastAsia="en-US"/>
              </w:rPr>
              <w:t xml:space="preserve">then however a mild appreciation occurred, which lasted till the end of the year. </w:t>
            </w:r>
            <w:r w:rsidRPr="00D160FB">
              <w:rPr>
                <w:spacing w:val="-2"/>
                <w:lang w:val="en-GB" w:eastAsia="en-US"/>
              </w:rPr>
              <w:t>In Q</w:t>
            </w:r>
            <w:r w:rsidR="007A6A6E" w:rsidRPr="00D160FB">
              <w:rPr>
                <w:spacing w:val="-2"/>
                <w:lang w:val="en-GB" w:eastAsia="en-US"/>
              </w:rPr>
              <w:t>4</w:t>
            </w:r>
            <w:r w:rsidRPr="00D160FB">
              <w:rPr>
                <w:spacing w:val="-2"/>
                <w:lang w:val="en-GB" w:eastAsia="en-US"/>
              </w:rPr>
              <w:t>, the average value of koruna exchange rate per euro attained 2</w:t>
            </w:r>
            <w:r w:rsidR="007A6A6E" w:rsidRPr="00D160FB">
              <w:rPr>
                <w:spacing w:val="-2"/>
                <w:lang w:val="en-GB" w:eastAsia="en-US"/>
              </w:rPr>
              <w:t>4</w:t>
            </w:r>
            <w:r w:rsidR="00B20F55" w:rsidRPr="00D160FB">
              <w:rPr>
                <w:spacing w:val="-2"/>
                <w:lang w:val="en-GB" w:eastAsia="en-US"/>
              </w:rPr>
              <w:t>.3</w:t>
            </w:r>
            <w:r w:rsidR="007A6A6E" w:rsidRPr="00D160FB">
              <w:rPr>
                <w:spacing w:val="-2"/>
                <w:lang w:val="en-GB" w:eastAsia="en-US"/>
              </w:rPr>
              <w:t xml:space="preserve">9 CZK/EUR. </w:t>
            </w:r>
            <w:r w:rsidRPr="00D160FB">
              <w:rPr>
                <w:spacing w:val="-2"/>
                <w:lang w:val="en-GB" w:eastAsia="en-US"/>
              </w:rPr>
              <w:t xml:space="preserve">Koruna appreciated per euro by </w:t>
            </w:r>
            <w:r w:rsidR="007A6A6E" w:rsidRPr="00D160FB">
              <w:rPr>
                <w:spacing w:val="-2"/>
                <w:lang w:val="en-GB" w:eastAsia="en-US"/>
              </w:rPr>
              <w:t>3</w:t>
            </w:r>
            <w:r w:rsidRPr="00D160FB">
              <w:rPr>
                <w:spacing w:val="-2"/>
                <w:lang w:val="en-GB" w:eastAsia="en-US"/>
              </w:rPr>
              <w:t>.</w:t>
            </w:r>
            <w:r w:rsidR="007A6A6E" w:rsidRPr="00D160FB">
              <w:rPr>
                <w:spacing w:val="-2"/>
                <w:lang w:val="en-GB" w:eastAsia="en-US"/>
              </w:rPr>
              <w:t>9%</w:t>
            </w:r>
            <w:r w:rsidRPr="00D160FB">
              <w:rPr>
                <w:spacing w:val="-2"/>
                <w:lang w:val="en-GB" w:eastAsia="en-US"/>
              </w:rPr>
              <w:t xml:space="preserve"> year-on-year</w:t>
            </w:r>
            <w:r w:rsidR="007A6A6E" w:rsidRPr="00D160FB">
              <w:rPr>
                <w:spacing w:val="-2"/>
                <w:lang w:val="en-GB" w:eastAsia="en-US"/>
              </w:rPr>
              <w:t xml:space="preserve">. </w:t>
            </w:r>
            <w:r w:rsidR="006407EB" w:rsidRPr="00D160FB">
              <w:rPr>
                <w:spacing w:val="-2"/>
                <w:lang w:val="en-GB" w:eastAsia="en-US"/>
              </w:rPr>
              <w:t xml:space="preserve">The rate was by </w:t>
            </w:r>
            <w:r w:rsidR="007A6A6E" w:rsidRPr="00D160FB">
              <w:rPr>
                <w:spacing w:val="-2"/>
                <w:lang w:val="en-GB" w:eastAsia="en-US"/>
              </w:rPr>
              <w:t>0</w:t>
            </w:r>
            <w:r w:rsidR="006407EB" w:rsidRPr="00D160FB">
              <w:rPr>
                <w:spacing w:val="-2"/>
                <w:lang w:val="en-GB" w:eastAsia="en-US"/>
              </w:rPr>
              <w:t>.</w:t>
            </w:r>
            <w:r w:rsidR="007A6A6E" w:rsidRPr="00D160FB">
              <w:rPr>
                <w:spacing w:val="-2"/>
                <w:lang w:val="en-GB" w:eastAsia="en-US"/>
              </w:rPr>
              <w:t>8%</w:t>
            </w:r>
            <w:r w:rsidR="006407EB" w:rsidRPr="00D160FB">
              <w:rPr>
                <w:spacing w:val="-2"/>
                <w:lang w:val="en-GB" w:eastAsia="en-US"/>
              </w:rPr>
              <w:t xml:space="preserve"> stronger quarter-on-quarter</w:t>
            </w:r>
            <w:r w:rsidR="007A6A6E" w:rsidRPr="00D160FB">
              <w:rPr>
                <w:spacing w:val="-2"/>
                <w:lang w:val="en-GB" w:eastAsia="en-US"/>
              </w:rPr>
              <w:t xml:space="preserve">. </w:t>
            </w:r>
            <w:r w:rsidR="006C1FD3" w:rsidRPr="00D160FB">
              <w:rPr>
                <w:spacing w:val="-2"/>
                <w:lang w:val="en-GB" w:eastAsia="en-US"/>
              </w:rPr>
              <w:t xml:space="preserve">The development was more turbulent for the koruna foreign exchange per dollar. </w:t>
            </w:r>
            <w:r w:rsidR="007A6A6E" w:rsidRPr="00D160FB">
              <w:rPr>
                <w:spacing w:val="-2"/>
                <w:lang w:val="en-GB" w:eastAsia="en-US"/>
              </w:rPr>
              <w:t>Koruna</w:t>
            </w:r>
            <w:r w:rsidR="006C1FD3" w:rsidRPr="00D160FB">
              <w:rPr>
                <w:spacing w:val="-2"/>
                <w:lang w:val="en-GB" w:eastAsia="en-US"/>
              </w:rPr>
              <w:t xml:space="preserve"> followed a weakening trend apart from temporary exceptions since the beginning of the year</w:t>
            </w:r>
            <w:r w:rsidR="007A6A6E" w:rsidRPr="00D160FB">
              <w:rPr>
                <w:spacing w:val="-2"/>
                <w:lang w:val="en-GB" w:eastAsia="en-US"/>
              </w:rPr>
              <w:t>,</w:t>
            </w:r>
            <w:r w:rsidR="006C1FD3" w:rsidRPr="00D160FB">
              <w:rPr>
                <w:spacing w:val="-2"/>
                <w:lang w:val="en-GB" w:eastAsia="en-US"/>
              </w:rPr>
              <w:t xml:space="preserve"> which peaked at the turn of Q3 and </w:t>
            </w:r>
            <w:r w:rsidR="007A6A6E" w:rsidRPr="00D160FB">
              <w:rPr>
                <w:spacing w:val="-2"/>
                <w:lang w:val="en-GB" w:eastAsia="en-US"/>
              </w:rPr>
              <w:t>4.</w:t>
            </w:r>
            <w:r w:rsidR="006C1FD3" w:rsidRPr="00D160FB">
              <w:rPr>
                <w:spacing w:val="-2"/>
                <w:lang w:val="en-GB" w:eastAsia="en-US"/>
              </w:rPr>
              <w:t xml:space="preserve"> </w:t>
            </w:r>
            <w:r w:rsidR="006E0F83" w:rsidRPr="00D160FB">
              <w:rPr>
                <w:spacing w:val="-2"/>
                <w:lang w:val="en-GB" w:eastAsia="en-US"/>
              </w:rPr>
              <w:t xml:space="preserve">Considerable strengthening from the level above </w:t>
            </w:r>
            <w:r w:rsidR="007A6A6E" w:rsidRPr="00D160FB">
              <w:rPr>
                <w:spacing w:val="-2"/>
                <w:lang w:val="en-GB" w:eastAsia="en-US"/>
              </w:rPr>
              <w:t>25</w:t>
            </w:r>
            <w:r w:rsidR="006E0F83" w:rsidRPr="00D160FB">
              <w:rPr>
                <w:spacing w:val="-2"/>
                <w:lang w:val="en-GB" w:eastAsia="en-US"/>
              </w:rPr>
              <w:t xml:space="preserve"> koruna per dollar to </w:t>
            </w:r>
            <w:r w:rsidR="007A6A6E" w:rsidRPr="00D160FB">
              <w:rPr>
                <w:spacing w:val="-2"/>
                <w:lang w:val="en-GB" w:eastAsia="en-US"/>
              </w:rPr>
              <w:t>23</w:t>
            </w:r>
            <w:r w:rsidR="006E0F83" w:rsidRPr="00D160FB">
              <w:rPr>
                <w:spacing w:val="-2"/>
                <w:lang w:val="en-GB" w:eastAsia="en-US"/>
              </w:rPr>
              <w:t>.</w:t>
            </w:r>
            <w:r w:rsidR="007A6A6E" w:rsidRPr="00D160FB">
              <w:rPr>
                <w:spacing w:val="-2"/>
                <w:lang w:val="en-GB" w:eastAsia="en-US"/>
              </w:rPr>
              <w:t>50</w:t>
            </w:r>
            <w:r w:rsidR="006E0F83" w:rsidRPr="00D160FB">
              <w:rPr>
                <w:spacing w:val="-2"/>
                <w:lang w:val="en-GB" w:eastAsia="en-US"/>
              </w:rPr>
              <w:t xml:space="preserve"> koruna occurred </w:t>
            </w:r>
            <w:r w:rsidR="00302924" w:rsidRPr="00D160FB">
              <w:rPr>
                <w:spacing w:val="-2"/>
                <w:lang w:val="en-GB" w:eastAsia="en-US"/>
              </w:rPr>
              <w:t>during November</w:t>
            </w:r>
            <w:r w:rsidR="007A6A6E" w:rsidRPr="00D160FB">
              <w:rPr>
                <w:spacing w:val="-2"/>
                <w:lang w:val="en-GB" w:eastAsia="en-US"/>
              </w:rPr>
              <w:t xml:space="preserve">. </w:t>
            </w:r>
            <w:r w:rsidR="006E0F83" w:rsidRPr="00D160FB">
              <w:rPr>
                <w:spacing w:val="-2"/>
                <w:lang w:val="en-GB" w:eastAsia="en-US"/>
              </w:rPr>
              <w:t xml:space="preserve">The foreign exchange fell to </w:t>
            </w:r>
            <w:r w:rsidR="007A6A6E" w:rsidRPr="00D160FB">
              <w:rPr>
                <w:spacing w:val="-2"/>
                <w:lang w:val="en-GB" w:eastAsia="en-US"/>
              </w:rPr>
              <w:t>22</w:t>
            </w:r>
            <w:r w:rsidR="006E0F83" w:rsidRPr="00D160FB">
              <w:rPr>
                <w:spacing w:val="-2"/>
                <w:lang w:val="en-GB" w:eastAsia="en-US"/>
              </w:rPr>
              <w:t>.</w:t>
            </w:r>
            <w:r w:rsidR="007A6A6E" w:rsidRPr="00D160FB">
              <w:rPr>
                <w:spacing w:val="-2"/>
                <w:lang w:val="en-GB" w:eastAsia="en-US"/>
              </w:rPr>
              <w:t>62 CZK/USD</w:t>
            </w:r>
            <w:r w:rsidR="00302924" w:rsidRPr="00D160FB">
              <w:rPr>
                <w:spacing w:val="-2"/>
                <w:lang w:val="en-GB" w:eastAsia="en-US"/>
              </w:rPr>
              <w:t xml:space="preserve"> till the end of December, which is still lower level than at the beginning of the year </w:t>
            </w:r>
            <w:r w:rsidR="007A6A6E" w:rsidRPr="00D160FB">
              <w:rPr>
                <w:spacing w:val="-2"/>
                <w:lang w:val="en-GB" w:eastAsia="en-US"/>
              </w:rPr>
              <w:t>(</w:t>
            </w:r>
            <w:r w:rsidR="00302924" w:rsidRPr="00D160FB">
              <w:rPr>
                <w:spacing w:val="-2"/>
                <w:lang w:val="en-GB" w:eastAsia="en-US"/>
              </w:rPr>
              <w:t xml:space="preserve">the highest value was </w:t>
            </w:r>
            <w:r w:rsidR="007A6A6E" w:rsidRPr="00D160FB">
              <w:rPr>
                <w:spacing w:val="-2"/>
                <w:lang w:val="en-GB" w:eastAsia="en-US"/>
              </w:rPr>
              <w:t>21</w:t>
            </w:r>
            <w:r w:rsidR="00302924" w:rsidRPr="00D160FB">
              <w:rPr>
                <w:spacing w:val="-2"/>
                <w:lang w:val="en-GB" w:eastAsia="en-US"/>
              </w:rPr>
              <w:t>.</w:t>
            </w:r>
            <w:r w:rsidR="007A6A6E" w:rsidRPr="00D160FB">
              <w:rPr>
                <w:spacing w:val="-2"/>
                <w:lang w:val="en-GB" w:eastAsia="en-US"/>
              </w:rPr>
              <w:t>18 CZK/USD</w:t>
            </w:r>
            <w:r w:rsidR="00302924" w:rsidRPr="00D160FB">
              <w:rPr>
                <w:spacing w:val="-2"/>
                <w:lang w:val="en-GB" w:eastAsia="en-US"/>
              </w:rPr>
              <w:t xml:space="preserve"> in February</w:t>
            </w:r>
            <w:r w:rsidR="007A6A6E" w:rsidRPr="00D160FB">
              <w:rPr>
                <w:spacing w:val="-2"/>
                <w:lang w:val="en-GB" w:eastAsia="en-US"/>
              </w:rPr>
              <w:t>).</w:t>
            </w:r>
            <w:r w:rsidR="00302924" w:rsidRPr="00D160FB">
              <w:rPr>
                <w:spacing w:val="-2"/>
                <w:lang w:val="en-GB" w:eastAsia="en-US"/>
              </w:rPr>
              <w:t xml:space="preserve"> The average for the whole Q</w:t>
            </w:r>
            <w:r w:rsidR="007A6A6E" w:rsidRPr="00D160FB">
              <w:rPr>
                <w:spacing w:val="-2"/>
                <w:lang w:val="en-GB" w:eastAsia="en-US"/>
              </w:rPr>
              <w:t>4</w:t>
            </w:r>
            <w:r w:rsidR="00302924" w:rsidRPr="00D160FB">
              <w:rPr>
                <w:spacing w:val="-2"/>
                <w:lang w:val="en-GB" w:eastAsia="en-US"/>
              </w:rPr>
              <w:t xml:space="preserve"> was </w:t>
            </w:r>
            <w:r w:rsidR="007A6A6E" w:rsidRPr="00D160FB">
              <w:rPr>
                <w:spacing w:val="-2"/>
                <w:lang w:val="en-GB" w:eastAsia="en-US"/>
              </w:rPr>
              <w:t>23</w:t>
            </w:r>
            <w:r w:rsidR="00302924" w:rsidRPr="00D160FB">
              <w:rPr>
                <w:spacing w:val="-2"/>
                <w:lang w:val="en-GB" w:eastAsia="en-US"/>
              </w:rPr>
              <w:t>.</w:t>
            </w:r>
            <w:r w:rsidR="007A6A6E" w:rsidRPr="00D160FB">
              <w:rPr>
                <w:spacing w:val="-2"/>
                <w:lang w:val="en-GB" w:eastAsia="en-US"/>
              </w:rPr>
              <w:t>92 CZK/USD,</w:t>
            </w:r>
            <w:r w:rsidR="00302924" w:rsidRPr="00D160FB">
              <w:rPr>
                <w:spacing w:val="-2"/>
                <w:lang w:val="en-GB" w:eastAsia="en-US"/>
              </w:rPr>
              <w:t xml:space="preserve"> which represents year-on-year weakening by </w:t>
            </w:r>
            <w:r w:rsidR="007A6A6E" w:rsidRPr="00D160FB">
              <w:rPr>
                <w:spacing w:val="-2"/>
                <w:lang w:val="en-GB" w:eastAsia="en-US"/>
              </w:rPr>
              <w:t>7</w:t>
            </w:r>
            <w:r w:rsidR="00302924" w:rsidRPr="00D160FB">
              <w:rPr>
                <w:spacing w:val="-2"/>
                <w:lang w:val="en-GB" w:eastAsia="en-US"/>
              </w:rPr>
              <w:t>.</w:t>
            </w:r>
            <w:r w:rsidR="007A6A6E" w:rsidRPr="00D160FB">
              <w:rPr>
                <w:spacing w:val="-2"/>
                <w:lang w:val="en-GB" w:eastAsia="en-US"/>
              </w:rPr>
              <w:t>8%</w:t>
            </w:r>
            <w:r w:rsidR="00302924" w:rsidRPr="00D160FB">
              <w:rPr>
                <w:spacing w:val="-2"/>
                <w:lang w:val="en-GB" w:eastAsia="en-US"/>
              </w:rPr>
              <w:t xml:space="preserve"> and quart</w:t>
            </w:r>
            <w:r w:rsidR="00E93E65">
              <w:rPr>
                <w:spacing w:val="-2"/>
                <w:lang w:val="en-GB" w:eastAsia="en-US"/>
              </w:rPr>
              <w:t>er-on-year</w:t>
            </w:r>
            <w:r w:rsidR="00302924" w:rsidRPr="00D160FB">
              <w:rPr>
                <w:spacing w:val="-2"/>
                <w:lang w:val="en-GB" w:eastAsia="en-US"/>
              </w:rPr>
              <w:t xml:space="preserve"> strengthening by </w:t>
            </w:r>
            <w:r w:rsidR="007A6A6E" w:rsidRPr="00D160FB">
              <w:rPr>
                <w:spacing w:val="-2"/>
                <w:lang w:val="en-GB" w:eastAsia="en-US"/>
              </w:rPr>
              <w:t>2</w:t>
            </w:r>
            <w:r w:rsidR="00302924" w:rsidRPr="00D160FB">
              <w:rPr>
                <w:spacing w:val="-2"/>
                <w:lang w:val="en-GB" w:eastAsia="en-US"/>
              </w:rPr>
              <w:t>.</w:t>
            </w:r>
            <w:r w:rsidR="007A6A6E" w:rsidRPr="00D160FB">
              <w:rPr>
                <w:spacing w:val="-2"/>
                <w:lang w:val="en-GB" w:eastAsia="en-US"/>
              </w:rPr>
              <w:t>0%.</w:t>
            </w:r>
          </w:p>
        </w:tc>
      </w:tr>
      <w:tr w:rsidR="00435DE8" w:rsidRPr="00D160FB" w14:paraId="13FC845E" w14:textId="77777777" w:rsidTr="00435DE8">
        <w:trPr>
          <w:trHeight w:val="142"/>
        </w:trPr>
        <w:tc>
          <w:tcPr>
            <w:tcW w:w="1802" w:type="dxa"/>
            <w:vMerge w:val="restart"/>
          </w:tcPr>
          <w:p w14:paraId="5E8344E4" w14:textId="77777777" w:rsidR="00435DE8" w:rsidRPr="00D160FB" w:rsidRDefault="00435DE8" w:rsidP="00435DE8">
            <w:pPr>
              <w:pStyle w:val="Marginlie"/>
              <w:rPr>
                <w:lang w:val="en-GB" w:eastAsia="en-US"/>
              </w:rPr>
            </w:pPr>
          </w:p>
        </w:tc>
        <w:tc>
          <w:tcPr>
            <w:tcW w:w="229" w:type="dxa"/>
            <w:vMerge w:val="restart"/>
          </w:tcPr>
          <w:p w14:paraId="6CF6D822" w14:textId="77777777" w:rsidR="00435DE8" w:rsidRPr="00D160FB" w:rsidRDefault="00435DE8" w:rsidP="00435DE8">
            <w:pPr>
              <w:pStyle w:val="Textpoznpodarou"/>
              <w:jc w:val="both"/>
              <w:rPr>
                <w:spacing w:val="-4"/>
                <w:lang w:val="en-GB" w:eastAsia="en-US"/>
              </w:rPr>
            </w:pPr>
          </w:p>
        </w:tc>
        <w:tc>
          <w:tcPr>
            <w:tcW w:w="7610" w:type="dxa"/>
          </w:tcPr>
          <w:p w14:paraId="54CE937A" w14:textId="63D12D23" w:rsidR="00435DE8" w:rsidRPr="00D160FB" w:rsidRDefault="00435DE8" w:rsidP="00435DE8">
            <w:pPr>
              <w:spacing w:after="0"/>
              <w:rPr>
                <w:spacing w:val="-1"/>
                <w:lang w:val="en-GB" w:eastAsia="en-US"/>
              </w:rPr>
            </w:pPr>
            <w:r w:rsidRPr="00D160FB">
              <w:rPr>
                <w:rFonts w:cs="Arial"/>
                <w:b/>
                <w:bCs/>
                <w:color w:val="000000"/>
                <w:szCs w:val="20"/>
                <w:lang w:val="en-GB" w:eastAsia="en-US"/>
              </w:rPr>
              <w:t xml:space="preserve">Chart 17 Market interest rates </w:t>
            </w:r>
            <w:r w:rsidRPr="00D160FB">
              <w:rPr>
                <w:bCs/>
                <w:spacing w:val="-4"/>
                <w:szCs w:val="20"/>
                <w:lang w:val="en-GB" w:eastAsia="en-US"/>
              </w:rPr>
              <w:t>(in %)</w:t>
            </w:r>
          </w:p>
        </w:tc>
      </w:tr>
      <w:tr w:rsidR="00435DE8" w:rsidRPr="00D160FB" w14:paraId="4D95996E" w14:textId="77777777" w:rsidTr="00435DE8">
        <w:trPr>
          <w:trHeight w:val="142"/>
        </w:trPr>
        <w:tc>
          <w:tcPr>
            <w:tcW w:w="1802" w:type="dxa"/>
            <w:vMerge/>
          </w:tcPr>
          <w:p w14:paraId="7619F08D" w14:textId="77777777" w:rsidR="00435DE8" w:rsidRPr="00D160FB" w:rsidRDefault="00435DE8" w:rsidP="00435DE8">
            <w:pPr>
              <w:pStyle w:val="Marginlie"/>
              <w:rPr>
                <w:lang w:val="en-GB" w:eastAsia="en-US"/>
              </w:rPr>
            </w:pPr>
          </w:p>
        </w:tc>
        <w:tc>
          <w:tcPr>
            <w:tcW w:w="229" w:type="dxa"/>
            <w:vMerge/>
          </w:tcPr>
          <w:p w14:paraId="5C2E51F3" w14:textId="77777777" w:rsidR="00435DE8" w:rsidRPr="00D160FB" w:rsidRDefault="00435DE8" w:rsidP="00435DE8">
            <w:pPr>
              <w:pStyle w:val="Textpoznpodarou"/>
              <w:jc w:val="both"/>
              <w:rPr>
                <w:spacing w:val="-4"/>
                <w:lang w:val="en-GB" w:eastAsia="en-US"/>
              </w:rPr>
            </w:pPr>
          </w:p>
        </w:tc>
        <w:tc>
          <w:tcPr>
            <w:tcW w:w="7610" w:type="dxa"/>
          </w:tcPr>
          <w:p w14:paraId="780AB383" w14:textId="6ABD8615" w:rsidR="00435DE8" w:rsidRPr="00D160FB" w:rsidRDefault="00435DE8" w:rsidP="00435DE8">
            <w:pPr>
              <w:spacing w:after="0"/>
              <w:rPr>
                <w:spacing w:val="-1"/>
                <w:lang w:val="en-GB" w:eastAsia="en-US"/>
              </w:rPr>
            </w:pPr>
            <w:r>
              <w:rPr>
                <w:noProof/>
              </w:rPr>
              <w:drawing>
                <wp:inline distT="0" distB="0" distL="0" distR="0" wp14:anchorId="03CDC2D4" wp14:editId="07B7E169">
                  <wp:extent cx="4737600" cy="3384925"/>
                  <wp:effectExtent l="0" t="0" r="6350" b="6350"/>
                  <wp:docPr id="2008491088" name="Graf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35DE8" w:rsidRPr="00D160FB" w14:paraId="6D1EB2EE" w14:textId="77777777" w:rsidTr="00435DE8">
        <w:trPr>
          <w:trHeight w:val="142"/>
        </w:trPr>
        <w:tc>
          <w:tcPr>
            <w:tcW w:w="1802" w:type="dxa"/>
            <w:vMerge/>
          </w:tcPr>
          <w:p w14:paraId="7F2C0013" w14:textId="77777777" w:rsidR="00435DE8" w:rsidRPr="00D160FB" w:rsidRDefault="00435DE8" w:rsidP="00435DE8">
            <w:pPr>
              <w:pStyle w:val="Marginlie"/>
              <w:rPr>
                <w:lang w:val="en-GB" w:eastAsia="en-US"/>
              </w:rPr>
            </w:pPr>
          </w:p>
        </w:tc>
        <w:tc>
          <w:tcPr>
            <w:tcW w:w="229" w:type="dxa"/>
            <w:vMerge/>
          </w:tcPr>
          <w:p w14:paraId="560BE76A" w14:textId="77777777" w:rsidR="00435DE8" w:rsidRPr="00D160FB" w:rsidRDefault="00435DE8" w:rsidP="00435DE8">
            <w:pPr>
              <w:pStyle w:val="Textpoznpodarou"/>
              <w:jc w:val="both"/>
              <w:rPr>
                <w:spacing w:val="-4"/>
                <w:lang w:val="en-GB" w:eastAsia="en-US"/>
              </w:rPr>
            </w:pPr>
          </w:p>
        </w:tc>
        <w:tc>
          <w:tcPr>
            <w:tcW w:w="7610" w:type="dxa"/>
          </w:tcPr>
          <w:p w14:paraId="21B9B9EE" w14:textId="344F3AEF" w:rsidR="00435DE8" w:rsidRPr="00D160FB" w:rsidRDefault="00435DE8" w:rsidP="00435DE8">
            <w:pPr>
              <w:rPr>
                <w:spacing w:val="-1"/>
                <w:lang w:val="en-GB" w:eastAsia="en-US"/>
              </w:rPr>
            </w:pPr>
            <w:r w:rsidRPr="00D160FB">
              <w:rPr>
                <w:sz w:val="14"/>
                <w:szCs w:val="14"/>
                <w:lang w:val="en-GB" w:eastAsia="en-US"/>
              </w:rPr>
              <w:t>Source: CNB</w:t>
            </w:r>
          </w:p>
        </w:tc>
      </w:tr>
      <w:tr w:rsidR="00435DE8" w:rsidRPr="00D160FB" w14:paraId="21674348" w14:textId="77777777" w:rsidTr="00435DE8">
        <w:trPr>
          <w:trHeight w:val="145"/>
        </w:trPr>
        <w:tc>
          <w:tcPr>
            <w:tcW w:w="1802" w:type="dxa"/>
          </w:tcPr>
          <w:p w14:paraId="09E133E3" w14:textId="254BF488" w:rsidR="00435DE8" w:rsidRPr="00D160FB" w:rsidRDefault="00435DE8" w:rsidP="00435DE8">
            <w:pPr>
              <w:pStyle w:val="Marginlie"/>
              <w:rPr>
                <w:lang w:val="en-GB" w:eastAsia="en-US"/>
              </w:rPr>
            </w:pPr>
            <w:r w:rsidRPr="00D160FB">
              <w:rPr>
                <w:lang w:val="en-GB" w:eastAsia="en-US"/>
              </w:rPr>
              <w:t xml:space="preserve">Bond yields were falling at the end of the year. </w:t>
            </w:r>
          </w:p>
        </w:tc>
        <w:tc>
          <w:tcPr>
            <w:tcW w:w="229" w:type="dxa"/>
          </w:tcPr>
          <w:p w14:paraId="1F9054BF" w14:textId="77777777" w:rsidR="00435DE8" w:rsidRPr="00D160FB" w:rsidRDefault="00435DE8" w:rsidP="00435DE8">
            <w:pPr>
              <w:pStyle w:val="Textpoznpodarou"/>
              <w:jc w:val="both"/>
              <w:rPr>
                <w:spacing w:val="-4"/>
                <w:lang w:val="en-GB" w:eastAsia="en-US"/>
              </w:rPr>
            </w:pPr>
          </w:p>
        </w:tc>
        <w:tc>
          <w:tcPr>
            <w:tcW w:w="7610" w:type="dxa"/>
          </w:tcPr>
          <w:p w14:paraId="7F0FEF96" w14:textId="3B471857" w:rsidR="00435DE8" w:rsidRPr="00D160FB" w:rsidRDefault="00435DE8" w:rsidP="00435DE8">
            <w:pPr>
              <w:rPr>
                <w:spacing w:val="-1"/>
                <w:lang w:val="en-GB" w:eastAsia="en-US"/>
              </w:rPr>
            </w:pPr>
            <w:r w:rsidRPr="00D160FB">
              <w:rPr>
                <w:spacing w:val="-1"/>
                <w:lang w:val="en-GB" w:eastAsia="en-US"/>
              </w:rPr>
              <w:t>Rates of the interbank market imitated the development of the monetary policy-relevant rates and kept a stable level since July. The three months PRIBOR rate ended the year 2022 at the value of 7.26%. Certain expectations of future decrease of monetary policy-relevant rates were evident on the six-month and annual PRIBOR rate, which slightly dropped in the last months of year 2022 (the annual rate more perceptibly – from 7.44% at the end of September to 7.28% at the end of December). Bond yields markedly increased in the first half of the last year but were falling in Q4. The average interest in case of short-term bonds lowered the most (−0.71 p.p.</w:t>
            </w:r>
            <w:r w:rsidRPr="00D160FB">
              <w:rPr>
                <w:rStyle w:val="Znakapoznpodarou"/>
                <w:spacing w:val="-1"/>
                <w:lang w:val="en-GB" w:eastAsia="en-US"/>
              </w:rPr>
              <w:footnoteReference w:id="2"/>
            </w:r>
            <w:r w:rsidRPr="00D160FB">
              <w:rPr>
                <w:spacing w:val="-1"/>
                <w:lang w:val="en-GB" w:eastAsia="en-US"/>
              </w:rPr>
              <w:t xml:space="preserve">), nevertheless they still </w:t>
            </w:r>
            <w:r w:rsidRPr="00D160FB">
              <w:rPr>
                <w:spacing w:val="-1"/>
                <w:lang w:val="en-GB" w:eastAsia="en-US"/>
              </w:rPr>
              <w:lastRenderedPageBreak/>
              <w:t xml:space="preserve">maintained the highest level of interest, when they finished the year at 5.38%. Medium-term bonds held interests 4.73% (–0.16 p.p.) and long-term 4.47% (–0.01 p.p.) at the end of December.   </w:t>
            </w:r>
          </w:p>
        </w:tc>
      </w:tr>
      <w:tr w:rsidR="00435DE8" w:rsidRPr="00D160FB" w14:paraId="1BD86ABB" w14:textId="77777777" w:rsidTr="00435DE8">
        <w:trPr>
          <w:trHeight w:val="145"/>
        </w:trPr>
        <w:tc>
          <w:tcPr>
            <w:tcW w:w="1802" w:type="dxa"/>
            <w:hideMark/>
          </w:tcPr>
          <w:p w14:paraId="118CE951" w14:textId="6C11FDA2" w:rsidR="00435DE8" w:rsidRPr="00D160FB" w:rsidRDefault="00435DE8" w:rsidP="00435DE8">
            <w:pPr>
              <w:pStyle w:val="Marginlie"/>
              <w:rPr>
                <w:lang w:val="en-GB" w:eastAsia="en-US"/>
              </w:rPr>
            </w:pPr>
            <w:r w:rsidRPr="00D160FB">
              <w:rPr>
                <w:lang w:val="en-GB" w:eastAsia="en-US"/>
              </w:rPr>
              <w:lastRenderedPageBreak/>
              <w:t xml:space="preserve">Volume of non-term deposits, which savers transferred to term accounts, reduced last year. </w:t>
            </w:r>
          </w:p>
        </w:tc>
        <w:tc>
          <w:tcPr>
            <w:tcW w:w="229" w:type="dxa"/>
          </w:tcPr>
          <w:p w14:paraId="65DF78D4" w14:textId="77777777" w:rsidR="00435DE8" w:rsidRPr="00D160FB" w:rsidRDefault="00435DE8" w:rsidP="00435DE8">
            <w:pPr>
              <w:pStyle w:val="Textpoznpodarou"/>
              <w:jc w:val="both"/>
              <w:rPr>
                <w:spacing w:val="-4"/>
                <w:lang w:val="en-GB" w:eastAsia="en-US"/>
              </w:rPr>
            </w:pPr>
          </w:p>
        </w:tc>
        <w:tc>
          <w:tcPr>
            <w:tcW w:w="7610" w:type="dxa"/>
          </w:tcPr>
          <w:p w14:paraId="492B43E4" w14:textId="78664C2E" w:rsidR="00435DE8" w:rsidRPr="00D160FB" w:rsidRDefault="00435DE8" w:rsidP="00435DE8">
            <w:pPr>
              <w:rPr>
                <w:spacing w:val="-3"/>
                <w:lang w:val="en-GB" w:eastAsia="en-US"/>
              </w:rPr>
            </w:pPr>
            <w:r w:rsidRPr="00D160FB">
              <w:rPr>
                <w:spacing w:val="-3"/>
                <w:lang w:val="en-GB" w:eastAsia="en-US"/>
              </w:rPr>
              <w:t xml:space="preserve">Interest on client accounts gradually climbed up during the year. One-day deposits of households held average interest 1.33% towards the end of the year (increase by 1.04 p.p. year-on-year and 0.26 p.p. since the end of September). </w:t>
            </w:r>
            <w:r>
              <w:rPr>
                <w:spacing w:val="-3"/>
                <w:lang w:val="en-GB" w:eastAsia="en-US"/>
              </w:rPr>
              <w:t>Small shift occurred</w:t>
            </w:r>
            <w:r w:rsidRPr="00D160FB">
              <w:rPr>
                <w:spacing w:val="-3"/>
                <w:lang w:val="en-GB" w:eastAsia="en-US"/>
              </w:rPr>
              <w:t xml:space="preserve"> also on the current accounts, where the interest rates remained at zero for the several last years (by +0.16 p.p. year-on-year to 0.22% at the end of December 2022). Largest increase was observed in case of interest rates on deposits with agreed maturity last year, mainly for the maturity below two years. The average interest rate on deposits with agreed maturity attained 6.0% at the end of year 2022 and it increased by 3.68 p.p. year-on-year. In total rates rather stagnated (−0.08 p.p.) here quarter-on-quarter, which can be ascribed to deposits with maturity below one year, which comprise the largest proportion among population. On the contrary, the rates grew quarter-on-quarter for longer maturities. Current accounts of non-financial businesses bore interest on average 0.81% at the end of the year (year-on-year +0.61 p.p., quarter-on-quarter –0.07 p.p.). The average rate of their deposits with agreed maturity was 5.78% (+3.31 p.p. year-on-year). Rate dropped by 0.67 p.p. quarter-on-quarter. The volume of non-term deposits was falling completely uncharacteristically for the entire last year, with savers likely transferring funds to term deposits. The total volume of deposits was by 356.6 CZK bn higher year-on-year at the end of year 2022. In that however non-term deposits dropped by 315.4 CZK bn and on the contrary the term deposits expanded by 671.9 bn. Households</w:t>
            </w:r>
            <w:r w:rsidRPr="00D160FB">
              <w:rPr>
                <w:rStyle w:val="Znakapoznpodarou"/>
                <w:spacing w:val="-3"/>
                <w:lang w:val="en-GB" w:eastAsia="en-US"/>
              </w:rPr>
              <w:footnoteReference w:id="3"/>
            </w:r>
            <w:r w:rsidRPr="00D160FB">
              <w:rPr>
                <w:spacing w:val="-3"/>
                <w:lang w:val="en-GB" w:eastAsia="en-US"/>
              </w:rPr>
              <w:t xml:space="preserve"> shared the most in the described increase (+131.8 CZK bn), followed by financial institutions (+104.3 bn), government institutions (+73.3 bn) and non-financial businesses (+58.1 bn). Deposits of non-residents fell by 16.6 CZK bn year-on-year.     </w:t>
            </w:r>
          </w:p>
        </w:tc>
      </w:tr>
      <w:tr w:rsidR="00435DE8" w:rsidRPr="00D160FB" w14:paraId="70020B78" w14:textId="77777777" w:rsidTr="00435DE8">
        <w:trPr>
          <w:trHeight w:val="145"/>
        </w:trPr>
        <w:tc>
          <w:tcPr>
            <w:tcW w:w="1802" w:type="dxa"/>
          </w:tcPr>
          <w:p w14:paraId="588346CC" w14:textId="37ACCBAF" w:rsidR="00435DE8" w:rsidRPr="00D160FB" w:rsidRDefault="00435DE8" w:rsidP="00435DE8">
            <w:pPr>
              <w:pStyle w:val="Marginlie"/>
              <w:rPr>
                <w:lang w:val="en-GB" w:eastAsia="en-US"/>
              </w:rPr>
            </w:pPr>
            <w:r w:rsidRPr="00D160FB">
              <w:rPr>
                <w:lang w:val="en-GB" w:eastAsia="en-US"/>
              </w:rPr>
              <w:t xml:space="preserve">Credit interest rates went swiftly up. </w:t>
            </w:r>
          </w:p>
        </w:tc>
        <w:tc>
          <w:tcPr>
            <w:tcW w:w="229" w:type="dxa"/>
          </w:tcPr>
          <w:p w14:paraId="3F3FE929" w14:textId="77777777" w:rsidR="00435DE8" w:rsidRPr="00D160FB" w:rsidRDefault="00435DE8" w:rsidP="00435DE8">
            <w:pPr>
              <w:pStyle w:val="Textpoznpodarou"/>
              <w:jc w:val="both"/>
              <w:rPr>
                <w:spacing w:val="-4"/>
                <w:lang w:val="en-GB" w:eastAsia="en-US"/>
              </w:rPr>
            </w:pPr>
          </w:p>
        </w:tc>
        <w:tc>
          <w:tcPr>
            <w:tcW w:w="7610" w:type="dxa"/>
          </w:tcPr>
          <w:p w14:paraId="11E096B3" w14:textId="25B0B742" w:rsidR="00435DE8" w:rsidRPr="00D160FB" w:rsidRDefault="00435DE8" w:rsidP="00435DE8">
            <w:pPr>
              <w:rPr>
                <w:lang w:val="en-GB" w:eastAsia="en-US"/>
              </w:rPr>
            </w:pPr>
            <w:r w:rsidRPr="00D160FB">
              <w:rPr>
                <w:lang w:val="en-GB" w:eastAsia="en-US"/>
              </w:rPr>
              <w:t>Credit financing kept becoming more expensive last year. Household consumption credit bore interest on average 9.66% at the end of the year, which presented a year-on-year increase of 1.75 p.p. and quarter-on-quarter stagnation (–0.04 p.p.). The volume of consumer credit was by 7.3% higher year-on-year at the end of the year. It is relatively solid increase, which however lagged behind the price growth. The average interest rate of mortgages was by 1.96 p.p. higher year-on-year at the end of the last year (4.88%). The year-on-year dynamics of mortgages thus continued in decline. Volume of provided mortgage credit was by 4.8% higher year-on-year at the end of the year, which is the smallest increase since Q2 2013. Volume of new mortgage credit</w:t>
            </w:r>
            <w:r w:rsidRPr="00D160FB">
              <w:rPr>
                <w:rStyle w:val="Znakapoznpodarou"/>
                <w:lang w:val="en-GB" w:eastAsia="en-US"/>
              </w:rPr>
              <w:footnoteReference w:id="4"/>
            </w:r>
            <w:r w:rsidRPr="00D160FB">
              <w:rPr>
                <w:lang w:val="en-GB" w:eastAsia="en-US"/>
              </w:rPr>
              <w:t xml:space="preserve"> sharply plunged last year following the immense expansion from year 2021. The decrease concerned mainly net new credit. Other agreements, that is credit, where the fixation of the interest rate ended formed the majority of new credit in H2 2022.  </w:t>
            </w:r>
          </w:p>
        </w:tc>
      </w:tr>
      <w:tr w:rsidR="00435DE8" w:rsidRPr="00D160FB" w14:paraId="211E8A39" w14:textId="77777777" w:rsidTr="00435DE8">
        <w:trPr>
          <w:trHeight w:val="145"/>
        </w:trPr>
        <w:tc>
          <w:tcPr>
            <w:tcW w:w="1802" w:type="dxa"/>
          </w:tcPr>
          <w:p w14:paraId="197EEE83" w14:textId="2B0279A1" w:rsidR="00435DE8" w:rsidRPr="00D160FB" w:rsidRDefault="00435DE8" w:rsidP="00435DE8">
            <w:pPr>
              <w:pStyle w:val="Marginlie"/>
              <w:rPr>
                <w:lang w:val="en-GB" w:eastAsia="en-US"/>
              </w:rPr>
            </w:pPr>
            <w:r w:rsidRPr="00D160FB">
              <w:rPr>
                <w:lang w:val="en-GB" w:eastAsia="en-US"/>
              </w:rPr>
              <w:t xml:space="preserve">Businesses to a higher extent acquired credit in foreign currency. </w:t>
            </w:r>
          </w:p>
        </w:tc>
        <w:tc>
          <w:tcPr>
            <w:tcW w:w="229" w:type="dxa"/>
          </w:tcPr>
          <w:p w14:paraId="3590CB11" w14:textId="77777777" w:rsidR="00435DE8" w:rsidRPr="00D160FB" w:rsidRDefault="00435DE8" w:rsidP="00435DE8">
            <w:pPr>
              <w:pStyle w:val="Textpoznpodarou"/>
              <w:jc w:val="both"/>
              <w:rPr>
                <w:spacing w:val="-4"/>
                <w:lang w:val="en-GB" w:eastAsia="en-US"/>
              </w:rPr>
            </w:pPr>
          </w:p>
        </w:tc>
        <w:tc>
          <w:tcPr>
            <w:tcW w:w="7610" w:type="dxa"/>
          </w:tcPr>
          <w:p w14:paraId="0ECB1CDA" w14:textId="1A4D6842" w:rsidR="00435DE8" w:rsidRPr="00D160FB" w:rsidRDefault="00435DE8" w:rsidP="00435DE8">
            <w:pPr>
              <w:rPr>
                <w:lang w:val="en-GB" w:eastAsia="en-US"/>
              </w:rPr>
            </w:pPr>
            <w:r w:rsidRPr="00D160FB">
              <w:rPr>
                <w:lang w:val="en-GB" w:eastAsia="en-US"/>
              </w:rPr>
              <w:t>Interest rates on credit for businesses also hiked up rapidly last year. Credit with volume up to 7.5 CZK mil bore interest on average 7.54% (+2.68 p.p. year-on-year.) at the end of the year, credit between 7.5 and 30 mil had average rate 8.03% (+3.32 p.p.) and credit above 30 mil charged interest 9.17% (+4.79 p.p. year-on-year). Total volume of credit and liabilities of non-financial businesses was by 4.1% higher year-on-year at the end of December. At the same time the credit and liabilities in CZK plunged by 13.2% year-on-year, while credit in foreign currency jumped up by 36.6%</w:t>
            </w:r>
            <w:r w:rsidRPr="00D160FB">
              <w:rPr>
                <w:rStyle w:val="Znakapoznpodarou"/>
                <w:lang w:val="en-GB" w:eastAsia="en-US"/>
              </w:rPr>
              <w:footnoteReference w:id="5"/>
            </w:r>
            <w:r w:rsidRPr="00D160FB">
              <w:rPr>
                <w:lang w:val="en-GB" w:eastAsia="en-US"/>
              </w:rPr>
              <w:t xml:space="preserve">. Credit provided in financial and insurance activities (22.0%), public administration, mandatory social security, education, health and social care (10.1%), wholesale and retail, repairs and </w:t>
            </w:r>
            <w:r w:rsidRPr="00D160FB">
              <w:rPr>
                <w:lang w:val="en-GB" w:eastAsia="en-US"/>
              </w:rPr>
              <w:lastRenderedPageBreak/>
              <w:t>maintenance of motor vehicles (9.2%), construction and real estate activities (similarly by 7.1%) showed the largest year-on-year increase at the end of December. Credit for information and communication was by 11.1% lower year-on-year at the end of year 2022.</w:t>
            </w:r>
          </w:p>
        </w:tc>
      </w:tr>
    </w:tbl>
    <w:p w14:paraId="0368C492" w14:textId="77777777" w:rsidR="007A6A6E" w:rsidRPr="00D160FB" w:rsidRDefault="007A6A6E" w:rsidP="007A6A6E">
      <w:pPr>
        <w:pStyle w:val="Nadpis11"/>
        <w:rPr>
          <w:b w:val="0"/>
          <w:sz w:val="2"/>
          <w:szCs w:val="2"/>
          <w:lang w:val="en-GB"/>
        </w:rPr>
      </w:pPr>
    </w:p>
    <w:p w14:paraId="6D687C14" w14:textId="3DB28A8F" w:rsidR="001C3855" w:rsidRPr="00D160FB" w:rsidRDefault="001C3855" w:rsidP="00C15537">
      <w:pPr>
        <w:pStyle w:val="Nadpis11"/>
        <w:rPr>
          <w:sz w:val="2"/>
          <w:szCs w:val="2"/>
          <w:lang w:val="en-GB"/>
        </w:rPr>
      </w:pPr>
    </w:p>
    <w:sectPr w:rsidR="001C3855" w:rsidRPr="00D160FB" w:rsidSect="00FE13A5">
      <w:headerReference w:type="even" r:id="rId13"/>
      <w:headerReference w:type="default" r:id="rId14"/>
      <w:footerReference w:type="even" r:id="rId15"/>
      <w:footerReference w:type="default" r:id="rId16"/>
      <w:pgSz w:w="11906" w:h="16838" w:code="9"/>
      <w:pgMar w:top="1134" w:right="1134" w:bottom="1418" w:left="1134" w:header="680" w:footer="737" w:gutter="0"/>
      <w:pgNumType w:start="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275E456A" w14:textId="6B010938" w:rsidR="00E37C1C" w:rsidRPr="00E83D8D" w:rsidRDefault="00E37C1C" w:rsidP="00E83D8D">
      <w:pPr>
        <w:pStyle w:val="Textpoznpodarou"/>
        <w:jc w:val="both"/>
        <w:rPr>
          <w:sz w:val="16"/>
          <w:szCs w:val="16"/>
          <w:lang w:val="en-GB"/>
        </w:rPr>
      </w:pPr>
      <w:r w:rsidRPr="00E83D8D">
        <w:rPr>
          <w:rStyle w:val="Znakapoznpodarou"/>
          <w:sz w:val="16"/>
          <w:szCs w:val="16"/>
          <w:lang w:val="en-GB"/>
        </w:rPr>
        <w:footnoteRef/>
      </w:r>
      <w:r w:rsidRPr="00E83D8D">
        <w:rPr>
          <w:sz w:val="16"/>
          <w:szCs w:val="16"/>
          <w:lang w:val="en-GB"/>
        </w:rPr>
        <w:t xml:space="preserve"> Unless stated otherwise, the source of data in the chapter is the Czech National Bank database ARAD. Values of foreign exchange rates also stem from the CNB.</w:t>
      </w:r>
    </w:p>
  </w:footnote>
  <w:footnote w:id="2">
    <w:p w14:paraId="6699BD4F" w14:textId="2B46CA77" w:rsidR="00E37C1C" w:rsidRPr="00F919C6" w:rsidRDefault="00E37C1C" w:rsidP="00F919C6">
      <w:pPr>
        <w:pStyle w:val="Textpoznpodarou"/>
        <w:jc w:val="both"/>
        <w:rPr>
          <w:sz w:val="16"/>
          <w:szCs w:val="16"/>
          <w:lang w:val="en-GB"/>
        </w:rPr>
      </w:pPr>
      <w:r w:rsidRPr="001F5F82">
        <w:rPr>
          <w:rStyle w:val="Znakapoznpodarou"/>
          <w:sz w:val="16"/>
          <w:szCs w:val="16"/>
        </w:rPr>
        <w:footnoteRef/>
      </w:r>
      <w:r w:rsidRPr="001F5F82">
        <w:rPr>
          <w:sz w:val="16"/>
          <w:szCs w:val="16"/>
        </w:rPr>
        <w:t xml:space="preserve"> </w:t>
      </w:r>
      <w:r w:rsidRPr="00F919C6">
        <w:rPr>
          <w:sz w:val="16"/>
          <w:szCs w:val="16"/>
          <w:lang w:val="en-GB"/>
        </w:rPr>
        <w:t xml:space="preserve">Unless stated otherwise, </w:t>
      </w:r>
      <w:r>
        <w:rPr>
          <w:sz w:val="16"/>
          <w:szCs w:val="16"/>
          <w:lang w:val="en-GB"/>
        </w:rPr>
        <w:t xml:space="preserve">the difference between the value as of 31.12.2022 and 30.9.2022 is intended by the change of interest rates. </w:t>
      </w:r>
    </w:p>
  </w:footnote>
  <w:footnote w:id="3">
    <w:p w14:paraId="33007CAE" w14:textId="355597F6" w:rsidR="00E37C1C" w:rsidRPr="00F919C6" w:rsidRDefault="00E37C1C" w:rsidP="00F919C6">
      <w:pPr>
        <w:pStyle w:val="Textpoznpodarou"/>
        <w:jc w:val="both"/>
        <w:rPr>
          <w:sz w:val="16"/>
          <w:szCs w:val="16"/>
          <w:lang w:val="en-GB"/>
        </w:rPr>
      </w:pPr>
      <w:r w:rsidRPr="00F919C6">
        <w:rPr>
          <w:rStyle w:val="Znakapoznpodarou"/>
          <w:sz w:val="16"/>
          <w:szCs w:val="16"/>
          <w:lang w:val="en-GB"/>
        </w:rPr>
        <w:footnoteRef/>
      </w:r>
      <w:r w:rsidRPr="00F919C6">
        <w:rPr>
          <w:sz w:val="16"/>
          <w:szCs w:val="16"/>
          <w:lang w:val="en-GB"/>
        </w:rPr>
        <w:t xml:space="preserve"> </w:t>
      </w:r>
      <w:r>
        <w:rPr>
          <w:sz w:val="16"/>
          <w:szCs w:val="16"/>
          <w:lang w:val="en-GB"/>
        </w:rPr>
        <w:t xml:space="preserve">Population including self-employed. </w:t>
      </w:r>
    </w:p>
  </w:footnote>
  <w:footnote w:id="4">
    <w:p w14:paraId="34BBF827" w14:textId="7F09F388" w:rsidR="00E37C1C" w:rsidRPr="00BD0595" w:rsidRDefault="00E37C1C" w:rsidP="00BD0595">
      <w:pPr>
        <w:pStyle w:val="Textpoznpodarou"/>
        <w:jc w:val="both"/>
        <w:rPr>
          <w:sz w:val="16"/>
          <w:szCs w:val="16"/>
          <w:lang w:val="en-GB"/>
        </w:rPr>
      </w:pPr>
      <w:r w:rsidRPr="00284DA5">
        <w:rPr>
          <w:rStyle w:val="Znakapoznpodarou"/>
          <w:sz w:val="16"/>
          <w:szCs w:val="16"/>
        </w:rPr>
        <w:footnoteRef/>
      </w:r>
      <w:r w:rsidRPr="00284DA5">
        <w:rPr>
          <w:sz w:val="16"/>
          <w:szCs w:val="16"/>
        </w:rPr>
        <w:t xml:space="preserve"> </w:t>
      </w:r>
      <w:r w:rsidRPr="00BD0595">
        <w:rPr>
          <w:sz w:val="16"/>
          <w:szCs w:val="16"/>
          <w:lang w:val="en-GB"/>
        </w:rPr>
        <w:t xml:space="preserve">Refinanced credit as well as other agreements are included in the new contracts. Refinanced credit includes existing contracts agreed newly at a different bank, while other new agreements are existing contracts agreed with new conditions at the same bank. </w:t>
      </w:r>
    </w:p>
  </w:footnote>
  <w:footnote w:id="5">
    <w:p w14:paraId="2A2BBAF3" w14:textId="304D03CF" w:rsidR="00E37C1C" w:rsidRPr="005E7FA6" w:rsidRDefault="00E37C1C" w:rsidP="00BD0595">
      <w:pPr>
        <w:pStyle w:val="Textpoznpodarou"/>
        <w:jc w:val="both"/>
        <w:rPr>
          <w:sz w:val="16"/>
          <w:szCs w:val="16"/>
          <w:lang w:val="en-GB"/>
        </w:rPr>
      </w:pPr>
      <w:r w:rsidRPr="00BD0595">
        <w:rPr>
          <w:rStyle w:val="Znakapoznpodarou"/>
          <w:sz w:val="16"/>
          <w:szCs w:val="16"/>
          <w:lang w:val="en-GB"/>
        </w:rPr>
        <w:footnoteRef/>
      </w:r>
      <w:r w:rsidRPr="00BD0595">
        <w:rPr>
          <w:sz w:val="16"/>
          <w:szCs w:val="16"/>
          <w:lang w:val="en-GB"/>
        </w:rPr>
        <w:t xml:space="preserve"> </w:t>
      </w:r>
      <w:r>
        <w:rPr>
          <w:sz w:val="16"/>
          <w:szCs w:val="16"/>
          <w:lang w:val="en-GB"/>
        </w:rPr>
        <w:t xml:space="preserve">Credit in foreign currency started sharply grow after the beginning of repeated increase of monetary policy-relevant rates in June </w:t>
      </w:r>
      <w:r w:rsidRPr="00BD0595">
        <w:rPr>
          <w:sz w:val="16"/>
          <w:szCs w:val="16"/>
          <w:lang w:val="en-GB"/>
        </w:rPr>
        <w:t>2021.</w:t>
      </w:r>
      <w:r>
        <w:rPr>
          <w:sz w:val="16"/>
          <w:szCs w:val="16"/>
          <w:lang w:val="en-GB"/>
        </w:rPr>
        <w:t xml:space="preserve"> Their volume expanded by </w:t>
      </w:r>
      <w:r w:rsidRPr="00BD0595">
        <w:rPr>
          <w:sz w:val="16"/>
          <w:szCs w:val="16"/>
          <w:lang w:val="en-GB"/>
        </w:rPr>
        <w:t>198</w:t>
      </w:r>
      <w:r>
        <w:rPr>
          <w:sz w:val="16"/>
          <w:szCs w:val="16"/>
          <w:lang w:val="en-GB"/>
        </w:rPr>
        <w:t>.</w:t>
      </w:r>
      <w:r w:rsidRPr="00BD0595">
        <w:rPr>
          <w:sz w:val="16"/>
          <w:szCs w:val="16"/>
          <w:lang w:val="en-GB"/>
        </w:rPr>
        <w:t>9</w:t>
      </w:r>
      <w:r>
        <w:rPr>
          <w:sz w:val="16"/>
          <w:szCs w:val="16"/>
          <w:lang w:val="en-GB"/>
        </w:rPr>
        <w:t xml:space="preserve"> CZK bn </w:t>
      </w:r>
      <w:r w:rsidRPr="00BD0595">
        <w:rPr>
          <w:sz w:val="16"/>
          <w:szCs w:val="16"/>
          <w:lang w:val="en-GB"/>
        </w:rPr>
        <w:t>(54</w:t>
      </w:r>
      <w:r>
        <w:rPr>
          <w:sz w:val="16"/>
          <w:szCs w:val="16"/>
          <w:lang w:val="en-GB"/>
        </w:rPr>
        <w:t>.</w:t>
      </w:r>
      <w:r w:rsidRPr="00BD0595">
        <w:rPr>
          <w:sz w:val="16"/>
          <w:szCs w:val="16"/>
          <w:lang w:val="en-GB"/>
        </w:rPr>
        <w:t>8%)</w:t>
      </w:r>
      <w:r>
        <w:rPr>
          <w:sz w:val="16"/>
          <w:szCs w:val="16"/>
          <w:lang w:val="en-GB"/>
        </w:rPr>
        <w:t xml:space="preserve"> until December 2022</w:t>
      </w:r>
      <w:r w:rsidRPr="00BD0595">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3A5"/>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1'!$C$66:$C$137</c:f>
              <c:numCache>
                <c:formatCode>General</c:formatCode>
                <c:ptCount val="72"/>
                <c:pt idx="0">
                  <c:v>0.05</c:v>
                </c:pt>
                <c:pt idx="1">
                  <c:v>0.05</c:v>
                </c:pt>
                <c:pt idx="2">
                  <c:v>0.05</c:v>
                </c:pt>
                <c:pt idx="3">
                  <c:v>0.05</c:v>
                </c:pt>
                <c:pt idx="4">
                  <c:v>0.05</c:v>
                </c:pt>
                <c:pt idx="5">
                  <c:v>0.05</c:v>
                </c:pt>
                <c:pt idx="6">
                  <c:v>0.05</c:v>
                </c:pt>
                <c:pt idx="7">
                  <c:v>0.25</c:v>
                </c:pt>
                <c:pt idx="8">
                  <c:v>0.25</c:v>
                </c:pt>
                <c:pt idx="9">
                  <c:v>0.25</c:v>
                </c:pt>
                <c:pt idx="10">
                  <c:v>0.5</c:v>
                </c:pt>
                <c:pt idx="11">
                  <c:v>0.5</c:v>
                </c:pt>
                <c:pt idx="12">
                  <c:v>0.5</c:v>
                </c:pt>
                <c:pt idx="13">
                  <c:v>0.75</c:v>
                </c:pt>
                <c:pt idx="14">
                  <c:v>0.75</c:v>
                </c:pt>
                <c:pt idx="15">
                  <c:v>0.75</c:v>
                </c:pt>
                <c:pt idx="16">
                  <c:v>0.75</c:v>
                </c:pt>
                <c:pt idx="17">
                  <c:v>1</c:v>
                </c:pt>
                <c:pt idx="18">
                  <c:v>1</c:v>
                </c:pt>
                <c:pt idx="19">
                  <c:v>1.25</c:v>
                </c:pt>
                <c:pt idx="20">
                  <c:v>1.5</c:v>
                </c:pt>
                <c:pt idx="21">
                  <c:v>1.5</c:v>
                </c:pt>
                <c:pt idx="22">
                  <c:v>1.75</c:v>
                </c:pt>
                <c:pt idx="23">
                  <c:v>1.75</c:v>
                </c:pt>
                <c:pt idx="24">
                  <c:v>1.75</c:v>
                </c:pt>
                <c:pt idx="25">
                  <c:v>1.75</c:v>
                </c:pt>
                <c:pt idx="26">
                  <c:v>1.75</c:v>
                </c:pt>
                <c:pt idx="27">
                  <c:v>1.75</c:v>
                </c:pt>
                <c:pt idx="28">
                  <c:v>2</c:v>
                </c:pt>
                <c:pt idx="29">
                  <c:v>2</c:v>
                </c:pt>
                <c:pt idx="30">
                  <c:v>2</c:v>
                </c:pt>
                <c:pt idx="31">
                  <c:v>2</c:v>
                </c:pt>
                <c:pt idx="32">
                  <c:v>2</c:v>
                </c:pt>
                <c:pt idx="33">
                  <c:v>2</c:v>
                </c:pt>
                <c:pt idx="34">
                  <c:v>2</c:v>
                </c:pt>
                <c:pt idx="35">
                  <c:v>2</c:v>
                </c:pt>
                <c:pt idx="36">
                  <c:v>2</c:v>
                </c:pt>
                <c:pt idx="37">
                  <c:v>2.25</c:v>
                </c:pt>
                <c:pt idx="38">
                  <c:v>1</c:v>
                </c:pt>
                <c:pt idx="39">
                  <c:v>1</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0.5</c:v>
                </c:pt>
                <c:pt idx="54">
                  <c:v>0.5</c:v>
                </c:pt>
                <c:pt idx="55">
                  <c:v>0.75</c:v>
                </c:pt>
                <c:pt idx="56">
                  <c:v>0.75</c:v>
                </c:pt>
                <c:pt idx="57">
                  <c:v>1.5</c:v>
                </c:pt>
                <c:pt idx="58">
                  <c:v>2.75</c:v>
                </c:pt>
                <c:pt idx="59">
                  <c:v>3.75</c:v>
                </c:pt>
                <c:pt idx="60">
                  <c:v>3.75</c:v>
                </c:pt>
                <c:pt idx="61">
                  <c:v>4.5</c:v>
                </c:pt>
                <c:pt idx="62">
                  <c:v>4.5</c:v>
                </c:pt>
                <c:pt idx="63">
                  <c:v>5</c:v>
                </c:pt>
                <c:pt idx="64">
                  <c:v>5.75</c:v>
                </c:pt>
                <c:pt idx="65">
                  <c:v>7</c:v>
                </c:pt>
                <c:pt idx="66">
                  <c:v>7</c:v>
                </c:pt>
                <c:pt idx="67">
                  <c:v>7</c:v>
                </c:pt>
                <c:pt idx="68">
                  <c:v>7</c:v>
                </c:pt>
                <c:pt idx="69">
                  <c:v>7</c:v>
                </c:pt>
                <c:pt idx="70">
                  <c:v>7</c:v>
                </c:pt>
                <c:pt idx="71">
                  <c:v>7</c:v>
                </c:pt>
              </c:numCache>
            </c:numRef>
          </c:val>
          <c:extLst>
            <c:ext xmlns:c16="http://schemas.microsoft.com/office/drawing/2014/chart" uri="{C3380CC4-5D6E-409C-BE32-E72D297353CC}">
              <c16:uniqueId val="{00000000-7BB9-4C48-A5F4-FF74434588DE}"/>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1'!$F$66:$F$137</c:f>
              <c:numCache>
                <c:formatCode>General</c:formatCode>
                <c:ptCount val="72"/>
                <c:pt idx="0">
                  <c:v>-0.88</c:v>
                </c:pt>
                <c:pt idx="1">
                  <c:v>-0.53</c:v>
                </c:pt>
                <c:pt idx="2">
                  <c:v>-0.44</c:v>
                </c:pt>
                <c:pt idx="3">
                  <c:v>-0.23</c:v>
                </c:pt>
                <c:pt idx="4">
                  <c:v>-0.24</c:v>
                </c:pt>
                <c:pt idx="5">
                  <c:v>-0.25</c:v>
                </c:pt>
                <c:pt idx="6">
                  <c:v>-0.28999999999999998</c:v>
                </c:pt>
                <c:pt idx="7">
                  <c:v>-0.33</c:v>
                </c:pt>
                <c:pt idx="8">
                  <c:v>-0.28999999999999998</c:v>
                </c:pt>
                <c:pt idx="9">
                  <c:v>0.12</c:v>
                </c:pt>
                <c:pt idx="10">
                  <c:v>0.31</c:v>
                </c:pt>
                <c:pt idx="11">
                  <c:v>0.19</c:v>
                </c:pt>
                <c:pt idx="12">
                  <c:v>0.46</c:v>
                </c:pt>
                <c:pt idx="13">
                  <c:v>0.55000000000000004</c:v>
                </c:pt>
                <c:pt idx="14">
                  <c:v>0.62</c:v>
                </c:pt>
                <c:pt idx="15">
                  <c:v>0.6</c:v>
                </c:pt>
                <c:pt idx="16">
                  <c:v>0.7</c:v>
                </c:pt>
                <c:pt idx="17">
                  <c:v>0.89</c:v>
                </c:pt>
                <c:pt idx="18">
                  <c:v>1.0900000000000001</c:v>
                </c:pt>
                <c:pt idx="19">
                  <c:v>1.26</c:v>
                </c:pt>
                <c:pt idx="20">
                  <c:v>1.34</c:v>
                </c:pt>
                <c:pt idx="21">
                  <c:v>1.44</c:v>
                </c:pt>
                <c:pt idx="22">
                  <c:v>1.49</c:v>
                </c:pt>
                <c:pt idx="23">
                  <c:v>1.52</c:v>
                </c:pt>
                <c:pt idx="24">
                  <c:v>1.66</c:v>
                </c:pt>
                <c:pt idx="25">
                  <c:v>1.74</c:v>
                </c:pt>
                <c:pt idx="26">
                  <c:v>1.71</c:v>
                </c:pt>
                <c:pt idx="27">
                  <c:v>1.63</c:v>
                </c:pt>
                <c:pt idx="28">
                  <c:v>1.62</c:v>
                </c:pt>
                <c:pt idx="29">
                  <c:v>1.52</c:v>
                </c:pt>
                <c:pt idx="30">
                  <c:v>1.35</c:v>
                </c:pt>
                <c:pt idx="31">
                  <c:v>0.85</c:v>
                </c:pt>
                <c:pt idx="32">
                  <c:v>1.07</c:v>
                </c:pt>
                <c:pt idx="33">
                  <c:v>1.17</c:v>
                </c:pt>
                <c:pt idx="34">
                  <c:v>1.33</c:v>
                </c:pt>
                <c:pt idx="35">
                  <c:v>1.36</c:v>
                </c:pt>
                <c:pt idx="36">
                  <c:v>1.55</c:v>
                </c:pt>
                <c:pt idx="37">
                  <c:v>1.57</c:v>
                </c:pt>
                <c:pt idx="38">
                  <c:v>1.27</c:v>
                </c:pt>
                <c:pt idx="39">
                  <c:v>0.71</c:v>
                </c:pt>
                <c:pt idx="40">
                  <c:v>0.13</c:v>
                </c:pt>
                <c:pt idx="41">
                  <c:v>0.08</c:v>
                </c:pt>
                <c:pt idx="42">
                  <c:v>0.02</c:v>
                </c:pt>
                <c:pt idx="43">
                  <c:v>0.04</c:v>
                </c:pt>
                <c:pt idx="44">
                  <c:v>0.05</c:v>
                </c:pt>
                <c:pt idx="45">
                  <c:v>0</c:v>
                </c:pt>
                <c:pt idx="46">
                  <c:v>0.06</c:v>
                </c:pt>
                <c:pt idx="47">
                  <c:v>0.16</c:v>
                </c:pt>
                <c:pt idx="48">
                  <c:v>0.26</c:v>
                </c:pt>
                <c:pt idx="49">
                  <c:v>0.45</c:v>
                </c:pt>
                <c:pt idx="50">
                  <c:v>0.75</c:v>
                </c:pt>
                <c:pt idx="51">
                  <c:v>0.76</c:v>
                </c:pt>
                <c:pt idx="52">
                  <c:v>0.76</c:v>
                </c:pt>
                <c:pt idx="53">
                  <c:v>0.69</c:v>
                </c:pt>
                <c:pt idx="54">
                  <c:v>0.84</c:v>
                </c:pt>
                <c:pt idx="55">
                  <c:v>1.24</c:v>
                </c:pt>
                <c:pt idx="56">
                  <c:v>1.6</c:v>
                </c:pt>
                <c:pt idx="57">
                  <c:v>2.29</c:v>
                </c:pt>
                <c:pt idx="58">
                  <c:v>3</c:v>
                </c:pt>
                <c:pt idx="59">
                  <c:v>3.07</c:v>
                </c:pt>
                <c:pt idx="60">
                  <c:v>3.81</c:v>
                </c:pt>
                <c:pt idx="61">
                  <c:v>3.77</c:v>
                </c:pt>
                <c:pt idx="62">
                  <c:v>4.54</c:v>
                </c:pt>
                <c:pt idx="63">
                  <c:v>5.13</c:v>
                </c:pt>
                <c:pt idx="64">
                  <c:v>5.65</c:v>
                </c:pt>
                <c:pt idx="65">
                  <c:v>6.26</c:v>
                </c:pt>
                <c:pt idx="66">
                  <c:v>6.38</c:v>
                </c:pt>
                <c:pt idx="67">
                  <c:v>5.86</c:v>
                </c:pt>
                <c:pt idx="68">
                  <c:v>5.9</c:v>
                </c:pt>
                <c:pt idx="69">
                  <c:v>6.18</c:v>
                </c:pt>
                <c:pt idx="70">
                  <c:v>5.68</c:v>
                </c:pt>
                <c:pt idx="71">
                  <c:v>5.19</c:v>
                </c:pt>
              </c:numCache>
            </c:numRef>
          </c:val>
          <c:smooth val="0"/>
          <c:extLst>
            <c:ext xmlns:c16="http://schemas.microsoft.com/office/drawing/2014/chart" uri="{C3380CC4-5D6E-409C-BE32-E72D297353CC}">
              <c16:uniqueId val="{00000001-7BB9-4C48-A5F4-FF74434588DE}"/>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1'!$D$66:$D$137</c:f>
              <c:numCache>
                <c:formatCode>General</c:formatCode>
                <c:ptCount val="72"/>
                <c:pt idx="0">
                  <c:v>0.28000000000000003</c:v>
                </c:pt>
                <c:pt idx="1">
                  <c:v>0.28000000000000003</c:v>
                </c:pt>
                <c:pt idx="2">
                  <c:v>0.28000000000000003</c:v>
                </c:pt>
                <c:pt idx="3">
                  <c:v>0.28999999999999998</c:v>
                </c:pt>
                <c:pt idx="4">
                  <c:v>0.3</c:v>
                </c:pt>
                <c:pt idx="5">
                  <c:v>0.3</c:v>
                </c:pt>
                <c:pt idx="6">
                  <c:v>0.3</c:v>
                </c:pt>
                <c:pt idx="7">
                  <c:v>0.43</c:v>
                </c:pt>
                <c:pt idx="8">
                  <c:v>0.46</c:v>
                </c:pt>
                <c:pt idx="9">
                  <c:v>0.51</c:v>
                </c:pt>
                <c:pt idx="10">
                  <c:v>0.71</c:v>
                </c:pt>
                <c:pt idx="11">
                  <c:v>0.75</c:v>
                </c:pt>
                <c:pt idx="12">
                  <c:v>0.77</c:v>
                </c:pt>
                <c:pt idx="13">
                  <c:v>0.9</c:v>
                </c:pt>
                <c:pt idx="14">
                  <c:v>0.9</c:v>
                </c:pt>
                <c:pt idx="15">
                  <c:v>0.9</c:v>
                </c:pt>
                <c:pt idx="16">
                  <c:v>0.9</c:v>
                </c:pt>
                <c:pt idx="17">
                  <c:v>0.93</c:v>
                </c:pt>
                <c:pt idx="18">
                  <c:v>1.18</c:v>
                </c:pt>
                <c:pt idx="19">
                  <c:v>1.45</c:v>
                </c:pt>
                <c:pt idx="20">
                  <c:v>1.54</c:v>
                </c:pt>
                <c:pt idx="21">
                  <c:v>1.76</c:v>
                </c:pt>
                <c:pt idx="22">
                  <c:v>1.99</c:v>
                </c:pt>
                <c:pt idx="23">
                  <c:v>2.0099999999999998</c:v>
                </c:pt>
                <c:pt idx="24">
                  <c:v>2.0099999999999998</c:v>
                </c:pt>
                <c:pt idx="25">
                  <c:v>2.0099999999999998</c:v>
                </c:pt>
                <c:pt idx="26">
                  <c:v>2.0299999999999998</c:v>
                </c:pt>
                <c:pt idx="27">
                  <c:v>2.02</c:v>
                </c:pt>
                <c:pt idx="28">
                  <c:v>2.19</c:v>
                </c:pt>
                <c:pt idx="29">
                  <c:v>2.17</c:v>
                </c:pt>
                <c:pt idx="30">
                  <c:v>2.16</c:v>
                </c:pt>
                <c:pt idx="31">
                  <c:v>2.14</c:v>
                </c:pt>
                <c:pt idx="32">
                  <c:v>2.14</c:v>
                </c:pt>
                <c:pt idx="33">
                  <c:v>2.17</c:v>
                </c:pt>
                <c:pt idx="34">
                  <c:v>2.1800000000000002</c:v>
                </c:pt>
                <c:pt idx="35">
                  <c:v>2.1800000000000002</c:v>
                </c:pt>
                <c:pt idx="36">
                  <c:v>2.17</c:v>
                </c:pt>
                <c:pt idx="37">
                  <c:v>2.34</c:v>
                </c:pt>
                <c:pt idx="38">
                  <c:v>2</c:v>
                </c:pt>
                <c:pt idx="39">
                  <c:v>0.97</c:v>
                </c:pt>
                <c:pt idx="40">
                  <c:v>0.46</c:v>
                </c:pt>
                <c:pt idx="41">
                  <c:v>0.34</c:v>
                </c:pt>
                <c:pt idx="42">
                  <c:v>0.34</c:v>
                </c:pt>
                <c:pt idx="43">
                  <c:v>0.34</c:v>
                </c:pt>
                <c:pt idx="44">
                  <c:v>0.34</c:v>
                </c:pt>
                <c:pt idx="45">
                  <c:v>0.35</c:v>
                </c:pt>
                <c:pt idx="46">
                  <c:v>0.35</c:v>
                </c:pt>
                <c:pt idx="47">
                  <c:v>0.35</c:v>
                </c:pt>
                <c:pt idx="48">
                  <c:v>0.36</c:v>
                </c:pt>
                <c:pt idx="49">
                  <c:v>0.36</c:v>
                </c:pt>
                <c:pt idx="50">
                  <c:v>0.36</c:v>
                </c:pt>
                <c:pt idx="51">
                  <c:v>0.36</c:v>
                </c:pt>
                <c:pt idx="52">
                  <c:v>0.37</c:v>
                </c:pt>
                <c:pt idx="53">
                  <c:v>0.48</c:v>
                </c:pt>
                <c:pt idx="54">
                  <c:v>0.69</c:v>
                </c:pt>
                <c:pt idx="55">
                  <c:v>0.94</c:v>
                </c:pt>
                <c:pt idx="56">
                  <c:v>1.1100000000000001</c:v>
                </c:pt>
                <c:pt idx="57">
                  <c:v>2.02</c:v>
                </c:pt>
                <c:pt idx="58">
                  <c:v>2.97</c:v>
                </c:pt>
                <c:pt idx="59">
                  <c:v>3.5</c:v>
                </c:pt>
                <c:pt idx="60">
                  <c:v>4.21</c:v>
                </c:pt>
                <c:pt idx="61">
                  <c:v>4.6900000000000004</c:v>
                </c:pt>
                <c:pt idx="62">
                  <c:v>4.8600000000000003</c:v>
                </c:pt>
                <c:pt idx="63">
                  <c:v>5.36</c:v>
                </c:pt>
                <c:pt idx="64">
                  <c:v>5.97</c:v>
                </c:pt>
                <c:pt idx="65">
                  <c:v>6.64</c:v>
                </c:pt>
                <c:pt idx="66">
                  <c:v>7.3</c:v>
                </c:pt>
                <c:pt idx="67">
                  <c:v>7.27</c:v>
                </c:pt>
                <c:pt idx="68">
                  <c:v>7.25</c:v>
                </c:pt>
                <c:pt idx="69">
                  <c:v>7.28</c:v>
                </c:pt>
                <c:pt idx="70">
                  <c:v>7.27</c:v>
                </c:pt>
                <c:pt idx="71">
                  <c:v>7.26</c:v>
                </c:pt>
              </c:numCache>
            </c:numRef>
          </c:val>
          <c:smooth val="0"/>
          <c:extLst>
            <c:ext xmlns:c16="http://schemas.microsoft.com/office/drawing/2014/chart" uri="{C3380CC4-5D6E-409C-BE32-E72D297353CC}">
              <c16:uniqueId val="{00000002-7BB9-4C48-A5F4-FF74434588DE}"/>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1'!$G$66:$G$137</c:f>
              <c:numCache>
                <c:formatCode>General</c:formatCode>
                <c:ptCount val="72"/>
                <c:pt idx="0">
                  <c:v>-0.22</c:v>
                </c:pt>
                <c:pt idx="1">
                  <c:v>0.09</c:v>
                </c:pt>
                <c:pt idx="2">
                  <c:v>0.1</c:v>
                </c:pt>
                <c:pt idx="3">
                  <c:v>0.16</c:v>
                </c:pt>
                <c:pt idx="4">
                  <c:v>0.04</c:v>
                </c:pt>
                <c:pt idx="5">
                  <c:v>-0.03</c:v>
                </c:pt>
                <c:pt idx="6">
                  <c:v>0.14000000000000001</c:v>
                </c:pt>
                <c:pt idx="7">
                  <c:v>0.09</c:v>
                </c:pt>
                <c:pt idx="8">
                  <c:v>0.1</c:v>
                </c:pt>
                <c:pt idx="9">
                  <c:v>0.63</c:v>
                </c:pt>
                <c:pt idx="10">
                  <c:v>0.87</c:v>
                </c:pt>
                <c:pt idx="11">
                  <c:v>0.68</c:v>
                </c:pt>
                <c:pt idx="12">
                  <c:v>0.99</c:v>
                </c:pt>
                <c:pt idx="13">
                  <c:v>1.07</c:v>
                </c:pt>
                <c:pt idx="14">
                  <c:v>1.0900000000000001</c:v>
                </c:pt>
                <c:pt idx="15">
                  <c:v>1.05</c:v>
                </c:pt>
                <c:pt idx="16">
                  <c:v>1.21</c:v>
                </c:pt>
                <c:pt idx="17">
                  <c:v>1.41</c:v>
                </c:pt>
                <c:pt idx="18">
                  <c:v>1.44</c:v>
                </c:pt>
                <c:pt idx="19">
                  <c:v>1.55</c:v>
                </c:pt>
                <c:pt idx="20">
                  <c:v>1.7</c:v>
                </c:pt>
                <c:pt idx="21">
                  <c:v>1.81</c:v>
                </c:pt>
                <c:pt idx="22">
                  <c:v>1.79</c:v>
                </c:pt>
                <c:pt idx="23">
                  <c:v>1.71</c:v>
                </c:pt>
                <c:pt idx="24">
                  <c:v>1.6</c:v>
                </c:pt>
                <c:pt idx="25">
                  <c:v>1.61</c:v>
                </c:pt>
                <c:pt idx="26">
                  <c:v>1.7</c:v>
                </c:pt>
                <c:pt idx="27">
                  <c:v>1.63</c:v>
                </c:pt>
                <c:pt idx="28">
                  <c:v>1.57</c:v>
                </c:pt>
                <c:pt idx="29">
                  <c:v>1.43</c:v>
                </c:pt>
                <c:pt idx="30">
                  <c:v>1.31</c:v>
                </c:pt>
                <c:pt idx="31">
                  <c:v>0.89</c:v>
                </c:pt>
                <c:pt idx="32">
                  <c:v>1.1299999999999999</c:v>
                </c:pt>
                <c:pt idx="33">
                  <c:v>1.23</c:v>
                </c:pt>
                <c:pt idx="34">
                  <c:v>1.32</c:v>
                </c:pt>
                <c:pt idx="35">
                  <c:v>1.31</c:v>
                </c:pt>
                <c:pt idx="36">
                  <c:v>1.51</c:v>
                </c:pt>
                <c:pt idx="37">
                  <c:v>1.52</c:v>
                </c:pt>
                <c:pt idx="38">
                  <c:v>1.23</c:v>
                </c:pt>
                <c:pt idx="39">
                  <c:v>1.06</c:v>
                </c:pt>
                <c:pt idx="40">
                  <c:v>0.56999999999999995</c:v>
                </c:pt>
                <c:pt idx="41">
                  <c:v>0.52</c:v>
                </c:pt>
                <c:pt idx="42">
                  <c:v>0.52</c:v>
                </c:pt>
                <c:pt idx="43">
                  <c:v>0.57999999999999996</c:v>
                </c:pt>
                <c:pt idx="44">
                  <c:v>0.57999999999999996</c:v>
                </c:pt>
                <c:pt idx="45">
                  <c:v>0.54</c:v>
                </c:pt>
                <c:pt idx="46">
                  <c:v>0.66</c:v>
                </c:pt>
                <c:pt idx="47">
                  <c:v>0.8</c:v>
                </c:pt>
                <c:pt idx="48">
                  <c:v>0.82</c:v>
                </c:pt>
                <c:pt idx="49">
                  <c:v>1.06</c:v>
                </c:pt>
                <c:pt idx="50">
                  <c:v>1.4</c:v>
                </c:pt>
                <c:pt idx="51">
                  <c:v>1.43</c:v>
                </c:pt>
                <c:pt idx="52">
                  <c:v>1.47</c:v>
                </c:pt>
                <c:pt idx="53">
                  <c:v>1.55</c:v>
                </c:pt>
                <c:pt idx="54">
                  <c:v>1.63</c:v>
                </c:pt>
                <c:pt idx="55">
                  <c:v>1.68</c:v>
                </c:pt>
                <c:pt idx="56">
                  <c:v>1.87</c:v>
                </c:pt>
                <c:pt idx="57">
                  <c:v>2.37</c:v>
                </c:pt>
                <c:pt idx="58">
                  <c:v>2.84</c:v>
                </c:pt>
                <c:pt idx="59">
                  <c:v>2.84</c:v>
                </c:pt>
                <c:pt idx="60">
                  <c:v>3.36</c:v>
                </c:pt>
                <c:pt idx="61">
                  <c:v>3.2</c:v>
                </c:pt>
                <c:pt idx="62">
                  <c:v>3.85</c:v>
                </c:pt>
                <c:pt idx="63">
                  <c:v>4.54</c:v>
                </c:pt>
                <c:pt idx="64">
                  <c:v>4.99</c:v>
                </c:pt>
                <c:pt idx="65">
                  <c:v>5.49</c:v>
                </c:pt>
                <c:pt idx="66">
                  <c:v>5.12</c:v>
                </c:pt>
                <c:pt idx="67">
                  <c:v>4.67</c:v>
                </c:pt>
                <c:pt idx="68">
                  <c:v>5.0599999999999996</c:v>
                </c:pt>
                <c:pt idx="69">
                  <c:v>5.69</c:v>
                </c:pt>
                <c:pt idx="70">
                  <c:v>5.31</c:v>
                </c:pt>
                <c:pt idx="71">
                  <c:v>4.9000000000000004</c:v>
                </c:pt>
              </c:numCache>
            </c:numRef>
          </c:val>
          <c:smooth val="0"/>
          <c:extLst>
            <c:ext xmlns:c16="http://schemas.microsoft.com/office/drawing/2014/chart" uri="{C3380CC4-5D6E-409C-BE32-E72D297353CC}">
              <c16:uniqueId val="{00000003-7BB9-4C48-A5F4-FF74434588DE}"/>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1'!$E$66:$E$137</c:f>
              <c:numCache>
                <c:formatCode>General</c:formatCode>
                <c:ptCount val="72"/>
                <c:pt idx="0">
                  <c:v>0.44</c:v>
                </c:pt>
                <c:pt idx="1">
                  <c:v>0.44</c:v>
                </c:pt>
                <c:pt idx="2">
                  <c:v>0.44</c:v>
                </c:pt>
                <c:pt idx="3">
                  <c:v>0.45</c:v>
                </c:pt>
                <c:pt idx="4">
                  <c:v>0.46</c:v>
                </c:pt>
                <c:pt idx="5">
                  <c:v>0.46</c:v>
                </c:pt>
                <c:pt idx="6">
                  <c:v>0.47</c:v>
                </c:pt>
                <c:pt idx="7">
                  <c:v>0.6</c:v>
                </c:pt>
                <c:pt idx="8">
                  <c:v>0.64</c:v>
                </c:pt>
                <c:pt idx="9">
                  <c:v>0.69</c:v>
                </c:pt>
                <c:pt idx="10">
                  <c:v>0.91</c:v>
                </c:pt>
                <c:pt idx="11">
                  <c:v>0.96</c:v>
                </c:pt>
                <c:pt idx="12">
                  <c:v>0.98</c:v>
                </c:pt>
                <c:pt idx="13">
                  <c:v>1.1100000000000001</c:v>
                </c:pt>
                <c:pt idx="14">
                  <c:v>1.1200000000000001</c:v>
                </c:pt>
                <c:pt idx="15">
                  <c:v>1.1200000000000001</c:v>
                </c:pt>
                <c:pt idx="16">
                  <c:v>1.1200000000000001</c:v>
                </c:pt>
                <c:pt idx="17">
                  <c:v>1.1499999999999999</c:v>
                </c:pt>
                <c:pt idx="18">
                  <c:v>1.39</c:v>
                </c:pt>
                <c:pt idx="19">
                  <c:v>1.67</c:v>
                </c:pt>
                <c:pt idx="20">
                  <c:v>1.79</c:v>
                </c:pt>
                <c:pt idx="21">
                  <c:v>1.95</c:v>
                </c:pt>
                <c:pt idx="22">
                  <c:v>2.1800000000000002</c:v>
                </c:pt>
                <c:pt idx="23">
                  <c:v>2.21</c:v>
                </c:pt>
                <c:pt idx="24">
                  <c:v>2.21</c:v>
                </c:pt>
                <c:pt idx="25">
                  <c:v>2.2000000000000002</c:v>
                </c:pt>
                <c:pt idx="26">
                  <c:v>2.2000000000000002</c:v>
                </c:pt>
                <c:pt idx="27">
                  <c:v>2.21</c:v>
                </c:pt>
                <c:pt idx="28">
                  <c:v>2.3199999999999998</c:v>
                </c:pt>
                <c:pt idx="29">
                  <c:v>2.29</c:v>
                </c:pt>
                <c:pt idx="30">
                  <c:v>2.2799999999999998</c:v>
                </c:pt>
                <c:pt idx="31">
                  <c:v>2.2200000000000002</c:v>
                </c:pt>
                <c:pt idx="32">
                  <c:v>2.2000000000000002</c:v>
                </c:pt>
                <c:pt idx="33">
                  <c:v>2.2799999999999998</c:v>
                </c:pt>
                <c:pt idx="34">
                  <c:v>2.2799999999999998</c:v>
                </c:pt>
                <c:pt idx="35">
                  <c:v>2.27</c:v>
                </c:pt>
                <c:pt idx="36">
                  <c:v>2.27</c:v>
                </c:pt>
                <c:pt idx="37">
                  <c:v>2.42</c:v>
                </c:pt>
                <c:pt idx="38">
                  <c:v>2.0099999999999998</c:v>
                </c:pt>
                <c:pt idx="39">
                  <c:v>0.92</c:v>
                </c:pt>
                <c:pt idx="40">
                  <c:v>0.51</c:v>
                </c:pt>
                <c:pt idx="41">
                  <c:v>0.43</c:v>
                </c:pt>
                <c:pt idx="42">
                  <c:v>0.43</c:v>
                </c:pt>
                <c:pt idx="43">
                  <c:v>0.43</c:v>
                </c:pt>
                <c:pt idx="44">
                  <c:v>0.44</c:v>
                </c:pt>
                <c:pt idx="45">
                  <c:v>0.43</c:v>
                </c:pt>
                <c:pt idx="46">
                  <c:v>0.44</c:v>
                </c:pt>
                <c:pt idx="47">
                  <c:v>0.49</c:v>
                </c:pt>
                <c:pt idx="48">
                  <c:v>0.49</c:v>
                </c:pt>
                <c:pt idx="49">
                  <c:v>0.54</c:v>
                </c:pt>
                <c:pt idx="50">
                  <c:v>0.56000000000000005</c:v>
                </c:pt>
                <c:pt idx="51">
                  <c:v>0.56000000000000005</c:v>
                </c:pt>
                <c:pt idx="52">
                  <c:v>0.67</c:v>
                </c:pt>
                <c:pt idx="53">
                  <c:v>0.78</c:v>
                </c:pt>
                <c:pt idx="54">
                  <c:v>1</c:v>
                </c:pt>
                <c:pt idx="55">
                  <c:v>1.3</c:v>
                </c:pt>
                <c:pt idx="56">
                  <c:v>1.52</c:v>
                </c:pt>
                <c:pt idx="57">
                  <c:v>2.44</c:v>
                </c:pt>
                <c:pt idx="58">
                  <c:v>3.5</c:v>
                </c:pt>
                <c:pt idx="59">
                  <c:v>3.96</c:v>
                </c:pt>
                <c:pt idx="60">
                  <c:v>4.55</c:v>
                </c:pt>
                <c:pt idx="61">
                  <c:v>4.87</c:v>
                </c:pt>
                <c:pt idx="62">
                  <c:v>5.12</c:v>
                </c:pt>
                <c:pt idx="63">
                  <c:v>5.74</c:v>
                </c:pt>
                <c:pt idx="64">
                  <c:v>6.33</c:v>
                </c:pt>
                <c:pt idx="65">
                  <c:v>7.02</c:v>
                </c:pt>
                <c:pt idx="66">
                  <c:v>7.55</c:v>
                </c:pt>
                <c:pt idx="67">
                  <c:v>7.48</c:v>
                </c:pt>
                <c:pt idx="68">
                  <c:v>7.44</c:v>
                </c:pt>
                <c:pt idx="69">
                  <c:v>7.45</c:v>
                </c:pt>
                <c:pt idx="70">
                  <c:v>7.39</c:v>
                </c:pt>
                <c:pt idx="71">
                  <c:v>7.28</c:v>
                </c:pt>
              </c:numCache>
            </c:numRef>
          </c:val>
          <c:smooth val="0"/>
          <c:extLst>
            <c:ext xmlns:c16="http://schemas.microsoft.com/office/drawing/2014/chart" uri="{C3380CC4-5D6E-409C-BE32-E72D297353CC}">
              <c16:uniqueId val="{00000004-7BB9-4C48-A5F4-FF74434588DE}"/>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1'!$H$66:$H$137</c:f>
              <c:numCache>
                <c:formatCode>General</c:formatCode>
                <c:ptCount val="72"/>
                <c:pt idx="0">
                  <c:v>0.47</c:v>
                </c:pt>
                <c:pt idx="1">
                  <c:v>0.63</c:v>
                </c:pt>
                <c:pt idx="2">
                  <c:v>0.87</c:v>
                </c:pt>
                <c:pt idx="3">
                  <c:v>0.96</c:v>
                </c:pt>
                <c:pt idx="4">
                  <c:v>0.74</c:v>
                </c:pt>
                <c:pt idx="5">
                  <c:v>0.77</c:v>
                </c:pt>
                <c:pt idx="6">
                  <c:v>0.9</c:v>
                </c:pt>
                <c:pt idx="7">
                  <c:v>0.83</c:v>
                </c:pt>
                <c:pt idx="8">
                  <c:v>0.97</c:v>
                </c:pt>
                <c:pt idx="9">
                  <c:v>1.45</c:v>
                </c:pt>
                <c:pt idx="10">
                  <c:v>1.68</c:v>
                </c:pt>
                <c:pt idx="11">
                  <c:v>1.5</c:v>
                </c:pt>
                <c:pt idx="12">
                  <c:v>1.77</c:v>
                </c:pt>
                <c:pt idx="13">
                  <c:v>1.82</c:v>
                </c:pt>
                <c:pt idx="14">
                  <c:v>1.81</c:v>
                </c:pt>
                <c:pt idx="15">
                  <c:v>1.74</c:v>
                </c:pt>
                <c:pt idx="16">
                  <c:v>1.89</c:v>
                </c:pt>
                <c:pt idx="17">
                  <c:v>2.14</c:v>
                </c:pt>
                <c:pt idx="18">
                  <c:v>2.11</c:v>
                </c:pt>
                <c:pt idx="19">
                  <c:v>2.14</c:v>
                </c:pt>
                <c:pt idx="20">
                  <c:v>2.14</c:v>
                </c:pt>
                <c:pt idx="21">
                  <c:v>2.14</c:v>
                </c:pt>
                <c:pt idx="22">
                  <c:v>2.0699999999999998</c:v>
                </c:pt>
                <c:pt idx="23">
                  <c:v>2.0099999999999998</c:v>
                </c:pt>
                <c:pt idx="24">
                  <c:v>1.85</c:v>
                </c:pt>
                <c:pt idx="25">
                  <c:v>1.76</c:v>
                </c:pt>
                <c:pt idx="26">
                  <c:v>1.82</c:v>
                </c:pt>
                <c:pt idx="27">
                  <c:v>1.82</c:v>
                </c:pt>
                <c:pt idx="28">
                  <c:v>1.86</c:v>
                </c:pt>
                <c:pt idx="29">
                  <c:v>1.58</c:v>
                </c:pt>
                <c:pt idx="30">
                  <c:v>1.36</c:v>
                </c:pt>
                <c:pt idx="31">
                  <c:v>0.99</c:v>
                </c:pt>
                <c:pt idx="32">
                  <c:v>1.24</c:v>
                </c:pt>
                <c:pt idx="33">
                  <c:v>1.32</c:v>
                </c:pt>
                <c:pt idx="34">
                  <c:v>1.47</c:v>
                </c:pt>
                <c:pt idx="35">
                  <c:v>1.51</c:v>
                </c:pt>
                <c:pt idx="36">
                  <c:v>1.62</c:v>
                </c:pt>
                <c:pt idx="37">
                  <c:v>1.47</c:v>
                </c:pt>
                <c:pt idx="38">
                  <c:v>1.28</c:v>
                </c:pt>
                <c:pt idx="39">
                  <c:v>1.28</c:v>
                </c:pt>
                <c:pt idx="40">
                  <c:v>0.92</c:v>
                </c:pt>
                <c:pt idx="41">
                  <c:v>0.86</c:v>
                </c:pt>
                <c:pt idx="42">
                  <c:v>0.86</c:v>
                </c:pt>
                <c:pt idx="43">
                  <c:v>0.95</c:v>
                </c:pt>
                <c:pt idx="44">
                  <c:v>0.98</c:v>
                </c:pt>
                <c:pt idx="45">
                  <c:v>0.94</c:v>
                </c:pt>
                <c:pt idx="46">
                  <c:v>1.1200000000000001</c:v>
                </c:pt>
                <c:pt idx="47">
                  <c:v>1.26</c:v>
                </c:pt>
                <c:pt idx="48">
                  <c:v>1.28</c:v>
                </c:pt>
                <c:pt idx="49">
                  <c:v>1.49</c:v>
                </c:pt>
                <c:pt idx="50">
                  <c:v>1.87</c:v>
                </c:pt>
                <c:pt idx="51">
                  <c:v>1.86</c:v>
                </c:pt>
                <c:pt idx="52">
                  <c:v>1.74</c:v>
                </c:pt>
                <c:pt idx="53">
                  <c:v>1.67</c:v>
                </c:pt>
                <c:pt idx="54">
                  <c:v>1.72</c:v>
                </c:pt>
                <c:pt idx="55">
                  <c:v>1.74</c:v>
                </c:pt>
                <c:pt idx="56">
                  <c:v>1.9</c:v>
                </c:pt>
                <c:pt idx="57">
                  <c:v>2.34</c:v>
                </c:pt>
                <c:pt idx="58">
                  <c:v>2.62</c:v>
                </c:pt>
                <c:pt idx="59">
                  <c:v>2.62</c:v>
                </c:pt>
                <c:pt idx="60">
                  <c:v>3.12</c:v>
                </c:pt>
                <c:pt idx="61">
                  <c:v>3.03</c:v>
                </c:pt>
                <c:pt idx="62">
                  <c:v>3.53</c:v>
                </c:pt>
                <c:pt idx="63">
                  <c:v>4.01</c:v>
                </c:pt>
                <c:pt idx="64">
                  <c:v>4.6100000000000003</c:v>
                </c:pt>
                <c:pt idx="65">
                  <c:v>5.12</c:v>
                </c:pt>
                <c:pt idx="66">
                  <c:v>4.4000000000000004</c:v>
                </c:pt>
                <c:pt idx="67">
                  <c:v>4.1100000000000003</c:v>
                </c:pt>
                <c:pt idx="68">
                  <c:v>4.72</c:v>
                </c:pt>
                <c:pt idx="69">
                  <c:v>5.52</c:v>
                </c:pt>
                <c:pt idx="70">
                  <c:v>5.1100000000000003</c:v>
                </c:pt>
                <c:pt idx="71">
                  <c:v>4.71</c:v>
                </c:pt>
              </c:numCache>
            </c:numRef>
          </c:val>
          <c:smooth val="0"/>
          <c:extLst>
            <c:ext xmlns:c16="http://schemas.microsoft.com/office/drawing/2014/chart" uri="{C3380CC4-5D6E-409C-BE32-E72D297353CC}">
              <c16:uniqueId val="{00000005-7BB9-4C48-A5F4-FF74434588DE}"/>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11</TotalTime>
  <Pages>3</Pages>
  <Words>958</Words>
  <Characters>5657</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